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jc w:val="center"/>
        <w:outlineLvl w:val="0"/>
        <w:rPr>
          <w:rFonts w:eastAsia="方正小标宋_GBK"/>
          <w:bCs/>
          <w:sz w:val="72"/>
          <w:szCs w:val="72"/>
        </w:rPr>
      </w:pPr>
      <w:r>
        <w:rPr>
          <w:rFonts w:hint="eastAsia" w:eastAsia="方正小标宋_GBK"/>
          <w:bCs/>
          <w:sz w:val="72"/>
          <w:szCs w:val="72"/>
        </w:rPr>
        <w:t>建设项目环境影响报告表</w:t>
      </w:r>
    </w:p>
    <w:p>
      <w:pPr>
        <w:spacing w:beforeLines="80"/>
        <w:jc w:val="center"/>
        <w:rPr>
          <w:rFonts w:eastAsia="黑体"/>
          <w:bCs/>
          <w:sz w:val="48"/>
          <w:szCs w:val="48"/>
        </w:rPr>
      </w:pPr>
      <w:r>
        <w:rPr>
          <w:rFonts w:hint="eastAsia" w:eastAsia="黑体"/>
          <w:bCs/>
          <w:sz w:val="48"/>
          <w:szCs w:val="48"/>
        </w:rPr>
        <w:t>（污染影响类）</w:t>
      </w:r>
    </w:p>
    <w:p/>
    <w:p>
      <w:pPr>
        <w:pStyle w:val="64"/>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spacing w:line="288" w:lineRule="auto"/>
        <w:ind w:firstLine="567"/>
        <w:rPr>
          <w:rFonts w:hint="default" w:eastAsia="宋体"/>
          <w:sz w:val="36"/>
          <w:szCs w:val="36"/>
          <w:lang w:val="en-US" w:eastAsia="zh-CN"/>
        </w:rPr>
      </w:pPr>
      <w:r>
        <w:rPr>
          <w:rFonts w:hint="eastAsia"/>
          <w:sz w:val="36"/>
          <w:szCs w:val="36"/>
        </w:rPr>
        <w:t>项目名称：</w:t>
      </w:r>
      <w:r>
        <w:rPr>
          <w:rFonts w:hint="eastAsia"/>
          <w:sz w:val="36"/>
          <w:szCs w:val="36"/>
          <w:u w:val="single"/>
          <w:lang w:val="en-US" w:eastAsia="zh-CN"/>
        </w:rPr>
        <w:t xml:space="preserve">      </w:t>
      </w:r>
      <w:r>
        <w:rPr>
          <w:rFonts w:hint="eastAsia"/>
          <w:sz w:val="36"/>
          <w:szCs w:val="36"/>
          <w:u w:val="single"/>
        </w:rPr>
        <w:t>轻质建筑材料生产线</w:t>
      </w:r>
      <w:r>
        <w:rPr>
          <w:rFonts w:hint="eastAsia"/>
          <w:sz w:val="36"/>
          <w:szCs w:val="36"/>
          <w:u w:val="single"/>
          <w:lang w:val="en-US" w:eastAsia="zh-CN"/>
        </w:rPr>
        <w:t xml:space="preserve">        </w:t>
      </w:r>
    </w:p>
    <w:p>
      <w:pPr>
        <w:spacing w:line="288" w:lineRule="auto"/>
        <w:ind w:firstLine="567"/>
        <w:rPr>
          <w:rFonts w:hint="default" w:eastAsia="宋体"/>
          <w:sz w:val="36"/>
          <w:szCs w:val="36"/>
          <w:lang w:val="en-US" w:eastAsia="zh-CN"/>
        </w:rPr>
      </w:pPr>
      <w:r>
        <w:rPr>
          <w:rFonts w:hint="eastAsia"/>
          <w:sz w:val="36"/>
          <w:szCs w:val="36"/>
        </w:rPr>
        <w:t>建设单位（盖章）：</w:t>
      </w:r>
      <w:r>
        <w:rPr>
          <w:rFonts w:hint="eastAsia"/>
          <w:sz w:val="36"/>
          <w:szCs w:val="36"/>
          <w:u w:val="single"/>
          <w:lang w:val="en-US" w:eastAsia="zh-CN"/>
        </w:rPr>
        <w:t xml:space="preserve">  </w:t>
      </w:r>
      <w:r>
        <w:rPr>
          <w:rFonts w:hint="eastAsia"/>
          <w:sz w:val="36"/>
          <w:szCs w:val="36"/>
          <w:u w:val="single"/>
        </w:rPr>
        <w:t>福建宸鑫硅业有限公司</w:t>
      </w:r>
      <w:r>
        <w:rPr>
          <w:rFonts w:hint="eastAsia"/>
          <w:sz w:val="36"/>
          <w:szCs w:val="36"/>
          <w:u w:val="single"/>
          <w:lang w:val="en-US" w:eastAsia="zh-CN"/>
        </w:rPr>
        <w:t xml:space="preserve">  </w:t>
      </w:r>
    </w:p>
    <w:p>
      <w:pPr>
        <w:spacing w:line="288" w:lineRule="auto"/>
        <w:ind w:firstLine="567"/>
        <w:rPr>
          <w:sz w:val="36"/>
          <w:szCs w:val="36"/>
        </w:rPr>
      </w:pPr>
      <w:r>
        <w:rPr>
          <w:rFonts w:hint="eastAsia"/>
          <w:sz w:val="36"/>
          <w:szCs w:val="36"/>
        </w:rPr>
        <w:t>编制日期：</w:t>
      </w:r>
      <w:r>
        <w:rPr>
          <w:sz w:val="36"/>
          <w:szCs w:val="36"/>
          <w:u w:val="single"/>
        </w:rPr>
        <w:t xml:space="preserve">      </w:t>
      </w:r>
      <w:r>
        <w:rPr>
          <w:rFonts w:hint="eastAsia"/>
          <w:sz w:val="36"/>
          <w:szCs w:val="36"/>
          <w:u w:val="single"/>
          <w:lang w:val="en-US" w:eastAsia="zh-CN"/>
        </w:rPr>
        <w:t xml:space="preserve"> </w:t>
      </w:r>
      <w:r>
        <w:rPr>
          <w:sz w:val="36"/>
          <w:szCs w:val="36"/>
          <w:u w:val="single"/>
        </w:rPr>
        <w:t xml:space="preserve">   2023</w:t>
      </w:r>
      <w:r>
        <w:rPr>
          <w:rFonts w:hint="eastAsia"/>
          <w:sz w:val="36"/>
          <w:szCs w:val="36"/>
          <w:u w:val="single"/>
        </w:rPr>
        <w:t>年</w:t>
      </w:r>
      <w:r>
        <w:rPr>
          <w:sz w:val="36"/>
          <w:szCs w:val="36"/>
          <w:u w:val="single"/>
        </w:rPr>
        <w:t>7</w:t>
      </w:r>
      <w:r>
        <w:rPr>
          <w:rFonts w:hint="eastAsia"/>
          <w:sz w:val="36"/>
          <w:szCs w:val="36"/>
          <w:u w:val="single"/>
        </w:rPr>
        <w:t>月</w:t>
      </w:r>
      <w:r>
        <w:rPr>
          <w:sz w:val="36"/>
          <w:szCs w:val="36"/>
          <w:u w:val="single"/>
        </w:rPr>
        <w:t xml:space="preserve">            </w:t>
      </w:r>
    </w:p>
    <w:p>
      <w:pPr>
        <w:spacing w:line="288" w:lineRule="auto"/>
        <w:ind w:firstLine="1040"/>
        <w:rPr>
          <w:rFonts w:eastAsia="仿宋_GB2312"/>
          <w:sz w:val="36"/>
          <w:szCs w:val="36"/>
          <w:u w:val="single"/>
        </w:rPr>
      </w:pPr>
      <w:bookmarkStart w:id="0" w:name="_Hlk57884087"/>
    </w:p>
    <w:p>
      <w:pPr>
        <w:spacing w:line="288" w:lineRule="auto"/>
        <w:ind w:firstLine="1040"/>
        <w:rPr>
          <w:rFonts w:eastAsia="仿宋_GB2312"/>
          <w:sz w:val="36"/>
          <w:szCs w:val="36"/>
        </w:rPr>
      </w:pPr>
    </w:p>
    <w:p>
      <w:pPr>
        <w:spacing w:line="288" w:lineRule="auto"/>
        <w:ind w:firstLine="1040"/>
        <w:rPr>
          <w:rFonts w:eastAsia="仿宋_GB2312"/>
          <w:sz w:val="36"/>
          <w:szCs w:val="36"/>
        </w:rPr>
      </w:pPr>
    </w:p>
    <w:p>
      <w:pPr>
        <w:spacing w:line="288" w:lineRule="auto"/>
        <w:ind w:firstLine="1040"/>
        <w:rPr>
          <w:rFonts w:eastAsia="仿宋_GB2312"/>
          <w:sz w:val="36"/>
          <w:szCs w:val="36"/>
        </w:rPr>
      </w:pPr>
    </w:p>
    <w:bookmarkEnd w:id="0"/>
    <w:p>
      <w:pPr>
        <w:spacing w:line="288" w:lineRule="auto"/>
        <w:jc w:val="center"/>
        <w:rPr>
          <w:rFonts w:eastAsia="黑体"/>
          <w:bCs/>
          <w:sz w:val="40"/>
          <w:szCs w:val="48"/>
        </w:rPr>
      </w:pPr>
      <w:r>
        <w:rPr>
          <w:rFonts w:hint="eastAsia" w:eastAsia="黑体"/>
          <w:bCs/>
          <w:sz w:val="40"/>
          <w:szCs w:val="48"/>
        </w:rPr>
        <w:t>中华人民共和国生态环境部制</w:t>
      </w:r>
    </w:p>
    <w:p>
      <w:pPr>
        <w:spacing w:line="288" w:lineRule="auto"/>
        <w:ind w:firstLine="1040"/>
        <w:rPr>
          <w:rFonts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65"/>
        <w:numPr>
          <w:ilvl w:val="0"/>
          <w:numId w:val="2"/>
        </w:numPr>
        <w:adjustRightInd/>
        <w:snapToGrid/>
      </w:pPr>
      <w:r>
        <w:rPr>
          <w:rFonts w:hint="eastAsia"/>
        </w:rPr>
        <w:t>建设项目基本情况</w:t>
      </w:r>
    </w:p>
    <w:tbl>
      <w:tblPr>
        <w:tblStyle w:val="2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81"/>
        <w:gridCol w:w="2238"/>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1" w:type="dxa"/>
            <w:tcBorders>
              <w:top w:val="single" w:color="auto" w:sz="8" w:space="0"/>
            </w:tcBorders>
            <w:tcMar>
              <w:top w:w="16" w:type="dxa"/>
              <w:left w:w="16" w:type="dxa"/>
              <w:right w:w="16" w:type="dxa"/>
            </w:tcMar>
            <w:vAlign w:val="center"/>
          </w:tcPr>
          <w:p>
            <w:pPr>
              <w:jc w:val="center"/>
              <w:rPr>
                <w:color w:val="auto"/>
                <w:sz w:val="24"/>
              </w:rPr>
            </w:pPr>
            <w:r>
              <w:rPr>
                <w:rFonts w:hint="eastAsia"/>
                <w:color w:val="auto"/>
                <w:sz w:val="24"/>
              </w:rPr>
              <w:t>建设项目名称</w:t>
            </w:r>
          </w:p>
        </w:tc>
        <w:tc>
          <w:tcPr>
            <w:tcW w:w="7089" w:type="dxa"/>
            <w:gridSpan w:val="3"/>
            <w:tcBorders>
              <w:top w:val="single" w:color="auto" w:sz="8" w:space="0"/>
            </w:tcBorders>
            <w:vAlign w:val="center"/>
          </w:tcPr>
          <w:p>
            <w:pPr>
              <w:jc w:val="center"/>
              <w:rPr>
                <w:color w:val="auto"/>
                <w:sz w:val="24"/>
              </w:rPr>
            </w:pPr>
            <w:r>
              <w:rPr>
                <w:rFonts w:hint="eastAsia"/>
                <w:color w:val="auto"/>
                <w:sz w:val="24"/>
              </w:rPr>
              <w:t>轻质建筑材料生产线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项目代码</w:t>
            </w:r>
          </w:p>
        </w:tc>
        <w:tc>
          <w:tcPr>
            <w:tcW w:w="7089" w:type="dxa"/>
            <w:gridSpan w:val="3"/>
            <w:vAlign w:val="center"/>
          </w:tcPr>
          <w:p>
            <w:pPr>
              <w:jc w:val="center"/>
              <w:rPr>
                <w:color w:val="auto"/>
                <w:sz w:val="24"/>
              </w:rPr>
            </w:pPr>
            <w:r>
              <w:rPr>
                <w:color w:val="auto"/>
                <w:sz w:val="24"/>
              </w:rPr>
              <w:t>2206-350481-04-01-845983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建设单位联系人</w:t>
            </w:r>
          </w:p>
        </w:tc>
        <w:tc>
          <w:tcPr>
            <w:tcW w:w="2238" w:type="dxa"/>
            <w:vAlign w:val="center"/>
          </w:tcPr>
          <w:p>
            <w:pPr>
              <w:jc w:val="center"/>
              <w:rPr>
                <w:color w:val="auto"/>
                <w:sz w:val="24"/>
              </w:rPr>
            </w:pPr>
          </w:p>
        </w:tc>
        <w:tc>
          <w:tcPr>
            <w:tcW w:w="2212" w:type="dxa"/>
            <w:vAlign w:val="center"/>
          </w:tcPr>
          <w:p>
            <w:pPr>
              <w:jc w:val="center"/>
              <w:rPr>
                <w:color w:val="auto"/>
                <w:sz w:val="24"/>
              </w:rPr>
            </w:pPr>
            <w:r>
              <w:rPr>
                <w:rFonts w:hint="eastAsia"/>
                <w:color w:val="auto"/>
                <w:sz w:val="24"/>
              </w:rPr>
              <w:t>联系方式</w:t>
            </w:r>
          </w:p>
        </w:tc>
        <w:tc>
          <w:tcPr>
            <w:tcW w:w="2639" w:type="dxa"/>
            <w:vAlign w:val="center"/>
          </w:tcPr>
          <w:p>
            <w:pPr>
              <w:jc w:val="center"/>
              <w:rPr>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建设地点</w:t>
            </w:r>
          </w:p>
        </w:tc>
        <w:tc>
          <w:tcPr>
            <w:tcW w:w="7089" w:type="dxa"/>
            <w:gridSpan w:val="3"/>
            <w:vAlign w:val="center"/>
          </w:tcPr>
          <w:p>
            <w:pPr>
              <w:jc w:val="center"/>
              <w:rPr>
                <w:color w:val="auto"/>
                <w:sz w:val="24"/>
              </w:rPr>
            </w:pPr>
            <w:r>
              <w:rPr>
                <w:rFonts w:hint="eastAsia"/>
                <w:color w:val="auto"/>
                <w:sz w:val="24"/>
                <w:u w:val="single"/>
              </w:rPr>
              <w:t>福建</w:t>
            </w:r>
            <w:r>
              <w:rPr>
                <w:rFonts w:hint="eastAsia"/>
                <w:color w:val="auto"/>
                <w:sz w:val="24"/>
              </w:rPr>
              <w:t>省</w:t>
            </w:r>
            <w:r>
              <w:rPr>
                <w:rFonts w:hint="eastAsia"/>
                <w:color w:val="auto"/>
                <w:sz w:val="24"/>
                <w:u w:val="single"/>
              </w:rPr>
              <w:t>三明</w:t>
            </w:r>
            <w:r>
              <w:rPr>
                <w:rFonts w:hint="eastAsia"/>
                <w:color w:val="auto"/>
                <w:sz w:val="24"/>
              </w:rPr>
              <w:t>市</w:t>
            </w:r>
            <w:r>
              <w:rPr>
                <w:rFonts w:hint="eastAsia"/>
                <w:color w:val="auto"/>
                <w:sz w:val="24"/>
                <w:u w:val="single"/>
              </w:rPr>
              <w:t>永安</w:t>
            </w:r>
            <w:r>
              <w:rPr>
                <w:rFonts w:hint="eastAsia"/>
                <w:color w:val="auto"/>
                <w:sz w:val="24"/>
              </w:rPr>
              <w:t>市</w:t>
            </w:r>
            <w:r>
              <w:rPr>
                <w:rFonts w:hint="eastAsia"/>
                <w:color w:val="auto"/>
                <w:sz w:val="24"/>
                <w:u w:val="single"/>
              </w:rPr>
              <w:t>曹远镇坑边路（北部工业新城鑫华港饲料东侧）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1" w:type="dxa"/>
            <w:tcMar>
              <w:top w:w="16" w:type="dxa"/>
              <w:left w:w="16" w:type="dxa"/>
              <w:right w:w="16" w:type="dxa"/>
            </w:tcMar>
            <w:vAlign w:val="center"/>
          </w:tcPr>
          <w:p>
            <w:pPr>
              <w:pStyle w:val="122"/>
              <w:adjustRightInd/>
              <w:snapToGrid/>
              <w:rPr>
                <w:color w:val="auto"/>
                <w:sz w:val="24"/>
              </w:rPr>
            </w:pPr>
            <w:r>
              <w:rPr>
                <w:rFonts w:hint="eastAsia"/>
                <w:color w:val="auto"/>
                <w:sz w:val="24"/>
              </w:rPr>
              <w:t>地理坐标</w:t>
            </w:r>
          </w:p>
        </w:tc>
        <w:tc>
          <w:tcPr>
            <w:tcW w:w="7089" w:type="dxa"/>
            <w:gridSpan w:val="3"/>
            <w:vAlign w:val="center"/>
          </w:tcPr>
          <w:p>
            <w:pPr>
              <w:pStyle w:val="122"/>
              <w:adjustRightInd/>
              <w:snapToGrid/>
              <w:rPr>
                <w:color w:val="auto"/>
                <w:sz w:val="24"/>
              </w:rPr>
            </w:pPr>
            <w:r>
              <w:rPr>
                <w:rFonts w:hint="eastAsia"/>
                <w:color w:val="auto"/>
                <w:sz w:val="24"/>
              </w:rPr>
              <w:t>（</w:t>
            </w:r>
            <w:r>
              <w:rPr>
                <w:color w:val="auto"/>
                <w:sz w:val="24"/>
                <w:u w:val="single"/>
              </w:rPr>
              <w:t xml:space="preserve"> 117 </w:t>
            </w:r>
            <w:r>
              <w:rPr>
                <w:rFonts w:hint="eastAsia"/>
                <w:color w:val="auto"/>
                <w:sz w:val="24"/>
              </w:rPr>
              <w:t>度</w:t>
            </w:r>
            <w:r>
              <w:rPr>
                <w:color w:val="auto"/>
                <w:sz w:val="24"/>
                <w:u w:val="single"/>
              </w:rPr>
              <w:t xml:space="preserve">  20  </w:t>
            </w:r>
            <w:r>
              <w:rPr>
                <w:rFonts w:hint="eastAsia"/>
                <w:color w:val="auto"/>
                <w:sz w:val="24"/>
              </w:rPr>
              <w:t>分</w:t>
            </w:r>
            <w:r>
              <w:rPr>
                <w:color w:val="auto"/>
                <w:sz w:val="24"/>
                <w:u w:val="single"/>
              </w:rPr>
              <w:t xml:space="preserve"> 48.770</w:t>
            </w:r>
            <w:r>
              <w:rPr>
                <w:rFonts w:hint="eastAsia"/>
                <w:color w:val="auto"/>
                <w:sz w:val="24"/>
              </w:rPr>
              <w:t>秒，</w:t>
            </w:r>
            <w:r>
              <w:rPr>
                <w:color w:val="auto"/>
                <w:sz w:val="24"/>
                <w:u w:val="single"/>
              </w:rPr>
              <w:t xml:space="preserve">26 </w:t>
            </w:r>
            <w:r>
              <w:rPr>
                <w:rFonts w:hint="eastAsia"/>
                <w:color w:val="auto"/>
                <w:sz w:val="24"/>
              </w:rPr>
              <w:t>度</w:t>
            </w:r>
            <w:r>
              <w:rPr>
                <w:color w:val="auto"/>
                <w:sz w:val="24"/>
                <w:u w:val="single"/>
              </w:rPr>
              <w:t xml:space="preserve"> 0 </w:t>
            </w:r>
            <w:r>
              <w:rPr>
                <w:rFonts w:hint="eastAsia"/>
                <w:color w:val="auto"/>
                <w:sz w:val="24"/>
              </w:rPr>
              <w:t>分</w:t>
            </w:r>
            <w:r>
              <w:rPr>
                <w:color w:val="auto"/>
                <w:sz w:val="24"/>
                <w:u w:val="single"/>
              </w:rPr>
              <w:t>33.960</w:t>
            </w:r>
            <w:r>
              <w:rPr>
                <w:rFonts w:hint="eastAsia"/>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国民经济</w:t>
            </w:r>
          </w:p>
          <w:p>
            <w:pPr>
              <w:jc w:val="center"/>
              <w:rPr>
                <w:color w:val="auto"/>
                <w:sz w:val="24"/>
              </w:rPr>
            </w:pPr>
            <w:r>
              <w:rPr>
                <w:rFonts w:hint="eastAsia"/>
                <w:color w:val="auto"/>
                <w:sz w:val="24"/>
              </w:rPr>
              <w:t>行业类别</w:t>
            </w:r>
          </w:p>
        </w:tc>
        <w:tc>
          <w:tcPr>
            <w:tcW w:w="2238" w:type="dxa"/>
            <w:vAlign w:val="center"/>
          </w:tcPr>
          <w:p>
            <w:pPr>
              <w:rPr>
                <w:color w:val="auto"/>
                <w:sz w:val="24"/>
              </w:rPr>
            </w:pPr>
            <w:r>
              <w:rPr>
                <w:color w:val="auto"/>
                <w:sz w:val="24"/>
              </w:rPr>
              <w:t>C3024</w:t>
            </w:r>
            <w:r>
              <w:rPr>
                <w:rFonts w:hint="eastAsia"/>
                <w:color w:val="auto"/>
                <w:sz w:val="24"/>
              </w:rPr>
              <w:t>轻质建筑材料制造</w:t>
            </w:r>
          </w:p>
        </w:tc>
        <w:tc>
          <w:tcPr>
            <w:tcW w:w="2212" w:type="dxa"/>
            <w:vAlign w:val="center"/>
          </w:tcPr>
          <w:p>
            <w:pPr>
              <w:jc w:val="center"/>
              <w:rPr>
                <w:color w:val="auto"/>
                <w:sz w:val="24"/>
              </w:rPr>
            </w:pPr>
            <w:bookmarkStart w:id="1" w:name="_Hlk49843745"/>
            <w:r>
              <w:rPr>
                <w:rFonts w:hint="eastAsia"/>
                <w:color w:val="auto"/>
                <w:sz w:val="24"/>
              </w:rPr>
              <w:t>建设项目</w:t>
            </w:r>
          </w:p>
          <w:p>
            <w:pPr>
              <w:jc w:val="center"/>
              <w:rPr>
                <w:color w:val="auto"/>
                <w:sz w:val="24"/>
              </w:rPr>
            </w:pPr>
            <w:r>
              <w:rPr>
                <w:rFonts w:hint="eastAsia"/>
                <w:color w:val="auto"/>
                <w:sz w:val="24"/>
              </w:rPr>
              <w:t>行业类别</w:t>
            </w:r>
            <w:bookmarkEnd w:id="1"/>
          </w:p>
        </w:tc>
        <w:tc>
          <w:tcPr>
            <w:tcW w:w="2639" w:type="dxa"/>
            <w:vAlign w:val="center"/>
          </w:tcPr>
          <w:p>
            <w:pPr>
              <w:rPr>
                <w:color w:val="auto"/>
                <w:sz w:val="24"/>
              </w:rPr>
            </w:pPr>
            <w:r>
              <w:rPr>
                <w:rFonts w:hint="eastAsia"/>
                <w:color w:val="auto"/>
                <w:sz w:val="24"/>
              </w:rPr>
              <w:t>二十七、非金属矿物制品业</w:t>
            </w:r>
            <w:r>
              <w:rPr>
                <w:color w:val="auto"/>
                <w:sz w:val="24"/>
              </w:rPr>
              <w:t>30</w:t>
            </w:r>
            <w:r>
              <w:rPr>
                <w:rFonts w:hint="eastAsia"/>
                <w:color w:val="auto"/>
                <w:sz w:val="24"/>
              </w:rPr>
              <w:t>，</w:t>
            </w:r>
            <w:r>
              <w:rPr>
                <w:color w:val="auto"/>
                <w:sz w:val="24"/>
              </w:rPr>
              <w:t>55</w:t>
            </w:r>
            <w:r>
              <w:rPr>
                <w:rFonts w:hint="eastAsia"/>
                <w:color w:val="auto"/>
                <w:sz w:val="24"/>
              </w:rPr>
              <w:t>、石膏、水泥制品及类似制品制造</w:t>
            </w:r>
            <w:r>
              <w:rPr>
                <w:color w:val="auto"/>
                <w:sz w:val="24"/>
              </w:rPr>
              <w:t>302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27"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建设性质</w:t>
            </w:r>
          </w:p>
        </w:tc>
        <w:tc>
          <w:tcPr>
            <w:tcW w:w="2238" w:type="dxa"/>
            <w:vAlign w:val="center"/>
          </w:tcPr>
          <w:p>
            <w:pPr>
              <w:jc w:val="left"/>
              <w:rPr>
                <w:color w:val="auto"/>
                <w:sz w:val="24"/>
              </w:rPr>
            </w:pPr>
            <w:r>
              <w:rPr>
                <w:color w:val="auto"/>
                <w:sz w:val="24"/>
              </w:rPr>
              <w:sym w:font="Wingdings 2" w:char="F052"/>
            </w:r>
            <w:r>
              <w:rPr>
                <w:rFonts w:hint="eastAsia"/>
                <w:color w:val="auto"/>
                <w:sz w:val="24"/>
              </w:rPr>
              <w:t>新建（迁建）</w:t>
            </w:r>
          </w:p>
          <w:p>
            <w:pPr>
              <w:jc w:val="left"/>
              <w:rPr>
                <w:color w:val="auto"/>
                <w:sz w:val="24"/>
              </w:rPr>
            </w:pPr>
            <w:r>
              <w:rPr>
                <w:color w:val="auto"/>
                <w:sz w:val="24"/>
              </w:rPr>
              <w:sym w:font="Wingdings 2" w:char="F0A3"/>
            </w:r>
            <w:r>
              <w:rPr>
                <w:rFonts w:hint="eastAsia"/>
                <w:color w:val="auto"/>
                <w:sz w:val="24"/>
              </w:rPr>
              <w:t>改建</w:t>
            </w:r>
          </w:p>
          <w:p>
            <w:pPr>
              <w:jc w:val="left"/>
              <w:rPr>
                <w:color w:val="auto"/>
                <w:sz w:val="24"/>
              </w:rPr>
            </w:pPr>
            <w:r>
              <w:rPr>
                <w:color w:val="auto"/>
                <w:sz w:val="24"/>
              </w:rPr>
              <w:sym w:font="Wingdings 2" w:char="F0A3"/>
            </w:r>
            <w:r>
              <w:rPr>
                <w:rFonts w:hint="eastAsia"/>
                <w:color w:val="auto"/>
                <w:sz w:val="24"/>
              </w:rPr>
              <w:t>扩建</w:t>
            </w:r>
          </w:p>
          <w:p>
            <w:pPr>
              <w:jc w:val="left"/>
              <w:rPr>
                <w:color w:val="auto"/>
                <w:sz w:val="24"/>
              </w:rPr>
            </w:pPr>
            <w:r>
              <w:rPr>
                <w:color w:val="auto"/>
                <w:sz w:val="24"/>
              </w:rPr>
              <w:sym w:font="Wingdings 2" w:char="F0A3"/>
            </w:r>
            <w:r>
              <w:rPr>
                <w:rFonts w:hint="eastAsia"/>
                <w:color w:val="auto"/>
                <w:sz w:val="24"/>
              </w:rPr>
              <w:t>技术改造</w:t>
            </w:r>
          </w:p>
        </w:tc>
        <w:tc>
          <w:tcPr>
            <w:tcW w:w="2212" w:type="dxa"/>
            <w:vAlign w:val="center"/>
          </w:tcPr>
          <w:p>
            <w:pPr>
              <w:jc w:val="center"/>
              <w:rPr>
                <w:color w:val="auto"/>
                <w:sz w:val="24"/>
              </w:rPr>
            </w:pPr>
            <w:r>
              <w:rPr>
                <w:rFonts w:hint="eastAsia"/>
                <w:color w:val="auto"/>
                <w:sz w:val="24"/>
              </w:rPr>
              <w:t>建设项目</w:t>
            </w:r>
          </w:p>
          <w:p>
            <w:pPr>
              <w:jc w:val="center"/>
              <w:rPr>
                <w:color w:val="auto"/>
                <w:sz w:val="24"/>
              </w:rPr>
            </w:pPr>
            <w:r>
              <w:rPr>
                <w:rFonts w:hint="eastAsia"/>
                <w:color w:val="auto"/>
                <w:sz w:val="24"/>
              </w:rPr>
              <w:t>申报情形</w:t>
            </w:r>
          </w:p>
        </w:tc>
        <w:tc>
          <w:tcPr>
            <w:tcW w:w="2639" w:type="dxa"/>
            <w:vAlign w:val="center"/>
          </w:tcPr>
          <w:p>
            <w:pPr>
              <w:jc w:val="left"/>
              <w:rPr>
                <w:color w:val="auto"/>
                <w:sz w:val="24"/>
              </w:rPr>
            </w:pPr>
            <w:r>
              <w:rPr>
                <w:color w:val="auto"/>
                <w:sz w:val="24"/>
              </w:rPr>
              <w:sym w:font="Wingdings 2" w:char="F052"/>
            </w:r>
            <w:r>
              <w:rPr>
                <w:rFonts w:hint="eastAsia"/>
                <w:color w:val="auto"/>
                <w:sz w:val="24"/>
              </w:rPr>
              <w:t>首次申报项目</w:t>
            </w:r>
            <w:r>
              <w:rPr>
                <w:color w:val="auto"/>
                <w:sz w:val="24"/>
              </w:rPr>
              <w:t xml:space="preserve">             </w:t>
            </w:r>
          </w:p>
          <w:p>
            <w:pPr>
              <w:jc w:val="left"/>
              <w:rPr>
                <w:color w:val="auto"/>
                <w:sz w:val="24"/>
              </w:rPr>
            </w:pPr>
            <w:r>
              <w:rPr>
                <w:color w:val="auto"/>
                <w:sz w:val="24"/>
              </w:rPr>
              <w:sym w:font="Wingdings 2" w:char="F0A3"/>
            </w:r>
            <w:r>
              <w:rPr>
                <w:rFonts w:hint="eastAsia"/>
                <w:color w:val="auto"/>
                <w:sz w:val="24"/>
              </w:rPr>
              <w:t>不予批准后再次申报项目</w:t>
            </w:r>
          </w:p>
          <w:p>
            <w:pPr>
              <w:jc w:val="left"/>
              <w:rPr>
                <w:color w:val="auto"/>
                <w:sz w:val="24"/>
              </w:rPr>
            </w:pPr>
            <w:r>
              <w:rPr>
                <w:color w:val="auto"/>
                <w:sz w:val="24"/>
              </w:rPr>
              <w:sym w:font="Wingdings 2" w:char="F0A3"/>
            </w:r>
            <w:r>
              <w:rPr>
                <w:rFonts w:hint="eastAsia"/>
                <w:color w:val="auto"/>
                <w:sz w:val="24"/>
              </w:rPr>
              <w:t>超五年重新审核项目</w:t>
            </w:r>
            <w:r>
              <w:rPr>
                <w:color w:val="auto"/>
                <w:sz w:val="24"/>
              </w:rPr>
              <w:t xml:space="preserve">     </w:t>
            </w:r>
          </w:p>
          <w:p>
            <w:pPr>
              <w:jc w:val="left"/>
              <w:rPr>
                <w:color w:val="auto"/>
                <w:sz w:val="24"/>
              </w:rPr>
            </w:pPr>
            <w:r>
              <w:rPr>
                <w:color w:val="auto"/>
                <w:sz w:val="24"/>
              </w:rPr>
              <w:sym w:font="Wingdings 2" w:char="F0A3"/>
            </w:r>
            <w:r>
              <w:rPr>
                <w:rFonts w:hint="eastAsia"/>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项目审批（核准</w:t>
            </w:r>
            <w:r>
              <w:rPr>
                <w:color w:val="auto"/>
                <w:sz w:val="24"/>
              </w:rPr>
              <w:t>/</w:t>
            </w:r>
          </w:p>
          <w:p>
            <w:pPr>
              <w:jc w:val="center"/>
              <w:rPr>
                <w:color w:val="auto"/>
                <w:sz w:val="24"/>
              </w:rPr>
            </w:pPr>
            <w:r>
              <w:rPr>
                <w:rFonts w:hint="eastAsia"/>
                <w:color w:val="auto"/>
                <w:sz w:val="24"/>
              </w:rPr>
              <w:t>备案）部门（选填）</w:t>
            </w:r>
          </w:p>
        </w:tc>
        <w:tc>
          <w:tcPr>
            <w:tcW w:w="2238" w:type="dxa"/>
            <w:vAlign w:val="center"/>
          </w:tcPr>
          <w:p>
            <w:pPr>
              <w:jc w:val="center"/>
              <w:rPr>
                <w:color w:val="auto"/>
                <w:sz w:val="24"/>
              </w:rPr>
            </w:pPr>
            <w:r>
              <w:rPr>
                <w:rFonts w:hint="eastAsia"/>
                <w:color w:val="auto"/>
                <w:sz w:val="24"/>
              </w:rPr>
              <w:t>永安市发展和改革局</w:t>
            </w:r>
          </w:p>
        </w:tc>
        <w:tc>
          <w:tcPr>
            <w:tcW w:w="2212" w:type="dxa"/>
            <w:vAlign w:val="center"/>
          </w:tcPr>
          <w:p>
            <w:pPr>
              <w:jc w:val="center"/>
              <w:rPr>
                <w:color w:val="auto"/>
                <w:sz w:val="24"/>
              </w:rPr>
            </w:pPr>
            <w:r>
              <w:rPr>
                <w:rFonts w:hint="eastAsia"/>
                <w:color w:val="auto"/>
                <w:sz w:val="24"/>
              </w:rPr>
              <w:t>项目审批（核准</w:t>
            </w:r>
            <w:r>
              <w:rPr>
                <w:color w:val="auto"/>
                <w:sz w:val="24"/>
              </w:rPr>
              <w:t>/</w:t>
            </w:r>
          </w:p>
          <w:p>
            <w:pPr>
              <w:jc w:val="center"/>
              <w:rPr>
                <w:color w:val="auto"/>
                <w:sz w:val="24"/>
              </w:rPr>
            </w:pPr>
            <w:r>
              <w:rPr>
                <w:rFonts w:hint="eastAsia"/>
                <w:color w:val="auto"/>
                <w:sz w:val="24"/>
              </w:rPr>
              <w:t>备案）文号（选填）</w:t>
            </w:r>
          </w:p>
        </w:tc>
        <w:tc>
          <w:tcPr>
            <w:tcW w:w="2639" w:type="dxa"/>
            <w:vAlign w:val="center"/>
          </w:tcPr>
          <w:p>
            <w:pPr>
              <w:jc w:val="center"/>
              <w:rPr>
                <w:color w:val="auto"/>
                <w:sz w:val="24"/>
              </w:rPr>
            </w:pPr>
            <w:r>
              <w:rPr>
                <w:rFonts w:hint="eastAsia"/>
                <w:color w:val="auto"/>
                <w:sz w:val="24"/>
              </w:rPr>
              <w:t>闽发改备</w:t>
            </w:r>
            <w:r>
              <w:rPr>
                <w:color w:val="auto"/>
                <w:sz w:val="24"/>
              </w:rPr>
              <w:t>[2022]G030166</w:t>
            </w:r>
            <w:r>
              <w:rPr>
                <w:rFonts w:hint="eastAsia"/>
                <w:color w:val="auto"/>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1"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总投资（万元）</w:t>
            </w:r>
          </w:p>
        </w:tc>
        <w:tc>
          <w:tcPr>
            <w:tcW w:w="2238" w:type="dxa"/>
            <w:vAlign w:val="center"/>
          </w:tcPr>
          <w:p>
            <w:pPr>
              <w:jc w:val="center"/>
              <w:rPr>
                <w:color w:val="auto"/>
                <w:sz w:val="24"/>
              </w:rPr>
            </w:pPr>
            <w:r>
              <w:rPr>
                <w:color w:val="auto"/>
                <w:sz w:val="24"/>
              </w:rPr>
              <w:t>13000</w:t>
            </w:r>
          </w:p>
        </w:tc>
        <w:tc>
          <w:tcPr>
            <w:tcW w:w="2212" w:type="dxa"/>
            <w:tcMar>
              <w:top w:w="16" w:type="dxa"/>
              <w:left w:w="16" w:type="dxa"/>
              <w:right w:w="16" w:type="dxa"/>
            </w:tcMar>
            <w:vAlign w:val="center"/>
          </w:tcPr>
          <w:p>
            <w:pPr>
              <w:jc w:val="center"/>
              <w:rPr>
                <w:color w:val="auto"/>
                <w:sz w:val="24"/>
              </w:rPr>
            </w:pPr>
            <w:r>
              <w:rPr>
                <w:rFonts w:hint="eastAsia"/>
                <w:color w:val="auto"/>
                <w:sz w:val="24"/>
              </w:rPr>
              <w:t>环保投资（万元）</w:t>
            </w:r>
          </w:p>
        </w:tc>
        <w:tc>
          <w:tcPr>
            <w:tcW w:w="2639" w:type="dxa"/>
            <w:vAlign w:val="center"/>
          </w:tcPr>
          <w:p>
            <w:pPr>
              <w:jc w:val="center"/>
              <w:rPr>
                <w:color w:val="auto"/>
                <w:sz w:val="24"/>
              </w:rPr>
            </w:pPr>
            <w:r>
              <w:rPr>
                <w:color w:val="auto"/>
                <w:sz w:val="24"/>
              </w:rPr>
              <w:t>130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2"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环保投资占比（</w:t>
            </w:r>
            <w:r>
              <w:rPr>
                <w:color w:val="auto"/>
                <w:sz w:val="24"/>
              </w:rPr>
              <w:t>%</w:t>
            </w:r>
            <w:r>
              <w:rPr>
                <w:rFonts w:hint="eastAsia"/>
                <w:color w:val="auto"/>
                <w:sz w:val="24"/>
              </w:rPr>
              <w:t>）</w:t>
            </w:r>
          </w:p>
        </w:tc>
        <w:tc>
          <w:tcPr>
            <w:tcW w:w="2238" w:type="dxa"/>
            <w:vAlign w:val="center"/>
          </w:tcPr>
          <w:p>
            <w:pPr>
              <w:jc w:val="center"/>
              <w:rPr>
                <w:color w:val="auto"/>
                <w:sz w:val="24"/>
              </w:rPr>
            </w:pPr>
            <w:r>
              <w:rPr>
                <w:color w:val="auto"/>
                <w:sz w:val="24"/>
              </w:rPr>
              <w:t>1.0</w:t>
            </w:r>
          </w:p>
        </w:tc>
        <w:tc>
          <w:tcPr>
            <w:tcW w:w="2212" w:type="dxa"/>
            <w:tcMar>
              <w:top w:w="16" w:type="dxa"/>
              <w:left w:w="16" w:type="dxa"/>
              <w:right w:w="16" w:type="dxa"/>
            </w:tcMar>
            <w:vAlign w:val="center"/>
          </w:tcPr>
          <w:p>
            <w:pPr>
              <w:jc w:val="center"/>
              <w:rPr>
                <w:color w:val="auto"/>
                <w:sz w:val="24"/>
              </w:rPr>
            </w:pPr>
            <w:r>
              <w:rPr>
                <w:rFonts w:hint="eastAsia"/>
                <w:color w:val="auto"/>
                <w:sz w:val="24"/>
              </w:rPr>
              <w:t>施工工期</w:t>
            </w:r>
          </w:p>
        </w:tc>
        <w:tc>
          <w:tcPr>
            <w:tcW w:w="2639" w:type="dxa"/>
            <w:vAlign w:val="center"/>
          </w:tcPr>
          <w:p>
            <w:pPr>
              <w:jc w:val="center"/>
              <w:rPr>
                <w:color w:val="auto"/>
                <w:sz w:val="24"/>
              </w:rPr>
            </w:pPr>
            <w:r>
              <w:rPr>
                <w:color w:val="auto"/>
                <w:sz w:val="24"/>
              </w:rPr>
              <w:t>12</w:t>
            </w:r>
            <w:r>
              <w:rPr>
                <w:rFonts w:hint="eastAsia"/>
                <w:color w:val="auto"/>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82" w:hRule="atLeast"/>
          <w:jc w:val="center"/>
        </w:trPr>
        <w:tc>
          <w:tcPr>
            <w:tcW w:w="1781" w:type="dxa"/>
            <w:tcMar>
              <w:top w:w="16" w:type="dxa"/>
              <w:left w:w="16" w:type="dxa"/>
              <w:right w:w="16" w:type="dxa"/>
            </w:tcMar>
            <w:vAlign w:val="center"/>
          </w:tcPr>
          <w:p>
            <w:pPr>
              <w:jc w:val="center"/>
              <w:rPr>
                <w:color w:val="auto"/>
                <w:sz w:val="24"/>
              </w:rPr>
            </w:pPr>
            <w:r>
              <w:rPr>
                <w:rFonts w:hint="eastAsia"/>
                <w:color w:val="auto"/>
                <w:sz w:val="24"/>
              </w:rPr>
              <w:t>是否开工建设</w:t>
            </w:r>
          </w:p>
        </w:tc>
        <w:tc>
          <w:tcPr>
            <w:tcW w:w="2238" w:type="dxa"/>
            <w:vAlign w:val="center"/>
          </w:tcPr>
          <w:p>
            <w:pPr>
              <w:rPr>
                <w:color w:val="auto"/>
                <w:sz w:val="24"/>
              </w:rPr>
            </w:pPr>
            <w:r>
              <w:rPr>
                <w:color w:val="auto"/>
                <w:sz w:val="24"/>
              </w:rPr>
              <w:sym w:font="Wingdings 2" w:char="F052"/>
            </w:r>
            <w:r>
              <w:rPr>
                <w:rFonts w:hint="eastAsia"/>
                <w:color w:val="auto"/>
                <w:sz w:val="24"/>
              </w:rPr>
              <w:t>否</w:t>
            </w:r>
          </w:p>
          <w:p>
            <w:pPr>
              <w:rPr>
                <w:color w:val="auto"/>
                <w:sz w:val="24"/>
              </w:rPr>
            </w:pPr>
            <w:r>
              <w:rPr>
                <w:color w:val="auto"/>
                <w:sz w:val="24"/>
              </w:rPr>
              <w:sym w:font="Wingdings 2" w:char="F0A3"/>
            </w:r>
            <w:r>
              <w:rPr>
                <w:rFonts w:hint="eastAsia"/>
                <w:color w:val="auto"/>
                <w:sz w:val="24"/>
              </w:rPr>
              <w:t>是：</w:t>
            </w:r>
          </w:p>
        </w:tc>
        <w:tc>
          <w:tcPr>
            <w:tcW w:w="2212" w:type="dxa"/>
            <w:tcMar>
              <w:top w:w="16" w:type="dxa"/>
              <w:left w:w="16" w:type="dxa"/>
              <w:right w:w="16" w:type="dxa"/>
            </w:tcMar>
            <w:vAlign w:val="center"/>
          </w:tcPr>
          <w:p>
            <w:pPr>
              <w:jc w:val="center"/>
              <w:rPr>
                <w:color w:val="auto"/>
                <w:spacing w:val="-6"/>
                <w:sz w:val="24"/>
              </w:rPr>
            </w:pPr>
            <w:r>
              <w:rPr>
                <w:rFonts w:hint="eastAsia"/>
                <w:color w:val="auto"/>
                <w:spacing w:val="-6"/>
                <w:sz w:val="24"/>
              </w:rPr>
              <w:t>用地（用海）</w:t>
            </w:r>
          </w:p>
          <w:p>
            <w:pPr>
              <w:jc w:val="center"/>
              <w:rPr>
                <w:color w:val="auto"/>
                <w:sz w:val="24"/>
              </w:rPr>
            </w:pPr>
            <w:r>
              <w:rPr>
                <w:rFonts w:hint="eastAsia"/>
                <w:color w:val="auto"/>
                <w:spacing w:val="-6"/>
                <w:sz w:val="24"/>
              </w:rPr>
              <w:t>面积（</w:t>
            </w:r>
            <w:r>
              <w:rPr>
                <w:color w:val="auto"/>
                <w:spacing w:val="-6"/>
                <w:sz w:val="24"/>
              </w:rPr>
              <w:t>m</w:t>
            </w:r>
            <w:r>
              <w:rPr>
                <w:color w:val="auto"/>
                <w:spacing w:val="-6"/>
                <w:sz w:val="24"/>
                <w:vertAlign w:val="superscript"/>
              </w:rPr>
              <w:t>2</w:t>
            </w:r>
            <w:r>
              <w:rPr>
                <w:rFonts w:hint="eastAsia"/>
                <w:color w:val="auto"/>
                <w:spacing w:val="-6"/>
                <w:sz w:val="24"/>
              </w:rPr>
              <w:t>）</w:t>
            </w:r>
          </w:p>
        </w:tc>
        <w:tc>
          <w:tcPr>
            <w:tcW w:w="2639" w:type="dxa"/>
            <w:vAlign w:val="center"/>
          </w:tcPr>
          <w:p>
            <w:pPr>
              <w:jc w:val="center"/>
              <w:rPr>
                <w:color w:val="auto"/>
                <w:sz w:val="24"/>
              </w:rPr>
            </w:pPr>
            <w:r>
              <w:rPr>
                <w:color w:val="auto"/>
                <w:spacing w:val="-6"/>
                <w:sz w:val="24"/>
              </w:rPr>
              <w:t>15080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1" w:type="dxa"/>
            <w:vAlign w:val="center"/>
          </w:tcPr>
          <w:p>
            <w:pPr>
              <w:spacing w:line="360" w:lineRule="auto"/>
              <w:jc w:val="center"/>
              <w:rPr>
                <w:color w:val="auto"/>
                <w:szCs w:val="21"/>
              </w:rPr>
            </w:pPr>
            <w:r>
              <w:rPr>
                <w:rFonts w:hint="eastAsia"/>
                <w:color w:val="auto"/>
                <w:sz w:val="24"/>
              </w:rPr>
              <w:t>专项评价设置情况</w:t>
            </w:r>
          </w:p>
        </w:tc>
        <w:tc>
          <w:tcPr>
            <w:tcW w:w="7089" w:type="dxa"/>
            <w:gridSpan w:val="3"/>
            <w:vAlign w:val="center"/>
          </w:tcPr>
          <w:p>
            <w:pPr>
              <w:spacing w:line="360" w:lineRule="auto"/>
              <w:ind w:firstLine="480" w:firstLineChars="200"/>
              <w:rPr>
                <w:color w:val="auto"/>
                <w:sz w:val="24"/>
              </w:rPr>
            </w:pPr>
            <w:r>
              <w:rPr>
                <w:rFonts w:hint="eastAsia"/>
                <w:color w:val="auto"/>
                <w:sz w:val="24"/>
              </w:rPr>
              <w:t>对照《建设项目环境影响报告表编制建设指南</w:t>
            </w:r>
            <w:r>
              <w:rPr>
                <w:color w:val="auto"/>
                <w:sz w:val="24"/>
              </w:rPr>
              <w:t>——</w:t>
            </w:r>
            <w:r>
              <w:rPr>
                <w:rFonts w:hint="eastAsia"/>
                <w:color w:val="auto"/>
                <w:sz w:val="24"/>
              </w:rPr>
              <w:t>污染影响类》专题评价设置原则表，本项目专题评价设置情况判定如下表，经判定，本项目无须设置专项评价。</w:t>
            </w:r>
          </w:p>
          <w:p>
            <w:pPr>
              <w:autoSpaceDE w:val="0"/>
              <w:autoSpaceDN w:val="0"/>
              <w:adjustRightInd w:val="0"/>
              <w:snapToGrid w:val="0"/>
              <w:jc w:val="center"/>
              <w:rPr>
                <w:rFonts w:ascii="宋体"/>
                <w:b/>
                <w:color w:val="auto"/>
                <w:kern w:val="0"/>
                <w:sz w:val="24"/>
              </w:rPr>
            </w:pPr>
            <w:r>
              <w:rPr>
                <w:rFonts w:hint="eastAsia" w:ascii="宋体" w:hAnsi="宋体"/>
                <w:b/>
                <w:color w:val="auto"/>
                <w:kern w:val="0"/>
                <w:sz w:val="24"/>
                <w:szCs w:val="32"/>
              </w:rPr>
              <w:t>表</w:t>
            </w:r>
            <w:r>
              <w:rPr>
                <w:b/>
                <w:color w:val="auto"/>
                <w:kern w:val="0"/>
                <w:sz w:val="24"/>
                <w:szCs w:val="32"/>
              </w:rPr>
              <w:t>1</w:t>
            </w:r>
            <w:r>
              <w:rPr>
                <w:rFonts w:hint="eastAsia" w:ascii="宋体" w:hAnsi="宋体"/>
                <w:b/>
                <w:color w:val="auto"/>
                <w:kern w:val="0"/>
                <w:sz w:val="24"/>
                <w:szCs w:val="32"/>
              </w:rPr>
              <w:t>项目专项评价设置情况一览表</w:t>
            </w:r>
          </w:p>
          <w:tbl>
            <w:tblPr>
              <w:tblStyle w:val="27"/>
              <w:tblW w:w="68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3"/>
              <w:gridCol w:w="3000"/>
              <w:gridCol w:w="1804"/>
              <w:gridCol w:w="1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3" w:type="dxa"/>
                  <w:tcBorders>
                    <w:top w:val="single" w:color="auto" w:sz="12" w:space="0"/>
                    <w:bottom w:val="single" w:color="auto" w:sz="4" w:space="0"/>
                    <w:right w:val="single" w:color="auto" w:sz="4" w:space="0"/>
                  </w:tcBorders>
                  <w:vAlign w:val="center"/>
                </w:tcPr>
                <w:p>
                  <w:pPr>
                    <w:autoSpaceDE w:val="0"/>
                    <w:autoSpaceDN w:val="0"/>
                    <w:adjustRightInd w:val="0"/>
                    <w:jc w:val="center"/>
                    <w:rPr>
                      <w:color w:val="auto"/>
                      <w:kern w:val="0"/>
                    </w:rPr>
                  </w:pPr>
                  <w:r>
                    <w:rPr>
                      <w:rFonts w:hint="eastAsia"/>
                      <w:color w:val="auto"/>
                      <w:kern w:val="0"/>
                      <w:szCs w:val="32"/>
                    </w:rPr>
                    <w:t>专项评价类别</w:t>
                  </w:r>
                </w:p>
              </w:tc>
              <w:tc>
                <w:tcPr>
                  <w:tcW w:w="300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设置原则</w:t>
                  </w:r>
                </w:p>
              </w:tc>
              <w:tc>
                <w:tcPr>
                  <w:tcW w:w="1804"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项目情况</w:t>
                  </w:r>
                </w:p>
              </w:tc>
              <w:tc>
                <w:tcPr>
                  <w:tcW w:w="1167" w:type="dxa"/>
                  <w:tcBorders>
                    <w:top w:val="single" w:color="auto" w:sz="12" w:space="0"/>
                    <w:left w:val="single" w:color="auto" w:sz="4" w:space="0"/>
                    <w:bottom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判定结果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3" w:type="dxa"/>
                  <w:tcBorders>
                    <w:top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大气</w:t>
                  </w:r>
                </w:p>
              </w:tc>
              <w:tc>
                <w:tcPr>
                  <w:tcW w:w="300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排放废气含有毒有害污染物、二噁英、苯并芘、氰化物、氯气，且厂界外</w:t>
                  </w:r>
                  <w:r>
                    <w:rPr>
                      <w:rFonts w:cs="TimesNewRomanPSMT"/>
                      <w:color w:val="auto"/>
                      <w:kern w:val="0"/>
                      <w:szCs w:val="32"/>
                    </w:rPr>
                    <w:t>500</w:t>
                  </w:r>
                  <w:r>
                    <w:rPr>
                      <w:rFonts w:hint="eastAsia"/>
                      <w:color w:val="auto"/>
                      <w:kern w:val="0"/>
                      <w:szCs w:val="32"/>
                    </w:rPr>
                    <w:t>米范围内有环境空气保护目标的项目</w:t>
                  </w:r>
                </w:p>
              </w:tc>
              <w:tc>
                <w:tcPr>
                  <w:tcW w:w="18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废气排放不含有毒有害污染物、二噁英、苯并芘、氰化物、氯气</w:t>
                  </w:r>
                </w:p>
              </w:tc>
              <w:tc>
                <w:tcPr>
                  <w:tcW w:w="1167" w:type="dxa"/>
                  <w:tcBorders>
                    <w:top w:val="single" w:color="auto" w:sz="4" w:space="0"/>
                    <w:left w:val="single" w:color="auto" w:sz="4" w:space="0"/>
                    <w:bottom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无需开展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3" w:type="dxa"/>
                  <w:tcBorders>
                    <w:top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地表水</w:t>
                  </w:r>
                </w:p>
              </w:tc>
              <w:tc>
                <w:tcPr>
                  <w:tcW w:w="300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新增工业废水直排建设项目（槽罐车外送污水处理厂的除外），新增废水直排的污水集中处理厂</w:t>
                  </w:r>
                </w:p>
              </w:tc>
              <w:tc>
                <w:tcPr>
                  <w:tcW w:w="18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本项目无工业废水排放</w:t>
                  </w:r>
                </w:p>
              </w:tc>
              <w:tc>
                <w:tcPr>
                  <w:tcW w:w="1167" w:type="dxa"/>
                  <w:tcBorders>
                    <w:top w:val="single" w:color="auto" w:sz="4" w:space="0"/>
                    <w:left w:val="single" w:color="auto" w:sz="4" w:space="0"/>
                    <w:bottom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无需开展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3" w:type="dxa"/>
                  <w:tcBorders>
                    <w:top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环境风险</w:t>
                  </w:r>
                </w:p>
              </w:tc>
              <w:tc>
                <w:tcPr>
                  <w:tcW w:w="300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有毒有害和易燃易爆危险物质存储量超过临界量的建设项目</w:t>
                  </w:r>
                </w:p>
              </w:tc>
              <w:tc>
                <w:tcPr>
                  <w:tcW w:w="18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项目无有毒有害危险物质存储量未超过临界量</w:t>
                  </w:r>
                </w:p>
              </w:tc>
              <w:tc>
                <w:tcPr>
                  <w:tcW w:w="1167" w:type="dxa"/>
                  <w:tcBorders>
                    <w:top w:val="single" w:color="auto" w:sz="4" w:space="0"/>
                    <w:left w:val="single" w:color="auto" w:sz="4" w:space="0"/>
                    <w:bottom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无需开展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3" w:type="dxa"/>
                  <w:tcBorders>
                    <w:top w:val="single" w:color="auto" w:sz="4" w:space="0"/>
                    <w:bottom w:val="single" w:color="auto" w:sz="4" w:space="0"/>
                    <w:right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生态</w:t>
                  </w:r>
                </w:p>
              </w:tc>
              <w:tc>
                <w:tcPr>
                  <w:tcW w:w="300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取水口下游</w:t>
                  </w:r>
                  <w:r>
                    <w:rPr>
                      <w:rFonts w:cs="TimesNewRomanPSMT"/>
                      <w:color w:val="auto"/>
                      <w:kern w:val="0"/>
                      <w:szCs w:val="32"/>
                    </w:rPr>
                    <w:t>500</w:t>
                  </w:r>
                  <w:r>
                    <w:rPr>
                      <w:rFonts w:hint="eastAsia"/>
                      <w:color w:val="auto"/>
                      <w:kern w:val="0"/>
                      <w:szCs w:val="32"/>
                    </w:rPr>
                    <w:t>米范围内有重要水生生物的自然产卵场、索饵场、越冬场和洄游通道的新增河道取水的污染类建设项目</w:t>
                  </w:r>
                </w:p>
              </w:tc>
              <w:tc>
                <w:tcPr>
                  <w:tcW w:w="180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项目用水为市政给水管网提供，无设置取水口</w:t>
                  </w:r>
                </w:p>
              </w:tc>
              <w:tc>
                <w:tcPr>
                  <w:tcW w:w="1167" w:type="dxa"/>
                  <w:tcBorders>
                    <w:top w:val="single" w:color="auto" w:sz="4" w:space="0"/>
                    <w:left w:val="single" w:color="auto" w:sz="4" w:space="0"/>
                    <w:bottom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无需开展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03" w:type="dxa"/>
                  <w:tcBorders>
                    <w:top w:val="single" w:color="auto" w:sz="4" w:space="0"/>
                    <w:bottom w:val="single" w:color="auto" w:sz="12" w:space="0"/>
                    <w:right w:val="single" w:color="auto" w:sz="4"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海洋</w:t>
                  </w:r>
                </w:p>
              </w:tc>
              <w:tc>
                <w:tcPr>
                  <w:tcW w:w="3000"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直接向海排放污染物的海洋工程建设项目</w:t>
                  </w:r>
                </w:p>
              </w:tc>
              <w:tc>
                <w:tcPr>
                  <w:tcW w:w="1804" w:type="dxa"/>
                  <w:tcBorders>
                    <w:top w:val="single" w:color="auto" w:sz="4" w:space="0"/>
                    <w:left w:val="single" w:color="auto" w:sz="4" w:space="0"/>
                    <w:bottom w:val="single" w:color="auto" w:sz="12" w:space="0"/>
                    <w:right w:val="single" w:color="auto" w:sz="4" w:space="0"/>
                  </w:tcBorders>
                  <w:vAlign w:val="center"/>
                </w:tcPr>
                <w:p>
                  <w:pPr>
                    <w:autoSpaceDE w:val="0"/>
                    <w:autoSpaceDN w:val="0"/>
                    <w:adjustRightInd w:val="0"/>
                    <w:jc w:val="center"/>
                    <w:rPr>
                      <w:color w:val="auto"/>
                      <w:kern w:val="0"/>
                      <w:szCs w:val="32"/>
                    </w:rPr>
                  </w:pPr>
                  <w:r>
                    <w:rPr>
                      <w:rFonts w:hint="eastAsia"/>
                      <w:color w:val="auto"/>
                      <w:kern w:val="0"/>
                      <w:szCs w:val="32"/>
                    </w:rPr>
                    <w:t>本项目不属于海洋工程建设项目</w:t>
                  </w:r>
                </w:p>
              </w:tc>
              <w:tc>
                <w:tcPr>
                  <w:tcW w:w="1167" w:type="dxa"/>
                  <w:tcBorders>
                    <w:top w:val="single" w:color="auto" w:sz="4" w:space="0"/>
                    <w:left w:val="single" w:color="auto" w:sz="4" w:space="0"/>
                    <w:bottom w:val="single" w:color="auto" w:sz="12" w:space="0"/>
                  </w:tcBorders>
                  <w:vAlign w:val="center"/>
                </w:tcPr>
                <w:p>
                  <w:pPr>
                    <w:autoSpaceDE w:val="0"/>
                    <w:autoSpaceDN w:val="0"/>
                    <w:adjustRightInd w:val="0"/>
                    <w:snapToGrid w:val="0"/>
                    <w:jc w:val="center"/>
                    <w:rPr>
                      <w:color w:val="auto"/>
                      <w:kern w:val="0"/>
                      <w:szCs w:val="32"/>
                    </w:rPr>
                  </w:pPr>
                  <w:r>
                    <w:rPr>
                      <w:rFonts w:hint="eastAsia"/>
                      <w:color w:val="auto"/>
                      <w:kern w:val="0"/>
                      <w:szCs w:val="32"/>
                    </w:rPr>
                    <w:t>无需开展</w:t>
                  </w:r>
                </w:p>
              </w:tc>
            </w:tr>
          </w:tbl>
          <w:p>
            <w:pPr>
              <w:spacing w:line="360" w:lineRule="auto"/>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781" w:type="dxa"/>
            <w:vAlign w:val="center"/>
          </w:tcPr>
          <w:p>
            <w:pPr>
              <w:pStyle w:val="122"/>
              <w:adjustRightInd/>
              <w:snapToGrid/>
              <w:spacing w:line="360" w:lineRule="auto"/>
              <w:rPr>
                <w:color w:val="auto"/>
                <w:kern w:val="0"/>
                <w:sz w:val="24"/>
                <w:szCs w:val="32"/>
              </w:rPr>
            </w:pPr>
            <w:r>
              <w:rPr>
                <w:rFonts w:hint="eastAsia"/>
                <w:color w:val="auto"/>
                <w:sz w:val="24"/>
                <w:szCs w:val="32"/>
              </w:rPr>
              <w:t>规划情况</w:t>
            </w:r>
          </w:p>
        </w:tc>
        <w:tc>
          <w:tcPr>
            <w:tcW w:w="7089" w:type="dxa"/>
            <w:gridSpan w:val="3"/>
            <w:vAlign w:val="center"/>
          </w:tcPr>
          <w:p>
            <w:pPr>
              <w:pStyle w:val="67"/>
              <w:spacing w:beforeLines="50"/>
              <w:ind w:firstLine="31680"/>
              <w:rPr>
                <w:color w:val="auto"/>
                <w:szCs w:val="32"/>
              </w:rPr>
            </w:pPr>
            <w:r>
              <w:rPr>
                <w:rFonts w:hint="eastAsia"/>
                <w:color w:val="auto"/>
                <w:spacing w:val="-3"/>
              </w:rPr>
              <w:t>名称：《永安北部工业新城（三期）控制性详细规划修编（</w:t>
            </w:r>
            <w:r>
              <w:rPr>
                <w:color w:val="auto"/>
                <w:spacing w:val="-3"/>
              </w:rPr>
              <w:t>2019-2030</w:t>
            </w:r>
            <w:r>
              <w:rPr>
                <w:rFonts w:hint="eastAsia"/>
                <w:color w:val="auto"/>
                <w:spacing w:val="-3"/>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81" w:type="dxa"/>
            <w:vAlign w:val="center"/>
          </w:tcPr>
          <w:p>
            <w:pPr>
              <w:pStyle w:val="122"/>
              <w:adjustRightInd/>
              <w:snapToGrid/>
              <w:spacing w:line="360" w:lineRule="auto"/>
              <w:rPr>
                <w:color w:val="auto"/>
                <w:sz w:val="24"/>
                <w:szCs w:val="32"/>
              </w:rPr>
            </w:pPr>
            <w:r>
              <w:rPr>
                <w:rFonts w:hint="eastAsia"/>
                <w:color w:val="auto"/>
                <w:sz w:val="24"/>
                <w:szCs w:val="32"/>
              </w:rPr>
              <w:t>规划环境影响评价情况</w:t>
            </w:r>
          </w:p>
        </w:tc>
        <w:tc>
          <w:tcPr>
            <w:tcW w:w="7089" w:type="dxa"/>
            <w:gridSpan w:val="3"/>
            <w:vAlign w:val="center"/>
          </w:tcPr>
          <w:p>
            <w:pPr>
              <w:autoSpaceDE w:val="0"/>
              <w:autoSpaceDN w:val="0"/>
              <w:adjustRightInd w:val="0"/>
              <w:snapToGrid w:val="0"/>
              <w:spacing w:beforeLines="50" w:line="360" w:lineRule="auto"/>
              <w:ind w:firstLine="468" w:firstLineChars="200"/>
              <w:jc w:val="left"/>
              <w:rPr>
                <w:color w:val="auto"/>
                <w:spacing w:val="-3"/>
                <w:sz w:val="24"/>
              </w:rPr>
            </w:pPr>
            <w:r>
              <w:rPr>
                <w:rFonts w:hint="eastAsia"/>
                <w:color w:val="auto"/>
                <w:spacing w:val="-3"/>
                <w:sz w:val="24"/>
              </w:rPr>
              <w:t>名称：《永安北部工业新城（三期）控制性详细规划修编（</w:t>
            </w:r>
            <w:r>
              <w:rPr>
                <w:color w:val="auto"/>
                <w:spacing w:val="-3"/>
                <w:sz w:val="24"/>
              </w:rPr>
              <w:t>2019-2030</w:t>
            </w:r>
            <w:r>
              <w:rPr>
                <w:rFonts w:hint="eastAsia"/>
                <w:color w:val="auto"/>
                <w:spacing w:val="-3"/>
                <w:sz w:val="24"/>
              </w:rPr>
              <w:t>）环境影响报告书》</w:t>
            </w:r>
          </w:p>
          <w:p>
            <w:pPr>
              <w:autoSpaceDE w:val="0"/>
              <w:autoSpaceDN w:val="0"/>
              <w:adjustRightInd w:val="0"/>
              <w:snapToGrid w:val="0"/>
              <w:spacing w:line="360" w:lineRule="auto"/>
              <w:ind w:firstLine="468" w:firstLineChars="200"/>
              <w:jc w:val="left"/>
              <w:rPr>
                <w:color w:val="auto"/>
                <w:spacing w:val="-3"/>
                <w:sz w:val="24"/>
              </w:rPr>
            </w:pPr>
            <w:r>
              <w:rPr>
                <w:rFonts w:hint="eastAsia"/>
                <w:color w:val="auto"/>
                <w:spacing w:val="-3"/>
                <w:sz w:val="24"/>
              </w:rPr>
              <w:t>审查机关：三明市生态环境局</w:t>
            </w:r>
          </w:p>
          <w:p>
            <w:pPr>
              <w:pStyle w:val="122"/>
              <w:adjustRightInd/>
              <w:snapToGrid/>
              <w:spacing w:line="360" w:lineRule="auto"/>
              <w:ind w:firstLine="468" w:firstLineChars="200"/>
              <w:jc w:val="both"/>
              <w:rPr>
                <w:color w:val="auto"/>
                <w:sz w:val="24"/>
                <w:szCs w:val="32"/>
              </w:rPr>
            </w:pPr>
            <w:r>
              <w:rPr>
                <w:rFonts w:hint="eastAsia"/>
                <w:color w:val="auto"/>
                <w:spacing w:val="-3"/>
                <w:sz w:val="24"/>
              </w:rPr>
              <w:t>审查文件名称及文号：《永安北部工业新城（三期）控制性详细规划修编（</w:t>
            </w:r>
            <w:r>
              <w:rPr>
                <w:color w:val="auto"/>
                <w:spacing w:val="-3"/>
                <w:sz w:val="24"/>
              </w:rPr>
              <w:t>2019-2030</w:t>
            </w:r>
            <w:r>
              <w:rPr>
                <w:rFonts w:hint="eastAsia"/>
                <w:color w:val="auto"/>
                <w:spacing w:val="-3"/>
                <w:sz w:val="24"/>
              </w:rPr>
              <w:t>）环境影响报告书》批复（明环评永</w:t>
            </w:r>
            <w:r>
              <w:rPr>
                <w:color w:val="auto"/>
                <w:spacing w:val="-3"/>
                <w:sz w:val="24"/>
              </w:rPr>
              <w:t>[2019]5</w:t>
            </w:r>
            <w:r>
              <w:rPr>
                <w:rFonts w:hint="eastAsia"/>
                <w:color w:val="auto"/>
                <w:spacing w:val="-3"/>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70" w:hRule="atLeast"/>
          <w:jc w:val="center"/>
        </w:trPr>
        <w:tc>
          <w:tcPr>
            <w:tcW w:w="1781" w:type="dxa"/>
            <w:tcBorders>
              <w:bottom w:val="single" w:color="auto" w:sz="8" w:space="0"/>
            </w:tcBorders>
            <w:vAlign w:val="center"/>
          </w:tcPr>
          <w:p>
            <w:pPr>
              <w:pStyle w:val="122"/>
              <w:adjustRightInd/>
              <w:snapToGrid/>
              <w:spacing w:line="360" w:lineRule="auto"/>
              <w:rPr>
                <w:color w:val="auto"/>
                <w:kern w:val="0"/>
                <w:sz w:val="24"/>
                <w:szCs w:val="32"/>
              </w:rPr>
            </w:pPr>
            <w:r>
              <w:rPr>
                <w:rFonts w:hint="eastAsia"/>
                <w:color w:val="auto"/>
                <w:kern w:val="0"/>
                <w:sz w:val="24"/>
                <w:szCs w:val="32"/>
              </w:rPr>
              <w:t>规划及规划环境影响评价符合性分析</w:t>
            </w:r>
          </w:p>
        </w:tc>
        <w:tc>
          <w:tcPr>
            <w:tcW w:w="7089" w:type="dxa"/>
            <w:gridSpan w:val="3"/>
            <w:tcBorders>
              <w:bottom w:val="single" w:color="auto" w:sz="8" w:space="0"/>
            </w:tcBorders>
            <w:vAlign w:val="center"/>
          </w:tcPr>
          <w:p>
            <w:pPr>
              <w:pStyle w:val="83"/>
              <w:adjustRightInd/>
              <w:snapToGrid/>
              <w:rPr>
                <w:color w:val="auto"/>
              </w:rPr>
            </w:pPr>
            <w:r>
              <w:rPr>
                <w:color w:val="auto"/>
              </w:rPr>
              <w:t>1.1</w:t>
            </w:r>
            <w:r>
              <w:rPr>
                <w:rFonts w:hint="eastAsia"/>
                <w:color w:val="auto"/>
              </w:rPr>
              <w:t>规划的符合性分析</w:t>
            </w:r>
          </w:p>
          <w:p>
            <w:pPr>
              <w:pStyle w:val="122"/>
              <w:adjustRightInd/>
              <w:snapToGrid/>
              <w:spacing w:line="360" w:lineRule="auto"/>
              <w:ind w:firstLine="480" w:firstLineChars="200"/>
              <w:jc w:val="both"/>
              <w:rPr>
                <w:color w:val="auto"/>
                <w:sz w:val="24"/>
                <w:szCs w:val="32"/>
              </w:rPr>
            </w:pPr>
            <w:r>
              <w:rPr>
                <w:rFonts w:hint="eastAsia"/>
                <w:color w:val="auto"/>
                <w:sz w:val="24"/>
                <w:szCs w:val="32"/>
              </w:rPr>
              <w:t>《永安北部工业新城（三期）控制性详细规划修编（</w:t>
            </w:r>
            <w:r>
              <w:rPr>
                <w:color w:val="auto"/>
                <w:sz w:val="24"/>
                <w:szCs w:val="32"/>
              </w:rPr>
              <w:t>2019-2030</w:t>
            </w:r>
            <w:r>
              <w:rPr>
                <w:rFonts w:hint="eastAsia"/>
                <w:color w:val="auto"/>
                <w:sz w:val="24"/>
                <w:szCs w:val="32"/>
              </w:rPr>
              <w:t>）》，产业用地布局如下：</w:t>
            </w:r>
          </w:p>
          <w:p>
            <w:pPr>
              <w:pStyle w:val="122"/>
              <w:adjustRightInd/>
              <w:snapToGrid/>
              <w:spacing w:line="360" w:lineRule="auto"/>
              <w:ind w:firstLine="480" w:firstLineChars="200"/>
              <w:jc w:val="both"/>
              <w:rPr>
                <w:color w:val="auto"/>
                <w:sz w:val="24"/>
                <w:szCs w:val="32"/>
              </w:rPr>
            </w:pPr>
            <w:r>
              <w:rPr>
                <w:rFonts w:hint="eastAsia"/>
                <w:color w:val="auto"/>
                <w:sz w:val="24"/>
                <w:szCs w:val="32"/>
              </w:rPr>
              <w:t>本次规划产业布局分为</w:t>
            </w:r>
            <w:r>
              <w:rPr>
                <w:color w:val="auto"/>
                <w:sz w:val="24"/>
                <w:szCs w:val="32"/>
              </w:rPr>
              <w:t>6</w:t>
            </w:r>
            <w:r>
              <w:rPr>
                <w:rFonts w:hint="eastAsia"/>
                <w:color w:val="auto"/>
                <w:sz w:val="24"/>
                <w:szCs w:val="32"/>
              </w:rPr>
              <w:t>个片区，各片区主要发展的产业如下：</w:t>
            </w:r>
          </w:p>
          <w:p>
            <w:pPr>
              <w:pStyle w:val="122"/>
              <w:adjustRightInd/>
              <w:snapToGrid/>
              <w:spacing w:line="360" w:lineRule="auto"/>
              <w:ind w:firstLine="480" w:firstLineChars="200"/>
              <w:jc w:val="both"/>
              <w:rPr>
                <w:color w:val="auto"/>
                <w:sz w:val="24"/>
                <w:szCs w:val="32"/>
              </w:rPr>
            </w:pPr>
            <w:r>
              <w:rPr>
                <w:rFonts w:hint="eastAsia"/>
                <w:color w:val="auto"/>
                <w:sz w:val="24"/>
                <w:szCs w:val="32"/>
              </w:rPr>
              <w:t>（</w:t>
            </w:r>
            <w:r>
              <w:rPr>
                <w:color w:val="auto"/>
                <w:sz w:val="24"/>
                <w:szCs w:val="32"/>
              </w:rPr>
              <w:t>1</w:t>
            </w:r>
            <w:r>
              <w:rPr>
                <w:rFonts w:hint="eastAsia"/>
                <w:color w:val="auto"/>
                <w:sz w:val="24"/>
                <w:szCs w:val="32"/>
              </w:rPr>
              <w:t>）永安市火电厂南侧地块：主要布局竹木加工和家具制造业。</w:t>
            </w:r>
          </w:p>
          <w:p>
            <w:pPr>
              <w:pStyle w:val="122"/>
              <w:adjustRightInd/>
              <w:snapToGrid/>
              <w:spacing w:line="360" w:lineRule="auto"/>
              <w:ind w:firstLine="480" w:firstLineChars="200"/>
              <w:jc w:val="both"/>
              <w:rPr>
                <w:color w:val="auto"/>
                <w:sz w:val="24"/>
                <w:szCs w:val="32"/>
              </w:rPr>
            </w:pPr>
            <w:r>
              <w:rPr>
                <w:rFonts w:hint="eastAsia"/>
                <w:color w:val="auto"/>
                <w:sz w:val="24"/>
                <w:szCs w:val="32"/>
              </w:rPr>
              <w:t>（</w:t>
            </w:r>
            <w:r>
              <w:rPr>
                <w:color w:val="auto"/>
                <w:sz w:val="24"/>
                <w:szCs w:val="32"/>
              </w:rPr>
              <w:t>2</w:t>
            </w:r>
            <w:r>
              <w:rPr>
                <w:rFonts w:hint="eastAsia"/>
                <w:color w:val="auto"/>
                <w:sz w:val="24"/>
                <w:szCs w:val="32"/>
              </w:rPr>
              <w:t>）永安市火电厂北侧地块：主要布局橡胶和塑料制品业。</w:t>
            </w:r>
          </w:p>
          <w:p>
            <w:pPr>
              <w:pStyle w:val="122"/>
              <w:adjustRightInd/>
              <w:snapToGrid/>
              <w:spacing w:line="360" w:lineRule="auto"/>
              <w:ind w:firstLine="480" w:firstLineChars="200"/>
              <w:jc w:val="both"/>
              <w:rPr>
                <w:color w:val="auto"/>
                <w:sz w:val="24"/>
                <w:szCs w:val="32"/>
              </w:rPr>
            </w:pPr>
            <w:r>
              <w:rPr>
                <w:rFonts w:hint="eastAsia"/>
                <w:color w:val="auto"/>
                <w:sz w:val="24"/>
                <w:szCs w:val="32"/>
              </w:rPr>
              <w:t>（</w:t>
            </w:r>
            <w:r>
              <w:rPr>
                <w:color w:val="auto"/>
                <w:sz w:val="24"/>
                <w:szCs w:val="32"/>
              </w:rPr>
              <w:t>3</w:t>
            </w:r>
            <w:r>
              <w:rPr>
                <w:rFonts w:hint="eastAsia"/>
                <w:color w:val="auto"/>
                <w:sz w:val="24"/>
                <w:szCs w:val="32"/>
              </w:rPr>
              <w:t>）永安市北部工业新城（一期）西部地块：主要布局机械制造业，林竹深加工业，非金属矿物制品业，废弃资源综合利用业，橡胶和塑料制品业。</w:t>
            </w:r>
          </w:p>
          <w:p>
            <w:pPr>
              <w:pStyle w:val="122"/>
              <w:adjustRightInd/>
              <w:snapToGrid/>
              <w:spacing w:line="360" w:lineRule="auto"/>
              <w:ind w:firstLine="480" w:firstLineChars="200"/>
              <w:jc w:val="both"/>
              <w:rPr>
                <w:color w:val="auto"/>
                <w:sz w:val="24"/>
                <w:szCs w:val="32"/>
              </w:rPr>
            </w:pPr>
            <w:r>
              <w:rPr>
                <w:rFonts w:hint="eastAsia"/>
                <w:color w:val="auto"/>
                <w:sz w:val="24"/>
                <w:szCs w:val="32"/>
              </w:rPr>
              <w:t>（</w:t>
            </w:r>
            <w:r>
              <w:rPr>
                <w:color w:val="auto"/>
                <w:sz w:val="24"/>
                <w:szCs w:val="32"/>
              </w:rPr>
              <w:t>4</w:t>
            </w:r>
            <w:r>
              <w:rPr>
                <w:rFonts w:hint="eastAsia"/>
                <w:color w:val="auto"/>
                <w:sz w:val="24"/>
                <w:szCs w:val="32"/>
              </w:rPr>
              <w:t>）永安市北部工业新城（一期）北部地块：主要布局医药制造业，化学原料和化学制品制造业，食品制造业。</w:t>
            </w:r>
          </w:p>
          <w:p>
            <w:pPr>
              <w:pStyle w:val="122"/>
              <w:adjustRightInd/>
              <w:snapToGrid/>
              <w:spacing w:line="360" w:lineRule="auto"/>
              <w:ind w:firstLine="480" w:firstLineChars="200"/>
              <w:jc w:val="both"/>
              <w:rPr>
                <w:color w:val="auto"/>
                <w:sz w:val="24"/>
                <w:szCs w:val="32"/>
              </w:rPr>
            </w:pPr>
            <w:r>
              <w:rPr>
                <w:rFonts w:hint="eastAsia"/>
                <w:color w:val="auto"/>
                <w:sz w:val="24"/>
                <w:szCs w:val="32"/>
              </w:rPr>
              <w:t>（</w:t>
            </w:r>
            <w:r>
              <w:rPr>
                <w:color w:val="auto"/>
                <w:sz w:val="24"/>
                <w:szCs w:val="32"/>
              </w:rPr>
              <w:t>5</w:t>
            </w:r>
            <w:r>
              <w:rPr>
                <w:rFonts w:hint="eastAsia"/>
                <w:color w:val="auto"/>
                <w:sz w:val="24"/>
                <w:szCs w:val="32"/>
              </w:rPr>
              <w:t>）永安市北部工业新城（一期）中部地块：主要布局高端纺织（纺织业、纤维素纤维原料及纤维制造），橡胶和塑料制品业，新能源材料（电池制造、输配电及控制设备制造）。</w:t>
            </w:r>
          </w:p>
          <w:p>
            <w:pPr>
              <w:pStyle w:val="122"/>
              <w:adjustRightInd/>
              <w:snapToGrid/>
              <w:spacing w:line="360" w:lineRule="auto"/>
              <w:ind w:firstLine="480" w:firstLineChars="200"/>
              <w:jc w:val="both"/>
              <w:rPr>
                <w:color w:val="auto"/>
                <w:sz w:val="24"/>
                <w:szCs w:val="32"/>
              </w:rPr>
            </w:pPr>
            <w:r>
              <w:rPr>
                <w:rFonts w:hint="eastAsia"/>
                <w:color w:val="auto"/>
                <w:sz w:val="24"/>
                <w:szCs w:val="32"/>
              </w:rPr>
              <w:t>（</w:t>
            </w:r>
            <w:r>
              <w:rPr>
                <w:color w:val="auto"/>
                <w:sz w:val="24"/>
                <w:szCs w:val="32"/>
              </w:rPr>
              <w:t>6</w:t>
            </w:r>
            <w:r>
              <w:rPr>
                <w:rFonts w:hint="eastAsia"/>
                <w:color w:val="auto"/>
                <w:sz w:val="24"/>
                <w:szCs w:val="32"/>
              </w:rPr>
              <w:t>）永安市北部工业新城（一期）东部地块：主要布局竹木加工和机械制造业。</w:t>
            </w:r>
          </w:p>
          <w:p>
            <w:pPr>
              <w:pStyle w:val="122"/>
              <w:adjustRightInd/>
              <w:snapToGrid/>
              <w:spacing w:line="360" w:lineRule="auto"/>
              <w:ind w:firstLine="480" w:firstLineChars="200"/>
              <w:jc w:val="both"/>
              <w:rPr>
                <w:color w:val="auto"/>
                <w:sz w:val="24"/>
                <w:szCs w:val="32"/>
              </w:rPr>
            </w:pPr>
            <w:r>
              <w:rPr>
                <w:rFonts w:hint="eastAsia"/>
                <w:color w:val="auto"/>
                <w:sz w:val="24"/>
                <w:szCs w:val="32"/>
              </w:rPr>
              <w:t>对照《永安北部工业新城（三期）控制性详细规划修编（</w:t>
            </w:r>
            <w:r>
              <w:rPr>
                <w:color w:val="auto"/>
                <w:sz w:val="24"/>
                <w:szCs w:val="32"/>
              </w:rPr>
              <w:t>2019-2030</w:t>
            </w:r>
            <w:r>
              <w:rPr>
                <w:rFonts w:hint="eastAsia"/>
                <w:color w:val="auto"/>
                <w:sz w:val="24"/>
                <w:szCs w:val="32"/>
              </w:rPr>
              <w:t>）》产业用地布局相关内容（北部工业新城（三期）规划范围包含原北部工业新城（</w:t>
            </w:r>
            <w:r>
              <w:rPr>
                <w:color w:val="auto"/>
                <w:sz w:val="24"/>
                <w:szCs w:val="32"/>
              </w:rPr>
              <w:t>—</w:t>
            </w:r>
            <w:r>
              <w:rPr>
                <w:rFonts w:hint="eastAsia"/>
                <w:color w:val="auto"/>
                <w:sz w:val="24"/>
                <w:szCs w:val="32"/>
              </w:rPr>
              <w:t>期）范围），项目位于永安市曹远镇坑边路（北部工业新城鑫华港饲料东侧）属于永安市北部工业新城（一期）西部地块，为二类工业用地。项目用地与用地规划布局图位置关系详见附图</w:t>
            </w:r>
            <w:r>
              <w:rPr>
                <w:color w:val="auto"/>
                <w:sz w:val="24"/>
                <w:szCs w:val="32"/>
              </w:rPr>
              <w:t>6</w:t>
            </w:r>
            <w:r>
              <w:rPr>
                <w:rFonts w:hint="eastAsia"/>
                <w:color w:val="auto"/>
                <w:sz w:val="24"/>
                <w:szCs w:val="32"/>
              </w:rPr>
              <w:t>，符合永安市北部工业新城（三期）土地利用规划。</w:t>
            </w:r>
          </w:p>
          <w:p>
            <w:pPr>
              <w:pStyle w:val="83"/>
              <w:adjustRightInd/>
              <w:snapToGrid/>
              <w:rPr>
                <w:color w:val="auto"/>
              </w:rPr>
            </w:pPr>
            <w:r>
              <w:rPr>
                <w:color w:val="auto"/>
              </w:rPr>
              <w:t>1.2</w:t>
            </w:r>
            <w:r>
              <w:rPr>
                <w:rFonts w:hint="eastAsia"/>
                <w:color w:val="auto"/>
              </w:rPr>
              <w:t>规划环评的符合性分析</w:t>
            </w:r>
          </w:p>
          <w:p>
            <w:pPr>
              <w:pStyle w:val="174"/>
              <w:rPr>
                <w:color w:val="auto"/>
              </w:rPr>
            </w:pPr>
            <w:r>
              <w:rPr>
                <w:color w:val="auto"/>
              </w:rPr>
              <w:t>1.2.1</w:t>
            </w:r>
            <w:r>
              <w:rPr>
                <w:rFonts w:hint="eastAsia"/>
                <w:color w:val="auto"/>
              </w:rPr>
              <w:t>规划环评环境准入</w:t>
            </w:r>
          </w:p>
          <w:p>
            <w:pPr>
              <w:autoSpaceDE w:val="0"/>
              <w:autoSpaceDN w:val="0"/>
              <w:adjustRightInd w:val="0"/>
              <w:snapToGrid w:val="0"/>
              <w:spacing w:beforeLines="50" w:line="360" w:lineRule="auto"/>
              <w:ind w:firstLine="468" w:firstLineChars="200"/>
              <w:jc w:val="left"/>
              <w:rPr>
                <w:color w:val="auto"/>
                <w:spacing w:val="-3"/>
                <w:sz w:val="24"/>
              </w:rPr>
            </w:pPr>
            <w:r>
              <w:rPr>
                <w:rFonts w:hint="eastAsia"/>
                <w:color w:val="auto"/>
                <w:spacing w:val="-3"/>
                <w:sz w:val="24"/>
              </w:rPr>
              <w:t>对照《永安北部工业新城（三期）控制性详细规划修编（</w:t>
            </w:r>
            <w:r>
              <w:rPr>
                <w:color w:val="auto"/>
                <w:spacing w:val="-3"/>
                <w:sz w:val="24"/>
              </w:rPr>
              <w:t>2019-2030</w:t>
            </w:r>
            <w:r>
              <w:rPr>
                <w:rFonts w:hint="eastAsia"/>
                <w:color w:val="auto"/>
                <w:spacing w:val="-3"/>
                <w:sz w:val="24"/>
              </w:rPr>
              <w:t>）环境影响报告书》中环境准入清单，本项目为</w:t>
            </w:r>
            <w:r>
              <w:rPr>
                <w:rFonts w:hint="eastAsia"/>
                <w:color w:val="auto"/>
                <w:sz w:val="24"/>
                <w:szCs w:val="32"/>
              </w:rPr>
              <w:t>非金属矿物制品业符合其</w:t>
            </w:r>
            <w:r>
              <w:rPr>
                <w:rFonts w:hint="eastAsia"/>
                <w:color w:val="auto"/>
                <w:spacing w:val="-3"/>
                <w:sz w:val="24"/>
              </w:rPr>
              <w:t>环境准入要求，具体情况见下表：</w:t>
            </w:r>
          </w:p>
          <w:p>
            <w:pPr>
              <w:autoSpaceDE w:val="0"/>
              <w:autoSpaceDN w:val="0"/>
              <w:adjustRightInd w:val="0"/>
              <w:snapToGrid w:val="0"/>
              <w:jc w:val="center"/>
              <w:rPr>
                <w:rFonts w:ascii="宋体"/>
                <w:b/>
                <w:color w:val="auto"/>
                <w:kern w:val="0"/>
                <w:sz w:val="24"/>
                <w:szCs w:val="32"/>
              </w:rPr>
            </w:pPr>
            <w:r>
              <w:rPr>
                <w:rFonts w:hint="eastAsia" w:ascii="宋体" w:hAnsi="宋体"/>
                <w:b/>
                <w:color w:val="auto"/>
                <w:kern w:val="0"/>
                <w:sz w:val="24"/>
                <w:szCs w:val="32"/>
              </w:rPr>
              <w:t>表</w:t>
            </w:r>
            <w:r>
              <w:rPr>
                <w:rFonts w:ascii="宋体" w:hAnsi="宋体"/>
                <w:b/>
                <w:color w:val="auto"/>
                <w:kern w:val="0"/>
                <w:sz w:val="24"/>
                <w:szCs w:val="32"/>
              </w:rPr>
              <w:t xml:space="preserve">2 </w:t>
            </w:r>
            <w:r>
              <w:rPr>
                <w:rFonts w:hint="eastAsia" w:ascii="宋体" w:hAnsi="宋体"/>
                <w:b/>
                <w:color w:val="auto"/>
                <w:kern w:val="0"/>
                <w:sz w:val="24"/>
                <w:szCs w:val="32"/>
              </w:rPr>
              <w:t>永安北部工业新城（三期）环境准入清单</w:t>
            </w:r>
          </w:p>
          <w:tbl>
            <w:tblPr>
              <w:tblStyle w:val="27"/>
              <w:tblW w:w="689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9"/>
              <w:gridCol w:w="716"/>
              <w:gridCol w:w="641"/>
              <w:gridCol w:w="983"/>
              <w:gridCol w:w="911"/>
              <w:gridCol w:w="2308"/>
              <w:gridCol w:w="8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81" w:hRule="atLeast"/>
                <w:jc w:val="center"/>
              </w:trPr>
              <w:tc>
                <w:tcPr>
                  <w:tcW w:w="1175" w:type="dxa"/>
                  <w:gridSpan w:val="2"/>
                  <w:tcBorders>
                    <w:top w:val="single" w:color="auto" w:sz="12" w:space="0"/>
                    <w:bottom w:val="single" w:color="auto" w:sz="6" w:space="0"/>
                    <w:right w:val="single" w:color="auto" w:sz="6" w:space="0"/>
                  </w:tcBorders>
                  <w:vAlign w:val="center"/>
                </w:tcPr>
                <w:p>
                  <w:pPr>
                    <w:autoSpaceDE w:val="0"/>
                    <w:autoSpaceDN w:val="0"/>
                    <w:adjustRightInd w:val="0"/>
                    <w:spacing w:line="300" w:lineRule="exact"/>
                    <w:jc w:val="center"/>
                    <w:rPr>
                      <w:bCs/>
                      <w:color w:val="auto"/>
                      <w:kern w:val="0"/>
                      <w:szCs w:val="21"/>
                    </w:rPr>
                  </w:pPr>
                  <w:r>
                    <w:rPr>
                      <w:rFonts w:hint="eastAsia"/>
                      <w:bCs/>
                      <w:color w:val="auto"/>
                      <w:kern w:val="0"/>
                      <w:szCs w:val="21"/>
                    </w:rPr>
                    <w:t>清单类型</w:t>
                  </w:r>
                </w:p>
              </w:tc>
              <w:tc>
                <w:tcPr>
                  <w:tcW w:w="2535" w:type="dxa"/>
                  <w:gridSpan w:val="3"/>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bCs/>
                      <w:color w:val="auto"/>
                      <w:kern w:val="0"/>
                      <w:szCs w:val="21"/>
                    </w:rPr>
                  </w:pPr>
                  <w:r>
                    <w:rPr>
                      <w:rFonts w:hint="eastAsia"/>
                      <w:bCs/>
                      <w:color w:val="auto"/>
                      <w:kern w:val="0"/>
                      <w:szCs w:val="21"/>
                    </w:rPr>
                    <w:t>准入条件</w:t>
                  </w:r>
                </w:p>
              </w:tc>
              <w:tc>
                <w:tcPr>
                  <w:tcW w:w="2308" w:type="dxa"/>
                  <w:tcBorders>
                    <w:top w:val="single" w:color="auto" w:sz="12" w:space="0"/>
                    <w:left w:val="single" w:color="auto" w:sz="6" w:space="0"/>
                    <w:bottom w:val="single" w:color="auto" w:sz="6" w:space="0"/>
                    <w:right w:val="single" w:color="auto" w:sz="6" w:space="0"/>
                  </w:tcBorders>
                  <w:vAlign w:val="center"/>
                </w:tcPr>
                <w:p>
                  <w:pPr>
                    <w:autoSpaceDE w:val="0"/>
                    <w:autoSpaceDN w:val="0"/>
                    <w:adjustRightInd w:val="0"/>
                    <w:jc w:val="center"/>
                    <w:rPr>
                      <w:b/>
                      <w:color w:val="auto"/>
                      <w:kern w:val="0"/>
                      <w:szCs w:val="21"/>
                    </w:rPr>
                  </w:pPr>
                  <w:r>
                    <w:rPr>
                      <w:rFonts w:hint="eastAsia"/>
                      <w:color w:val="auto"/>
                      <w:kern w:val="0"/>
                      <w:szCs w:val="21"/>
                    </w:rPr>
                    <w:t>项目情况</w:t>
                  </w:r>
                </w:p>
              </w:tc>
              <w:tc>
                <w:tcPr>
                  <w:tcW w:w="873" w:type="dxa"/>
                  <w:tcBorders>
                    <w:top w:val="single" w:color="auto" w:sz="12" w:space="0"/>
                    <w:left w:val="single" w:color="auto" w:sz="6" w:space="0"/>
                    <w:bottom w:val="single" w:color="auto" w:sz="6" w:space="0"/>
                  </w:tcBorders>
                  <w:vAlign w:val="center"/>
                </w:tcPr>
                <w:p>
                  <w:pPr>
                    <w:autoSpaceDE w:val="0"/>
                    <w:autoSpaceDN w:val="0"/>
                    <w:adjustRightInd w:val="0"/>
                    <w:jc w:val="center"/>
                    <w:rPr>
                      <w:b/>
                      <w:color w:val="auto"/>
                      <w:kern w:val="0"/>
                      <w:szCs w:val="21"/>
                    </w:rPr>
                  </w:pPr>
                  <w:r>
                    <w:rPr>
                      <w:rFonts w:hint="eastAsia"/>
                      <w:color w:val="auto"/>
                      <w:kern w:val="0"/>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59" w:type="dxa"/>
                  <w:vMerge w:val="restart"/>
                  <w:tcBorders>
                    <w:top w:val="single" w:color="auto" w:sz="6" w:space="0"/>
                    <w:bottom w:val="single" w:color="auto" w:sz="6" w:space="0"/>
                    <w:right w:val="single" w:color="auto" w:sz="6" w:space="0"/>
                  </w:tcBorders>
                  <w:vAlign w:val="center"/>
                </w:tcPr>
                <w:p>
                  <w:pPr>
                    <w:autoSpaceDE w:val="0"/>
                    <w:autoSpaceDN w:val="0"/>
                    <w:adjustRightInd w:val="0"/>
                    <w:spacing w:line="300" w:lineRule="exact"/>
                    <w:jc w:val="center"/>
                    <w:rPr>
                      <w:color w:val="auto"/>
                      <w:kern w:val="0"/>
                      <w:szCs w:val="21"/>
                    </w:rPr>
                  </w:pPr>
                  <w:r>
                    <w:rPr>
                      <w:rFonts w:hint="eastAsia"/>
                      <w:color w:val="auto"/>
                      <w:kern w:val="0"/>
                      <w:szCs w:val="21"/>
                    </w:rPr>
                    <w:t>空间布局管控</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color w:val="auto"/>
                      <w:kern w:val="0"/>
                      <w:szCs w:val="21"/>
                    </w:rPr>
                  </w:pPr>
                  <w:r>
                    <w:rPr>
                      <w:rFonts w:hint="eastAsia"/>
                      <w:color w:val="auto"/>
                      <w:kern w:val="0"/>
                      <w:szCs w:val="21"/>
                    </w:rPr>
                    <w:t>生态保护空间</w:t>
                  </w:r>
                </w:p>
              </w:tc>
              <w:tc>
                <w:tcPr>
                  <w:tcW w:w="2535" w:type="dxa"/>
                  <w:gridSpan w:val="3"/>
                  <w:tcBorders>
                    <w:top w:val="single" w:color="auto" w:sz="6" w:space="0"/>
                    <w:left w:val="single" w:color="auto" w:sz="6" w:space="0"/>
                    <w:bottom w:val="single" w:color="auto" w:sz="6" w:space="0"/>
                    <w:right w:val="single" w:color="auto" w:sz="6" w:space="0"/>
                  </w:tcBorders>
                  <w:vAlign w:val="center"/>
                </w:tcPr>
                <w:p>
                  <w:pPr>
                    <w:adjustRightInd w:val="0"/>
                    <w:jc w:val="left"/>
                    <w:rPr>
                      <w:color w:val="auto"/>
                      <w:kern w:val="0"/>
                      <w:szCs w:val="21"/>
                    </w:rPr>
                  </w:pPr>
                  <w:r>
                    <w:rPr>
                      <w:rFonts w:hint="eastAsia"/>
                      <w:color w:val="auto"/>
                      <w:szCs w:val="21"/>
                    </w:rPr>
                    <w:t>永安北部工业新城（一期）地块中部保留山体</w:t>
                  </w:r>
                  <w:r>
                    <w:rPr>
                      <w:rFonts w:hint="eastAsia"/>
                      <w:color w:val="auto"/>
                      <w:kern w:val="0"/>
                      <w:szCs w:val="21"/>
                    </w:rPr>
                    <w:t>，总面积约</w:t>
                  </w:r>
                  <w:r>
                    <w:rPr>
                      <w:color w:val="auto"/>
                      <w:kern w:val="0"/>
                      <w:szCs w:val="21"/>
                    </w:rPr>
                    <w:t>17.8hm</w:t>
                  </w:r>
                  <w:r>
                    <w:rPr>
                      <w:color w:val="auto"/>
                      <w:kern w:val="0"/>
                      <w:szCs w:val="21"/>
                      <w:vertAlign w:val="superscript"/>
                    </w:rPr>
                    <w:t>2</w:t>
                  </w:r>
                  <w:r>
                    <w:rPr>
                      <w:rFonts w:hint="eastAsia"/>
                      <w:color w:val="auto"/>
                      <w:kern w:val="0"/>
                      <w:szCs w:val="21"/>
                    </w:rPr>
                    <w:t>，作为园区内的生态空间保护范围，</w:t>
                  </w:r>
                  <w:r>
                    <w:rPr>
                      <w:rFonts w:hint="eastAsia"/>
                      <w:color w:val="auto"/>
                      <w:szCs w:val="21"/>
                    </w:rPr>
                    <w:t>除山体上现有高位水池因供水需要扩建外，禁止一切形式的工业开发。</w:t>
                  </w:r>
                </w:p>
              </w:tc>
              <w:tc>
                <w:tcPr>
                  <w:tcW w:w="23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left"/>
                    <w:rPr>
                      <w:color w:val="auto"/>
                      <w:kern w:val="0"/>
                      <w:szCs w:val="21"/>
                    </w:rPr>
                  </w:pPr>
                  <w:r>
                    <w:rPr>
                      <w:rFonts w:hint="eastAsia"/>
                      <w:color w:val="auto"/>
                      <w:kern w:val="0"/>
                      <w:szCs w:val="21"/>
                    </w:rPr>
                    <w:t>项目位于永安市北部工业新城（一期）西部地块，非</w:t>
                  </w:r>
                  <w:r>
                    <w:rPr>
                      <w:rFonts w:hint="eastAsia"/>
                      <w:color w:val="auto"/>
                      <w:szCs w:val="21"/>
                    </w:rPr>
                    <w:t>永安北部工业新城（一期）地块中部保留山体。</w:t>
                  </w:r>
                </w:p>
              </w:tc>
              <w:tc>
                <w:tcPr>
                  <w:tcW w:w="873" w:type="dxa"/>
                  <w:tcBorders>
                    <w:top w:val="single" w:color="auto" w:sz="6" w:space="0"/>
                    <w:left w:val="single" w:color="auto" w:sz="6" w:space="0"/>
                    <w:bottom w:val="single" w:color="auto" w:sz="6" w:space="0"/>
                  </w:tcBorders>
                  <w:vAlign w:val="center"/>
                </w:tcPr>
                <w:p>
                  <w:pPr>
                    <w:autoSpaceDE w:val="0"/>
                    <w:autoSpaceDN w:val="0"/>
                    <w:adjustRightInd w:val="0"/>
                    <w:spacing w:line="300" w:lineRule="exact"/>
                    <w:jc w:val="center"/>
                    <w:rPr>
                      <w:color w:val="auto"/>
                      <w:kern w:val="0"/>
                      <w:szCs w:val="21"/>
                    </w:rPr>
                  </w:pPr>
                  <w:r>
                    <w:rPr>
                      <w:rFonts w:hint="eastAsia"/>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59" w:type="dxa"/>
                  <w:vMerge w:val="continue"/>
                  <w:tcBorders>
                    <w:top w:val="single" w:color="auto" w:sz="6" w:space="0"/>
                    <w:bottom w:val="single" w:color="auto" w:sz="6" w:space="0"/>
                    <w:right w:val="single" w:color="auto" w:sz="6" w:space="0"/>
                  </w:tcBorders>
                  <w:vAlign w:val="center"/>
                </w:tcPr>
                <w:p>
                  <w:pPr>
                    <w:autoSpaceDE w:val="0"/>
                    <w:autoSpaceDN w:val="0"/>
                    <w:adjustRightInd w:val="0"/>
                    <w:spacing w:line="300" w:lineRule="exact"/>
                    <w:jc w:val="center"/>
                    <w:rPr>
                      <w:color w:val="auto"/>
                      <w:kern w:val="0"/>
                      <w:szCs w:val="21"/>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center"/>
                    <w:rPr>
                      <w:color w:val="auto"/>
                      <w:kern w:val="0"/>
                      <w:szCs w:val="21"/>
                    </w:rPr>
                  </w:pPr>
                  <w:r>
                    <w:rPr>
                      <w:rFonts w:hint="eastAsia"/>
                      <w:color w:val="auto"/>
                      <w:kern w:val="0"/>
                      <w:szCs w:val="21"/>
                    </w:rPr>
                    <w:t>生产空间</w:t>
                  </w:r>
                </w:p>
              </w:tc>
              <w:tc>
                <w:tcPr>
                  <w:tcW w:w="2535"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left"/>
                    <w:rPr>
                      <w:color w:val="auto"/>
                      <w:kern w:val="0"/>
                      <w:szCs w:val="21"/>
                    </w:rPr>
                  </w:pPr>
                  <w:r>
                    <w:rPr>
                      <w:rFonts w:hint="eastAsia"/>
                      <w:color w:val="auto"/>
                      <w:kern w:val="0"/>
                      <w:szCs w:val="21"/>
                    </w:rPr>
                    <w:t>（</w:t>
                  </w:r>
                  <w:r>
                    <w:rPr>
                      <w:color w:val="auto"/>
                      <w:kern w:val="0"/>
                      <w:szCs w:val="21"/>
                    </w:rPr>
                    <w:t>1</w:t>
                  </w:r>
                  <w:r>
                    <w:rPr>
                      <w:rFonts w:hint="eastAsia"/>
                      <w:color w:val="auto"/>
                      <w:kern w:val="0"/>
                      <w:szCs w:val="21"/>
                    </w:rPr>
                    <w:t>）飞桥村西侧工业用地宽度为</w:t>
                  </w:r>
                  <w:r>
                    <w:rPr>
                      <w:color w:val="auto"/>
                      <w:kern w:val="0"/>
                      <w:szCs w:val="21"/>
                    </w:rPr>
                    <w:t>50m</w:t>
                  </w:r>
                  <w:r>
                    <w:rPr>
                      <w:rFonts w:hint="eastAsia"/>
                      <w:color w:val="auto"/>
                      <w:kern w:val="0"/>
                      <w:szCs w:val="21"/>
                    </w:rPr>
                    <w:t>的区域内，（</w:t>
                  </w:r>
                  <w:r>
                    <w:rPr>
                      <w:color w:val="auto"/>
                      <w:kern w:val="0"/>
                      <w:szCs w:val="21"/>
                    </w:rPr>
                    <w:t>2</w:t>
                  </w:r>
                  <w:r>
                    <w:rPr>
                      <w:rFonts w:hint="eastAsia"/>
                      <w:color w:val="auto"/>
                      <w:kern w:val="0"/>
                      <w:szCs w:val="21"/>
                    </w:rPr>
                    <w:t>）北部工业新城东边界处工业用地宽度为</w:t>
                  </w:r>
                  <w:r>
                    <w:rPr>
                      <w:color w:val="auto"/>
                      <w:kern w:val="0"/>
                      <w:szCs w:val="21"/>
                    </w:rPr>
                    <w:t>50m</w:t>
                  </w:r>
                  <w:r>
                    <w:rPr>
                      <w:rFonts w:hint="eastAsia"/>
                      <w:color w:val="auto"/>
                      <w:kern w:val="0"/>
                      <w:szCs w:val="21"/>
                    </w:rPr>
                    <w:t>的区域内，</w:t>
                  </w:r>
                  <w:r>
                    <w:rPr>
                      <w:rFonts w:hint="eastAsia"/>
                      <w:color w:val="auto"/>
                      <w:szCs w:val="21"/>
                    </w:rPr>
                    <w:t>禁止布设有机废气等大气污染物排放量大的企业；禁止企业内部高噪声设备、大气无组织排放源等应布设在管制区内；可作为企业内部的办公、宿舍、食堂等综合用地。</w:t>
                  </w:r>
                </w:p>
              </w:tc>
              <w:tc>
                <w:tcPr>
                  <w:tcW w:w="230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00" w:lineRule="exact"/>
                    <w:jc w:val="left"/>
                    <w:rPr>
                      <w:color w:val="auto"/>
                      <w:kern w:val="0"/>
                      <w:szCs w:val="21"/>
                    </w:rPr>
                  </w:pPr>
                  <w:r>
                    <w:rPr>
                      <w:rFonts w:hint="eastAsia"/>
                      <w:color w:val="auto"/>
                      <w:kern w:val="0"/>
                      <w:szCs w:val="21"/>
                    </w:rPr>
                    <w:t>项目位于永安市北部工业新城（一期）西部地块，不属于飞桥村工业用区域及北部工业新城东边界区域内。</w:t>
                  </w:r>
                </w:p>
              </w:tc>
              <w:tc>
                <w:tcPr>
                  <w:tcW w:w="873" w:type="dxa"/>
                  <w:tcBorders>
                    <w:top w:val="single" w:color="auto" w:sz="6" w:space="0"/>
                    <w:left w:val="single" w:color="auto" w:sz="6" w:space="0"/>
                    <w:bottom w:val="single" w:color="auto" w:sz="6" w:space="0"/>
                  </w:tcBorders>
                  <w:vAlign w:val="center"/>
                </w:tcPr>
                <w:p>
                  <w:pPr>
                    <w:autoSpaceDE w:val="0"/>
                    <w:autoSpaceDN w:val="0"/>
                    <w:adjustRightInd w:val="0"/>
                    <w:spacing w:line="300" w:lineRule="exact"/>
                    <w:jc w:val="center"/>
                    <w:rPr>
                      <w:color w:val="auto"/>
                      <w:kern w:val="0"/>
                      <w:szCs w:val="21"/>
                    </w:rPr>
                  </w:pPr>
                  <w:r>
                    <w:rPr>
                      <w:rFonts w:hint="eastAsia"/>
                      <w:color w:val="auto"/>
                      <w:kern w:val="0"/>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jc w:val="center"/>
              </w:trPr>
              <w:tc>
                <w:tcPr>
                  <w:tcW w:w="459" w:type="dxa"/>
                  <w:vMerge w:val="continue"/>
                  <w:tcBorders>
                    <w:top w:val="single" w:color="auto" w:sz="6" w:space="0"/>
                    <w:bottom w:val="single" w:color="auto" w:sz="12" w:space="0"/>
                    <w:right w:val="single" w:color="auto" w:sz="6" w:space="0"/>
                  </w:tcBorders>
                  <w:vAlign w:val="center"/>
                </w:tcPr>
                <w:p>
                  <w:pPr>
                    <w:autoSpaceDE w:val="0"/>
                    <w:autoSpaceDN w:val="0"/>
                    <w:adjustRightInd w:val="0"/>
                    <w:spacing w:line="300" w:lineRule="exact"/>
                    <w:jc w:val="center"/>
                    <w:rPr>
                      <w:color w:val="auto"/>
                      <w:kern w:val="0"/>
                      <w:szCs w:val="21"/>
                    </w:rPr>
                  </w:pPr>
                </w:p>
              </w:tc>
              <w:tc>
                <w:tcPr>
                  <w:tcW w:w="716" w:type="dxa"/>
                  <w:tcBorders>
                    <w:top w:val="single" w:color="auto" w:sz="6" w:space="0"/>
                    <w:left w:val="single" w:color="auto" w:sz="6" w:space="0"/>
                    <w:bottom w:val="single" w:color="auto" w:sz="12" w:space="0"/>
                    <w:right w:val="single" w:color="auto" w:sz="6" w:space="0"/>
                  </w:tcBorders>
                  <w:vAlign w:val="center"/>
                </w:tcPr>
                <w:p>
                  <w:pPr>
                    <w:jc w:val="center"/>
                    <w:rPr>
                      <w:color w:val="auto"/>
                      <w:szCs w:val="21"/>
                    </w:rPr>
                  </w:pPr>
                  <w:r>
                    <w:rPr>
                      <w:rFonts w:hint="eastAsia"/>
                      <w:color w:val="auto"/>
                      <w:szCs w:val="21"/>
                    </w:rPr>
                    <w:t>非金属矿物制品</w:t>
                  </w:r>
                </w:p>
              </w:tc>
              <w:tc>
                <w:tcPr>
                  <w:tcW w:w="641" w:type="dxa"/>
                  <w:tcBorders>
                    <w:top w:val="single" w:color="auto" w:sz="6" w:space="0"/>
                    <w:left w:val="single" w:color="auto" w:sz="6" w:space="0"/>
                    <w:bottom w:val="single" w:color="auto" w:sz="12" w:space="0"/>
                    <w:right w:val="single" w:color="auto" w:sz="6" w:space="0"/>
                  </w:tcBorders>
                  <w:vAlign w:val="center"/>
                </w:tcPr>
                <w:p>
                  <w:pPr>
                    <w:jc w:val="left"/>
                    <w:rPr>
                      <w:color w:val="auto"/>
                      <w:szCs w:val="21"/>
                    </w:rPr>
                  </w:pPr>
                  <w:r>
                    <w:rPr>
                      <w:color w:val="auto"/>
                      <w:szCs w:val="21"/>
                    </w:rPr>
                    <w:t>[C30]</w:t>
                  </w:r>
                  <w:r>
                    <w:rPr>
                      <w:rFonts w:hint="eastAsia"/>
                      <w:color w:val="auto"/>
                      <w:szCs w:val="21"/>
                    </w:rPr>
                    <w:t>非金属矿物制品业</w:t>
                  </w:r>
                </w:p>
              </w:tc>
              <w:tc>
                <w:tcPr>
                  <w:tcW w:w="983" w:type="dxa"/>
                  <w:tcBorders>
                    <w:top w:val="single" w:color="auto" w:sz="6" w:space="0"/>
                    <w:left w:val="single" w:color="auto" w:sz="6" w:space="0"/>
                    <w:bottom w:val="single" w:color="auto" w:sz="12" w:space="0"/>
                    <w:right w:val="single" w:color="auto" w:sz="6" w:space="0"/>
                  </w:tcBorders>
                  <w:vAlign w:val="center"/>
                </w:tcPr>
                <w:p>
                  <w:pPr>
                    <w:jc w:val="left"/>
                    <w:rPr>
                      <w:color w:val="auto"/>
                      <w:szCs w:val="21"/>
                    </w:rPr>
                  </w:pPr>
                  <w:r>
                    <w:rPr>
                      <w:color w:val="auto"/>
                      <w:szCs w:val="21"/>
                    </w:rPr>
                    <w:t>[C302]</w:t>
                  </w:r>
                  <w:r>
                    <w:rPr>
                      <w:rFonts w:hint="eastAsia"/>
                      <w:color w:val="auto"/>
                      <w:szCs w:val="21"/>
                    </w:rPr>
                    <w:t>中的</w:t>
                  </w:r>
                  <w:r>
                    <w:rPr>
                      <w:color w:val="auto"/>
                      <w:szCs w:val="21"/>
                    </w:rPr>
                    <w:t>[C3023]</w:t>
                  </w:r>
                  <w:r>
                    <w:rPr>
                      <w:rFonts w:hint="eastAsia"/>
                      <w:color w:val="auto"/>
                      <w:szCs w:val="21"/>
                    </w:rPr>
                    <w:t>石棉水泥制品制造、</w:t>
                  </w:r>
                  <w:r>
                    <w:rPr>
                      <w:color w:val="auto"/>
                      <w:szCs w:val="21"/>
                    </w:rPr>
                    <w:t>[C3024]</w:t>
                  </w:r>
                  <w:r>
                    <w:rPr>
                      <w:rFonts w:hint="eastAsia"/>
                      <w:color w:val="auto"/>
                      <w:szCs w:val="21"/>
                    </w:rPr>
                    <w:t>轻质建筑材料制造和</w:t>
                  </w:r>
                  <w:r>
                    <w:rPr>
                      <w:color w:val="auto"/>
                      <w:szCs w:val="21"/>
                    </w:rPr>
                    <w:t>[C3029]</w:t>
                  </w:r>
                  <w:r>
                    <w:rPr>
                      <w:rFonts w:hint="eastAsia"/>
                      <w:color w:val="auto"/>
                      <w:szCs w:val="21"/>
                    </w:rPr>
                    <w:t>其他水泥类似制品制造</w:t>
                  </w:r>
                </w:p>
              </w:tc>
              <w:tc>
                <w:tcPr>
                  <w:tcW w:w="911" w:type="dxa"/>
                  <w:tcBorders>
                    <w:top w:val="single" w:color="auto" w:sz="6" w:space="0"/>
                    <w:left w:val="single" w:color="auto" w:sz="6" w:space="0"/>
                    <w:bottom w:val="single" w:color="auto" w:sz="12" w:space="0"/>
                    <w:right w:val="single" w:color="auto" w:sz="6" w:space="0"/>
                  </w:tcBorders>
                  <w:vAlign w:val="center"/>
                </w:tcPr>
                <w:p>
                  <w:pPr>
                    <w:autoSpaceDE w:val="0"/>
                    <w:autoSpaceDN w:val="0"/>
                    <w:adjustRightInd w:val="0"/>
                    <w:spacing w:line="300" w:lineRule="exact"/>
                    <w:jc w:val="center"/>
                    <w:rPr>
                      <w:color w:val="auto"/>
                      <w:kern w:val="0"/>
                      <w:szCs w:val="21"/>
                    </w:rPr>
                  </w:pPr>
                  <w:r>
                    <w:rPr>
                      <w:color w:val="auto"/>
                      <w:szCs w:val="21"/>
                    </w:rPr>
                    <w:t>--</w:t>
                  </w:r>
                </w:p>
              </w:tc>
              <w:tc>
                <w:tcPr>
                  <w:tcW w:w="2308" w:type="dxa"/>
                  <w:tcBorders>
                    <w:top w:val="single" w:color="auto" w:sz="6" w:space="0"/>
                    <w:left w:val="single" w:color="auto" w:sz="6" w:space="0"/>
                    <w:bottom w:val="single" w:color="auto" w:sz="12" w:space="0"/>
                    <w:right w:val="single" w:color="auto" w:sz="6" w:space="0"/>
                  </w:tcBorders>
                  <w:vAlign w:val="center"/>
                </w:tcPr>
                <w:p>
                  <w:pPr>
                    <w:autoSpaceDE w:val="0"/>
                    <w:autoSpaceDN w:val="0"/>
                    <w:adjustRightInd w:val="0"/>
                    <w:spacing w:line="300" w:lineRule="exact"/>
                    <w:jc w:val="left"/>
                    <w:rPr>
                      <w:color w:val="auto"/>
                      <w:kern w:val="0"/>
                      <w:szCs w:val="21"/>
                    </w:rPr>
                  </w:pPr>
                  <w:r>
                    <w:rPr>
                      <w:rFonts w:hint="eastAsia"/>
                      <w:color w:val="auto"/>
                      <w:kern w:val="0"/>
                      <w:szCs w:val="21"/>
                    </w:rPr>
                    <w:t>本项目对石英矿进行加工成石英粉后与水泥、纸浆板等原料进一步加工成硅酸钙板。属于</w:t>
                  </w:r>
                  <w:r>
                    <w:rPr>
                      <w:rFonts w:hint="eastAsia"/>
                      <w:color w:val="auto"/>
                      <w:szCs w:val="21"/>
                    </w:rPr>
                    <w:t>轻质建筑材料制造</w:t>
                  </w:r>
                  <w:r>
                    <w:rPr>
                      <w:color w:val="auto"/>
                      <w:sz w:val="24"/>
                    </w:rPr>
                    <w:t>C3024</w:t>
                  </w:r>
                  <w:r>
                    <w:rPr>
                      <w:rFonts w:hint="eastAsia"/>
                      <w:color w:val="auto"/>
                      <w:szCs w:val="21"/>
                    </w:rPr>
                    <w:t>。</w:t>
                  </w:r>
                </w:p>
              </w:tc>
              <w:tc>
                <w:tcPr>
                  <w:tcW w:w="873" w:type="dxa"/>
                  <w:tcBorders>
                    <w:top w:val="single" w:color="auto" w:sz="6" w:space="0"/>
                    <w:left w:val="single" w:color="auto" w:sz="6" w:space="0"/>
                    <w:bottom w:val="single" w:color="auto" w:sz="12" w:space="0"/>
                  </w:tcBorders>
                  <w:vAlign w:val="center"/>
                </w:tcPr>
                <w:p>
                  <w:pPr>
                    <w:autoSpaceDE w:val="0"/>
                    <w:autoSpaceDN w:val="0"/>
                    <w:adjustRightInd w:val="0"/>
                    <w:spacing w:line="300" w:lineRule="exact"/>
                    <w:jc w:val="center"/>
                    <w:rPr>
                      <w:color w:val="auto"/>
                      <w:kern w:val="0"/>
                      <w:szCs w:val="21"/>
                    </w:rPr>
                  </w:pPr>
                  <w:r>
                    <w:rPr>
                      <w:rFonts w:hint="eastAsia"/>
                      <w:color w:val="auto"/>
                      <w:kern w:val="0"/>
                      <w:szCs w:val="21"/>
                    </w:rPr>
                    <w:t>符合</w:t>
                  </w:r>
                </w:p>
              </w:tc>
            </w:tr>
          </w:tbl>
          <w:p>
            <w:pPr>
              <w:pStyle w:val="174"/>
              <w:rPr>
                <w:color w:val="auto"/>
              </w:rPr>
            </w:pPr>
            <w:r>
              <w:rPr>
                <w:color w:val="auto"/>
              </w:rPr>
              <w:t>1.2.2</w:t>
            </w:r>
            <w:r>
              <w:rPr>
                <w:rFonts w:hint="eastAsia"/>
                <w:color w:val="auto"/>
              </w:rPr>
              <w:t>规划环评污染控制措施与减缓对策</w:t>
            </w:r>
          </w:p>
          <w:p>
            <w:pPr>
              <w:pStyle w:val="122"/>
              <w:adjustRightInd/>
              <w:snapToGrid/>
              <w:spacing w:line="360" w:lineRule="auto"/>
              <w:ind w:firstLine="480" w:firstLineChars="200"/>
              <w:jc w:val="both"/>
              <w:rPr>
                <w:color w:val="auto"/>
                <w:sz w:val="24"/>
                <w:szCs w:val="32"/>
              </w:rPr>
            </w:pPr>
            <w:r>
              <w:rPr>
                <w:rFonts w:hint="eastAsia"/>
                <w:color w:val="auto"/>
                <w:sz w:val="24"/>
                <w:szCs w:val="32"/>
              </w:rPr>
              <w:t>《永安北部工业新城（三期）控制性详细规划修编（</w:t>
            </w:r>
            <w:r>
              <w:rPr>
                <w:color w:val="auto"/>
                <w:sz w:val="24"/>
                <w:szCs w:val="32"/>
              </w:rPr>
              <w:t>2019-2030</w:t>
            </w:r>
            <w:r>
              <w:rPr>
                <w:rFonts w:hint="eastAsia"/>
                <w:color w:val="auto"/>
                <w:sz w:val="24"/>
                <w:szCs w:val="32"/>
              </w:rPr>
              <w:t>）环境影响报告书》指出推荐引进的林竹深加工，高端纺织，机械制造，医药制造，非金属矿物制品，化工材料，新能源材料，食品制造，橡胶和塑料制品，废弃资源综合利用。严格限制高耗水、涉及重金属排放的企业入园。本项目为硅酸钙板制造属于推荐引进非金属矿物制品，生产过程中产生的废水全部回用生产，不外排，不属于高耗水、涉及重金属排放；本项目生产过程中废气主要来自石矿破碎、筛分，半成品磨边的产生的颗粒物，根据生产工艺建设单位对各废气产生环节设计废气收集及处理设施进行治理，废气达标排放；硅酸钙板在蒸养、烘干过程中需使用的热源（蒸汽），北部工业新城（三期）规划主要使用的能源为电力、集中供热和天然气，其中集中供热的热源来自永安火电厂。本项目热源使用永安火电厂，未新建锅炉，无</w:t>
            </w:r>
            <w:r>
              <w:rPr>
                <w:color w:val="auto"/>
                <w:sz w:val="24"/>
                <w:szCs w:val="32"/>
              </w:rPr>
              <w:t>SO</w:t>
            </w:r>
            <w:r>
              <w:rPr>
                <w:color w:val="auto"/>
                <w:sz w:val="24"/>
                <w:szCs w:val="32"/>
                <w:vertAlign w:val="subscript"/>
              </w:rPr>
              <w:t>2</w:t>
            </w:r>
            <w:r>
              <w:rPr>
                <w:rFonts w:hint="eastAsia"/>
                <w:color w:val="auto"/>
                <w:sz w:val="24"/>
                <w:szCs w:val="32"/>
              </w:rPr>
              <w:t>、</w:t>
            </w:r>
            <w:r>
              <w:rPr>
                <w:color w:val="auto"/>
                <w:sz w:val="24"/>
                <w:szCs w:val="32"/>
              </w:rPr>
              <w:t>NO</w:t>
            </w:r>
            <w:r>
              <w:rPr>
                <w:color w:val="auto"/>
                <w:sz w:val="24"/>
                <w:szCs w:val="32"/>
                <w:vertAlign w:val="subscript"/>
              </w:rPr>
              <w:t>x</w:t>
            </w:r>
            <w:r>
              <w:rPr>
                <w:rFonts w:hint="eastAsia"/>
                <w:color w:val="auto"/>
                <w:sz w:val="24"/>
                <w:szCs w:val="32"/>
              </w:rPr>
              <w:t>排放。符合规划环评污染控制措施与减缓对策相关要求。</w:t>
            </w:r>
          </w:p>
          <w:p>
            <w:pPr>
              <w:pStyle w:val="122"/>
              <w:adjustRightInd/>
              <w:snapToGrid/>
              <w:spacing w:line="360" w:lineRule="auto"/>
              <w:ind w:firstLine="420" w:firstLineChars="200"/>
              <w:jc w:val="both"/>
              <w:rPr>
                <w:color w:val="auto"/>
              </w:rPr>
            </w:pPr>
          </w:p>
        </w:tc>
      </w:tr>
    </w:tbl>
    <w:p>
      <w:pPr>
        <w:sectPr>
          <w:footerReference r:id="rId5" w:type="default"/>
          <w:pgSz w:w="11906" w:h="16838"/>
          <w:pgMar w:top="1701" w:right="1531" w:bottom="1701" w:left="1531" w:header="851" w:footer="992" w:gutter="0"/>
          <w:pgBorders>
            <w:top w:val="none" w:sz="0" w:space="0"/>
            <w:left w:val="none" w:sz="0" w:space="0"/>
            <w:bottom w:val="none" w:sz="0" w:space="0"/>
            <w:right w:val="none" w:sz="0" w:space="0"/>
          </w:pgBorders>
          <w:pgNumType w:start="1"/>
          <w:cols w:space="720" w:num="1"/>
          <w:docGrid w:linePitch="312" w:charSpace="0"/>
        </w:sectPr>
      </w:pPr>
    </w:p>
    <w:tbl>
      <w:tblPr>
        <w:tblStyle w:val="27"/>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0"/>
        <w:gridCol w:w="82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580" w:type="dxa"/>
            <w:tcBorders>
              <w:top w:val="single" w:color="auto" w:sz="8" w:space="0"/>
              <w:bottom w:val="single" w:color="auto" w:sz="8" w:space="0"/>
            </w:tcBorders>
            <w:vAlign w:val="center"/>
          </w:tcPr>
          <w:p>
            <w:pPr>
              <w:autoSpaceDE w:val="0"/>
              <w:autoSpaceDN w:val="0"/>
              <w:spacing w:line="360" w:lineRule="auto"/>
              <w:jc w:val="center"/>
              <w:rPr>
                <w:b/>
                <w:color w:val="auto"/>
                <w:kern w:val="0"/>
                <w:sz w:val="24"/>
                <w:szCs w:val="21"/>
              </w:rPr>
            </w:pPr>
            <w:r>
              <w:rPr>
                <w:rFonts w:hint="eastAsia"/>
                <w:b/>
                <w:color w:val="auto"/>
                <w:kern w:val="0"/>
                <w:sz w:val="24"/>
                <w:szCs w:val="21"/>
              </w:rPr>
              <w:t>其他符合性分析</w:t>
            </w:r>
          </w:p>
        </w:tc>
        <w:tc>
          <w:tcPr>
            <w:tcW w:w="8290" w:type="dxa"/>
            <w:tcBorders>
              <w:top w:val="single" w:color="auto" w:sz="8" w:space="0"/>
              <w:bottom w:val="single" w:color="auto" w:sz="8" w:space="0"/>
            </w:tcBorders>
            <w:vAlign w:val="center"/>
          </w:tcPr>
          <w:p>
            <w:pPr>
              <w:pStyle w:val="83"/>
              <w:adjustRightInd/>
              <w:snapToGrid/>
              <w:spacing w:beforeLines="50"/>
              <w:rPr>
                <w:color w:val="auto"/>
              </w:rPr>
            </w:pPr>
            <w:r>
              <w:rPr>
                <w:color w:val="auto"/>
              </w:rPr>
              <w:t>1.3</w:t>
            </w:r>
            <w:r>
              <w:rPr>
                <w:rFonts w:hint="eastAsia"/>
                <w:color w:val="auto"/>
              </w:rPr>
              <w:t>产业政策符合性分析</w:t>
            </w:r>
          </w:p>
          <w:p>
            <w:pPr>
              <w:pStyle w:val="67"/>
              <w:ind w:firstLine="31680"/>
              <w:rPr>
                <w:color w:val="auto"/>
              </w:rPr>
            </w:pPr>
            <w:r>
              <w:rPr>
                <w:rFonts w:hint="eastAsia"/>
                <w:color w:val="auto"/>
              </w:rPr>
              <w:t>本项目使用的鄂破机、雷蒙磨、三网箱抄取成型机、堆垛机、磨边倒角机、烘干机等生产设备不属于淘汰类设备。根据国家发展和改革委员会第</w:t>
            </w:r>
            <w:r>
              <w:rPr>
                <w:color w:val="auto"/>
              </w:rPr>
              <w:t>29</w:t>
            </w:r>
            <w:r>
              <w:rPr>
                <w:rFonts w:hint="eastAsia"/>
                <w:color w:val="auto"/>
              </w:rPr>
              <w:t>号令《产业结构调整指导目录（</w:t>
            </w:r>
            <w:r>
              <w:rPr>
                <w:color w:val="auto"/>
              </w:rPr>
              <w:t>2019</w:t>
            </w:r>
            <w:r>
              <w:rPr>
                <w:rFonts w:hint="eastAsia"/>
                <w:color w:val="auto"/>
              </w:rPr>
              <w:t>年本）》，本项目不属于其中限制类、淘汰类项目；对照《部分工业行业淘汰落后生产工艺装备和产品指导目录（</w:t>
            </w:r>
            <w:r>
              <w:rPr>
                <w:color w:val="auto"/>
              </w:rPr>
              <w:t>2010</w:t>
            </w:r>
            <w:r>
              <w:rPr>
                <w:rFonts w:hint="eastAsia"/>
                <w:color w:val="auto"/>
              </w:rPr>
              <w:t>年本）》本项目生产工艺装备和产品不属于淘汰落后的装备和产品，可进行工业生产。项目已取得永安市发展和改革局的备案表（备案号：闽发改备</w:t>
            </w:r>
            <w:r>
              <w:rPr>
                <w:color w:val="auto"/>
              </w:rPr>
              <w:t>[2022]G030166</w:t>
            </w:r>
            <w:r>
              <w:rPr>
                <w:rFonts w:hint="eastAsia"/>
                <w:color w:val="auto"/>
              </w:rPr>
              <w:t>号），由此可知，本项目的建设符合国家产业政策的要求。</w:t>
            </w:r>
          </w:p>
          <w:p>
            <w:pPr>
              <w:pStyle w:val="83"/>
              <w:adjustRightInd/>
              <w:snapToGrid/>
              <w:spacing w:beforeLines="50"/>
              <w:rPr>
                <w:color w:val="auto"/>
              </w:rPr>
            </w:pPr>
            <w:bookmarkStart w:id="2" w:name="_Toc23206"/>
            <w:bookmarkStart w:id="3" w:name="_Toc14428"/>
            <w:r>
              <w:rPr>
                <w:color w:val="auto"/>
              </w:rPr>
              <w:t>1.</w:t>
            </w:r>
            <w:bookmarkStart w:id="4" w:name="_Toc20167"/>
            <w:bookmarkStart w:id="5" w:name="_Toc11029"/>
            <w:bookmarkStart w:id="6" w:name="_Toc8931"/>
            <w:r>
              <w:rPr>
                <w:color w:val="auto"/>
              </w:rPr>
              <w:t>4</w:t>
            </w:r>
            <w:r>
              <w:rPr>
                <w:rFonts w:hint="eastAsia"/>
                <w:color w:val="auto"/>
              </w:rPr>
              <w:t>项目选址合理性及环境相容性分析</w:t>
            </w:r>
            <w:bookmarkEnd w:id="2"/>
            <w:bookmarkEnd w:id="3"/>
            <w:bookmarkEnd w:id="4"/>
            <w:bookmarkEnd w:id="5"/>
            <w:bookmarkEnd w:id="6"/>
          </w:p>
          <w:p>
            <w:pPr>
              <w:pStyle w:val="67"/>
              <w:ind w:firstLine="31680"/>
              <w:rPr>
                <w:color w:val="auto"/>
                <w:lang w:val="zh-TW" w:eastAsia="zh-TW"/>
              </w:rPr>
            </w:pPr>
            <w:r>
              <w:rPr>
                <w:rFonts w:hint="eastAsia"/>
                <w:color w:val="auto"/>
                <w:lang w:val="zh-TW" w:eastAsia="zh-TW"/>
              </w:rPr>
              <w:t>项目位于永安市曹远镇坑边路</w:t>
            </w:r>
            <w:r>
              <w:rPr>
                <w:rFonts w:hint="eastAsia"/>
                <w:color w:val="auto"/>
                <w:lang w:val="zh-TW"/>
              </w:rPr>
              <w:t>（北部工业新城鑫华港饲料东侧）</w:t>
            </w:r>
            <w:r>
              <w:rPr>
                <w:rFonts w:hint="eastAsia"/>
                <w:color w:val="auto"/>
              </w:rPr>
              <w:t>，</w:t>
            </w:r>
            <w:r>
              <w:rPr>
                <w:rFonts w:hint="eastAsia"/>
                <w:color w:val="auto"/>
                <w:lang w:val="zh-TW" w:eastAsia="zh-TW"/>
              </w:rPr>
              <w:t>根据建设单位提供的《国有建设用地使用权出让合同》（宗地流程号</w:t>
            </w:r>
            <w:r>
              <w:rPr>
                <w:rFonts w:hint="eastAsia"/>
                <w:color w:val="auto"/>
                <w:lang w:val="zh-TW"/>
              </w:rPr>
              <w:t>：</w:t>
            </w:r>
            <w:r>
              <w:rPr>
                <w:color w:val="auto"/>
                <w:lang w:val="zh-TW" w:eastAsia="zh-TW"/>
              </w:rPr>
              <w:t>Z3504812023030056</w:t>
            </w:r>
            <w:r>
              <w:rPr>
                <w:rFonts w:hint="eastAsia"/>
                <w:color w:val="auto"/>
                <w:lang w:val="zh-TW" w:eastAsia="zh-TW"/>
              </w:rPr>
              <w:t>），土地主要用途为工矿仓储</w:t>
            </w:r>
            <w:r>
              <w:rPr>
                <w:color w:val="auto"/>
                <w:lang w:val="zh-TW" w:eastAsia="zh-TW"/>
              </w:rPr>
              <w:t>—</w:t>
            </w:r>
            <w:r>
              <w:rPr>
                <w:rFonts w:hint="eastAsia"/>
                <w:color w:val="auto"/>
                <w:lang w:val="zh-TW" w:eastAsia="zh-TW"/>
              </w:rPr>
              <w:t>工业用地</w:t>
            </w:r>
            <w:r>
              <w:rPr>
                <w:rFonts w:hint="eastAsia"/>
                <w:color w:val="auto"/>
                <w:lang w:val="zh-TW"/>
              </w:rPr>
              <w:t>，</w:t>
            </w:r>
            <w:r>
              <w:rPr>
                <w:rFonts w:hint="eastAsia"/>
                <w:color w:val="auto"/>
              </w:rPr>
              <w:t>详见附图</w:t>
            </w:r>
            <w:r>
              <w:rPr>
                <w:color w:val="auto"/>
              </w:rPr>
              <w:t>6</w:t>
            </w:r>
            <w:r>
              <w:rPr>
                <w:rFonts w:hint="eastAsia"/>
                <w:color w:val="auto"/>
                <w:lang w:val="zh-TW" w:eastAsia="zh-TW"/>
              </w:rPr>
              <w:t>。</w:t>
            </w:r>
          </w:p>
          <w:p>
            <w:pPr>
              <w:pStyle w:val="67"/>
              <w:ind w:firstLine="31680"/>
              <w:rPr>
                <w:color w:val="auto"/>
                <w:lang w:val="zh-TW"/>
              </w:rPr>
            </w:pPr>
            <w:r>
              <w:rPr>
                <w:rFonts w:hint="eastAsia"/>
                <w:color w:val="auto"/>
                <w:lang w:val="zh-TW" w:eastAsia="zh-TW"/>
              </w:rPr>
              <w:t>通过相关现状监测资料可知，项目所在地环境质量较好，满足其所在区域环境功能区规划要求，有一定的环境容量；项目生产设备较为先进，原材料的</w:t>
            </w:r>
            <w:r>
              <w:rPr>
                <w:rFonts w:hint="eastAsia"/>
                <w:color w:val="auto"/>
              </w:rPr>
              <w:t>卸料</w:t>
            </w:r>
            <w:r>
              <w:rPr>
                <w:rFonts w:hint="eastAsia"/>
                <w:color w:val="auto"/>
                <w:lang w:val="zh-TW" w:eastAsia="zh-TW"/>
              </w:rPr>
              <w:t>、</w:t>
            </w:r>
            <w:r>
              <w:rPr>
                <w:rFonts w:hint="eastAsia"/>
                <w:color w:val="auto"/>
              </w:rPr>
              <w:t>破损</w:t>
            </w:r>
            <w:r>
              <w:rPr>
                <w:rFonts w:hint="eastAsia"/>
                <w:color w:val="auto"/>
                <w:lang w:val="zh-TW" w:eastAsia="zh-TW"/>
              </w:rPr>
              <w:t>及污染物的排放均进行严格的控制，各污染物能够达标排放，对周围环境的影响均可在接受范围内，项目选址与周边环境基本相容。综上所述，项目选址</w:t>
            </w:r>
            <w:r>
              <w:rPr>
                <w:rFonts w:hint="eastAsia"/>
                <w:color w:val="auto"/>
              </w:rPr>
              <w:t>合理</w:t>
            </w:r>
            <w:r>
              <w:rPr>
                <w:rFonts w:hint="eastAsia"/>
                <w:color w:val="auto"/>
                <w:lang w:val="zh-TW"/>
              </w:rPr>
              <w:t>。</w:t>
            </w:r>
          </w:p>
          <w:p>
            <w:pPr>
              <w:pStyle w:val="83"/>
              <w:adjustRightInd/>
              <w:snapToGrid/>
              <w:spacing w:beforeLines="50"/>
              <w:rPr>
                <w:color w:val="auto"/>
              </w:rPr>
            </w:pPr>
            <w:r>
              <w:rPr>
                <w:color w:val="auto"/>
              </w:rPr>
              <w:t>1.5</w:t>
            </w:r>
            <w:r>
              <w:rPr>
                <w:rFonts w:hint="eastAsia"/>
                <w:color w:val="auto"/>
              </w:rPr>
              <w:t>“三线一单”控制要求符合性分析</w:t>
            </w:r>
          </w:p>
          <w:p>
            <w:pPr>
              <w:pStyle w:val="174"/>
              <w:rPr>
                <w:color w:val="auto"/>
              </w:rPr>
            </w:pPr>
            <w:r>
              <w:rPr>
                <w:color w:val="auto"/>
              </w:rPr>
              <w:t>1.5.1</w:t>
            </w:r>
            <w:r>
              <w:rPr>
                <w:rFonts w:hint="eastAsia"/>
                <w:color w:val="auto"/>
              </w:rPr>
              <w:t>生态保护红线</w:t>
            </w:r>
          </w:p>
          <w:p>
            <w:pPr>
              <w:snapToGrid w:val="0"/>
              <w:spacing w:line="360" w:lineRule="auto"/>
              <w:ind w:firstLine="480" w:firstLineChars="200"/>
              <w:rPr>
                <w:color w:val="auto"/>
              </w:rPr>
            </w:pPr>
            <w:r>
              <w:rPr>
                <w:rFonts w:hint="eastAsia"/>
                <w:color w:val="auto"/>
                <w:sz w:val="24"/>
              </w:rPr>
              <w:t>对照《三明市人民政府关于印发三明市“三线一单”生态环境分区管控方案的通知》（明政〔</w:t>
            </w:r>
            <w:r>
              <w:rPr>
                <w:color w:val="auto"/>
                <w:sz w:val="24"/>
              </w:rPr>
              <w:t>2021</w:t>
            </w:r>
            <w:r>
              <w:rPr>
                <w:rFonts w:hint="eastAsia"/>
                <w:color w:val="auto"/>
                <w:sz w:val="24"/>
              </w:rPr>
              <w:t>〕</w:t>
            </w:r>
            <w:r>
              <w:rPr>
                <w:color w:val="auto"/>
                <w:sz w:val="24"/>
              </w:rPr>
              <w:t>4</w:t>
            </w:r>
            <w:r>
              <w:rPr>
                <w:rFonts w:hint="eastAsia"/>
                <w:color w:val="auto"/>
                <w:sz w:val="24"/>
              </w:rPr>
              <w:t>号），并对照“三明市生态保护红线范围图”，项目建设区未涉及生态保护红线，因此项目建设与生态保</w:t>
            </w:r>
            <w:r>
              <w:rPr>
                <w:rFonts w:hint="eastAsia" w:ascii="宋体" w:hAnsi="宋体" w:cs="宋体"/>
                <w:color w:val="auto"/>
                <w:kern w:val="0"/>
                <w:sz w:val="24"/>
              </w:rPr>
              <w:t>护红线管控要求不冲突。</w:t>
            </w:r>
          </w:p>
          <w:p>
            <w:pPr>
              <w:pStyle w:val="174"/>
              <w:rPr>
                <w:color w:val="auto"/>
              </w:rPr>
            </w:pPr>
            <w:r>
              <w:rPr>
                <w:color w:val="auto"/>
              </w:rPr>
              <w:t>1.5.2</w:t>
            </w:r>
            <w:r>
              <w:rPr>
                <w:rFonts w:hint="eastAsia"/>
                <w:color w:val="auto"/>
              </w:rPr>
              <w:t>与环境质量底线的相符性分析</w:t>
            </w:r>
          </w:p>
          <w:p>
            <w:pPr>
              <w:snapToGrid w:val="0"/>
              <w:spacing w:line="360" w:lineRule="auto"/>
              <w:ind w:firstLine="480" w:firstLineChars="200"/>
              <w:rPr>
                <w:color w:val="auto"/>
                <w:sz w:val="24"/>
                <w:lang w:val="zh-TW" w:eastAsia="zh-TW"/>
              </w:rPr>
            </w:pPr>
            <w:r>
              <w:rPr>
                <w:rFonts w:hint="eastAsia"/>
                <w:color w:val="auto"/>
                <w:sz w:val="24"/>
              </w:rPr>
              <w:t>（</w:t>
            </w:r>
            <w:r>
              <w:rPr>
                <w:color w:val="auto"/>
                <w:sz w:val="24"/>
              </w:rPr>
              <w:t>1</w:t>
            </w:r>
            <w:r>
              <w:rPr>
                <w:rFonts w:hint="eastAsia"/>
                <w:color w:val="auto"/>
                <w:sz w:val="24"/>
              </w:rPr>
              <w:t>）水环境质量底线</w:t>
            </w:r>
          </w:p>
          <w:p>
            <w:pPr>
              <w:snapToGrid w:val="0"/>
              <w:spacing w:line="360" w:lineRule="auto"/>
              <w:ind w:firstLine="480" w:firstLineChars="200"/>
              <w:rPr>
                <w:color w:val="auto"/>
                <w:sz w:val="24"/>
                <w:lang w:val="zh-TW" w:eastAsia="zh-TW"/>
              </w:rPr>
            </w:pPr>
            <w:r>
              <w:rPr>
                <w:rFonts w:hint="eastAsia"/>
                <w:color w:val="auto"/>
                <w:sz w:val="24"/>
              </w:rPr>
              <w:t>项目位于永安市北部工业新城（三期），所在区域属于《三明市“三线一单”生态环境分区管控方案》中划定的水环境工业污染重点管控区，水环境质量目标为《地表水环境质量标准》</w:t>
            </w:r>
            <w:r>
              <w:rPr>
                <w:color w:val="auto"/>
                <w:sz w:val="24"/>
              </w:rPr>
              <w:t>(GB3838-2002)</w:t>
            </w:r>
            <w:r>
              <w:rPr>
                <w:rFonts w:hint="eastAsia"/>
                <w:color w:val="auto"/>
                <w:sz w:val="24"/>
              </w:rPr>
              <w:t>Ⅲ类标准。本项目建设完成无生产废水，仅生活污水，生活污水经化粪池处理达到尼葛开发区污水处理厂接管要求后纳入尼葛污水处理厂进一步处理后达标排放，符合水环境工业污染重点管控区的要求，项目排放的污染物不会突破区域环境质量底线。</w:t>
            </w:r>
            <w:r>
              <w:rPr>
                <w:color w:val="auto"/>
                <w:sz w:val="24"/>
              </w:rPr>
              <w:t xml:space="preserve"> </w:t>
            </w:r>
          </w:p>
          <w:p>
            <w:pPr>
              <w:snapToGrid w:val="0"/>
              <w:spacing w:line="360" w:lineRule="auto"/>
              <w:ind w:firstLine="480" w:firstLineChars="200"/>
              <w:rPr>
                <w:color w:val="auto"/>
                <w:sz w:val="24"/>
                <w:lang w:val="zh-TW" w:eastAsia="zh-TW"/>
              </w:rPr>
            </w:pPr>
            <w:r>
              <w:rPr>
                <w:rFonts w:hint="eastAsia"/>
                <w:color w:val="auto"/>
                <w:sz w:val="24"/>
              </w:rPr>
              <w:t>（</w:t>
            </w:r>
            <w:r>
              <w:rPr>
                <w:color w:val="auto"/>
                <w:sz w:val="24"/>
              </w:rPr>
              <w:t>2</w:t>
            </w:r>
            <w:r>
              <w:rPr>
                <w:rFonts w:hint="eastAsia"/>
                <w:color w:val="auto"/>
                <w:sz w:val="24"/>
              </w:rPr>
              <w:t>）大气环境质量底线</w:t>
            </w:r>
          </w:p>
          <w:p>
            <w:pPr>
              <w:snapToGrid w:val="0"/>
              <w:spacing w:line="360" w:lineRule="auto"/>
              <w:ind w:firstLine="480" w:firstLineChars="200"/>
              <w:rPr>
                <w:color w:val="auto"/>
                <w:sz w:val="24"/>
                <w:lang w:val="zh-TW" w:eastAsia="zh-TW"/>
              </w:rPr>
            </w:pPr>
            <w:r>
              <w:rPr>
                <w:rFonts w:hint="eastAsia"/>
                <w:color w:val="auto"/>
                <w:sz w:val="24"/>
              </w:rPr>
              <w:t>根据《三明市“三线一单”生态环境分区管控方案》，项目所在地为大气环境高排放重点管控区，环境空气质量目标为《环境空气质量标准》（</w:t>
            </w:r>
            <w:r>
              <w:rPr>
                <w:color w:val="auto"/>
                <w:sz w:val="24"/>
              </w:rPr>
              <w:t>GB3095-2012</w:t>
            </w:r>
            <w:r>
              <w:rPr>
                <w:rFonts w:hint="eastAsia"/>
                <w:color w:val="auto"/>
                <w:sz w:val="24"/>
              </w:rPr>
              <w:t>）二级标准。本项目属于</w:t>
            </w:r>
            <w:r>
              <w:rPr>
                <w:rFonts w:hint="eastAsia"/>
                <w:color w:val="auto"/>
                <w:spacing w:val="-3"/>
                <w:sz w:val="24"/>
              </w:rPr>
              <w:t>非金属矿物制品业</w:t>
            </w:r>
            <w:r>
              <w:rPr>
                <w:rFonts w:hint="eastAsia"/>
                <w:color w:val="auto"/>
                <w:sz w:val="24"/>
              </w:rPr>
              <w:t>；项目针对产尘点粉尘进行有效封闭收集后使用布袋收尘</w:t>
            </w:r>
            <w:r>
              <w:rPr>
                <w:rFonts w:hint="eastAsia"/>
                <w:color w:val="auto"/>
                <w:sz w:val="24"/>
                <w:lang w:eastAsia="zh-CN"/>
              </w:rPr>
              <w:t>，</w:t>
            </w:r>
            <w:r>
              <w:rPr>
                <w:rFonts w:hint="eastAsia"/>
                <w:color w:val="auto"/>
                <w:sz w:val="24"/>
                <w:lang w:val="en-US" w:eastAsia="zh-CN"/>
              </w:rPr>
              <w:t>废气排放符合《水泥工业大气污染物排放标准》（GB 4915-2013）中</w:t>
            </w:r>
            <w:r>
              <w:rPr>
                <w:rFonts w:hint="eastAsia"/>
                <w:color w:val="auto"/>
                <w:sz w:val="24"/>
              </w:rPr>
              <w:t>大气污染物特别排放限值</w:t>
            </w:r>
            <w:r>
              <w:rPr>
                <w:rFonts w:hint="eastAsia"/>
                <w:color w:val="auto"/>
                <w:sz w:val="24"/>
                <w:lang w:val="en-US" w:eastAsia="zh-CN"/>
              </w:rPr>
              <w:t>；符合大气环境高排放重点管控区</w:t>
            </w:r>
            <w:r>
              <w:rPr>
                <w:rFonts w:hint="eastAsia"/>
                <w:color w:val="auto"/>
                <w:sz w:val="24"/>
              </w:rPr>
              <w:t>的管控要求，项目污染物达标排放不会突破区域环境质量底线。</w:t>
            </w:r>
          </w:p>
          <w:p>
            <w:pPr>
              <w:snapToGrid w:val="0"/>
              <w:spacing w:line="360" w:lineRule="auto"/>
              <w:ind w:firstLine="480" w:firstLineChars="200"/>
              <w:rPr>
                <w:color w:val="auto"/>
                <w:sz w:val="24"/>
                <w:lang w:val="zh-TW" w:eastAsia="zh-TW"/>
              </w:rPr>
            </w:pPr>
            <w:r>
              <w:rPr>
                <w:rFonts w:hint="eastAsia"/>
                <w:color w:val="auto"/>
                <w:sz w:val="24"/>
              </w:rPr>
              <w:t>（</w:t>
            </w:r>
            <w:r>
              <w:rPr>
                <w:color w:val="auto"/>
                <w:sz w:val="24"/>
              </w:rPr>
              <w:t>3</w:t>
            </w:r>
            <w:r>
              <w:rPr>
                <w:rFonts w:hint="eastAsia"/>
                <w:color w:val="auto"/>
                <w:sz w:val="24"/>
              </w:rPr>
              <w:t>）土壤环境风险防控底线</w:t>
            </w:r>
          </w:p>
          <w:p>
            <w:pPr>
              <w:snapToGrid w:val="0"/>
              <w:spacing w:line="360" w:lineRule="auto"/>
              <w:ind w:firstLine="480" w:firstLineChars="200"/>
              <w:rPr>
                <w:color w:val="auto"/>
                <w:sz w:val="24"/>
              </w:rPr>
            </w:pPr>
            <w:r>
              <w:rPr>
                <w:rFonts w:hint="eastAsia"/>
                <w:color w:val="auto"/>
                <w:sz w:val="24"/>
              </w:rPr>
              <w:t>根据《三明市“三线一单”生态环境分区管控方案》，项目所在地为建设用地污染风险重点管控区。本项目属于</w:t>
            </w:r>
            <w:r>
              <w:rPr>
                <w:rFonts w:hint="eastAsia"/>
                <w:color w:val="auto"/>
                <w:spacing w:val="-3"/>
                <w:sz w:val="24"/>
              </w:rPr>
              <w:t>非金属矿物制品业</w:t>
            </w:r>
            <w:r>
              <w:rPr>
                <w:rFonts w:hint="eastAsia"/>
                <w:color w:val="auto"/>
                <w:sz w:val="24"/>
              </w:rPr>
              <w:t>，符合建设用地污染风险重点管控区的管控要求。</w:t>
            </w:r>
          </w:p>
          <w:p>
            <w:pPr>
              <w:pStyle w:val="174"/>
              <w:rPr>
                <w:color w:val="auto"/>
              </w:rPr>
            </w:pPr>
            <w:r>
              <w:rPr>
                <w:color w:val="auto"/>
              </w:rPr>
              <w:t>1.5.3</w:t>
            </w:r>
            <w:r>
              <w:rPr>
                <w:rFonts w:hint="eastAsia"/>
                <w:color w:val="auto"/>
              </w:rPr>
              <w:t>资源利用上线</w:t>
            </w:r>
            <w:r>
              <w:rPr>
                <w:color w:val="auto"/>
              </w:rPr>
              <w:t xml:space="preserve"> </w:t>
            </w:r>
          </w:p>
          <w:p>
            <w:pPr>
              <w:snapToGrid w:val="0"/>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）水资源利用上线</w:t>
            </w:r>
          </w:p>
          <w:p>
            <w:pPr>
              <w:snapToGrid w:val="0"/>
              <w:spacing w:line="360" w:lineRule="auto"/>
              <w:ind w:firstLine="480" w:firstLineChars="200"/>
              <w:rPr>
                <w:color w:val="auto"/>
                <w:sz w:val="24"/>
              </w:rPr>
            </w:pPr>
            <w:r>
              <w:rPr>
                <w:rFonts w:hint="eastAsia"/>
                <w:color w:val="auto"/>
                <w:sz w:val="24"/>
              </w:rPr>
              <w:t>本项目选址位于永安北部工业新城规划范围内，项目建设完成后，需增加新鲜用水约</w:t>
            </w:r>
            <w:r>
              <w:rPr>
                <w:color w:val="auto"/>
                <w:sz w:val="24"/>
              </w:rPr>
              <w:t>7456.5t/a</w:t>
            </w:r>
            <w:r>
              <w:rPr>
                <w:rFonts w:hint="eastAsia"/>
                <w:color w:val="auto"/>
                <w:sz w:val="24"/>
              </w:rPr>
              <w:t>（日均新鲜水用量为</w:t>
            </w:r>
            <w:r>
              <w:rPr>
                <w:color w:val="auto"/>
                <w:sz w:val="24"/>
              </w:rPr>
              <w:t>24.855t/d</w:t>
            </w:r>
            <w:r>
              <w:rPr>
                <w:rFonts w:hint="eastAsia"/>
                <w:color w:val="auto"/>
                <w:sz w:val="24"/>
              </w:rPr>
              <w:t>），规划区远期最高日用水量约</w:t>
            </w:r>
            <w:r>
              <w:rPr>
                <w:color w:val="auto"/>
                <w:kern w:val="0"/>
                <w:sz w:val="24"/>
              </w:rPr>
              <w:t>1.83</w:t>
            </w:r>
            <w:r>
              <w:rPr>
                <w:rFonts w:hint="eastAsia"/>
                <w:color w:val="auto"/>
                <w:sz w:val="24"/>
              </w:rPr>
              <w:t>万</w:t>
            </w:r>
            <w:r>
              <w:rPr>
                <w:color w:val="auto"/>
                <w:sz w:val="24"/>
              </w:rPr>
              <w:t>m</w:t>
            </w:r>
            <w:r>
              <w:rPr>
                <w:color w:val="auto"/>
                <w:sz w:val="24"/>
                <w:vertAlign w:val="superscript"/>
              </w:rPr>
              <w:t>3</w:t>
            </w:r>
            <w:r>
              <w:rPr>
                <w:color w:val="auto"/>
                <w:sz w:val="24"/>
              </w:rPr>
              <w:t>/d</w:t>
            </w:r>
            <w:r>
              <w:rPr>
                <w:rFonts w:hint="eastAsia"/>
                <w:color w:val="auto"/>
                <w:sz w:val="24"/>
              </w:rPr>
              <w:t>，对区域其他用水户影响较小，不会突破区域的水资源利用上线。</w:t>
            </w:r>
          </w:p>
          <w:p>
            <w:pPr>
              <w:snapToGrid w:val="0"/>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）土地资源利用上线</w:t>
            </w:r>
          </w:p>
          <w:p>
            <w:pPr>
              <w:snapToGrid w:val="0"/>
              <w:spacing w:line="360" w:lineRule="auto"/>
              <w:ind w:firstLine="480" w:firstLineChars="200"/>
              <w:rPr>
                <w:color w:val="auto"/>
                <w:sz w:val="24"/>
              </w:rPr>
            </w:pPr>
            <w:r>
              <w:rPr>
                <w:rFonts w:hint="eastAsia"/>
                <w:color w:val="auto"/>
                <w:sz w:val="24"/>
              </w:rPr>
              <w:t>本项目处于永安北部工业新城工业园区内，占地面积为</w:t>
            </w:r>
            <w:r>
              <w:rPr>
                <w:color w:val="auto"/>
                <w:sz w:val="24"/>
              </w:rPr>
              <w:t>15080</w:t>
            </w:r>
            <w:r>
              <w:rPr>
                <w:rFonts w:hint="eastAsia"/>
                <w:color w:val="auto"/>
                <w:sz w:val="24"/>
              </w:rPr>
              <w:t>㎡。土地资源利用上线为规划用地面积范围</w:t>
            </w:r>
            <w:r>
              <w:rPr>
                <w:color w:val="auto"/>
                <w:sz w:val="24"/>
              </w:rPr>
              <w:t>691.71hm</w:t>
            </w:r>
            <w:r>
              <w:rPr>
                <w:color w:val="auto"/>
                <w:sz w:val="24"/>
                <w:vertAlign w:val="superscript"/>
              </w:rPr>
              <w:t>2</w:t>
            </w:r>
            <w:r>
              <w:rPr>
                <w:rFonts w:hint="eastAsia"/>
                <w:color w:val="auto"/>
                <w:sz w:val="24"/>
              </w:rPr>
              <w:t>之内。项目建设用地在规划用地面积范围</w:t>
            </w:r>
            <w:r>
              <w:rPr>
                <w:color w:val="auto"/>
                <w:sz w:val="24"/>
              </w:rPr>
              <w:t>691.71hm</w:t>
            </w:r>
            <w:r>
              <w:rPr>
                <w:color w:val="auto"/>
                <w:sz w:val="24"/>
                <w:vertAlign w:val="superscript"/>
              </w:rPr>
              <w:t>2</w:t>
            </w:r>
            <w:r>
              <w:rPr>
                <w:rFonts w:hint="eastAsia"/>
                <w:color w:val="auto"/>
                <w:sz w:val="24"/>
              </w:rPr>
              <w:t>之内，不会突破当地土地资源利用上限。</w:t>
            </w:r>
          </w:p>
          <w:p>
            <w:pPr>
              <w:snapToGrid w:val="0"/>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）能源资源利用上线</w:t>
            </w:r>
            <w:r>
              <w:rPr>
                <w:color w:val="auto"/>
                <w:sz w:val="24"/>
              </w:rPr>
              <w:t xml:space="preserve"> </w:t>
            </w:r>
          </w:p>
          <w:p>
            <w:pPr>
              <w:snapToGrid w:val="0"/>
              <w:spacing w:line="360" w:lineRule="auto"/>
              <w:ind w:firstLine="480" w:firstLineChars="200"/>
              <w:rPr>
                <w:color w:val="auto"/>
                <w:sz w:val="24"/>
              </w:rPr>
            </w:pPr>
            <w:r>
              <w:rPr>
                <w:rFonts w:hint="eastAsia"/>
                <w:color w:val="auto"/>
                <w:sz w:val="24"/>
              </w:rPr>
              <w:t>根据《三明市“三线一单”生态环境分区管控方案的》，项目所在地属于划定的高污染燃料禁燃区，项目采用永安市火电厂集中供热蒸汽作为高压蒸养工序的热源，符合高污染燃料禁燃区的管控要求。</w:t>
            </w:r>
          </w:p>
          <w:p>
            <w:pPr>
              <w:pStyle w:val="174"/>
              <w:rPr>
                <w:color w:val="auto"/>
              </w:rPr>
            </w:pPr>
            <w:r>
              <w:rPr>
                <w:color w:val="auto"/>
              </w:rPr>
              <w:t>1.5.4</w:t>
            </w:r>
            <w:r>
              <w:rPr>
                <w:rFonts w:hint="eastAsia"/>
                <w:color w:val="auto"/>
              </w:rPr>
              <w:t>生态环境准入清单</w:t>
            </w:r>
          </w:p>
          <w:p>
            <w:pPr>
              <w:pStyle w:val="73"/>
              <w:adjustRightInd/>
              <w:snapToGrid/>
              <w:ind w:firstLine="31680"/>
              <w:rPr>
                <w:rFonts w:cs="宋体"/>
                <w:color w:val="auto"/>
                <w:sz w:val="24"/>
                <w:szCs w:val="24"/>
              </w:rPr>
            </w:pPr>
            <w:r>
              <w:rPr>
                <w:rFonts w:hint="eastAsia" w:cs="宋体"/>
                <w:color w:val="auto"/>
                <w:sz w:val="24"/>
                <w:szCs w:val="24"/>
              </w:rPr>
              <w:t>本项目位于福建省三明市永安市曹远镇坑边路（北部工业新城鑫华港饲料东侧）（永安市北部工业新城（三期）内），对照《三明市人民政府关于印发三明市“三线一单”生态环境分区管控方案的通知》（明政</w:t>
            </w:r>
            <w:r>
              <w:rPr>
                <w:rFonts w:hint="eastAsia"/>
                <w:color w:val="auto"/>
                <w:kern w:val="2"/>
                <w:sz w:val="24"/>
                <w:szCs w:val="24"/>
              </w:rPr>
              <w:t>〔</w:t>
            </w:r>
            <w:r>
              <w:rPr>
                <w:color w:val="auto"/>
                <w:kern w:val="2"/>
                <w:sz w:val="24"/>
                <w:szCs w:val="24"/>
              </w:rPr>
              <w:t>2021</w:t>
            </w:r>
            <w:r>
              <w:rPr>
                <w:rFonts w:hint="eastAsia"/>
                <w:color w:val="auto"/>
                <w:kern w:val="2"/>
                <w:sz w:val="24"/>
                <w:szCs w:val="24"/>
              </w:rPr>
              <w:t>〕</w:t>
            </w:r>
            <w:r>
              <w:rPr>
                <w:rFonts w:cs="宋体"/>
                <w:color w:val="auto"/>
                <w:sz w:val="24"/>
                <w:szCs w:val="24"/>
              </w:rPr>
              <w:t>4</w:t>
            </w:r>
            <w:r>
              <w:rPr>
                <w:rFonts w:hint="eastAsia" w:cs="宋体"/>
                <w:color w:val="auto"/>
                <w:sz w:val="24"/>
                <w:szCs w:val="24"/>
              </w:rPr>
              <w:t>号），项目所在地属于“永安市北部工业新城（三期）重点管控单元”。</w:t>
            </w:r>
          </w:p>
          <w:p>
            <w:pPr>
              <w:pStyle w:val="188"/>
              <w:spacing w:after="0" w:line="240" w:lineRule="auto"/>
              <w:ind w:firstLine="0"/>
              <w:jc w:val="center"/>
              <w:rPr>
                <w:b/>
                <w:bCs/>
                <w:color w:val="auto"/>
                <w:sz w:val="24"/>
                <w:szCs w:val="32"/>
              </w:rPr>
            </w:pPr>
            <w:r>
              <w:rPr>
                <w:rFonts w:hint="eastAsia"/>
                <w:b/>
                <w:bCs/>
                <w:color w:val="auto"/>
                <w:sz w:val="24"/>
                <w:szCs w:val="32"/>
              </w:rPr>
              <w:t>表</w:t>
            </w:r>
            <w:r>
              <w:rPr>
                <w:b/>
                <w:bCs/>
                <w:color w:val="auto"/>
                <w:sz w:val="24"/>
                <w:szCs w:val="32"/>
              </w:rPr>
              <w:t xml:space="preserve">1-1  </w:t>
            </w:r>
            <w:r>
              <w:rPr>
                <w:rFonts w:hint="eastAsia"/>
                <w:b/>
                <w:bCs/>
                <w:color w:val="auto"/>
                <w:sz w:val="24"/>
                <w:szCs w:val="32"/>
              </w:rPr>
              <w:t>永安市生态环境准入清单</w:t>
            </w:r>
          </w:p>
          <w:tbl>
            <w:tblPr>
              <w:tblStyle w:val="27"/>
              <w:tblW w:w="807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0"/>
              <w:gridCol w:w="785"/>
              <w:gridCol w:w="762"/>
              <w:gridCol w:w="3046"/>
              <w:gridCol w:w="1718"/>
              <w:gridCol w:w="8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 w:type="dxa"/>
                  <w:tcBorders>
                    <w:top w:val="single" w:color="auto" w:sz="12" w:space="0"/>
                    <w:bottom w:val="single" w:color="auto" w:sz="4" w:space="0"/>
                    <w:right w:val="single" w:color="auto" w:sz="4" w:space="0"/>
                  </w:tcBorders>
                  <w:vAlign w:val="center"/>
                </w:tcPr>
                <w:p>
                  <w:pPr>
                    <w:pStyle w:val="103"/>
                    <w:rPr>
                      <w:color w:val="auto"/>
                      <w:szCs w:val="21"/>
                    </w:rPr>
                  </w:pPr>
                  <w:r>
                    <w:rPr>
                      <w:rFonts w:hint="eastAsia" w:ascii="宋体" w:hAnsi="宋体"/>
                      <w:color w:val="auto"/>
                      <w:szCs w:val="21"/>
                    </w:rPr>
                    <w:t>环境管控单元名称</w:t>
                  </w:r>
                </w:p>
              </w:tc>
              <w:tc>
                <w:tcPr>
                  <w:tcW w:w="785" w:type="dxa"/>
                  <w:tcBorders>
                    <w:top w:val="single" w:color="auto" w:sz="12" w:space="0"/>
                    <w:left w:val="single" w:color="auto" w:sz="4" w:space="0"/>
                    <w:bottom w:val="single" w:color="auto" w:sz="4" w:space="0"/>
                    <w:right w:val="single" w:color="auto" w:sz="4" w:space="0"/>
                  </w:tcBorders>
                  <w:vAlign w:val="center"/>
                </w:tcPr>
                <w:p>
                  <w:pPr>
                    <w:pStyle w:val="103"/>
                    <w:rPr>
                      <w:color w:val="auto"/>
                      <w:szCs w:val="21"/>
                    </w:rPr>
                  </w:pPr>
                  <w:r>
                    <w:rPr>
                      <w:rFonts w:hint="eastAsia" w:ascii="宋体" w:hAnsi="宋体"/>
                      <w:color w:val="auto"/>
                      <w:szCs w:val="21"/>
                    </w:rPr>
                    <w:t>管控单元类别</w:t>
                  </w:r>
                </w:p>
              </w:tc>
              <w:tc>
                <w:tcPr>
                  <w:tcW w:w="3808" w:type="dxa"/>
                  <w:gridSpan w:val="2"/>
                  <w:tcBorders>
                    <w:top w:val="single" w:color="auto" w:sz="12" w:space="0"/>
                    <w:left w:val="single" w:color="auto" w:sz="4" w:space="0"/>
                    <w:bottom w:val="single" w:color="auto" w:sz="4" w:space="0"/>
                    <w:right w:val="single" w:color="auto" w:sz="4" w:space="0"/>
                  </w:tcBorders>
                  <w:vAlign w:val="center"/>
                </w:tcPr>
                <w:p>
                  <w:pPr>
                    <w:pStyle w:val="103"/>
                    <w:rPr>
                      <w:rFonts w:ascii="宋体"/>
                      <w:color w:val="auto"/>
                      <w:szCs w:val="21"/>
                    </w:rPr>
                  </w:pPr>
                  <w:r>
                    <w:rPr>
                      <w:rFonts w:hint="eastAsia" w:ascii="宋体" w:hAnsi="宋体"/>
                      <w:color w:val="auto"/>
                      <w:szCs w:val="21"/>
                    </w:rPr>
                    <w:t>管控要求</w:t>
                  </w:r>
                </w:p>
              </w:tc>
              <w:tc>
                <w:tcPr>
                  <w:tcW w:w="1718" w:type="dxa"/>
                  <w:tcBorders>
                    <w:top w:val="single" w:color="auto" w:sz="12" w:space="0"/>
                    <w:left w:val="single" w:color="auto" w:sz="4" w:space="0"/>
                    <w:bottom w:val="single" w:color="auto" w:sz="4" w:space="0"/>
                    <w:right w:val="single" w:color="auto" w:sz="4" w:space="0"/>
                  </w:tcBorders>
                  <w:vAlign w:val="center"/>
                </w:tcPr>
                <w:p>
                  <w:pPr>
                    <w:pStyle w:val="103"/>
                    <w:rPr>
                      <w:rFonts w:ascii="宋体"/>
                      <w:color w:val="auto"/>
                      <w:szCs w:val="21"/>
                    </w:rPr>
                  </w:pPr>
                  <w:r>
                    <w:rPr>
                      <w:rFonts w:hint="eastAsia" w:ascii="宋体" w:hAnsi="宋体"/>
                      <w:color w:val="auto"/>
                      <w:szCs w:val="21"/>
                    </w:rPr>
                    <w:t>本项目情况</w:t>
                  </w:r>
                </w:p>
              </w:tc>
              <w:tc>
                <w:tcPr>
                  <w:tcW w:w="883" w:type="dxa"/>
                  <w:tcBorders>
                    <w:top w:val="single" w:color="auto" w:sz="12" w:space="0"/>
                    <w:left w:val="single" w:color="auto" w:sz="4" w:space="0"/>
                    <w:bottom w:val="single" w:color="auto" w:sz="4" w:space="0"/>
                  </w:tcBorders>
                  <w:vAlign w:val="center"/>
                </w:tcPr>
                <w:p>
                  <w:pPr>
                    <w:pStyle w:val="103"/>
                    <w:rPr>
                      <w:color w:val="auto"/>
                      <w:szCs w:val="21"/>
                    </w:rPr>
                  </w:pPr>
                  <w:r>
                    <w:rPr>
                      <w:rFonts w:hint="eastAsia" w:ascii="宋体" w:hAnsi="宋体"/>
                      <w:color w:val="auto"/>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 w:type="dxa"/>
                  <w:vMerge w:val="restart"/>
                  <w:tcBorders>
                    <w:top w:val="single" w:color="auto" w:sz="4" w:space="0"/>
                    <w:bottom w:val="single" w:color="auto" w:sz="4" w:space="0"/>
                    <w:right w:val="single" w:color="auto" w:sz="4" w:space="0"/>
                  </w:tcBorders>
                  <w:vAlign w:val="center"/>
                </w:tcPr>
                <w:p>
                  <w:pPr>
                    <w:pStyle w:val="103"/>
                    <w:jc w:val="both"/>
                    <w:rPr>
                      <w:color w:val="auto"/>
                      <w:szCs w:val="21"/>
                    </w:rPr>
                  </w:pPr>
                  <w:r>
                    <w:rPr>
                      <w:rFonts w:hint="eastAsia" w:ascii="宋体" w:hAnsi="宋体"/>
                      <w:color w:val="auto"/>
                      <w:szCs w:val="21"/>
                    </w:rPr>
                    <w:t>永安市北部工业新城（三期）</w:t>
                  </w:r>
                </w:p>
              </w:tc>
              <w:tc>
                <w:tcPr>
                  <w:tcW w:w="785" w:type="dxa"/>
                  <w:vMerge w:val="restart"/>
                  <w:tcBorders>
                    <w:top w:val="single" w:color="auto" w:sz="4" w:space="0"/>
                    <w:left w:val="single" w:color="auto" w:sz="4" w:space="0"/>
                    <w:bottom w:val="single" w:color="auto" w:sz="4" w:space="0"/>
                    <w:right w:val="single" w:color="auto" w:sz="4" w:space="0"/>
                  </w:tcBorders>
                  <w:vAlign w:val="center"/>
                </w:tcPr>
                <w:p>
                  <w:pPr>
                    <w:pStyle w:val="103"/>
                    <w:rPr>
                      <w:color w:val="auto"/>
                      <w:szCs w:val="21"/>
                    </w:rPr>
                  </w:pPr>
                  <w:r>
                    <w:rPr>
                      <w:rFonts w:hint="eastAsia" w:ascii="宋体" w:hAnsi="宋体"/>
                      <w:color w:val="auto"/>
                      <w:szCs w:val="21"/>
                    </w:rPr>
                    <w:t>重点管控单元</w:t>
                  </w:r>
                </w:p>
              </w:tc>
              <w:tc>
                <w:tcPr>
                  <w:tcW w:w="762"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color w:val="auto"/>
                      <w:szCs w:val="21"/>
                    </w:rPr>
                  </w:pPr>
                  <w:r>
                    <w:rPr>
                      <w:rFonts w:hint="eastAsia" w:ascii="宋体" w:hAnsi="宋体"/>
                      <w:color w:val="auto"/>
                      <w:szCs w:val="21"/>
                    </w:rPr>
                    <w:t>空间布局约束</w:t>
                  </w:r>
                </w:p>
              </w:tc>
              <w:tc>
                <w:tcPr>
                  <w:tcW w:w="3046" w:type="dxa"/>
                  <w:tcBorders>
                    <w:top w:val="single" w:color="auto" w:sz="4" w:space="0"/>
                    <w:left w:val="single" w:color="auto" w:sz="4" w:space="0"/>
                    <w:bottom w:val="single" w:color="auto" w:sz="4" w:space="0"/>
                    <w:right w:val="single" w:color="auto" w:sz="4" w:space="0"/>
                  </w:tcBorders>
                  <w:vAlign w:val="center"/>
                </w:tcPr>
                <w:p>
                  <w:pPr>
                    <w:pStyle w:val="103"/>
                    <w:adjustRightInd/>
                    <w:snapToGrid/>
                    <w:jc w:val="both"/>
                    <w:rPr>
                      <w:color w:val="auto"/>
                      <w:szCs w:val="21"/>
                    </w:rPr>
                  </w:pPr>
                  <w:r>
                    <w:rPr>
                      <w:color w:val="auto"/>
                      <w:szCs w:val="21"/>
                    </w:rPr>
                    <w:t>1.</w:t>
                  </w:r>
                  <w:r>
                    <w:rPr>
                      <w:rFonts w:hint="eastAsia"/>
                      <w:color w:val="auto"/>
                      <w:szCs w:val="21"/>
                    </w:rPr>
                    <w:t>高端纺织业禁止印染、染整精加工行业。食品制造业仅限发展食品添加剂。机械制造业禁止引入电镀、酸洗等工序。竹木加工行业禁止引进利用天然阔叶林为原料的木材加工等资源消耗型的项目。</w:t>
                  </w:r>
                </w:p>
                <w:p>
                  <w:pPr>
                    <w:pStyle w:val="103"/>
                    <w:adjustRightInd/>
                    <w:snapToGrid/>
                    <w:jc w:val="both"/>
                    <w:rPr>
                      <w:color w:val="auto"/>
                      <w:szCs w:val="21"/>
                    </w:rPr>
                  </w:pPr>
                  <w:r>
                    <w:rPr>
                      <w:color w:val="auto"/>
                      <w:szCs w:val="21"/>
                    </w:rPr>
                    <w:t>2.</w:t>
                  </w:r>
                  <w:r>
                    <w:rPr>
                      <w:rFonts w:hint="eastAsia"/>
                      <w:color w:val="auto"/>
                      <w:szCs w:val="21"/>
                    </w:rPr>
                    <w:t>居住用地周边禁止布局潜在废气扰民的建设项目。</w:t>
                  </w:r>
                </w:p>
              </w:tc>
              <w:tc>
                <w:tcPr>
                  <w:tcW w:w="1718" w:type="dxa"/>
                  <w:tcBorders>
                    <w:top w:val="single" w:color="auto" w:sz="4" w:space="0"/>
                    <w:left w:val="single" w:color="auto" w:sz="4" w:space="0"/>
                    <w:bottom w:val="single" w:color="auto" w:sz="4" w:space="0"/>
                    <w:right w:val="single" w:color="auto" w:sz="4" w:space="0"/>
                  </w:tcBorders>
                  <w:vAlign w:val="center"/>
                </w:tcPr>
                <w:p>
                  <w:pPr>
                    <w:pStyle w:val="103"/>
                    <w:adjustRightInd/>
                    <w:snapToGrid/>
                    <w:jc w:val="both"/>
                    <w:rPr>
                      <w:color w:val="auto"/>
                      <w:szCs w:val="21"/>
                    </w:rPr>
                  </w:pPr>
                  <w:r>
                    <w:rPr>
                      <w:rFonts w:hint="eastAsia"/>
                      <w:color w:val="auto"/>
                      <w:szCs w:val="21"/>
                    </w:rPr>
                    <w:t>本项目用地为工业用地，周边无居住用地。主要生产工序为石英矿破碎、研磨成</w:t>
                  </w:r>
                  <w:r>
                    <w:rPr>
                      <w:rFonts w:hint="eastAsia"/>
                      <w:color w:val="auto"/>
                      <w:kern w:val="0"/>
                      <w:szCs w:val="21"/>
                    </w:rPr>
                    <w:t>石英粉后与水泥、纸浆板等原料进一步加工成硅酸钙板</w:t>
                  </w:r>
                  <w:r>
                    <w:rPr>
                      <w:rFonts w:hint="eastAsia"/>
                      <w:color w:val="auto"/>
                      <w:szCs w:val="21"/>
                    </w:rPr>
                    <w:t>。不属于园区内禁止建设项目。</w:t>
                  </w:r>
                </w:p>
              </w:tc>
              <w:tc>
                <w:tcPr>
                  <w:tcW w:w="883" w:type="dxa"/>
                  <w:tcBorders>
                    <w:top w:val="single" w:color="auto" w:sz="4" w:space="0"/>
                    <w:left w:val="single" w:color="auto" w:sz="4" w:space="0"/>
                    <w:bottom w:val="single" w:color="auto" w:sz="4" w:space="0"/>
                  </w:tcBorders>
                  <w:vAlign w:val="center"/>
                </w:tcPr>
                <w:p>
                  <w:pPr>
                    <w:pStyle w:val="103"/>
                    <w:rPr>
                      <w:color w:val="auto"/>
                      <w:szCs w:val="21"/>
                    </w:rPr>
                  </w:pPr>
                  <w:r>
                    <w:rPr>
                      <w:rFonts w:hint="eastAsia"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 w:type="dxa"/>
                  <w:vMerge w:val="continue"/>
                  <w:tcBorders>
                    <w:top w:val="single" w:color="auto" w:sz="4" w:space="0"/>
                    <w:bottom w:val="single" w:color="auto" w:sz="4" w:space="0"/>
                    <w:right w:val="single" w:color="auto" w:sz="4" w:space="0"/>
                  </w:tcBorders>
                  <w:vAlign w:val="center"/>
                </w:tcPr>
                <w:p>
                  <w:pPr>
                    <w:widowControl/>
                    <w:jc w:val="left"/>
                    <w:rPr>
                      <w:color w:val="auto"/>
                      <w:szCs w:val="21"/>
                    </w:rPr>
                  </w:pPr>
                </w:p>
              </w:tc>
              <w:tc>
                <w:tcPr>
                  <w:tcW w:w="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762"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color w:val="auto"/>
                      <w:szCs w:val="21"/>
                    </w:rPr>
                  </w:pPr>
                  <w:r>
                    <w:rPr>
                      <w:rFonts w:hint="eastAsia" w:ascii="宋体" w:hAnsi="宋体"/>
                      <w:color w:val="auto"/>
                      <w:szCs w:val="21"/>
                    </w:rPr>
                    <w:t>污染物排放管控</w:t>
                  </w:r>
                </w:p>
              </w:tc>
              <w:tc>
                <w:tcPr>
                  <w:tcW w:w="3046" w:type="dxa"/>
                  <w:tcBorders>
                    <w:top w:val="single" w:color="auto" w:sz="4" w:space="0"/>
                    <w:left w:val="single" w:color="auto" w:sz="4" w:space="0"/>
                    <w:bottom w:val="single" w:color="auto" w:sz="4" w:space="0"/>
                    <w:right w:val="single" w:color="auto" w:sz="4" w:space="0"/>
                  </w:tcBorders>
                  <w:vAlign w:val="center"/>
                </w:tcPr>
                <w:p>
                  <w:pPr>
                    <w:autoSpaceDE w:val="0"/>
                    <w:autoSpaceDN w:val="0"/>
                    <w:rPr>
                      <w:color w:val="auto"/>
                      <w:szCs w:val="21"/>
                    </w:rPr>
                  </w:pPr>
                  <w:r>
                    <w:rPr>
                      <w:color w:val="auto"/>
                      <w:szCs w:val="21"/>
                    </w:rPr>
                    <w:t>1.</w:t>
                  </w:r>
                  <w:r>
                    <w:rPr>
                      <w:rFonts w:hint="eastAsia"/>
                      <w:color w:val="auto"/>
                      <w:szCs w:val="21"/>
                    </w:rPr>
                    <w:t>完善建设污水收集管网，确保园区内所有工业废水、生活污水纳入污水处理厂处理并达标排放。</w:t>
                  </w:r>
                </w:p>
                <w:p>
                  <w:pPr>
                    <w:autoSpaceDE w:val="0"/>
                    <w:autoSpaceDN w:val="0"/>
                    <w:rPr>
                      <w:color w:val="auto"/>
                      <w:szCs w:val="21"/>
                    </w:rPr>
                  </w:pPr>
                  <w:r>
                    <w:rPr>
                      <w:color w:val="auto"/>
                      <w:szCs w:val="21"/>
                    </w:rPr>
                    <w:t>2.</w:t>
                  </w:r>
                  <w:r>
                    <w:rPr>
                      <w:rFonts w:hint="eastAsia"/>
                      <w:color w:val="auto"/>
                      <w:szCs w:val="21"/>
                    </w:rPr>
                    <w:t>园区应依据尼葛开发区污水处理厂建设进度及园区配套管网的建设开发时序，“以污定产”。</w:t>
                  </w:r>
                </w:p>
                <w:p>
                  <w:pPr>
                    <w:autoSpaceDE w:val="0"/>
                    <w:autoSpaceDN w:val="0"/>
                    <w:rPr>
                      <w:color w:val="auto"/>
                      <w:szCs w:val="21"/>
                    </w:rPr>
                  </w:pPr>
                  <w:r>
                    <w:rPr>
                      <w:color w:val="auto"/>
                      <w:szCs w:val="21"/>
                    </w:rPr>
                    <w:t>3.</w:t>
                  </w:r>
                  <w:r>
                    <w:rPr>
                      <w:rFonts w:hint="eastAsia"/>
                      <w:color w:val="auto"/>
                      <w:szCs w:val="21"/>
                    </w:rPr>
                    <w:t>新建、改建、扩建项目，新增水污染物（化学需氧量、氨氮）排放量按不低于</w:t>
                  </w:r>
                  <w:r>
                    <w:rPr>
                      <w:color w:val="auto"/>
                      <w:szCs w:val="21"/>
                    </w:rPr>
                    <w:t>1.2</w:t>
                  </w:r>
                  <w:r>
                    <w:rPr>
                      <w:rFonts w:hint="eastAsia"/>
                      <w:color w:val="auto"/>
                      <w:szCs w:val="21"/>
                    </w:rPr>
                    <w:t>倍调剂。</w:t>
                  </w:r>
                </w:p>
                <w:p>
                  <w:pPr>
                    <w:autoSpaceDE w:val="0"/>
                    <w:autoSpaceDN w:val="0"/>
                    <w:rPr>
                      <w:color w:val="auto"/>
                      <w:szCs w:val="21"/>
                    </w:rPr>
                  </w:pPr>
                  <w:r>
                    <w:rPr>
                      <w:color w:val="auto"/>
                      <w:szCs w:val="21"/>
                    </w:rPr>
                    <w:t>4.</w:t>
                  </w:r>
                  <w:r>
                    <w:rPr>
                      <w:rFonts w:hint="eastAsia"/>
                      <w:color w:val="auto"/>
                      <w:szCs w:val="21"/>
                    </w:rPr>
                    <w:t>涉新增</w:t>
                  </w:r>
                  <w:r>
                    <w:rPr>
                      <w:color w:val="auto"/>
                      <w:szCs w:val="21"/>
                    </w:rPr>
                    <w:t>VOCs</w:t>
                  </w:r>
                  <w:r>
                    <w:rPr>
                      <w:rFonts w:hint="eastAsia"/>
                      <w:color w:val="auto"/>
                      <w:szCs w:val="21"/>
                    </w:rPr>
                    <w:t>排放项目，</w:t>
                  </w:r>
                  <w:r>
                    <w:rPr>
                      <w:color w:val="auto"/>
                      <w:szCs w:val="21"/>
                    </w:rPr>
                    <w:t>VOCs</w:t>
                  </w:r>
                  <w:r>
                    <w:rPr>
                      <w:rFonts w:hint="eastAsia"/>
                      <w:color w:val="auto"/>
                      <w:szCs w:val="21"/>
                    </w:rPr>
                    <w:t>排放实行区域内等量替代。</w:t>
                  </w:r>
                </w:p>
              </w:tc>
              <w:tc>
                <w:tcPr>
                  <w:tcW w:w="1718" w:type="dxa"/>
                  <w:tcBorders>
                    <w:top w:val="single" w:color="auto" w:sz="4" w:space="0"/>
                    <w:left w:val="single" w:color="auto" w:sz="4" w:space="0"/>
                    <w:bottom w:val="single" w:color="auto" w:sz="4" w:space="0"/>
                    <w:right w:val="single" w:color="auto" w:sz="4" w:space="0"/>
                  </w:tcBorders>
                  <w:vAlign w:val="center"/>
                </w:tcPr>
                <w:p>
                  <w:pPr>
                    <w:autoSpaceDE w:val="0"/>
                    <w:autoSpaceDN w:val="0"/>
                    <w:rPr>
                      <w:color w:val="auto"/>
                      <w:szCs w:val="21"/>
                    </w:rPr>
                  </w:pPr>
                  <w:r>
                    <w:rPr>
                      <w:rFonts w:hint="eastAsia"/>
                      <w:color w:val="auto"/>
                      <w:szCs w:val="21"/>
                    </w:rPr>
                    <w:t>项目无生产废水排放，生活污水经化粪池处理后接入园区污水管网进去污水处理厂处理后达标排放；项目生产不涉及</w:t>
                  </w:r>
                  <w:r>
                    <w:rPr>
                      <w:color w:val="auto"/>
                      <w:szCs w:val="21"/>
                    </w:rPr>
                    <w:t>VOCs</w:t>
                  </w:r>
                  <w:r>
                    <w:rPr>
                      <w:rFonts w:hint="eastAsia"/>
                      <w:color w:val="auto"/>
                      <w:szCs w:val="21"/>
                    </w:rPr>
                    <w:t>排放。符合园区</w:t>
                  </w:r>
                  <w:r>
                    <w:rPr>
                      <w:rFonts w:hint="eastAsia" w:ascii="宋体" w:hAnsi="宋体"/>
                      <w:color w:val="auto"/>
                      <w:szCs w:val="21"/>
                    </w:rPr>
                    <w:t>污染物排放管控要求。</w:t>
                  </w:r>
                </w:p>
              </w:tc>
              <w:tc>
                <w:tcPr>
                  <w:tcW w:w="883" w:type="dxa"/>
                  <w:tcBorders>
                    <w:top w:val="single" w:color="auto" w:sz="4" w:space="0"/>
                    <w:left w:val="single" w:color="auto" w:sz="4" w:space="0"/>
                    <w:bottom w:val="single" w:color="auto" w:sz="4" w:space="0"/>
                  </w:tcBorders>
                  <w:vAlign w:val="center"/>
                </w:tcPr>
                <w:p>
                  <w:pPr>
                    <w:pStyle w:val="103"/>
                    <w:rPr>
                      <w:rFonts w:ascii="宋体"/>
                      <w:color w:val="auto"/>
                      <w:szCs w:val="21"/>
                    </w:rPr>
                  </w:pPr>
                  <w:r>
                    <w:rPr>
                      <w:rFonts w:hint="eastAsia"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 w:type="dxa"/>
                  <w:vMerge w:val="continue"/>
                  <w:tcBorders>
                    <w:top w:val="single" w:color="auto" w:sz="4" w:space="0"/>
                    <w:bottom w:val="single" w:color="auto" w:sz="4" w:space="0"/>
                    <w:right w:val="single" w:color="auto" w:sz="4" w:space="0"/>
                  </w:tcBorders>
                  <w:vAlign w:val="center"/>
                </w:tcPr>
                <w:p>
                  <w:pPr>
                    <w:widowControl/>
                    <w:jc w:val="left"/>
                    <w:rPr>
                      <w:color w:val="auto"/>
                      <w:szCs w:val="21"/>
                    </w:rPr>
                  </w:pPr>
                </w:p>
              </w:tc>
              <w:tc>
                <w:tcPr>
                  <w:tcW w:w="78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p>
              </w:tc>
              <w:tc>
                <w:tcPr>
                  <w:tcW w:w="762" w:type="dxa"/>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宋体"/>
                      <w:color w:val="auto"/>
                      <w:szCs w:val="21"/>
                    </w:rPr>
                  </w:pPr>
                  <w:r>
                    <w:rPr>
                      <w:rFonts w:hint="eastAsia" w:ascii="宋体" w:hAnsi="宋体"/>
                      <w:color w:val="auto"/>
                      <w:szCs w:val="21"/>
                    </w:rPr>
                    <w:t>环境风险管控</w:t>
                  </w:r>
                </w:p>
              </w:tc>
              <w:tc>
                <w:tcPr>
                  <w:tcW w:w="3046" w:type="dxa"/>
                  <w:tcBorders>
                    <w:top w:val="single" w:color="auto" w:sz="4" w:space="0"/>
                    <w:left w:val="single" w:color="auto" w:sz="4" w:space="0"/>
                    <w:bottom w:val="single" w:color="auto" w:sz="4" w:space="0"/>
                    <w:right w:val="single" w:color="auto" w:sz="4" w:space="0"/>
                  </w:tcBorders>
                  <w:vAlign w:val="center"/>
                </w:tcPr>
                <w:p>
                  <w:pPr>
                    <w:autoSpaceDE w:val="0"/>
                    <w:autoSpaceDN w:val="0"/>
                    <w:rPr>
                      <w:color w:val="auto"/>
                      <w:szCs w:val="21"/>
                    </w:rPr>
                  </w:pPr>
                  <w:r>
                    <w:rPr>
                      <w:color w:val="auto"/>
                      <w:szCs w:val="21"/>
                    </w:rPr>
                    <w:t xml:space="preserve">1. </w:t>
                  </w:r>
                  <w:r>
                    <w:rPr>
                      <w:rFonts w:hint="eastAsia"/>
                      <w:color w:val="auto"/>
                      <w:szCs w:val="21"/>
                    </w:rPr>
                    <w:t>建立健全环境风险防控体系，制定突发环境事件应急预案，建设事故应急池，成立应急组织机构，防止在处理安全生产事故过程中产生的可能严重污染水体的消防废水、废液直接排入水体。</w:t>
                  </w:r>
                </w:p>
                <w:p>
                  <w:pPr>
                    <w:autoSpaceDE w:val="0"/>
                    <w:autoSpaceDN w:val="0"/>
                    <w:rPr>
                      <w:color w:val="auto"/>
                      <w:szCs w:val="21"/>
                    </w:rPr>
                  </w:pPr>
                  <w:r>
                    <w:rPr>
                      <w:color w:val="auto"/>
                      <w:szCs w:val="21"/>
                    </w:rPr>
                    <w:t>2.</w:t>
                  </w:r>
                  <w:r>
                    <w:rPr>
                      <w:rFonts w:hint="eastAsia"/>
                      <w:color w:val="auto"/>
                      <w:szCs w:val="21"/>
                    </w:rPr>
                    <w:t>应采取有效措施防止园区建设对区域地下水、土壤造成污染。</w:t>
                  </w:r>
                </w:p>
              </w:tc>
              <w:tc>
                <w:tcPr>
                  <w:tcW w:w="1718" w:type="dxa"/>
                  <w:tcBorders>
                    <w:top w:val="single" w:color="auto" w:sz="4" w:space="0"/>
                    <w:left w:val="single" w:color="auto" w:sz="4" w:space="0"/>
                    <w:bottom w:val="single" w:color="auto" w:sz="4" w:space="0"/>
                    <w:right w:val="single" w:color="auto" w:sz="4" w:space="0"/>
                  </w:tcBorders>
                  <w:vAlign w:val="center"/>
                </w:tcPr>
                <w:p>
                  <w:pPr>
                    <w:widowControl/>
                    <w:jc w:val="left"/>
                    <w:rPr>
                      <w:color w:val="auto"/>
                      <w:szCs w:val="21"/>
                    </w:rPr>
                  </w:pPr>
                  <w:r>
                    <w:rPr>
                      <w:rFonts w:hint="eastAsia"/>
                      <w:color w:val="auto"/>
                      <w:szCs w:val="21"/>
                    </w:rPr>
                    <w:t>项目生产原料主要为石英矿、水泥、纸浆，不涉及环境风险物资。项目在生产管理、</w:t>
                  </w:r>
                  <w:r>
                    <w:rPr>
                      <w:rFonts w:hint="eastAsia" w:ascii="宋体" w:hAnsi="宋体" w:cs="宋体"/>
                      <w:color w:val="auto"/>
                      <w:szCs w:val="21"/>
                    </w:rPr>
                    <w:t>应急处理、火灾预防、环保设施方面均有风险防范措施；厂区生产车间均硬化，避免</w:t>
                  </w:r>
                  <w:r>
                    <w:rPr>
                      <w:rFonts w:hint="eastAsia"/>
                      <w:color w:val="auto"/>
                      <w:szCs w:val="21"/>
                    </w:rPr>
                    <w:t>地下水、土壤造成污染。</w:t>
                  </w:r>
                </w:p>
              </w:tc>
              <w:tc>
                <w:tcPr>
                  <w:tcW w:w="883" w:type="dxa"/>
                  <w:tcBorders>
                    <w:top w:val="single" w:color="auto" w:sz="4" w:space="0"/>
                    <w:left w:val="single" w:color="auto" w:sz="4" w:space="0"/>
                    <w:bottom w:val="single" w:color="auto" w:sz="4" w:space="0"/>
                  </w:tcBorders>
                  <w:vAlign w:val="center"/>
                </w:tcPr>
                <w:p>
                  <w:pPr>
                    <w:pStyle w:val="103"/>
                    <w:rPr>
                      <w:rFonts w:ascii="宋体"/>
                      <w:color w:val="auto"/>
                      <w:szCs w:val="21"/>
                    </w:rPr>
                  </w:pPr>
                  <w:r>
                    <w:rPr>
                      <w:rFonts w:hint="eastAsia" w:ascii="宋体" w:hAnsi="宋体"/>
                      <w:color w:val="auto"/>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 w:type="dxa"/>
                  <w:vMerge w:val="continue"/>
                  <w:tcBorders>
                    <w:top w:val="single" w:color="auto" w:sz="4" w:space="0"/>
                    <w:bottom w:val="single" w:color="auto" w:sz="12" w:space="0"/>
                    <w:right w:val="single" w:color="auto" w:sz="4" w:space="0"/>
                  </w:tcBorders>
                  <w:vAlign w:val="center"/>
                </w:tcPr>
                <w:p>
                  <w:pPr>
                    <w:widowControl/>
                    <w:jc w:val="left"/>
                    <w:rPr>
                      <w:color w:val="auto"/>
                      <w:szCs w:val="21"/>
                    </w:rPr>
                  </w:pPr>
                </w:p>
              </w:tc>
              <w:tc>
                <w:tcPr>
                  <w:tcW w:w="785"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color w:val="auto"/>
                      <w:szCs w:val="21"/>
                    </w:rPr>
                  </w:pPr>
                </w:p>
              </w:tc>
              <w:tc>
                <w:tcPr>
                  <w:tcW w:w="762" w:type="dxa"/>
                  <w:tcBorders>
                    <w:top w:val="single" w:color="auto" w:sz="4" w:space="0"/>
                    <w:left w:val="single" w:color="auto" w:sz="4" w:space="0"/>
                    <w:bottom w:val="single" w:color="auto" w:sz="12" w:space="0"/>
                    <w:right w:val="single" w:color="auto" w:sz="4" w:space="0"/>
                  </w:tcBorders>
                  <w:vAlign w:val="center"/>
                </w:tcPr>
                <w:p>
                  <w:pPr>
                    <w:autoSpaceDE w:val="0"/>
                    <w:autoSpaceDN w:val="0"/>
                    <w:jc w:val="center"/>
                    <w:rPr>
                      <w:rFonts w:ascii="宋体"/>
                      <w:color w:val="auto"/>
                      <w:szCs w:val="21"/>
                    </w:rPr>
                  </w:pPr>
                  <w:r>
                    <w:rPr>
                      <w:rFonts w:hint="eastAsia" w:ascii="宋体" w:hAnsi="宋体"/>
                      <w:color w:val="auto"/>
                      <w:szCs w:val="21"/>
                    </w:rPr>
                    <w:t>资源开发效率要求</w:t>
                  </w:r>
                </w:p>
              </w:tc>
              <w:tc>
                <w:tcPr>
                  <w:tcW w:w="3046" w:type="dxa"/>
                  <w:tcBorders>
                    <w:top w:val="single" w:color="auto" w:sz="4" w:space="0"/>
                    <w:left w:val="single" w:color="auto" w:sz="4" w:space="0"/>
                    <w:bottom w:val="single" w:color="auto" w:sz="12" w:space="0"/>
                    <w:right w:val="single" w:color="auto" w:sz="4" w:space="0"/>
                  </w:tcBorders>
                  <w:vAlign w:val="center"/>
                </w:tcPr>
                <w:p>
                  <w:pPr>
                    <w:autoSpaceDE w:val="0"/>
                    <w:autoSpaceDN w:val="0"/>
                    <w:jc w:val="left"/>
                    <w:rPr>
                      <w:color w:val="auto"/>
                      <w:szCs w:val="21"/>
                    </w:rPr>
                  </w:pPr>
                  <w:r>
                    <w:rPr>
                      <w:color w:val="auto"/>
                      <w:szCs w:val="21"/>
                    </w:rPr>
                    <w:t>1.</w:t>
                  </w:r>
                  <w:r>
                    <w:rPr>
                      <w:rFonts w:hint="eastAsia"/>
                      <w:color w:val="auto"/>
                      <w:szCs w:val="21"/>
                    </w:rPr>
                    <w:t>加快天然气储配站和供气管网的建设进度，园区内不得新建燃煤锅炉。</w:t>
                  </w:r>
                </w:p>
                <w:p>
                  <w:pPr>
                    <w:autoSpaceDE w:val="0"/>
                    <w:autoSpaceDN w:val="0"/>
                    <w:jc w:val="left"/>
                    <w:rPr>
                      <w:color w:val="auto"/>
                      <w:szCs w:val="21"/>
                    </w:rPr>
                  </w:pPr>
                  <w:r>
                    <w:rPr>
                      <w:color w:val="auto"/>
                      <w:szCs w:val="21"/>
                    </w:rPr>
                    <w:t>2.</w:t>
                  </w:r>
                  <w:r>
                    <w:rPr>
                      <w:rFonts w:hint="eastAsia"/>
                      <w:color w:val="auto"/>
                      <w:szCs w:val="21"/>
                    </w:rPr>
                    <w:t>高污染燃料禁燃区内禁止燃用高污染燃料，禁止新建、扩建燃用高污染燃料的设施。现有使用高污染燃料的设施，限期改用清洁能源；现有使用生物质燃料的设施，限期改为专用锅炉并配置高效除尘设施。</w:t>
                  </w:r>
                </w:p>
              </w:tc>
              <w:tc>
                <w:tcPr>
                  <w:tcW w:w="1718" w:type="dxa"/>
                  <w:tcBorders>
                    <w:top w:val="single" w:color="auto" w:sz="4" w:space="0"/>
                    <w:left w:val="single" w:color="auto" w:sz="4" w:space="0"/>
                    <w:bottom w:val="single" w:color="auto" w:sz="12" w:space="0"/>
                    <w:right w:val="single" w:color="auto" w:sz="4" w:space="0"/>
                  </w:tcBorders>
                  <w:vAlign w:val="center"/>
                </w:tcPr>
                <w:p>
                  <w:pPr>
                    <w:autoSpaceDE w:val="0"/>
                    <w:autoSpaceDN w:val="0"/>
                    <w:jc w:val="left"/>
                    <w:rPr>
                      <w:color w:val="auto"/>
                      <w:szCs w:val="21"/>
                    </w:rPr>
                  </w:pPr>
                  <w:r>
                    <w:rPr>
                      <w:rFonts w:hint="eastAsia"/>
                      <w:color w:val="auto"/>
                      <w:szCs w:val="21"/>
                    </w:rPr>
                    <w:t>北部工业新城（三期）规划主要使用的能源为电力、集中供热和天然气。其中集中供热的热源来自永安火电厂。本项目采用永安市火电厂集中供热蒸汽作为高压蒸养、烘干工序的热源，未新建锅炉。</w:t>
                  </w:r>
                </w:p>
              </w:tc>
              <w:tc>
                <w:tcPr>
                  <w:tcW w:w="883" w:type="dxa"/>
                  <w:tcBorders>
                    <w:top w:val="single" w:color="auto" w:sz="4" w:space="0"/>
                    <w:left w:val="single" w:color="auto" w:sz="4" w:space="0"/>
                    <w:bottom w:val="single" w:color="auto" w:sz="12" w:space="0"/>
                  </w:tcBorders>
                  <w:vAlign w:val="center"/>
                </w:tcPr>
                <w:p>
                  <w:pPr>
                    <w:pStyle w:val="103"/>
                    <w:rPr>
                      <w:rFonts w:ascii="宋体"/>
                      <w:color w:val="auto"/>
                      <w:szCs w:val="21"/>
                    </w:rPr>
                  </w:pPr>
                  <w:r>
                    <w:rPr>
                      <w:rFonts w:hint="eastAsia" w:ascii="宋体" w:hAnsi="宋体"/>
                      <w:color w:val="auto"/>
                      <w:szCs w:val="21"/>
                    </w:rPr>
                    <w:t>符合</w:t>
                  </w:r>
                </w:p>
              </w:tc>
            </w:tr>
          </w:tbl>
          <w:p>
            <w:pPr>
              <w:pStyle w:val="73"/>
              <w:adjustRightInd/>
              <w:snapToGrid/>
              <w:ind w:firstLine="31680"/>
              <w:rPr>
                <w:rFonts w:cs="宋体"/>
                <w:color w:val="auto"/>
              </w:rPr>
            </w:pPr>
            <w:r>
              <w:rPr>
                <w:rFonts w:hint="eastAsia" w:cs="宋体"/>
                <w:color w:val="auto"/>
                <w:sz w:val="24"/>
                <w:szCs w:val="24"/>
              </w:rPr>
              <w:t>项目建设能够满足《三明市人民政府关于印发三明市“三线一单”生态环境分区管控方案的通知》（明政〔2021〕4号）中对应的管控要求。</w:t>
            </w:r>
          </w:p>
          <w:p>
            <w:pPr>
              <w:pStyle w:val="83"/>
              <w:adjustRightInd/>
              <w:snapToGrid/>
              <w:spacing w:beforeLines="50"/>
              <w:rPr>
                <w:color w:val="auto"/>
              </w:rPr>
            </w:pPr>
            <w:r>
              <w:rPr>
                <w:color w:val="auto"/>
              </w:rPr>
              <w:t>1.6</w:t>
            </w:r>
            <w:r>
              <w:rPr>
                <w:rFonts w:hint="eastAsia"/>
                <w:color w:val="auto"/>
              </w:rPr>
              <w:t>与永安市国土空间总体规划</w:t>
            </w:r>
            <w:r>
              <w:rPr>
                <w:color w:val="auto"/>
              </w:rPr>
              <w:t>(2021-2035</w:t>
            </w:r>
            <w:r>
              <w:rPr>
                <w:rFonts w:hint="eastAsia"/>
                <w:color w:val="auto"/>
              </w:rPr>
              <w:t>年</w:t>
            </w:r>
            <w:r>
              <w:rPr>
                <w:color w:val="auto"/>
              </w:rPr>
              <w:t>)</w:t>
            </w:r>
            <w:r>
              <w:rPr>
                <w:rFonts w:hint="eastAsia"/>
                <w:color w:val="auto"/>
              </w:rPr>
              <w:t>符合性分析</w:t>
            </w:r>
          </w:p>
          <w:p>
            <w:pPr>
              <w:pStyle w:val="174"/>
              <w:rPr>
                <w:color w:val="auto"/>
              </w:rPr>
            </w:pPr>
            <w:r>
              <w:rPr>
                <w:color w:val="auto"/>
              </w:rPr>
              <w:t>1.6.1</w:t>
            </w:r>
            <w:r>
              <w:rPr>
                <w:rFonts w:hint="eastAsia"/>
                <w:color w:val="auto"/>
              </w:rPr>
              <w:t>“三线”</w:t>
            </w:r>
          </w:p>
          <w:p>
            <w:pPr>
              <w:pStyle w:val="73"/>
              <w:adjustRightInd/>
              <w:snapToGrid/>
              <w:ind w:firstLine="31680"/>
              <w:rPr>
                <w:rFonts w:cs="宋体"/>
                <w:color w:val="auto"/>
                <w:sz w:val="24"/>
                <w:szCs w:val="24"/>
              </w:rPr>
            </w:pPr>
            <w:r>
              <w:rPr>
                <w:rFonts w:hint="eastAsia" w:cs="宋体"/>
                <w:color w:val="auto"/>
                <w:sz w:val="24"/>
                <w:szCs w:val="24"/>
              </w:rPr>
              <w:t>①永久基本农田保护红线：至</w:t>
            </w:r>
            <w:r>
              <w:rPr>
                <w:rFonts w:cs="宋体"/>
                <w:color w:val="auto"/>
                <w:sz w:val="24"/>
                <w:szCs w:val="24"/>
              </w:rPr>
              <w:t>2035</w:t>
            </w:r>
            <w:r>
              <w:rPr>
                <w:rFonts w:hint="eastAsia" w:cs="宋体"/>
                <w:color w:val="auto"/>
                <w:sz w:val="24"/>
                <w:szCs w:val="24"/>
              </w:rPr>
              <w:t>年，全市划定永久基本农田</w:t>
            </w:r>
            <w:r>
              <w:rPr>
                <w:rFonts w:cs="宋体"/>
                <w:color w:val="auto"/>
                <w:sz w:val="24"/>
                <w:szCs w:val="24"/>
              </w:rPr>
              <w:t>116.20</w:t>
            </w:r>
            <w:r>
              <w:rPr>
                <w:rFonts w:hint="eastAsia" w:cs="宋体"/>
                <w:color w:val="auto"/>
                <w:sz w:val="24"/>
                <w:szCs w:val="24"/>
              </w:rPr>
              <w:t>平方公里（</w:t>
            </w:r>
            <w:r>
              <w:rPr>
                <w:rFonts w:cs="宋体"/>
                <w:color w:val="auto"/>
                <w:sz w:val="24"/>
                <w:szCs w:val="24"/>
              </w:rPr>
              <w:t>17.43</w:t>
            </w:r>
            <w:r>
              <w:rPr>
                <w:rFonts w:hint="eastAsia" w:cs="宋体"/>
                <w:color w:val="auto"/>
                <w:sz w:val="24"/>
                <w:szCs w:val="24"/>
              </w:rPr>
              <w:t>万亩），主要分布在小陶镇、安砂镇、西洋镇、洪田镇和青水畲族乡。本项目位于永安市曹远镇坑边路（北部工业新城鑫华港饲料东侧），不涉及以上永久基本农田保护红线。</w:t>
            </w:r>
          </w:p>
          <w:p>
            <w:pPr>
              <w:pStyle w:val="73"/>
              <w:adjustRightInd/>
              <w:snapToGrid/>
              <w:ind w:firstLine="31680"/>
              <w:rPr>
                <w:rFonts w:cs="宋体"/>
                <w:color w:val="auto"/>
                <w:sz w:val="24"/>
                <w:szCs w:val="24"/>
              </w:rPr>
            </w:pPr>
            <w:r>
              <w:rPr>
                <w:rFonts w:hint="eastAsia" w:cs="宋体"/>
                <w:color w:val="auto"/>
                <w:sz w:val="24"/>
                <w:szCs w:val="24"/>
              </w:rPr>
              <w:t>②生态保护红线：至</w:t>
            </w:r>
            <w:r>
              <w:rPr>
                <w:rFonts w:cs="宋体"/>
                <w:color w:val="auto"/>
                <w:sz w:val="24"/>
                <w:szCs w:val="24"/>
              </w:rPr>
              <w:t>2035</w:t>
            </w:r>
            <w:r>
              <w:rPr>
                <w:rFonts w:hint="eastAsia" w:cs="宋体"/>
                <w:color w:val="auto"/>
                <w:sz w:val="24"/>
                <w:szCs w:val="24"/>
              </w:rPr>
              <w:t>年，全市划定生态保护红线面积为</w:t>
            </w:r>
            <w:r>
              <w:rPr>
                <w:rFonts w:cs="宋体"/>
                <w:color w:val="auto"/>
                <w:sz w:val="24"/>
                <w:szCs w:val="24"/>
              </w:rPr>
              <w:t>765.91</w:t>
            </w:r>
            <w:r>
              <w:rPr>
                <w:rFonts w:hint="eastAsia" w:cs="宋体"/>
                <w:color w:val="auto"/>
                <w:sz w:val="24"/>
                <w:szCs w:val="24"/>
              </w:rPr>
              <w:t>平方公里，占行政区面积的</w:t>
            </w:r>
            <w:r>
              <w:rPr>
                <w:rFonts w:cs="宋体"/>
                <w:color w:val="auto"/>
                <w:sz w:val="24"/>
                <w:szCs w:val="24"/>
              </w:rPr>
              <w:t>26.13%</w:t>
            </w:r>
            <w:r>
              <w:rPr>
                <w:rFonts w:hint="eastAsia" w:cs="宋体"/>
                <w:color w:val="auto"/>
                <w:sz w:val="24"/>
                <w:szCs w:val="24"/>
              </w:rPr>
              <w:t>。主要包括福建省天宝岩国家级自然保护区、福建省永安龙头国家湿地自然公园、福建省九龙竹海国家森林自然公园、永安市北区水厂水源保护区、永安市南区水厂水源保护区、国家一级生态公益林和其他生态功能极重要区域、生态极敏感脆弱区。本项目位于永安市曹远镇坑边路（北部工业新城鑫华港饲料东侧），不涉及以上生态保护红线。</w:t>
            </w:r>
          </w:p>
          <w:p>
            <w:pPr>
              <w:pStyle w:val="73"/>
              <w:adjustRightInd/>
              <w:snapToGrid/>
              <w:ind w:firstLine="31680"/>
              <w:rPr>
                <w:rFonts w:cs="宋体"/>
                <w:color w:val="auto"/>
                <w:sz w:val="24"/>
                <w:szCs w:val="24"/>
              </w:rPr>
            </w:pPr>
            <w:r>
              <w:rPr>
                <w:rFonts w:hint="eastAsia" w:cs="宋体"/>
                <w:color w:val="auto"/>
                <w:sz w:val="24"/>
                <w:szCs w:val="24"/>
              </w:rPr>
              <w:t>③城镇开发边界：按照节约集约、绿色发展要求合理划定城镇开发边界，优先将近期明确的市级以上重大建设片区、各类依法批准的开发区等可集中进行城镇开发建设的区域，划入城镇开发边界。至</w:t>
            </w:r>
            <w:r>
              <w:rPr>
                <w:rFonts w:cs="宋体"/>
                <w:color w:val="auto"/>
                <w:sz w:val="24"/>
                <w:szCs w:val="24"/>
              </w:rPr>
              <w:t>2035</w:t>
            </w:r>
            <w:r>
              <w:rPr>
                <w:rFonts w:hint="eastAsia" w:cs="宋体"/>
                <w:color w:val="auto"/>
                <w:sz w:val="24"/>
                <w:szCs w:val="24"/>
              </w:rPr>
              <w:t>年，全市划定城镇开发边界</w:t>
            </w:r>
            <w:r>
              <w:rPr>
                <w:rFonts w:cs="宋体"/>
                <w:color w:val="auto"/>
                <w:sz w:val="24"/>
                <w:szCs w:val="24"/>
              </w:rPr>
              <w:t>70.45</w:t>
            </w:r>
            <w:r>
              <w:rPr>
                <w:rFonts w:hint="eastAsia" w:cs="宋体"/>
                <w:color w:val="auto"/>
                <w:sz w:val="24"/>
                <w:szCs w:val="24"/>
              </w:rPr>
              <w:t>平方公里，城镇开发边界主要分布在中心城区和各镇镇区。本项目位于永安市曹远镇坑边路（北部工业新城鑫华港饲料东侧），在永安市北部工业新城（三期）开发边界内，用地性质为工业用地，符合规划。</w:t>
            </w:r>
          </w:p>
          <w:p>
            <w:pPr>
              <w:pStyle w:val="174"/>
              <w:rPr>
                <w:color w:val="auto"/>
              </w:rPr>
            </w:pPr>
            <w:r>
              <w:rPr>
                <w:color w:val="auto"/>
              </w:rPr>
              <w:t>1.6.2</w:t>
            </w:r>
            <w:r>
              <w:rPr>
                <w:rFonts w:hint="eastAsia"/>
                <w:color w:val="auto"/>
              </w:rPr>
              <w:t>“三区”</w:t>
            </w:r>
          </w:p>
          <w:p>
            <w:pPr>
              <w:pStyle w:val="73"/>
              <w:adjustRightInd/>
              <w:snapToGrid/>
              <w:ind w:firstLine="31680"/>
              <w:rPr>
                <w:rFonts w:cs="宋体"/>
                <w:color w:val="auto"/>
                <w:sz w:val="24"/>
                <w:szCs w:val="24"/>
              </w:rPr>
            </w:pPr>
            <w:r>
              <w:rPr>
                <w:rFonts w:hint="eastAsia" w:cs="宋体"/>
                <w:color w:val="auto"/>
                <w:sz w:val="24"/>
                <w:szCs w:val="24"/>
              </w:rPr>
              <w:t>①生态空间：维护与贯通连接市域重要自然保护区和物种栖息地的绿色及水系生态廊道，重点强化重要生态节点的主要生态廊道，包括沙溪、文川溪、巴溪、胡贡溪、益溪、文江溪、后溪等水系生态廊道，东坡省级森林自然公园</w:t>
            </w:r>
            <w:r>
              <w:rPr>
                <w:rFonts w:cs="宋体"/>
                <w:color w:val="auto"/>
                <w:sz w:val="24"/>
                <w:szCs w:val="24"/>
              </w:rPr>
              <w:t>-</w:t>
            </w:r>
            <w:r>
              <w:rPr>
                <w:rFonts w:hint="eastAsia" w:cs="宋体"/>
                <w:color w:val="auto"/>
                <w:sz w:val="24"/>
                <w:szCs w:val="24"/>
              </w:rPr>
              <w:t>九龙竹海国家森林自然公园、罗坊乡水源生态保护区</w:t>
            </w:r>
            <w:r>
              <w:rPr>
                <w:rFonts w:cs="宋体"/>
                <w:color w:val="auto"/>
                <w:sz w:val="24"/>
                <w:szCs w:val="24"/>
              </w:rPr>
              <w:t>-</w:t>
            </w:r>
            <w:r>
              <w:rPr>
                <w:rFonts w:hint="eastAsia" w:cs="宋体"/>
                <w:color w:val="auto"/>
                <w:sz w:val="24"/>
                <w:szCs w:val="24"/>
              </w:rPr>
              <w:t>龙头国家湿地公园</w:t>
            </w:r>
            <w:r>
              <w:rPr>
                <w:rFonts w:cs="宋体"/>
                <w:color w:val="auto"/>
                <w:sz w:val="24"/>
                <w:szCs w:val="24"/>
              </w:rPr>
              <w:t>-</w:t>
            </w:r>
            <w:r>
              <w:rPr>
                <w:rFonts w:hint="eastAsia" w:cs="宋体"/>
                <w:color w:val="auto"/>
                <w:sz w:val="24"/>
                <w:szCs w:val="24"/>
              </w:rPr>
              <w:t>永安市北部山地生态节点等绿色生态廊道。本项目位于永安市曹远镇坑边路（北部工业新城鑫华港饲料东侧），不涉及以上绿色生态廊道。</w:t>
            </w:r>
          </w:p>
          <w:p>
            <w:pPr>
              <w:pStyle w:val="73"/>
              <w:adjustRightInd/>
              <w:snapToGrid/>
              <w:ind w:firstLine="31680"/>
              <w:rPr>
                <w:rFonts w:cs="宋体"/>
                <w:color w:val="auto"/>
                <w:sz w:val="24"/>
                <w:szCs w:val="24"/>
              </w:rPr>
            </w:pPr>
            <w:r>
              <w:rPr>
                <w:rFonts w:hint="eastAsia" w:cs="宋体"/>
                <w:color w:val="auto"/>
                <w:sz w:val="24"/>
                <w:szCs w:val="24"/>
              </w:rPr>
              <w:t>②农业空间：永安市农业发展区域划分为三大片区。东南部区域，即西洋镇、槐南镇、青水畲族乡和上坪乡片区，重点发展笋竹、果茶、蔬菜、乡村旅游等产业；北部区域，即曹远镇、大湖镇、安砂镇和贡川镇片区，重点发展畜牧、蔬菜、水产养殖、休闲农业等产业；西南部区域，即小陶镇、洪田镇和罗坊乡片区，重点发展粮食、水果、蔬菜、林药、高山茶叶、森林旅游等产业。本项目位于永安市曹远镇坑边路（北部工业新城鑫华港饲料东侧），用地性质为工业用地，不涉及以上农业空间。</w:t>
            </w:r>
          </w:p>
          <w:p>
            <w:pPr>
              <w:pStyle w:val="73"/>
              <w:adjustRightInd/>
              <w:snapToGrid/>
              <w:ind w:firstLine="31680"/>
              <w:rPr>
                <w:rFonts w:cs="宋体"/>
                <w:color w:val="auto"/>
                <w:sz w:val="24"/>
                <w:szCs w:val="24"/>
              </w:rPr>
            </w:pPr>
            <w:r>
              <w:rPr>
                <w:rFonts w:hint="eastAsia" w:cs="宋体"/>
                <w:color w:val="auto"/>
                <w:sz w:val="24"/>
                <w:szCs w:val="24"/>
              </w:rPr>
              <w:t>③城镇空间：规划至</w:t>
            </w:r>
            <w:r>
              <w:rPr>
                <w:rFonts w:cs="宋体"/>
                <w:color w:val="auto"/>
                <w:sz w:val="24"/>
                <w:szCs w:val="24"/>
              </w:rPr>
              <w:t>2025</w:t>
            </w:r>
            <w:r>
              <w:rPr>
                <w:rFonts w:hint="eastAsia" w:cs="宋体"/>
                <w:color w:val="auto"/>
                <w:sz w:val="24"/>
                <w:szCs w:val="24"/>
              </w:rPr>
              <w:t>年，全市常住人口</w:t>
            </w:r>
            <w:r>
              <w:rPr>
                <w:rFonts w:cs="宋体"/>
                <w:color w:val="auto"/>
                <w:sz w:val="24"/>
                <w:szCs w:val="24"/>
              </w:rPr>
              <w:t>36.25</w:t>
            </w:r>
            <w:r>
              <w:rPr>
                <w:rFonts w:hint="eastAsia" w:cs="宋体"/>
                <w:color w:val="auto"/>
                <w:sz w:val="24"/>
                <w:szCs w:val="24"/>
              </w:rPr>
              <w:t>万人，城镇化水平</w:t>
            </w:r>
            <w:r>
              <w:rPr>
                <w:rFonts w:cs="宋体"/>
                <w:color w:val="auto"/>
                <w:sz w:val="24"/>
                <w:szCs w:val="24"/>
              </w:rPr>
              <w:t>75%</w:t>
            </w:r>
            <w:r>
              <w:rPr>
                <w:rFonts w:hint="eastAsia" w:cs="宋体"/>
                <w:color w:val="auto"/>
                <w:sz w:val="24"/>
                <w:szCs w:val="24"/>
              </w:rPr>
              <w:t>，城镇人口</w:t>
            </w:r>
            <w:r>
              <w:rPr>
                <w:rFonts w:cs="宋体"/>
                <w:color w:val="auto"/>
                <w:sz w:val="24"/>
                <w:szCs w:val="24"/>
              </w:rPr>
              <w:t>27.19</w:t>
            </w:r>
            <w:r>
              <w:rPr>
                <w:rFonts w:hint="eastAsia" w:cs="宋体"/>
                <w:color w:val="auto"/>
                <w:sz w:val="24"/>
                <w:szCs w:val="24"/>
              </w:rPr>
              <w:t>万人。建设用地总规模</w:t>
            </w:r>
            <w:r>
              <w:rPr>
                <w:rFonts w:cs="宋体"/>
                <w:color w:val="auto"/>
                <w:sz w:val="24"/>
                <w:szCs w:val="24"/>
              </w:rPr>
              <w:t>122</w:t>
            </w:r>
            <w:r>
              <w:rPr>
                <w:rFonts w:hint="eastAsia" w:cs="宋体"/>
                <w:color w:val="auto"/>
                <w:sz w:val="24"/>
                <w:szCs w:val="24"/>
              </w:rPr>
              <w:t>平方公里，城镇建</w:t>
            </w:r>
            <w:r>
              <w:rPr>
                <w:rFonts w:cs="宋体"/>
                <w:color w:val="auto"/>
                <w:sz w:val="24"/>
                <w:szCs w:val="24"/>
              </w:rPr>
              <w:t xml:space="preserve"> </w:t>
            </w:r>
            <w:r>
              <w:rPr>
                <w:rFonts w:hint="eastAsia" w:cs="宋体"/>
                <w:color w:val="auto"/>
                <w:sz w:val="24"/>
                <w:szCs w:val="24"/>
              </w:rPr>
              <w:t>设用地规模</w:t>
            </w:r>
            <w:r>
              <w:rPr>
                <w:rFonts w:cs="宋体"/>
                <w:color w:val="auto"/>
                <w:sz w:val="24"/>
                <w:szCs w:val="24"/>
              </w:rPr>
              <w:t>43.23</w:t>
            </w:r>
            <w:r>
              <w:rPr>
                <w:rFonts w:hint="eastAsia" w:cs="宋体"/>
                <w:color w:val="auto"/>
                <w:sz w:val="24"/>
                <w:szCs w:val="24"/>
              </w:rPr>
              <w:t>平方公里。至</w:t>
            </w:r>
            <w:r>
              <w:rPr>
                <w:rFonts w:cs="宋体"/>
                <w:color w:val="auto"/>
                <w:sz w:val="24"/>
                <w:szCs w:val="24"/>
              </w:rPr>
              <w:t>2035</w:t>
            </w:r>
            <w:r>
              <w:rPr>
                <w:rFonts w:hint="eastAsia" w:cs="宋体"/>
                <w:color w:val="auto"/>
                <w:sz w:val="24"/>
                <w:szCs w:val="24"/>
              </w:rPr>
              <w:t>年，预测全市常住人口</w:t>
            </w:r>
            <w:r>
              <w:rPr>
                <w:rFonts w:cs="宋体"/>
                <w:color w:val="auto"/>
                <w:sz w:val="24"/>
                <w:szCs w:val="24"/>
              </w:rPr>
              <w:t>39.55</w:t>
            </w:r>
            <w:r>
              <w:rPr>
                <w:rFonts w:hint="eastAsia" w:cs="宋体"/>
                <w:color w:val="auto"/>
                <w:sz w:val="24"/>
                <w:szCs w:val="24"/>
              </w:rPr>
              <w:t>万人，城镇化水平</w:t>
            </w:r>
            <w:r>
              <w:rPr>
                <w:rFonts w:cs="宋体"/>
                <w:color w:val="auto"/>
                <w:sz w:val="24"/>
                <w:szCs w:val="24"/>
              </w:rPr>
              <w:t>80%</w:t>
            </w:r>
            <w:r>
              <w:rPr>
                <w:rFonts w:hint="eastAsia" w:cs="宋体"/>
                <w:color w:val="auto"/>
                <w:sz w:val="24"/>
                <w:szCs w:val="24"/>
              </w:rPr>
              <w:t>，城镇人口</w:t>
            </w:r>
            <w:r>
              <w:rPr>
                <w:rFonts w:cs="宋体"/>
                <w:color w:val="auto"/>
                <w:sz w:val="24"/>
                <w:szCs w:val="24"/>
              </w:rPr>
              <w:t>31.64</w:t>
            </w:r>
            <w:r>
              <w:rPr>
                <w:rFonts w:hint="eastAsia" w:cs="宋体"/>
                <w:color w:val="auto"/>
                <w:sz w:val="24"/>
                <w:szCs w:val="24"/>
              </w:rPr>
              <w:t>万人。建设用地总规模</w:t>
            </w:r>
            <w:r>
              <w:rPr>
                <w:rFonts w:cs="宋体"/>
                <w:color w:val="auto"/>
                <w:sz w:val="24"/>
                <w:szCs w:val="24"/>
              </w:rPr>
              <w:t>155</w:t>
            </w:r>
            <w:r>
              <w:rPr>
                <w:rFonts w:hint="eastAsia" w:cs="宋体"/>
                <w:color w:val="auto"/>
                <w:sz w:val="24"/>
                <w:szCs w:val="24"/>
              </w:rPr>
              <w:t>平方公里。城镇建设用地规模</w:t>
            </w:r>
            <w:r>
              <w:rPr>
                <w:rFonts w:cs="宋体"/>
                <w:color w:val="auto"/>
                <w:sz w:val="24"/>
                <w:szCs w:val="24"/>
              </w:rPr>
              <w:t>61.74</w:t>
            </w:r>
            <w:r>
              <w:rPr>
                <w:rFonts w:hint="eastAsia" w:cs="宋体"/>
                <w:color w:val="auto"/>
                <w:sz w:val="24"/>
                <w:szCs w:val="24"/>
              </w:rPr>
              <w:t>平方公里。本项目位于永安市大湖镇曹远镇坑边路（北部工业新城鑫华港饲料东侧），主要从事工业生产。</w:t>
            </w:r>
          </w:p>
          <w:p>
            <w:pPr>
              <w:pStyle w:val="73"/>
              <w:adjustRightInd/>
              <w:snapToGrid/>
              <w:ind w:firstLine="31680"/>
              <w:rPr>
                <w:rFonts w:cs="宋体"/>
                <w:color w:val="auto"/>
                <w:sz w:val="24"/>
                <w:szCs w:val="24"/>
              </w:rPr>
            </w:pPr>
            <w:r>
              <w:rPr>
                <w:rFonts w:hint="eastAsia" w:cs="宋体"/>
                <w:color w:val="auto"/>
                <w:sz w:val="24"/>
                <w:szCs w:val="24"/>
              </w:rPr>
              <w:t>综上分析可知，项目与永安市国土空间总体规划（</w:t>
            </w:r>
            <w:r>
              <w:rPr>
                <w:rFonts w:cs="宋体"/>
                <w:color w:val="auto"/>
                <w:sz w:val="24"/>
                <w:szCs w:val="24"/>
              </w:rPr>
              <w:t>2021-2035</w:t>
            </w:r>
            <w:r>
              <w:rPr>
                <w:rFonts w:hint="eastAsia" w:cs="宋体"/>
                <w:color w:val="auto"/>
                <w:sz w:val="24"/>
                <w:szCs w:val="24"/>
              </w:rPr>
              <w:t>年）相符。</w:t>
            </w:r>
          </w:p>
          <w:p>
            <w:pPr>
              <w:pStyle w:val="73"/>
              <w:adjustRightInd/>
              <w:snapToGrid/>
              <w:ind w:firstLine="31680"/>
              <w:rPr>
                <w:rFonts w:cs="宋体"/>
                <w:color w:val="auto"/>
                <w:sz w:val="24"/>
                <w:szCs w:val="24"/>
              </w:rPr>
            </w:pPr>
          </w:p>
          <w:p>
            <w:pPr>
              <w:pStyle w:val="73"/>
              <w:adjustRightInd/>
              <w:snapToGrid/>
              <w:ind w:firstLine="31680"/>
              <w:rPr>
                <w:rFonts w:cs="宋体"/>
                <w:color w:val="auto"/>
              </w:rPr>
            </w:pPr>
          </w:p>
        </w:tc>
      </w:tr>
    </w:tbl>
    <w:p/>
    <w:p>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65"/>
        <w:adjustRightInd/>
        <w:snapToGrid/>
      </w:pPr>
      <w:r>
        <w:rPr>
          <w:rFonts w:hint="eastAsia"/>
        </w:rPr>
        <w:t>二、建设项目工程分析</w:t>
      </w:r>
    </w:p>
    <w:tbl>
      <w:tblPr>
        <w:tblStyle w:val="27"/>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5"/>
        <w:gridCol w:w="865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33" w:hRule="atLeast"/>
          <w:jc w:val="center"/>
        </w:trPr>
        <w:tc>
          <w:tcPr>
            <w:tcW w:w="405" w:type="dxa"/>
            <w:tcBorders>
              <w:top w:val="single" w:color="auto" w:sz="8" w:space="0"/>
            </w:tcBorders>
            <w:vAlign w:val="center"/>
          </w:tcPr>
          <w:p>
            <w:pPr>
              <w:pStyle w:val="25"/>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建设内容</w:t>
            </w:r>
          </w:p>
        </w:tc>
        <w:tc>
          <w:tcPr>
            <w:tcW w:w="8655" w:type="dxa"/>
            <w:vMerge w:val="restart"/>
            <w:tcBorders>
              <w:top w:val="single" w:color="auto" w:sz="8" w:space="0"/>
            </w:tcBorders>
          </w:tcPr>
          <w:p>
            <w:pPr>
              <w:pStyle w:val="83"/>
              <w:adjustRightInd/>
              <w:snapToGrid/>
              <w:rPr>
                <w:color w:val="auto"/>
              </w:rPr>
            </w:pPr>
            <w:r>
              <w:rPr>
                <w:color w:val="auto"/>
              </w:rPr>
              <w:t>2.1</w:t>
            </w:r>
            <w:r>
              <w:rPr>
                <w:rFonts w:hint="eastAsia"/>
                <w:color w:val="auto"/>
              </w:rPr>
              <w:t>项目由来</w:t>
            </w:r>
          </w:p>
          <w:p>
            <w:pPr>
              <w:pStyle w:val="106"/>
              <w:ind w:firstLine="31680"/>
              <w:rPr>
                <w:color w:val="auto"/>
              </w:rPr>
            </w:pPr>
            <w:r>
              <w:rPr>
                <w:rFonts w:hint="eastAsia"/>
                <w:color w:val="auto"/>
              </w:rPr>
              <w:t>福建宸鑫硅业有限公司选址于永安市曹远镇坑边路（北部工业新城鑫华港饲料东侧），投资建设“轻质建筑材料生产线”，新建</w:t>
            </w:r>
            <w:r>
              <w:rPr>
                <w:color w:val="auto"/>
              </w:rPr>
              <w:t>1#</w:t>
            </w:r>
            <w:r>
              <w:rPr>
                <w:rFonts w:hint="eastAsia"/>
                <w:color w:val="auto"/>
              </w:rPr>
              <w:t>厂房，</w:t>
            </w:r>
            <w:r>
              <w:rPr>
                <w:color w:val="auto"/>
              </w:rPr>
              <w:t>2#</w:t>
            </w:r>
            <w:r>
              <w:rPr>
                <w:rFonts w:hint="eastAsia"/>
                <w:color w:val="auto"/>
              </w:rPr>
              <w:t>厂房与综合楼，建设</w:t>
            </w:r>
            <w:r>
              <w:rPr>
                <w:color w:val="auto"/>
              </w:rPr>
              <w:t>1</w:t>
            </w:r>
            <w:r>
              <w:rPr>
                <w:rFonts w:hint="eastAsia"/>
                <w:color w:val="auto"/>
              </w:rPr>
              <w:t>条硅酸钙板生产线，建成后年产</w:t>
            </w:r>
            <w:r>
              <w:rPr>
                <w:color w:val="auto"/>
              </w:rPr>
              <w:t>3000</w:t>
            </w:r>
            <w:r>
              <w:rPr>
                <w:rFonts w:hint="eastAsia"/>
                <w:color w:val="auto"/>
              </w:rPr>
              <w:t>万㎡硅酸钙板。项目已通过永安市发展和改革局的备案，备案号：闽发改备</w:t>
            </w:r>
            <w:r>
              <w:rPr>
                <w:color w:val="auto"/>
              </w:rPr>
              <w:t>[2022]G030166</w:t>
            </w:r>
            <w:r>
              <w:rPr>
                <w:rFonts w:hint="eastAsia"/>
                <w:color w:val="auto"/>
              </w:rPr>
              <w:t>号。</w:t>
            </w:r>
          </w:p>
          <w:p>
            <w:pPr>
              <w:pStyle w:val="106"/>
              <w:ind w:firstLine="31680"/>
              <w:rPr>
                <w:color w:val="auto"/>
              </w:rPr>
            </w:pPr>
            <w:r>
              <w:rPr>
                <w:rFonts w:hint="eastAsia"/>
                <w:color w:val="auto"/>
              </w:rPr>
              <w:t>本项目主要以石英粉、水泥、纸浆进行制浆，制板，压板，蒸压养护，烘干、磨边工序加工成硅酸钙板成品。根据《建设项目环境影响评价分类管理名录》（</w:t>
            </w:r>
            <w:r>
              <w:rPr>
                <w:color w:val="auto"/>
              </w:rPr>
              <w:t>2021</w:t>
            </w:r>
            <w:r>
              <w:rPr>
                <w:rFonts w:hint="eastAsia"/>
                <w:color w:val="auto"/>
              </w:rPr>
              <w:t>版），本项目属于“二十七、非金属矿物制品业</w:t>
            </w:r>
            <w:r>
              <w:rPr>
                <w:color w:val="auto"/>
              </w:rPr>
              <w:t>55</w:t>
            </w:r>
            <w:r>
              <w:rPr>
                <w:rFonts w:hint="eastAsia"/>
                <w:color w:val="auto"/>
              </w:rPr>
              <w:t>、石膏、水泥制品及类似制品制造</w:t>
            </w:r>
            <w:r>
              <w:rPr>
                <w:color w:val="auto"/>
              </w:rPr>
              <w:t>302</w:t>
            </w:r>
            <w:r>
              <w:rPr>
                <w:rFonts w:hint="eastAsia"/>
                <w:color w:val="auto"/>
              </w:rPr>
              <w:t>－水泥制品制造”类别，应编制环境影响报告表。因此，福建宸鑫硅业有限公司委托本公司编制《轻质建筑材料生产线环境影响报告表》，环评单位接受委托后立即组织有关技术人员进行了现场踏勘，并根据建设单位提供的基本资料以及相关法律法规、导则等材料，编制了该项目环境影响报告表，供建设单位报三明市永安生态环境局审批。</w:t>
            </w:r>
          </w:p>
          <w:p>
            <w:pPr>
              <w:jc w:val="center"/>
              <w:rPr>
                <w:b/>
                <w:bCs/>
                <w:color w:val="auto"/>
                <w:sz w:val="24"/>
              </w:rPr>
            </w:pPr>
            <w:r>
              <w:rPr>
                <w:rFonts w:hint="eastAsia"/>
                <w:b/>
                <w:bCs/>
                <w:color w:val="auto"/>
                <w:sz w:val="24"/>
              </w:rPr>
              <w:t>表</w:t>
            </w:r>
            <w:r>
              <w:rPr>
                <w:b/>
                <w:bCs/>
                <w:color w:val="auto"/>
                <w:sz w:val="24"/>
              </w:rPr>
              <w:t xml:space="preserve">2.1.1  </w:t>
            </w:r>
            <w:r>
              <w:rPr>
                <w:rFonts w:hint="eastAsia"/>
                <w:b/>
                <w:bCs/>
                <w:color w:val="auto"/>
                <w:sz w:val="24"/>
              </w:rPr>
              <w:t>建设项目环境影响评价分类管理目录</w:t>
            </w:r>
          </w:p>
          <w:tbl>
            <w:tblPr>
              <w:tblStyle w:val="27"/>
              <w:tblW w:w="843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1552"/>
              <w:gridCol w:w="3153"/>
              <w:gridCol w:w="1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104" w:type="dxa"/>
                  <w:tcBorders>
                    <w:top w:val="single" w:color="auto" w:sz="12" w:space="0"/>
                    <w:bottom w:val="single" w:color="auto" w:sz="4" w:space="0"/>
                    <w:right w:val="single" w:color="auto" w:sz="4" w:space="0"/>
                  </w:tcBorders>
                  <w:vAlign w:val="center"/>
                </w:tcPr>
                <w:p>
                  <w:pPr>
                    <w:pStyle w:val="140"/>
                    <w:adjustRightInd/>
                    <w:snapToGrid/>
                    <w:spacing w:line="240" w:lineRule="auto"/>
                    <w:jc w:val="right"/>
                    <w:rPr>
                      <w:color w:val="auto"/>
                    </w:rPr>
                  </w:pPr>
                  <w:r>
                    <w:rPr>
                      <w:color w:val="auto"/>
                    </w:rPr>
                    <mc:AlternateContent>
                      <mc:Choice Requires="wps">
                        <w:drawing>
                          <wp:anchor distT="0" distB="0" distL="114300" distR="114300" simplePos="0" relativeHeight="251659264" behindDoc="0" locked="0" layoutInCell="1" allowOverlap="1">
                            <wp:simplePos x="0" y="0"/>
                            <wp:positionH relativeFrom="column">
                              <wp:posOffset>-51435</wp:posOffset>
                            </wp:positionH>
                            <wp:positionV relativeFrom="paragraph">
                              <wp:posOffset>-5715</wp:posOffset>
                            </wp:positionV>
                            <wp:extent cx="1287780" cy="346075"/>
                            <wp:effectExtent l="1270" t="4445" r="6350" b="11430"/>
                            <wp:wrapNone/>
                            <wp:docPr id="5" name="直线 2"/>
                            <wp:cNvGraphicFramePr/>
                            <a:graphic xmlns:a="http://schemas.openxmlformats.org/drawingml/2006/main">
                              <a:graphicData uri="http://schemas.microsoft.com/office/word/2010/wordprocessingShape">
                                <wps:wsp>
                                  <wps:cNvCnPr/>
                                  <wps:spPr>
                                    <a:xfrm flipH="1" flipV="1">
                                      <a:off x="0" y="0"/>
                                      <a:ext cx="1287780" cy="34607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flip:x y;margin-left:-4.05pt;margin-top:-0.45pt;height:27.25pt;width:101.4pt;z-index:251659264;mso-width-relative:page;mso-height-relative:page;" filled="f" stroked="t" coordsize="21600,21600" o:gfxdata="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f25QPTAAAABwEAAA8AAAAAAAAAAQAgAAAAIgAAAGRycy9kb3ducmV2LnhtbFBLAQIU&#10;ABQAAAAIAIdO4kD6Lp99+AEAAPQDAAAOAAAAAAAAAAEAIAAAACIBAABkcnMvZTJvRG9jLnhtbFBL&#10;BQYAAAAABgAGAFkBAACMBQAAAAA=&#10;">
                            <v:fill on="f" focussize="0,0"/>
                            <v:stroke color="#000000" joinstyle="round"/>
                            <v:imagedata o:title=""/>
                            <o:lock v:ext="edit" aspectratio="f"/>
                          </v:line>
                        </w:pict>
                      </mc:Fallback>
                    </mc:AlternateContent>
                  </w:r>
                  <w:r>
                    <w:rPr>
                      <w:rFonts w:hint="eastAsia"/>
                      <w:color w:val="auto"/>
                    </w:rPr>
                    <w:t>项目类别</w:t>
                  </w:r>
                </w:p>
                <w:p>
                  <w:pPr>
                    <w:pStyle w:val="140"/>
                    <w:adjustRightInd/>
                    <w:snapToGrid/>
                    <w:spacing w:line="240" w:lineRule="auto"/>
                    <w:jc w:val="left"/>
                    <w:rPr>
                      <w:color w:val="auto"/>
                    </w:rPr>
                  </w:pPr>
                  <w:r>
                    <w:rPr>
                      <w:rFonts w:hint="eastAsia"/>
                      <w:color w:val="auto"/>
                    </w:rPr>
                    <w:t>环评类别</w:t>
                  </w:r>
                </w:p>
              </w:tc>
              <w:tc>
                <w:tcPr>
                  <w:tcW w:w="1552" w:type="dxa"/>
                  <w:tcBorders>
                    <w:top w:val="single" w:color="auto" w:sz="12" w:space="0"/>
                    <w:left w:val="single" w:color="auto" w:sz="4" w:space="0"/>
                    <w:bottom w:val="single" w:color="auto" w:sz="4" w:space="0"/>
                    <w:right w:val="single" w:color="auto" w:sz="4" w:space="0"/>
                  </w:tcBorders>
                  <w:vAlign w:val="center"/>
                </w:tcPr>
                <w:p>
                  <w:pPr>
                    <w:pStyle w:val="140"/>
                    <w:adjustRightInd/>
                    <w:snapToGrid/>
                    <w:spacing w:line="240" w:lineRule="auto"/>
                    <w:rPr>
                      <w:color w:val="auto"/>
                    </w:rPr>
                  </w:pPr>
                  <w:r>
                    <w:rPr>
                      <w:rFonts w:hint="eastAsia"/>
                      <w:color w:val="auto"/>
                    </w:rPr>
                    <w:t>报告书</w:t>
                  </w:r>
                </w:p>
              </w:tc>
              <w:tc>
                <w:tcPr>
                  <w:tcW w:w="3153" w:type="dxa"/>
                  <w:tcBorders>
                    <w:top w:val="single" w:color="auto" w:sz="12" w:space="0"/>
                    <w:left w:val="single" w:color="auto" w:sz="4" w:space="0"/>
                    <w:bottom w:val="single" w:color="auto" w:sz="4" w:space="0"/>
                    <w:right w:val="single" w:color="auto" w:sz="4" w:space="0"/>
                  </w:tcBorders>
                  <w:shd w:val="clear" w:color="auto" w:fill="D7D7D7"/>
                  <w:vAlign w:val="center"/>
                </w:tcPr>
                <w:p>
                  <w:pPr>
                    <w:pStyle w:val="140"/>
                    <w:adjustRightInd/>
                    <w:snapToGrid/>
                    <w:spacing w:line="240" w:lineRule="auto"/>
                    <w:rPr>
                      <w:color w:val="auto"/>
                    </w:rPr>
                  </w:pPr>
                  <w:r>
                    <w:rPr>
                      <w:rFonts w:hint="eastAsia"/>
                      <w:color w:val="auto"/>
                    </w:rPr>
                    <w:t>报告表</w:t>
                  </w:r>
                </w:p>
              </w:tc>
              <w:tc>
                <w:tcPr>
                  <w:tcW w:w="1627" w:type="dxa"/>
                  <w:tcBorders>
                    <w:top w:val="single" w:color="auto" w:sz="12" w:space="0"/>
                    <w:left w:val="single" w:color="auto" w:sz="4" w:space="0"/>
                    <w:bottom w:val="single" w:color="auto" w:sz="4" w:space="0"/>
                  </w:tcBorders>
                  <w:vAlign w:val="center"/>
                </w:tcPr>
                <w:p>
                  <w:pPr>
                    <w:pStyle w:val="140"/>
                    <w:adjustRightInd/>
                    <w:snapToGrid/>
                    <w:spacing w:line="240" w:lineRule="auto"/>
                    <w:rPr>
                      <w:color w:val="auto"/>
                    </w:rPr>
                  </w:pPr>
                  <w:r>
                    <w:rPr>
                      <w:rFonts w:hint="eastAsia"/>
                      <w:color w:val="auto"/>
                    </w:rPr>
                    <w:t>登记表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436" w:type="dxa"/>
                  <w:gridSpan w:val="4"/>
                  <w:tcBorders>
                    <w:top w:val="single" w:color="auto" w:sz="4" w:space="0"/>
                    <w:bottom w:val="single" w:color="auto" w:sz="4" w:space="0"/>
                  </w:tcBorders>
                  <w:shd w:val="clear" w:color="auto" w:fill="D7D7D7"/>
                  <w:vAlign w:val="center"/>
                </w:tcPr>
                <w:p>
                  <w:pPr>
                    <w:pStyle w:val="140"/>
                    <w:adjustRightInd/>
                    <w:snapToGrid/>
                    <w:spacing w:line="240" w:lineRule="auto"/>
                    <w:rPr>
                      <w:color w:val="auto"/>
                    </w:rPr>
                  </w:pPr>
                  <w:r>
                    <w:rPr>
                      <w:rFonts w:hint="eastAsia"/>
                      <w:color w:val="auto"/>
                    </w:rPr>
                    <w:t>二十七、非金属矿物制品业</w:t>
                  </w:r>
                  <w:r>
                    <w:rPr>
                      <w:color w:val="auto"/>
                    </w:rPr>
                    <w:t xml:space="preserve"> 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104" w:type="dxa"/>
                  <w:tcBorders>
                    <w:top w:val="single" w:color="auto" w:sz="4" w:space="0"/>
                    <w:bottom w:val="single" w:color="auto" w:sz="12" w:space="0"/>
                    <w:right w:val="single" w:color="auto" w:sz="4" w:space="0"/>
                  </w:tcBorders>
                  <w:vAlign w:val="center"/>
                </w:tcPr>
                <w:p>
                  <w:pPr>
                    <w:pStyle w:val="140"/>
                    <w:adjustRightInd/>
                    <w:snapToGrid/>
                    <w:spacing w:line="240" w:lineRule="auto"/>
                    <w:rPr>
                      <w:color w:val="auto"/>
                    </w:rPr>
                  </w:pPr>
                  <w:r>
                    <w:rPr>
                      <w:rFonts w:hint="eastAsia"/>
                      <w:color w:val="auto"/>
                    </w:rPr>
                    <w:t>石膏、水泥制品及类似制品制造</w:t>
                  </w:r>
                  <w:r>
                    <w:rPr>
                      <w:color w:val="auto"/>
                    </w:rPr>
                    <w:t>302</w:t>
                  </w:r>
                </w:p>
              </w:tc>
              <w:tc>
                <w:tcPr>
                  <w:tcW w:w="1552" w:type="dxa"/>
                  <w:tcBorders>
                    <w:top w:val="single" w:color="auto" w:sz="4" w:space="0"/>
                    <w:left w:val="single" w:color="auto" w:sz="4" w:space="0"/>
                    <w:bottom w:val="single" w:color="auto" w:sz="12" w:space="0"/>
                    <w:right w:val="single" w:color="auto" w:sz="4" w:space="0"/>
                  </w:tcBorders>
                  <w:vAlign w:val="center"/>
                </w:tcPr>
                <w:p>
                  <w:pPr>
                    <w:pStyle w:val="140"/>
                    <w:adjustRightInd/>
                    <w:snapToGrid/>
                    <w:spacing w:line="240" w:lineRule="auto"/>
                    <w:rPr>
                      <w:color w:val="auto"/>
                    </w:rPr>
                  </w:pPr>
                  <w:r>
                    <w:rPr>
                      <w:color w:val="auto"/>
                    </w:rPr>
                    <w:t>/</w:t>
                  </w:r>
                </w:p>
              </w:tc>
              <w:tc>
                <w:tcPr>
                  <w:tcW w:w="3153" w:type="dxa"/>
                  <w:tcBorders>
                    <w:top w:val="single" w:color="auto" w:sz="4" w:space="0"/>
                    <w:left w:val="single" w:color="auto" w:sz="4" w:space="0"/>
                    <w:bottom w:val="single" w:color="auto" w:sz="12" w:space="0"/>
                    <w:right w:val="single" w:color="auto" w:sz="4" w:space="0"/>
                  </w:tcBorders>
                  <w:shd w:val="clear" w:color="auto" w:fill="D7D7D7"/>
                  <w:vAlign w:val="center"/>
                </w:tcPr>
                <w:p>
                  <w:pPr>
                    <w:pStyle w:val="140"/>
                    <w:adjustRightInd/>
                    <w:snapToGrid/>
                    <w:spacing w:line="240" w:lineRule="auto"/>
                    <w:rPr>
                      <w:color w:val="auto"/>
                    </w:rPr>
                  </w:pPr>
                  <w:r>
                    <w:rPr>
                      <w:rFonts w:hint="eastAsia"/>
                      <w:color w:val="auto"/>
                    </w:rPr>
                    <w:t>商品混凝土；砼结构构件制造；水泥制品制造</w:t>
                  </w:r>
                </w:p>
              </w:tc>
              <w:tc>
                <w:tcPr>
                  <w:tcW w:w="1627" w:type="dxa"/>
                  <w:tcBorders>
                    <w:top w:val="single" w:color="auto" w:sz="4" w:space="0"/>
                    <w:left w:val="single" w:color="auto" w:sz="4" w:space="0"/>
                    <w:bottom w:val="single" w:color="auto" w:sz="12" w:space="0"/>
                  </w:tcBorders>
                  <w:vAlign w:val="center"/>
                </w:tcPr>
                <w:p>
                  <w:pPr>
                    <w:pStyle w:val="140"/>
                    <w:adjustRightInd/>
                    <w:snapToGrid/>
                    <w:spacing w:line="240" w:lineRule="auto"/>
                    <w:rPr>
                      <w:color w:val="auto"/>
                    </w:rPr>
                  </w:pPr>
                  <w:r>
                    <w:rPr>
                      <w:color w:val="auto"/>
                    </w:rPr>
                    <w:t>/</w:t>
                  </w:r>
                </w:p>
              </w:tc>
            </w:tr>
          </w:tbl>
          <w:p>
            <w:pPr>
              <w:pStyle w:val="106"/>
              <w:ind w:firstLine="0" w:firstLineChars="0"/>
              <w:rPr>
                <w:rFonts w:eastAsia="黑体"/>
                <w:color w:val="auto"/>
                <w:kern w:val="2"/>
                <w:sz w:val="30"/>
                <w:szCs w:val="30"/>
              </w:rPr>
            </w:pPr>
            <w:r>
              <w:rPr>
                <w:rFonts w:eastAsia="黑体"/>
                <w:color w:val="auto"/>
                <w:kern w:val="2"/>
                <w:sz w:val="30"/>
                <w:szCs w:val="30"/>
              </w:rPr>
              <w:t>2.2</w:t>
            </w:r>
            <w:r>
              <w:rPr>
                <w:rFonts w:hint="eastAsia" w:eastAsia="黑体"/>
                <w:color w:val="auto"/>
                <w:kern w:val="2"/>
                <w:sz w:val="30"/>
                <w:szCs w:val="30"/>
              </w:rPr>
              <w:t>工程项目概况</w:t>
            </w:r>
          </w:p>
          <w:p>
            <w:pPr>
              <w:pStyle w:val="106"/>
              <w:ind w:firstLine="31680"/>
              <w:rPr>
                <w:color w:val="auto"/>
              </w:rPr>
            </w:pPr>
            <w:r>
              <w:rPr>
                <w:rFonts w:hint="eastAsia"/>
                <w:color w:val="auto"/>
              </w:rPr>
              <w:t>（</w:t>
            </w:r>
            <w:r>
              <w:rPr>
                <w:color w:val="auto"/>
              </w:rPr>
              <w:t>1</w:t>
            </w:r>
            <w:r>
              <w:rPr>
                <w:rFonts w:hint="eastAsia"/>
                <w:color w:val="auto"/>
              </w:rPr>
              <w:t>）项目名称：轻质建筑材料生产线</w:t>
            </w:r>
          </w:p>
          <w:p>
            <w:pPr>
              <w:pStyle w:val="106"/>
              <w:ind w:firstLine="31680"/>
              <w:rPr>
                <w:color w:val="auto"/>
              </w:rPr>
            </w:pPr>
            <w:r>
              <w:rPr>
                <w:rFonts w:hint="eastAsia"/>
                <w:color w:val="auto"/>
              </w:rPr>
              <w:t>（</w:t>
            </w:r>
            <w:r>
              <w:rPr>
                <w:color w:val="auto"/>
              </w:rPr>
              <w:t>2</w:t>
            </w:r>
            <w:r>
              <w:rPr>
                <w:rFonts w:hint="eastAsia"/>
                <w:color w:val="auto"/>
              </w:rPr>
              <w:t>）建设单位：福建宸鑫硅业有限公司</w:t>
            </w:r>
          </w:p>
          <w:p>
            <w:pPr>
              <w:pStyle w:val="106"/>
              <w:ind w:firstLine="31680"/>
              <w:rPr>
                <w:color w:val="auto"/>
              </w:rPr>
            </w:pPr>
            <w:r>
              <w:rPr>
                <w:rFonts w:hint="eastAsia"/>
                <w:color w:val="auto"/>
              </w:rPr>
              <w:t>（</w:t>
            </w:r>
            <w:r>
              <w:rPr>
                <w:color w:val="auto"/>
              </w:rPr>
              <w:t>3</w:t>
            </w:r>
            <w:r>
              <w:rPr>
                <w:rFonts w:hint="eastAsia"/>
                <w:color w:val="auto"/>
              </w:rPr>
              <w:t>）建设地点：福建省三明市永安市曹远镇坑边路（北部工业新城鑫华港饲料东侧）</w:t>
            </w:r>
          </w:p>
          <w:p>
            <w:pPr>
              <w:pStyle w:val="106"/>
              <w:ind w:firstLine="31680"/>
              <w:rPr>
                <w:color w:val="auto"/>
              </w:rPr>
            </w:pPr>
            <w:r>
              <w:rPr>
                <w:rFonts w:hint="eastAsia"/>
                <w:color w:val="auto"/>
              </w:rPr>
              <w:t>（</w:t>
            </w:r>
            <w:r>
              <w:rPr>
                <w:color w:val="auto"/>
              </w:rPr>
              <w:t>4</w:t>
            </w:r>
            <w:r>
              <w:rPr>
                <w:rFonts w:hint="eastAsia"/>
                <w:color w:val="auto"/>
              </w:rPr>
              <w:t>）建设性质：</w:t>
            </w:r>
            <w:r>
              <w:rPr>
                <w:rFonts w:hint="eastAsia"/>
                <w:color w:val="auto"/>
                <w:szCs w:val="24"/>
              </w:rPr>
              <w:t>新建</w:t>
            </w:r>
          </w:p>
          <w:p>
            <w:pPr>
              <w:pStyle w:val="106"/>
              <w:ind w:firstLine="31680"/>
              <w:rPr>
                <w:color w:val="auto"/>
              </w:rPr>
            </w:pPr>
            <w:r>
              <w:rPr>
                <w:rFonts w:hint="eastAsia"/>
                <w:color w:val="auto"/>
              </w:rPr>
              <w:t>（</w:t>
            </w:r>
            <w:r>
              <w:rPr>
                <w:color w:val="auto"/>
              </w:rPr>
              <w:t>5</w:t>
            </w:r>
            <w:r>
              <w:rPr>
                <w:rFonts w:hint="eastAsia"/>
                <w:color w:val="auto"/>
              </w:rPr>
              <w:t>）总投资：</w:t>
            </w:r>
            <w:r>
              <w:rPr>
                <w:color w:val="auto"/>
                <w:szCs w:val="24"/>
              </w:rPr>
              <w:t>13000</w:t>
            </w:r>
            <w:r>
              <w:rPr>
                <w:rFonts w:hint="eastAsia"/>
                <w:color w:val="auto"/>
                <w:szCs w:val="24"/>
              </w:rPr>
              <w:t>万元</w:t>
            </w:r>
          </w:p>
          <w:p>
            <w:pPr>
              <w:pStyle w:val="106"/>
              <w:ind w:firstLine="31680"/>
              <w:rPr>
                <w:color w:val="auto"/>
              </w:rPr>
            </w:pPr>
            <w:r>
              <w:rPr>
                <w:rFonts w:hint="eastAsia"/>
                <w:color w:val="auto"/>
              </w:rPr>
              <w:t>（</w:t>
            </w:r>
            <w:r>
              <w:rPr>
                <w:color w:val="auto"/>
              </w:rPr>
              <w:t>6</w:t>
            </w:r>
            <w:r>
              <w:rPr>
                <w:rFonts w:hint="eastAsia"/>
                <w:color w:val="auto"/>
              </w:rPr>
              <w:t>）工程规模：用地面积</w:t>
            </w:r>
            <w:r>
              <w:rPr>
                <w:color w:val="auto"/>
              </w:rPr>
              <w:t>15080</w:t>
            </w:r>
            <w:r>
              <w:rPr>
                <w:rFonts w:hint="eastAsia"/>
                <w:color w:val="auto"/>
              </w:rPr>
              <w:t>㎡，</w:t>
            </w:r>
            <w:r>
              <w:rPr>
                <w:rFonts w:hint="eastAsia"/>
                <w:color w:val="auto"/>
                <w:szCs w:val="24"/>
              </w:rPr>
              <w:t>厂房占地面</w:t>
            </w:r>
            <w:r>
              <w:rPr>
                <w:rFonts w:hint="eastAsia"/>
                <w:color w:val="auto"/>
              </w:rPr>
              <w:t>积</w:t>
            </w:r>
            <w:r>
              <w:rPr>
                <w:color w:val="auto"/>
              </w:rPr>
              <w:t>7936</w:t>
            </w:r>
            <w:r>
              <w:rPr>
                <w:rFonts w:hint="eastAsia"/>
                <w:color w:val="auto"/>
              </w:rPr>
              <w:t>㎡，</w:t>
            </w:r>
            <w:r>
              <w:rPr>
                <w:color w:val="auto"/>
              </w:rPr>
              <w:t>1#</w:t>
            </w:r>
            <w:r>
              <w:rPr>
                <w:rFonts w:hint="eastAsia"/>
                <w:color w:val="auto"/>
              </w:rPr>
              <w:t>厂房</w:t>
            </w:r>
            <w:r>
              <w:rPr>
                <w:color w:val="auto"/>
              </w:rPr>
              <w:t>3900</w:t>
            </w:r>
            <w:r>
              <w:rPr>
                <w:rFonts w:hint="eastAsia"/>
                <w:color w:val="auto"/>
              </w:rPr>
              <w:t>㎡（预留），</w:t>
            </w:r>
            <w:r>
              <w:rPr>
                <w:color w:val="auto"/>
              </w:rPr>
              <w:t>2#</w:t>
            </w:r>
            <w:r>
              <w:rPr>
                <w:rFonts w:hint="eastAsia"/>
                <w:color w:val="auto"/>
              </w:rPr>
              <w:t>厂房</w:t>
            </w:r>
            <w:r>
              <w:rPr>
                <w:color w:val="auto"/>
              </w:rPr>
              <w:t>4036</w:t>
            </w:r>
            <w:r>
              <w:rPr>
                <w:rFonts w:hint="eastAsia"/>
                <w:color w:val="auto"/>
              </w:rPr>
              <w:t>㎡</w:t>
            </w:r>
          </w:p>
          <w:p>
            <w:pPr>
              <w:pStyle w:val="106"/>
              <w:ind w:firstLine="31680"/>
              <w:rPr>
                <w:color w:val="auto"/>
                <w:szCs w:val="21"/>
              </w:rPr>
            </w:pPr>
            <w:r>
              <w:rPr>
                <w:rFonts w:hint="eastAsia"/>
                <w:color w:val="auto"/>
                <w:szCs w:val="24"/>
              </w:rPr>
              <w:t>（</w:t>
            </w:r>
            <w:r>
              <w:rPr>
                <w:color w:val="auto"/>
                <w:szCs w:val="24"/>
              </w:rPr>
              <w:t>7</w:t>
            </w:r>
            <w:r>
              <w:rPr>
                <w:rFonts w:hint="eastAsia"/>
                <w:color w:val="auto"/>
                <w:szCs w:val="24"/>
              </w:rPr>
              <w:t>）建设规模：年产</w:t>
            </w:r>
            <w:r>
              <w:rPr>
                <w:color w:val="auto"/>
                <w:szCs w:val="24"/>
              </w:rPr>
              <w:t>3000</w:t>
            </w:r>
            <w:r>
              <w:rPr>
                <w:rFonts w:hint="eastAsia"/>
                <w:color w:val="auto"/>
                <w:szCs w:val="24"/>
              </w:rPr>
              <w:t>万㎡硅酸钙板</w:t>
            </w:r>
          </w:p>
          <w:p>
            <w:pPr>
              <w:pStyle w:val="106"/>
              <w:ind w:firstLine="31680"/>
              <w:rPr>
                <w:color w:val="auto"/>
              </w:rPr>
            </w:pPr>
            <w:r>
              <w:rPr>
                <w:rFonts w:hint="eastAsia"/>
                <w:color w:val="auto"/>
              </w:rPr>
              <w:t>（</w:t>
            </w:r>
            <w:r>
              <w:rPr>
                <w:color w:val="auto"/>
              </w:rPr>
              <w:t>8</w:t>
            </w:r>
            <w:r>
              <w:rPr>
                <w:rFonts w:hint="eastAsia"/>
                <w:color w:val="auto"/>
              </w:rPr>
              <w:t>）生产定员：员工</w:t>
            </w:r>
            <w:r>
              <w:rPr>
                <w:color w:val="auto"/>
              </w:rPr>
              <w:t>20</w:t>
            </w:r>
            <w:r>
              <w:rPr>
                <w:rFonts w:hint="eastAsia"/>
                <w:color w:val="auto"/>
              </w:rPr>
              <w:t>人（其中</w:t>
            </w:r>
            <w:r>
              <w:rPr>
                <w:color w:val="auto"/>
              </w:rPr>
              <w:t>5</w:t>
            </w:r>
            <w:r>
              <w:rPr>
                <w:rFonts w:hint="eastAsia"/>
                <w:color w:val="auto"/>
              </w:rPr>
              <w:t>人住厂）</w:t>
            </w:r>
          </w:p>
          <w:p>
            <w:pPr>
              <w:pStyle w:val="106"/>
              <w:ind w:firstLine="31680"/>
              <w:rPr>
                <w:color w:val="auto"/>
                <w:highlight w:val="yellow"/>
              </w:rPr>
            </w:pPr>
            <w:r>
              <w:rPr>
                <w:rFonts w:hint="eastAsia"/>
                <w:color w:val="auto"/>
              </w:rPr>
              <w:t>（</w:t>
            </w:r>
            <w:r>
              <w:rPr>
                <w:color w:val="auto"/>
              </w:rPr>
              <w:t>9</w:t>
            </w:r>
            <w:r>
              <w:rPr>
                <w:rFonts w:hint="eastAsia"/>
                <w:color w:val="auto"/>
              </w:rPr>
              <w:t>）工作制度：三班制，每班</w:t>
            </w:r>
            <w:r>
              <w:rPr>
                <w:color w:val="auto"/>
              </w:rPr>
              <w:t>8</w:t>
            </w:r>
            <w:r>
              <w:rPr>
                <w:rFonts w:hint="eastAsia"/>
                <w:color w:val="auto"/>
              </w:rPr>
              <w:t>小时工作，年工作日</w:t>
            </w:r>
            <w:r>
              <w:rPr>
                <w:color w:val="auto"/>
              </w:rPr>
              <w:t>300</w:t>
            </w:r>
            <w:r>
              <w:rPr>
                <w:rFonts w:hint="eastAsia"/>
                <w:color w:val="auto"/>
              </w:rPr>
              <w:t>天</w:t>
            </w:r>
          </w:p>
          <w:p>
            <w:pPr>
              <w:pStyle w:val="83"/>
              <w:adjustRightInd/>
              <w:snapToGrid/>
              <w:rPr>
                <w:color w:val="auto"/>
              </w:rPr>
            </w:pPr>
            <w:r>
              <w:rPr>
                <w:color w:val="auto"/>
              </w:rPr>
              <w:t>2.2</w:t>
            </w:r>
            <w:r>
              <w:rPr>
                <w:rFonts w:hint="eastAsia"/>
                <w:color w:val="auto"/>
              </w:rPr>
              <w:t>工程主要建设内容</w:t>
            </w:r>
          </w:p>
          <w:p>
            <w:pPr>
              <w:pStyle w:val="67"/>
              <w:ind w:firstLine="31680"/>
              <w:rPr>
                <w:color w:val="auto"/>
                <w:highlight w:val="yellow"/>
              </w:rPr>
            </w:pPr>
            <w:r>
              <w:rPr>
                <w:rFonts w:hint="eastAsia"/>
                <w:color w:val="auto"/>
              </w:rPr>
              <w:t>本项目主要经济指标及建设内容组成见下表</w:t>
            </w:r>
            <w:r>
              <w:rPr>
                <w:color w:val="auto"/>
              </w:rPr>
              <w:t>2.2-1</w:t>
            </w:r>
            <w:r>
              <w:rPr>
                <w:rFonts w:hint="eastAsia"/>
                <w:color w:val="auto"/>
              </w:rPr>
              <w:t>与表</w:t>
            </w:r>
            <w:r>
              <w:rPr>
                <w:color w:val="auto"/>
              </w:rPr>
              <w:t>2.2-2</w:t>
            </w:r>
            <w:r>
              <w:rPr>
                <w:rFonts w:hint="eastAsia"/>
                <w:color w:val="auto"/>
              </w:rPr>
              <w:t>，厂区总平面布置图详见附图</w:t>
            </w:r>
            <w:r>
              <w:rPr>
                <w:color w:val="auto"/>
              </w:rPr>
              <w:t>2</w:t>
            </w:r>
            <w:r>
              <w:rPr>
                <w:rFonts w:hint="eastAsia"/>
                <w:color w:val="auto"/>
              </w:rPr>
              <w:t>。</w:t>
            </w:r>
          </w:p>
          <w:p>
            <w:pPr>
              <w:adjustRightInd w:val="0"/>
              <w:snapToGrid w:val="0"/>
              <w:ind w:firstLine="420"/>
              <w:jc w:val="center"/>
              <w:rPr>
                <w:color w:val="auto"/>
              </w:rPr>
            </w:pPr>
            <w:r>
              <w:rPr>
                <w:rFonts w:hint="eastAsia"/>
                <w:b/>
                <w:bCs/>
                <w:color w:val="auto"/>
                <w:sz w:val="24"/>
              </w:rPr>
              <w:t>表</w:t>
            </w:r>
            <w:r>
              <w:rPr>
                <w:b/>
                <w:bCs/>
                <w:color w:val="auto"/>
                <w:sz w:val="24"/>
              </w:rPr>
              <w:t xml:space="preserve">2.2-1  </w:t>
            </w:r>
            <w:r>
              <w:rPr>
                <w:rFonts w:hint="eastAsia"/>
                <w:b/>
                <w:bCs/>
                <w:color w:val="auto"/>
                <w:sz w:val="24"/>
              </w:rPr>
              <w:t>项目主要经济技术指标</w:t>
            </w:r>
          </w:p>
          <w:tbl>
            <w:tblPr>
              <w:tblStyle w:val="27"/>
              <w:tblW w:w="850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688"/>
              <w:gridCol w:w="1100"/>
              <w:gridCol w:w="1227"/>
              <w:gridCol w:w="1228"/>
              <w:gridCol w:w="16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exact"/>
                <w:jc w:val="center"/>
              </w:trPr>
              <w:tc>
                <w:tcPr>
                  <w:tcW w:w="3311" w:type="dxa"/>
                  <w:gridSpan w:val="2"/>
                  <w:tcBorders>
                    <w:top w:val="single" w:color="auto" w:sz="12"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项目</w:t>
                  </w:r>
                </w:p>
              </w:tc>
              <w:tc>
                <w:tcPr>
                  <w:tcW w:w="1100"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计量单位</w:t>
                  </w:r>
                </w:p>
              </w:tc>
              <w:tc>
                <w:tcPr>
                  <w:tcW w:w="2455" w:type="dxa"/>
                  <w:gridSpan w:val="2"/>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数量</w:t>
                  </w:r>
                </w:p>
              </w:tc>
              <w:tc>
                <w:tcPr>
                  <w:tcW w:w="1641" w:type="dxa"/>
                  <w:tcBorders>
                    <w:top w:val="single" w:color="auto" w:sz="12"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311" w:type="dxa"/>
                  <w:gridSpan w:val="2"/>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用地面积</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24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15080</w:t>
                  </w:r>
                </w:p>
              </w:tc>
              <w:tc>
                <w:tcPr>
                  <w:tcW w:w="1641"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311" w:type="dxa"/>
                  <w:gridSpan w:val="2"/>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总建筑面积</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24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8536</w:t>
                  </w:r>
                </w:p>
              </w:tc>
              <w:tc>
                <w:tcPr>
                  <w:tcW w:w="1641"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623" w:type="dxa"/>
                  <w:vMerge w:val="restart"/>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计容建筑面积</w:t>
                  </w:r>
                </w:p>
              </w:tc>
              <w:tc>
                <w:tcPr>
                  <w:tcW w:w="16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1#</w:t>
                  </w:r>
                  <w:r>
                    <w:rPr>
                      <w:rFonts w:hint="eastAsia"/>
                      <w:color w:val="auto"/>
                      <w:szCs w:val="21"/>
                    </w:rPr>
                    <w:t>厂房</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122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16472</w:t>
                  </w:r>
                </w:p>
              </w:tc>
              <w:tc>
                <w:tcPr>
                  <w:tcW w:w="12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7800</w:t>
                  </w:r>
                </w:p>
              </w:tc>
              <w:tc>
                <w:tcPr>
                  <w:tcW w:w="1641" w:type="dxa"/>
                  <w:vMerge w:val="restart"/>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建筑层高大于</w:t>
                  </w:r>
                  <w:r>
                    <w:rPr>
                      <w:color w:val="auto"/>
                      <w:szCs w:val="21"/>
                    </w:rPr>
                    <w:t>8</w:t>
                  </w:r>
                  <w:r>
                    <w:rPr>
                      <w:rFonts w:hint="eastAsia"/>
                      <w:color w:val="auto"/>
                      <w:szCs w:val="21"/>
                    </w:rPr>
                    <w:t>米双倍计算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623" w:type="dxa"/>
                  <w:vMerge w:val="continue"/>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6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2#</w:t>
                  </w:r>
                  <w:r>
                    <w:rPr>
                      <w:rFonts w:hint="eastAsia"/>
                      <w:color w:val="auto"/>
                      <w:szCs w:val="21"/>
                    </w:rPr>
                    <w:t>厂房</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122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2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8072</w:t>
                  </w:r>
                </w:p>
              </w:tc>
              <w:tc>
                <w:tcPr>
                  <w:tcW w:w="1641" w:type="dxa"/>
                  <w:vMerge w:val="continue"/>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623" w:type="dxa"/>
                  <w:vMerge w:val="continue"/>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6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综合楼</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122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2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600</w:t>
                  </w:r>
                </w:p>
              </w:tc>
              <w:tc>
                <w:tcPr>
                  <w:tcW w:w="1641"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623" w:type="dxa"/>
                  <w:vMerge w:val="restart"/>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占地面积</w:t>
                  </w:r>
                </w:p>
              </w:tc>
              <w:tc>
                <w:tcPr>
                  <w:tcW w:w="16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1#</w:t>
                  </w:r>
                  <w:r>
                    <w:rPr>
                      <w:rFonts w:hint="eastAsia"/>
                      <w:color w:val="auto"/>
                      <w:szCs w:val="21"/>
                    </w:rPr>
                    <w:t>厂房</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122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8131</w:t>
                  </w:r>
                </w:p>
              </w:tc>
              <w:tc>
                <w:tcPr>
                  <w:tcW w:w="12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3900</w:t>
                  </w:r>
                </w:p>
              </w:tc>
              <w:tc>
                <w:tcPr>
                  <w:tcW w:w="1641"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623" w:type="dxa"/>
                  <w:vMerge w:val="continue"/>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6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2#</w:t>
                  </w:r>
                  <w:r>
                    <w:rPr>
                      <w:rFonts w:hint="eastAsia"/>
                      <w:color w:val="auto"/>
                      <w:szCs w:val="21"/>
                    </w:rPr>
                    <w:t>厂房</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122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2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4036</w:t>
                  </w:r>
                </w:p>
              </w:tc>
              <w:tc>
                <w:tcPr>
                  <w:tcW w:w="1641"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623" w:type="dxa"/>
                  <w:vMerge w:val="continue"/>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68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综合楼</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w:t>
                  </w:r>
                </w:p>
              </w:tc>
              <w:tc>
                <w:tcPr>
                  <w:tcW w:w="1227"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2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195</w:t>
                  </w:r>
                </w:p>
              </w:tc>
              <w:tc>
                <w:tcPr>
                  <w:tcW w:w="1641"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311" w:type="dxa"/>
                  <w:gridSpan w:val="2"/>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容积率</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24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1.09</w:t>
                  </w:r>
                </w:p>
              </w:tc>
              <w:tc>
                <w:tcPr>
                  <w:tcW w:w="1641"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311" w:type="dxa"/>
                  <w:gridSpan w:val="2"/>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建筑系数</w:t>
                  </w:r>
                </w:p>
              </w:tc>
              <w:tc>
                <w:tcPr>
                  <w:tcW w:w="11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2455"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53.9</w:t>
                  </w:r>
                </w:p>
              </w:tc>
              <w:tc>
                <w:tcPr>
                  <w:tcW w:w="1641"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3311" w:type="dxa"/>
                  <w:gridSpan w:val="2"/>
                  <w:tcBorders>
                    <w:top w:val="single" w:color="auto" w:sz="4" w:space="0"/>
                    <w:bottom w:val="single" w:color="auto" w:sz="12" w:space="0"/>
                    <w:right w:val="single" w:color="auto" w:sz="4" w:space="0"/>
                  </w:tcBorders>
                  <w:vAlign w:val="center"/>
                </w:tcPr>
                <w:p>
                  <w:pPr>
                    <w:adjustRightInd w:val="0"/>
                    <w:snapToGrid w:val="0"/>
                    <w:jc w:val="center"/>
                    <w:rPr>
                      <w:color w:val="auto"/>
                      <w:szCs w:val="21"/>
                    </w:rPr>
                  </w:pPr>
                  <w:r>
                    <w:rPr>
                      <w:rFonts w:hint="eastAsia"/>
                      <w:color w:val="auto"/>
                      <w:szCs w:val="21"/>
                    </w:rPr>
                    <w:t>绿地率</w:t>
                  </w:r>
                </w:p>
              </w:tc>
              <w:tc>
                <w:tcPr>
                  <w:tcW w:w="1100"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szCs w:val="21"/>
                    </w:rPr>
                  </w:pPr>
                  <w:r>
                    <w:rPr>
                      <w:color w:val="auto"/>
                      <w:szCs w:val="21"/>
                    </w:rPr>
                    <w:t>%</w:t>
                  </w:r>
                </w:p>
              </w:tc>
              <w:tc>
                <w:tcPr>
                  <w:tcW w:w="2455" w:type="dxa"/>
                  <w:gridSpan w:val="2"/>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szCs w:val="21"/>
                    </w:rPr>
                  </w:pPr>
                  <w:r>
                    <w:rPr>
                      <w:color w:val="auto"/>
                      <w:szCs w:val="21"/>
                    </w:rPr>
                    <w:t>11</w:t>
                  </w:r>
                </w:p>
              </w:tc>
              <w:tc>
                <w:tcPr>
                  <w:tcW w:w="1641" w:type="dxa"/>
                  <w:tcBorders>
                    <w:top w:val="single" w:color="auto" w:sz="4" w:space="0"/>
                    <w:left w:val="single" w:color="auto" w:sz="4" w:space="0"/>
                    <w:bottom w:val="single" w:color="auto" w:sz="12" w:space="0"/>
                  </w:tcBorders>
                  <w:vAlign w:val="center"/>
                </w:tcPr>
                <w:p>
                  <w:pPr>
                    <w:adjustRightInd w:val="0"/>
                    <w:snapToGrid w:val="0"/>
                    <w:jc w:val="center"/>
                    <w:rPr>
                      <w:color w:val="auto"/>
                      <w:szCs w:val="21"/>
                    </w:rPr>
                  </w:pPr>
                  <w:r>
                    <w:rPr>
                      <w:color w:val="auto"/>
                      <w:szCs w:val="21"/>
                    </w:rPr>
                    <w:t>/</w:t>
                  </w:r>
                </w:p>
              </w:tc>
            </w:tr>
          </w:tbl>
          <w:p>
            <w:pPr>
              <w:adjustRightInd w:val="0"/>
              <w:snapToGrid w:val="0"/>
              <w:ind w:firstLine="420"/>
              <w:jc w:val="center"/>
              <w:rPr>
                <w:b/>
                <w:bCs/>
                <w:color w:val="auto"/>
                <w:sz w:val="24"/>
              </w:rPr>
            </w:pPr>
          </w:p>
          <w:p>
            <w:pPr>
              <w:adjustRightInd w:val="0"/>
              <w:snapToGrid w:val="0"/>
              <w:ind w:firstLine="420"/>
              <w:jc w:val="center"/>
              <w:rPr>
                <w:b/>
                <w:bCs/>
                <w:color w:val="auto"/>
                <w:sz w:val="24"/>
              </w:rPr>
            </w:pPr>
            <w:r>
              <w:rPr>
                <w:rFonts w:hint="eastAsia"/>
                <w:b/>
                <w:bCs/>
                <w:color w:val="auto"/>
                <w:sz w:val="24"/>
              </w:rPr>
              <w:t>表</w:t>
            </w:r>
            <w:r>
              <w:rPr>
                <w:b/>
                <w:bCs/>
                <w:color w:val="auto"/>
                <w:sz w:val="24"/>
              </w:rPr>
              <w:t>2.2-2</w:t>
            </w:r>
            <w:r>
              <w:rPr>
                <w:rFonts w:hint="eastAsia"/>
                <w:b/>
                <w:bCs/>
                <w:color w:val="auto"/>
                <w:sz w:val="24"/>
              </w:rPr>
              <w:t>工程主要建设内容一览表</w:t>
            </w:r>
          </w:p>
          <w:tbl>
            <w:tblPr>
              <w:tblStyle w:val="27"/>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89"/>
              <w:gridCol w:w="622"/>
              <w:gridCol w:w="504"/>
              <w:gridCol w:w="490"/>
              <w:gridCol w:w="1176"/>
              <w:gridCol w:w="522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8" w:hRule="atLeast"/>
                <w:tblHeader/>
                <w:jc w:val="center"/>
              </w:trPr>
              <w:tc>
                <w:tcPr>
                  <w:tcW w:w="489" w:type="dxa"/>
                  <w:tcBorders>
                    <w:top w:val="single" w:color="000000" w:sz="12"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序号</w:t>
                  </w:r>
                </w:p>
              </w:tc>
              <w:tc>
                <w:tcPr>
                  <w:tcW w:w="2792" w:type="dxa"/>
                  <w:gridSpan w:val="4"/>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项目组成</w:t>
                  </w:r>
                </w:p>
              </w:tc>
              <w:tc>
                <w:tcPr>
                  <w:tcW w:w="5223" w:type="dxa"/>
                  <w:tcBorders>
                    <w:top w:val="single" w:color="000000" w:sz="12" w:space="0"/>
                    <w:left w:val="single" w:color="000000" w:sz="4" w:space="0"/>
                    <w:bottom w:val="single" w:color="000000" w:sz="4" w:space="0"/>
                  </w:tcBorders>
                  <w:vAlign w:val="center"/>
                </w:tcPr>
                <w:p>
                  <w:pPr>
                    <w:adjustRightInd w:val="0"/>
                    <w:snapToGrid w:val="0"/>
                    <w:jc w:val="center"/>
                    <w:rPr>
                      <w:color w:val="auto"/>
                      <w:szCs w:val="21"/>
                    </w:rPr>
                  </w:pPr>
                  <w:r>
                    <w:rPr>
                      <w:rFonts w:hint="eastAsia"/>
                      <w:color w:val="auto"/>
                      <w:szCs w:val="21"/>
                    </w:rPr>
                    <w:t>建设内容</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79" w:hRule="atLeast"/>
                <w:jc w:val="center"/>
              </w:trPr>
              <w:tc>
                <w:tcPr>
                  <w:tcW w:w="489" w:type="dxa"/>
                  <w:vMerge w:val="restart"/>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r>
                    <w:rPr>
                      <w:color w:val="auto"/>
                      <w:szCs w:val="21"/>
                    </w:rPr>
                    <w:t>1</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主体工程</w:t>
                  </w: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color w:val="auto"/>
                      <w:szCs w:val="21"/>
                    </w:rPr>
                    <w:t>1#</w:t>
                  </w:r>
                  <w:r>
                    <w:rPr>
                      <w:rFonts w:hint="eastAsia"/>
                      <w:color w:val="auto"/>
                      <w:szCs w:val="21"/>
                    </w:rPr>
                    <w:t>厂房</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color w:val="auto"/>
                      <w:szCs w:val="21"/>
                    </w:rPr>
                  </w:pPr>
                  <w:r>
                    <w:rPr>
                      <w:rFonts w:hint="eastAsia"/>
                      <w:color w:val="auto"/>
                    </w:rPr>
                    <w:t>购置磨边倒角机</w:t>
                  </w:r>
                  <w:r>
                    <w:rPr>
                      <w:color w:val="auto"/>
                    </w:rPr>
                    <w:t>1</w:t>
                  </w:r>
                  <w:r>
                    <w:rPr>
                      <w:rFonts w:hint="eastAsia"/>
                      <w:color w:val="auto"/>
                    </w:rPr>
                    <w:t>套，制版设备</w:t>
                  </w:r>
                  <w:r>
                    <w:rPr>
                      <w:color w:val="auto"/>
                    </w:rPr>
                    <w:t>1</w:t>
                  </w:r>
                  <w:r>
                    <w:rPr>
                      <w:rFonts w:hint="eastAsia"/>
                      <w:color w:val="auto"/>
                    </w:rPr>
                    <w:t>套等设备</w:t>
                  </w:r>
                  <w:r>
                    <w:rPr>
                      <w:rFonts w:hint="eastAsia"/>
                      <w:color w:val="auto"/>
                      <w:szCs w:val="21"/>
                    </w:rPr>
                    <w:t>，生产厂房为单层密闭厂房，占地约</w:t>
                  </w:r>
                  <w:r>
                    <w:rPr>
                      <w:color w:val="auto"/>
                      <w:szCs w:val="21"/>
                    </w:rPr>
                    <w:t>3900m</w:t>
                  </w:r>
                  <w:r>
                    <w:rPr>
                      <w:color w:val="auto"/>
                      <w:szCs w:val="21"/>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color w:val="auto"/>
                      <w:szCs w:val="21"/>
                    </w:rPr>
                    <w:t>2#</w:t>
                  </w:r>
                  <w:r>
                    <w:rPr>
                      <w:rFonts w:hint="eastAsia"/>
                      <w:color w:val="auto"/>
                      <w:szCs w:val="21"/>
                    </w:rPr>
                    <w:t>厂房</w:t>
                  </w:r>
                </w:p>
              </w:tc>
              <w:tc>
                <w:tcPr>
                  <w:tcW w:w="5223" w:type="dxa"/>
                  <w:tcBorders>
                    <w:top w:val="single" w:color="000000" w:sz="4" w:space="0"/>
                    <w:left w:val="single" w:color="000000" w:sz="4" w:space="0"/>
                    <w:bottom w:val="single" w:color="000000" w:sz="4" w:space="0"/>
                  </w:tcBorders>
                  <w:vAlign w:val="center"/>
                </w:tcPr>
                <w:p>
                  <w:pPr>
                    <w:adjustRightInd w:val="0"/>
                    <w:snapToGrid w:val="0"/>
                    <w:jc w:val="left"/>
                    <w:rPr>
                      <w:color w:val="auto"/>
                      <w:szCs w:val="21"/>
                    </w:rPr>
                  </w:pPr>
                  <w:r>
                    <w:rPr>
                      <w:rFonts w:hint="eastAsia"/>
                      <w:color w:val="auto"/>
                      <w:szCs w:val="21"/>
                    </w:rPr>
                    <w:t>设置石英矿生产线，加工石英粉</w:t>
                  </w:r>
                  <w:r>
                    <w:rPr>
                      <w:color w:val="auto"/>
                      <w:szCs w:val="21"/>
                    </w:rPr>
                    <w:t>25</w:t>
                  </w:r>
                  <w:r>
                    <w:rPr>
                      <w:rFonts w:hint="eastAsia"/>
                      <w:color w:val="auto"/>
                      <w:szCs w:val="21"/>
                    </w:rPr>
                    <w:t>万吨</w:t>
                  </w:r>
                  <w:r>
                    <w:rPr>
                      <w:color w:val="auto"/>
                      <w:szCs w:val="21"/>
                    </w:rPr>
                    <w:t>/</w:t>
                  </w:r>
                  <w:r>
                    <w:rPr>
                      <w:rFonts w:hint="eastAsia"/>
                      <w:color w:val="auto"/>
                      <w:szCs w:val="21"/>
                    </w:rPr>
                    <w:t>年；生产厂房为单层密闭厂房，占地约</w:t>
                  </w:r>
                  <w:r>
                    <w:rPr>
                      <w:color w:val="auto"/>
                      <w:szCs w:val="21"/>
                    </w:rPr>
                    <w:t>4036m</w:t>
                  </w:r>
                  <w:r>
                    <w:rPr>
                      <w:color w:val="auto"/>
                      <w:szCs w:val="21"/>
                      <w:vertAlign w:val="superscript"/>
                    </w:rPr>
                    <w:t>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489" w:type="dxa"/>
                  <w:vMerge w:val="restart"/>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r>
                    <w:rPr>
                      <w:color w:val="auto"/>
                      <w:szCs w:val="21"/>
                    </w:rPr>
                    <w:t>2</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储运工程</w:t>
                  </w: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石英石原料库</w:t>
                  </w:r>
                </w:p>
              </w:tc>
              <w:tc>
                <w:tcPr>
                  <w:tcW w:w="5223" w:type="dxa"/>
                  <w:tcBorders>
                    <w:top w:val="single" w:color="000000" w:sz="4" w:space="0"/>
                    <w:left w:val="single" w:color="000000" w:sz="4" w:space="0"/>
                    <w:bottom w:val="single" w:color="000000" w:sz="4" w:space="0"/>
                  </w:tcBorders>
                  <w:vAlign w:val="center"/>
                </w:tcPr>
                <w:p>
                  <w:pPr>
                    <w:adjustRightInd w:val="0"/>
                    <w:snapToGrid w:val="0"/>
                    <w:jc w:val="left"/>
                    <w:rPr>
                      <w:color w:val="auto"/>
                      <w:szCs w:val="21"/>
                    </w:rPr>
                  </w:pPr>
                  <w:r>
                    <w:rPr>
                      <w:rFonts w:hint="eastAsia"/>
                      <w:color w:val="auto"/>
                      <w:szCs w:val="21"/>
                    </w:rPr>
                    <w:t>石英石原料库设置在</w:t>
                  </w:r>
                  <w:r>
                    <w:rPr>
                      <w:color w:val="auto"/>
                      <w:szCs w:val="21"/>
                    </w:rPr>
                    <w:t>2#</w:t>
                  </w:r>
                  <w:r>
                    <w:rPr>
                      <w:rFonts w:hint="eastAsia"/>
                      <w:color w:val="auto"/>
                      <w:szCs w:val="21"/>
                    </w:rPr>
                    <w:t>厂房西南侧占地约</w:t>
                  </w:r>
                  <w:r>
                    <w:rPr>
                      <w:color w:val="auto"/>
                      <w:szCs w:val="21"/>
                    </w:rPr>
                    <w:t>1200</w:t>
                  </w:r>
                  <w:r>
                    <w:rPr>
                      <w:rFonts w:hint="eastAsia"/>
                      <w:color w:val="auto"/>
                      <w:szCs w:val="21"/>
                    </w:rPr>
                    <w:t>㎡，石英石原料库采用全部封闭，出入口安装软帘。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4"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pStyle w:val="6"/>
                    <w:rPr>
                      <w:color w:val="auto"/>
                      <w:szCs w:val="21"/>
                    </w:rPr>
                  </w:pPr>
                  <w:r>
                    <w:rPr>
                      <w:rFonts w:hint="eastAsia"/>
                      <w:color w:val="auto"/>
                      <w:szCs w:val="21"/>
                    </w:rPr>
                    <w:t>料仓</w:t>
                  </w:r>
                </w:p>
              </w:tc>
              <w:tc>
                <w:tcPr>
                  <w:tcW w:w="5223" w:type="dxa"/>
                  <w:tcBorders>
                    <w:top w:val="single" w:color="000000" w:sz="4" w:space="0"/>
                    <w:left w:val="single" w:color="000000" w:sz="4" w:space="0"/>
                    <w:bottom w:val="single" w:color="000000" w:sz="4" w:space="0"/>
                  </w:tcBorders>
                  <w:vAlign w:val="center"/>
                </w:tcPr>
                <w:p>
                  <w:pPr>
                    <w:pStyle w:val="96"/>
                    <w:ind w:left="420" w:firstLine="0" w:firstLineChars="0"/>
                    <w:jc w:val="left"/>
                    <w:outlineLvl w:val="2"/>
                    <w:rPr>
                      <w:color w:val="auto"/>
                      <w:szCs w:val="21"/>
                    </w:rPr>
                  </w:pPr>
                  <w:r>
                    <w:rPr>
                      <w:rFonts w:hint="eastAsia"/>
                      <w:color w:val="auto"/>
                      <w:szCs w:val="21"/>
                    </w:rPr>
                    <w:t>石英粉</w:t>
                  </w:r>
                  <w:r>
                    <w:rPr>
                      <w:color w:val="auto"/>
                      <w:szCs w:val="21"/>
                    </w:rPr>
                    <w:t>400</w:t>
                  </w:r>
                  <w:r>
                    <w:rPr>
                      <w:rFonts w:hint="eastAsia"/>
                      <w:color w:val="auto"/>
                      <w:szCs w:val="21"/>
                    </w:rPr>
                    <w:t>吨料仓（封闭式）</w:t>
                  </w:r>
                  <w:r>
                    <w:rPr>
                      <w:color w:val="auto"/>
                      <w:szCs w:val="21"/>
                    </w:rPr>
                    <w:t>2</w:t>
                  </w:r>
                  <w:r>
                    <w:rPr>
                      <w:rFonts w:hint="eastAsia"/>
                      <w:color w:val="auto"/>
                      <w:szCs w:val="21"/>
                    </w:rPr>
                    <w:t>个，位于</w:t>
                  </w:r>
                  <w:r>
                    <w:rPr>
                      <w:color w:val="auto"/>
                      <w:szCs w:val="21"/>
                    </w:rPr>
                    <w:t>2#</w:t>
                  </w:r>
                  <w:r>
                    <w:rPr>
                      <w:rFonts w:hint="eastAsia"/>
                      <w:color w:val="auto"/>
                      <w:szCs w:val="21"/>
                    </w:rPr>
                    <w:t>厂房北侧；水泥</w:t>
                  </w:r>
                  <w:r>
                    <w:rPr>
                      <w:color w:val="auto"/>
                      <w:szCs w:val="21"/>
                    </w:rPr>
                    <w:t>400</w:t>
                  </w:r>
                  <w:r>
                    <w:rPr>
                      <w:rFonts w:hint="eastAsia"/>
                      <w:color w:val="auto"/>
                      <w:szCs w:val="21"/>
                    </w:rPr>
                    <w:t>吨料仓（封闭式）</w:t>
                  </w:r>
                  <w:r>
                    <w:rPr>
                      <w:color w:val="auto"/>
                      <w:szCs w:val="21"/>
                    </w:rPr>
                    <w:t>2</w:t>
                  </w:r>
                  <w:r>
                    <w:rPr>
                      <w:rFonts w:hint="eastAsia"/>
                      <w:color w:val="auto"/>
                      <w:szCs w:val="21"/>
                    </w:rPr>
                    <w:t>个，位于</w:t>
                  </w:r>
                  <w:r>
                    <w:rPr>
                      <w:color w:val="auto"/>
                      <w:szCs w:val="21"/>
                    </w:rPr>
                    <w:t>1#</w:t>
                  </w:r>
                  <w:r>
                    <w:rPr>
                      <w:rFonts w:hint="eastAsia"/>
                      <w:color w:val="auto"/>
                      <w:szCs w:val="21"/>
                    </w:rPr>
                    <w:t>厂房北侧。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厂内输送</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color w:val="auto"/>
                      <w:szCs w:val="21"/>
                    </w:rPr>
                  </w:pPr>
                  <w:r>
                    <w:rPr>
                      <w:rFonts w:hint="eastAsia"/>
                      <w:color w:val="auto"/>
                      <w:szCs w:val="21"/>
                    </w:rPr>
                    <w:t>铲车转运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489" w:type="dxa"/>
                  <w:vMerge w:val="restart"/>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r>
                    <w:rPr>
                      <w:color w:val="auto"/>
                      <w:w w:val="99"/>
                      <w:szCs w:val="21"/>
                    </w:rPr>
                    <w:t>3</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公用工程</w:t>
                  </w: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给水系统</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color w:val="auto"/>
                      <w:szCs w:val="21"/>
                    </w:rPr>
                  </w:pPr>
                  <w:r>
                    <w:rPr>
                      <w:rFonts w:hint="eastAsia"/>
                      <w:color w:val="auto"/>
                      <w:szCs w:val="21"/>
                    </w:rPr>
                    <w:t>市政供水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排水系统</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color w:val="auto"/>
                      <w:szCs w:val="21"/>
                    </w:rPr>
                  </w:pPr>
                  <w:r>
                    <w:rPr>
                      <w:rFonts w:hint="eastAsia"/>
                      <w:color w:val="auto"/>
                      <w:szCs w:val="21"/>
                    </w:rPr>
                    <w:t>项目采用</w:t>
                  </w:r>
                  <w:r>
                    <w:rPr>
                      <w:color w:val="auto"/>
                      <w:szCs w:val="21"/>
                    </w:rPr>
                    <w:t>“</w:t>
                  </w:r>
                  <w:r>
                    <w:rPr>
                      <w:rFonts w:hint="eastAsia"/>
                      <w:color w:val="auto"/>
                      <w:szCs w:val="21"/>
                    </w:rPr>
                    <w:t>雨污分流、清污分流</w:t>
                  </w:r>
                  <w:r>
                    <w:rPr>
                      <w:color w:val="auto"/>
                      <w:szCs w:val="21"/>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供电系统</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color w:val="auto"/>
                      <w:szCs w:val="21"/>
                    </w:rPr>
                  </w:pPr>
                  <w:r>
                    <w:rPr>
                      <w:rFonts w:hint="eastAsia"/>
                      <w:color w:val="auto"/>
                      <w:szCs w:val="21"/>
                    </w:rPr>
                    <w:t>市政电网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供气系统</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color w:val="auto"/>
                      <w:szCs w:val="21"/>
                    </w:rPr>
                  </w:pPr>
                  <w:r>
                    <w:rPr>
                      <w:rFonts w:hint="eastAsia"/>
                      <w:color w:val="auto"/>
                      <w:kern w:val="0"/>
                      <w:szCs w:val="21"/>
                      <w:lang w:val="en-GB"/>
                    </w:rPr>
                    <w:t>蒸汽由永安市火电厂提供</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9" w:hRule="atLeast"/>
                <w:jc w:val="center"/>
              </w:trPr>
              <w:tc>
                <w:tcPr>
                  <w:tcW w:w="489" w:type="dxa"/>
                  <w:vMerge w:val="restart"/>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r>
                    <w:rPr>
                      <w:color w:val="auto"/>
                      <w:w w:val="99"/>
                      <w:szCs w:val="21"/>
                    </w:rPr>
                    <w:t>4</w:t>
                  </w:r>
                </w:p>
              </w:tc>
              <w:tc>
                <w:tcPr>
                  <w:tcW w:w="622"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pacing w:val="-9"/>
                      <w:szCs w:val="21"/>
                    </w:rPr>
                    <w:t>环</w:t>
                  </w:r>
                  <w:r>
                    <w:rPr>
                      <w:rFonts w:hint="eastAsia"/>
                      <w:color w:val="auto"/>
                      <w:szCs w:val="21"/>
                    </w:rPr>
                    <w:t>保</w:t>
                  </w:r>
                </w:p>
                <w:p>
                  <w:pPr>
                    <w:adjustRightInd w:val="0"/>
                    <w:snapToGrid w:val="0"/>
                    <w:jc w:val="center"/>
                    <w:rPr>
                      <w:color w:val="auto"/>
                      <w:szCs w:val="21"/>
                    </w:rPr>
                  </w:pPr>
                  <w:r>
                    <w:rPr>
                      <w:rFonts w:hint="eastAsia"/>
                      <w:color w:val="auto"/>
                      <w:szCs w:val="21"/>
                    </w:rPr>
                    <w:t>工程</w:t>
                  </w:r>
                </w:p>
              </w:tc>
              <w:tc>
                <w:tcPr>
                  <w:tcW w:w="504"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废水</w:t>
                  </w:r>
                </w:p>
              </w:tc>
              <w:tc>
                <w:tcPr>
                  <w:tcW w:w="1666"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rPr>
                    <w:t>生活污水</w:t>
                  </w:r>
                </w:p>
              </w:tc>
              <w:tc>
                <w:tcPr>
                  <w:tcW w:w="5223" w:type="dxa"/>
                  <w:tcBorders>
                    <w:top w:val="single" w:color="000000" w:sz="4" w:space="0"/>
                    <w:left w:val="single" w:color="000000" w:sz="4" w:space="0"/>
                    <w:bottom w:val="single" w:color="000000" w:sz="4" w:space="0"/>
                  </w:tcBorders>
                  <w:vAlign w:val="center"/>
                </w:tcPr>
                <w:p>
                  <w:pPr>
                    <w:adjustRightInd w:val="0"/>
                    <w:snapToGrid w:val="0"/>
                    <w:jc w:val="left"/>
                    <w:rPr>
                      <w:color w:val="auto"/>
                      <w:szCs w:val="21"/>
                    </w:rPr>
                  </w:pPr>
                  <w:r>
                    <w:rPr>
                      <w:rFonts w:hint="eastAsia"/>
                      <w:bCs/>
                      <w:color w:val="auto"/>
                    </w:rPr>
                    <w:t>员工生活污水</w:t>
                  </w:r>
                  <w:r>
                    <w:rPr>
                      <w:rFonts w:hint="eastAsia"/>
                      <w:bCs/>
                      <w:iCs/>
                      <w:color w:val="auto"/>
                      <w:szCs w:val="21"/>
                    </w:rPr>
                    <w:t>经化粪池处理后进入</w:t>
                  </w:r>
                  <w:r>
                    <w:rPr>
                      <w:rFonts w:hint="eastAsia"/>
                      <w:color w:val="auto"/>
                    </w:rPr>
                    <w:t>尼葛污水处理厂集中处理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666"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color w:val="auto"/>
                      <w:szCs w:val="21"/>
                    </w:rPr>
                    <w:t>网箱抄取废水</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color w:val="auto"/>
                    </w:rPr>
                  </w:pPr>
                  <w:r>
                    <w:rPr>
                      <w:rFonts w:hint="eastAsia"/>
                      <w:color w:val="auto"/>
                      <w:szCs w:val="21"/>
                    </w:rPr>
                    <w:t>网箱抄取废水经混水罐澄清后，上层清液进入清水罐，底层的混浊液用于制浆，不外排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4"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666"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r>
                    <w:rPr>
                      <w:rFonts w:hint="eastAsia"/>
                      <w:bCs/>
                      <w:color w:val="auto"/>
                      <w:szCs w:val="21"/>
                    </w:rPr>
                    <w:t>车辆冲洗废水</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color w:val="auto"/>
                    </w:rPr>
                  </w:pPr>
                  <w:r>
                    <w:rPr>
                      <w:rFonts w:hint="eastAsia"/>
                      <w:bCs/>
                      <w:color w:val="auto"/>
                      <w:szCs w:val="21"/>
                    </w:rPr>
                    <w:t>车辆冲洗废水经隔油沉淀池处理后循环使用，不外排</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1666"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bCs/>
                      <w:color w:val="auto"/>
                      <w:szCs w:val="21"/>
                    </w:rPr>
                  </w:pPr>
                  <w:r>
                    <w:rPr>
                      <w:rFonts w:hint="eastAsia"/>
                      <w:bCs/>
                      <w:color w:val="auto"/>
                      <w:szCs w:val="21"/>
                    </w:rPr>
                    <w:t>初期雨水</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rPr>
                      <w:bCs/>
                      <w:color w:val="auto"/>
                      <w:szCs w:val="21"/>
                    </w:rPr>
                  </w:pPr>
                  <w:r>
                    <w:rPr>
                      <w:rFonts w:hint="eastAsia"/>
                      <w:bCs/>
                      <w:color w:val="auto"/>
                      <w:szCs w:val="21"/>
                    </w:rPr>
                    <w:t>设置初期雨水池，初期雨水沉淀处理后上清液用于车辆冲洗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504"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废气</w:t>
                  </w:r>
                </w:p>
              </w:tc>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olor w:val="auto"/>
                      <w:sz w:val="21"/>
                      <w:szCs w:val="21"/>
                    </w:rPr>
                    <w:t>石英粉生产线</w:t>
                  </w:r>
                </w:p>
              </w:tc>
              <w:tc>
                <w:tcPr>
                  <w:tcW w:w="1176" w:type="dxa"/>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s="宋体"/>
                      <w:bCs/>
                      <w:iCs/>
                      <w:color w:val="auto"/>
                      <w:kern w:val="2"/>
                      <w:sz w:val="21"/>
                      <w:szCs w:val="21"/>
                    </w:rPr>
                    <w:t>卸料粉尘</w:t>
                  </w:r>
                </w:p>
              </w:tc>
              <w:tc>
                <w:tcPr>
                  <w:tcW w:w="5223" w:type="dxa"/>
                  <w:tcBorders>
                    <w:top w:val="single" w:color="000000" w:sz="4" w:space="0"/>
                    <w:left w:val="single" w:color="000000" w:sz="4" w:space="0"/>
                    <w:bottom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color w:val="auto"/>
                      <w:sz w:val="21"/>
                      <w:szCs w:val="21"/>
                    </w:rPr>
                    <w:t>货车卸货时在封闭的</w:t>
                  </w:r>
                  <w:r>
                    <w:rPr>
                      <w:rFonts w:hint="eastAsia" w:ascii="Times New Roman" w:hAnsi="Times New Roman"/>
                      <w:color w:val="auto"/>
                      <w:sz w:val="21"/>
                      <w:szCs w:val="21"/>
                    </w:rPr>
                    <w:t>原料库进行</w:t>
                  </w:r>
                  <w:r>
                    <w:rPr>
                      <w:rFonts w:hint="eastAsia"/>
                      <w:color w:val="auto"/>
                      <w:sz w:val="21"/>
                      <w:szCs w:val="21"/>
                    </w:rPr>
                    <w:t>，</w:t>
                  </w:r>
                  <w:r>
                    <w:rPr>
                      <w:rFonts w:hint="eastAsia" w:ascii="Times New Roman" w:hAnsi="Times New Roman"/>
                      <w:color w:val="auto"/>
                      <w:sz w:val="21"/>
                      <w:szCs w:val="21"/>
                    </w:rPr>
                    <w:t>原料</w:t>
                  </w:r>
                  <w:r>
                    <w:rPr>
                      <w:rFonts w:hint="eastAsia"/>
                      <w:color w:val="auto"/>
                      <w:sz w:val="21"/>
                      <w:szCs w:val="21"/>
                    </w:rPr>
                    <w:t>库出入口布设风管对卸料粉尘进行收集后进入布袋除尘器处理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outlineLvl w:val="2"/>
                    <w:rPr>
                      <w:rFonts w:cs="宋体"/>
                      <w:bCs/>
                      <w:iCs/>
                      <w:color w:val="auto"/>
                      <w:szCs w:val="21"/>
                    </w:rPr>
                  </w:pPr>
                </w:p>
              </w:tc>
              <w:tc>
                <w:tcPr>
                  <w:tcW w:w="117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outlineLvl w:val="2"/>
                    <w:rPr>
                      <w:rFonts w:cs="宋体"/>
                      <w:bCs/>
                      <w:iCs/>
                      <w:color w:val="auto"/>
                      <w:szCs w:val="21"/>
                    </w:rPr>
                  </w:pPr>
                  <w:r>
                    <w:rPr>
                      <w:rFonts w:hint="eastAsia"/>
                      <w:color w:val="auto"/>
                      <w:szCs w:val="21"/>
                    </w:rPr>
                    <w:t>投料、破碎、筛分</w:t>
                  </w:r>
                  <w:r>
                    <w:rPr>
                      <w:rFonts w:hint="eastAsia" w:cs="宋体"/>
                      <w:bCs/>
                      <w:iCs/>
                      <w:color w:val="auto"/>
                      <w:szCs w:val="21"/>
                    </w:rPr>
                    <w:t>粉尘</w:t>
                  </w:r>
                </w:p>
              </w:tc>
              <w:tc>
                <w:tcPr>
                  <w:tcW w:w="5223" w:type="dxa"/>
                  <w:tcBorders>
                    <w:top w:val="single" w:color="000000" w:sz="4" w:space="0"/>
                    <w:left w:val="single" w:color="000000" w:sz="4" w:space="0"/>
                    <w:bottom w:val="single" w:color="000000" w:sz="4" w:space="0"/>
                  </w:tcBorders>
                  <w:vAlign w:val="center"/>
                </w:tcPr>
                <w:p>
                  <w:pPr>
                    <w:adjustRightInd w:val="0"/>
                    <w:snapToGrid w:val="0"/>
                    <w:jc w:val="center"/>
                    <w:outlineLvl w:val="2"/>
                    <w:rPr>
                      <w:rFonts w:cs="宋体"/>
                      <w:bCs/>
                      <w:iCs/>
                      <w:color w:val="auto"/>
                      <w:szCs w:val="21"/>
                    </w:rPr>
                  </w:pPr>
                  <w:r>
                    <w:rPr>
                      <w:rFonts w:hint="eastAsia" w:cs="宋体"/>
                      <w:bCs/>
                      <w:iCs/>
                      <w:color w:val="auto"/>
                      <w:szCs w:val="21"/>
                    </w:rPr>
                    <w:t>封闭</w:t>
                  </w:r>
                  <w:r>
                    <w:rPr>
                      <w:rFonts w:hint="eastAsia"/>
                      <w:color w:val="auto"/>
                      <w:szCs w:val="21"/>
                    </w:rPr>
                    <w:t>投料、破碎、筛分</w:t>
                  </w:r>
                  <w:r>
                    <w:rPr>
                      <w:rFonts w:hint="eastAsia" w:cs="宋体"/>
                      <w:bCs/>
                      <w:iCs/>
                      <w:color w:val="auto"/>
                      <w:szCs w:val="21"/>
                    </w:rPr>
                    <w:t>生产流程；进料口等产尘点采用集气罩、软帘封闭，</w:t>
                  </w:r>
                  <w:r>
                    <w:rPr>
                      <w:rFonts w:hint="eastAsia"/>
                      <w:bCs/>
                      <w:color w:val="auto"/>
                    </w:rPr>
                    <w:t>使用布袋收尘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rPr>
                  </w:pPr>
                </w:p>
              </w:tc>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604"/>
                    </w:tabs>
                    <w:adjustRightInd w:val="0"/>
                    <w:snapToGrid w:val="0"/>
                    <w:jc w:val="center"/>
                    <w:outlineLvl w:val="2"/>
                    <w:rPr>
                      <w:rFonts w:cs="宋体"/>
                      <w:bCs/>
                      <w:iCs/>
                      <w:color w:val="auto"/>
                      <w:szCs w:val="21"/>
                    </w:rPr>
                  </w:pPr>
                </w:p>
              </w:tc>
              <w:tc>
                <w:tcPr>
                  <w:tcW w:w="1176" w:type="dxa"/>
                  <w:tcBorders>
                    <w:top w:val="single" w:color="000000" w:sz="4" w:space="0"/>
                    <w:left w:val="single" w:color="000000" w:sz="4" w:space="0"/>
                    <w:bottom w:val="single" w:color="000000" w:sz="4" w:space="0"/>
                    <w:right w:val="single" w:color="000000" w:sz="4" w:space="0"/>
                  </w:tcBorders>
                  <w:vAlign w:val="center"/>
                </w:tcPr>
                <w:p>
                  <w:pPr>
                    <w:tabs>
                      <w:tab w:val="left" w:pos="2604"/>
                    </w:tabs>
                    <w:adjustRightInd w:val="0"/>
                    <w:snapToGrid w:val="0"/>
                    <w:jc w:val="center"/>
                    <w:outlineLvl w:val="2"/>
                    <w:rPr>
                      <w:rFonts w:cs="宋体"/>
                      <w:bCs/>
                      <w:iCs/>
                      <w:color w:val="auto"/>
                      <w:szCs w:val="21"/>
                    </w:rPr>
                  </w:pPr>
                  <w:r>
                    <w:rPr>
                      <w:rFonts w:hint="eastAsia"/>
                      <w:color w:val="auto"/>
                      <w:szCs w:val="21"/>
                    </w:rPr>
                    <w:t>输送带扬尘</w:t>
                  </w:r>
                </w:p>
              </w:tc>
              <w:tc>
                <w:tcPr>
                  <w:tcW w:w="5223" w:type="dxa"/>
                  <w:tcBorders>
                    <w:top w:val="single" w:color="000000" w:sz="4" w:space="0"/>
                    <w:left w:val="single" w:color="000000" w:sz="4" w:space="0"/>
                    <w:bottom w:val="single" w:color="000000" w:sz="4" w:space="0"/>
                  </w:tcBorders>
                  <w:vAlign w:val="center"/>
                </w:tcPr>
                <w:p>
                  <w:pPr>
                    <w:tabs>
                      <w:tab w:val="left" w:pos="2604"/>
                    </w:tabs>
                    <w:adjustRightInd w:val="0"/>
                    <w:snapToGrid w:val="0"/>
                    <w:jc w:val="center"/>
                    <w:outlineLvl w:val="2"/>
                    <w:rPr>
                      <w:rFonts w:cs="宋体"/>
                      <w:bCs/>
                      <w:iCs/>
                      <w:color w:val="auto"/>
                      <w:szCs w:val="21"/>
                    </w:rPr>
                  </w:pPr>
                  <w:r>
                    <w:rPr>
                      <w:rFonts w:hint="eastAsia"/>
                      <w:color w:val="auto"/>
                      <w:szCs w:val="21"/>
                    </w:rPr>
                    <w:t>输送带</w:t>
                  </w:r>
                  <w:r>
                    <w:rPr>
                      <w:rFonts w:hint="eastAsia"/>
                      <w:snapToGrid w:val="0"/>
                      <w:color w:val="auto"/>
                      <w:spacing w:val="4"/>
                      <w:kern w:val="0"/>
                      <w:szCs w:val="21"/>
                    </w:rPr>
                    <w:t>加盖密闭，</w:t>
                  </w:r>
                  <w:r>
                    <w:rPr>
                      <w:rFonts w:hint="eastAsia"/>
                      <w:color w:val="auto"/>
                      <w:szCs w:val="21"/>
                    </w:rPr>
                    <w:t>落料点</w:t>
                  </w:r>
                  <w:r>
                    <w:rPr>
                      <w:rFonts w:hint="eastAsia" w:cs="宋体"/>
                      <w:bCs/>
                      <w:iCs/>
                      <w:color w:val="auto"/>
                      <w:szCs w:val="21"/>
                    </w:rPr>
                    <w:t>采用集气罩、软帘封闭，</w:t>
                  </w:r>
                  <w:r>
                    <w:rPr>
                      <w:rFonts w:hint="eastAsia"/>
                      <w:bCs/>
                      <w:color w:val="auto"/>
                    </w:rPr>
                    <w:t>使用布袋收尘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489" w:type="dxa"/>
                  <w:vMerge w:val="continue"/>
                  <w:tcBorders>
                    <w:top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p>
              </w:tc>
              <w:tc>
                <w:tcPr>
                  <w:tcW w:w="1176" w:type="dxa"/>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进仓粉尘</w:t>
                  </w:r>
                </w:p>
              </w:tc>
              <w:tc>
                <w:tcPr>
                  <w:tcW w:w="5223" w:type="dxa"/>
                  <w:tcBorders>
                    <w:top w:val="single" w:color="000000" w:sz="4" w:space="0"/>
                    <w:left w:val="single" w:color="000000" w:sz="4" w:space="0"/>
                    <w:bottom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石英粉、水泥进仓时产生的呼吸废气使用管道封闭对接收集后使用</w:t>
                  </w:r>
                  <w:r>
                    <w:rPr>
                      <w:rFonts w:hint="eastAsia" w:ascii="Times New Roman" w:hAnsi="Times New Roman"/>
                      <w:bCs/>
                      <w:color w:val="auto"/>
                      <w:kern w:val="2"/>
                      <w:sz w:val="21"/>
                      <w:szCs w:val="24"/>
                    </w:rPr>
                    <w:t>布袋收尘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489" w:type="dxa"/>
                  <w:vMerge w:val="continue"/>
                  <w:tcBorders>
                    <w:top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硅酸钙板</w:t>
                  </w:r>
                  <w:r>
                    <w:rPr>
                      <w:rFonts w:hint="eastAsia" w:ascii="Times New Roman" w:hAnsi="Times New Roman"/>
                      <w:color w:val="auto"/>
                      <w:sz w:val="21"/>
                      <w:szCs w:val="21"/>
                    </w:rPr>
                    <w:t>生产线</w:t>
                  </w:r>
                </w:p>
              </w:tc>
              <w:tc>
                <w:tcPr>
                  <w:tcW w:w="1176" w:type="dxa"/>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配料粉尘</w:t>
                  </w:r>
                </w:p>
              </w:tc>
              <w:tc>
                <w:tcPr>
                  <w:tcW w:w="5223" w:type="dxa"/>
                  <w:tcBorders>
                    <w:top w:val="single" w:color="000000" w:sz="4" w:space="0"/>
                    <w:left w:val="single" w:color="000000" w:sz="4" w:space="0"/>
                    <w:bottom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原料入仓、配料时产生的呼吸废气使用管道封闭对接收集后使用</w:t>
                  </w:r>
                  <w:r>
                    <w:rPr>
                      <w:rFonts w:hint="eastAsia" w:ascii="Times New Roman" w:hAnsi="Times New Roman"/>
                      <w:bCs/>
                      <w:color w:val="auto"/>
                      <w:kern w:val="2"/>
                      <w:sz w:val="21"/>
                      <w:szCs w:val="24"/>
                    </w:rPr>
                    <w:t>布袋收尘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489" w:type="dxa"/>
                  <w:vMerge w:val="continue"/>
                  <w:tcBorders>
                    <w:top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p>
              </w:tc>
              <w:tc>
                <w:tcPr>
                  <w:tcW w:w="1176" w:type="dxa"/>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制浆搅拌粉尘</w:t>
                  </w:r>
                </w:p>
              </w:tc>
              <w:tc>
                <w:tcPr>
                  <w:tcW w:w="5223" w:type="dxa"/>
                  <w:tcBorders>
                    <w:top w:val="single" w:color="000000" w:sz="4" w:space="0"/>
                    <w:left w:val="single" w:color="000000" w:sz="4" w:space="0"/>
                    <w:bottom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湿式加工，密闭式搅拌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489" w:type="dxa"/>
                  <w:vMerge w:val="continue"/>
                  <w:tcBorders>
                    <w:top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p>
              </w:tc>
              <w:tc>
                <w:tcPr>
                  <w:tcW w:w="1176" w:type="dxa"/>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纵切、横切</w:t>
                  </w:r>
                </w:p>
              </w:tc>
              <w:tc>
                <w:tcPr>
                  <w:tcW w:w="5223" w:type="dxa"/>
                  <w:tcBorders>
                    <w:top w:val="single" w:color="000000" w:sz="4" w:space="0"/>
                    <w:left w:val="single" w:color="000000" w:sz="4" w:space="0"/>
                    <w:bottom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湿式加工，粉尘量少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489" w:type="dxa"/>
                  <w:vMerge w:val="continue"/>
                  <w:tcBorders>
                    <w:top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color w:val="auto"/>
                    </w:rPr>
                  </w:pPr>
                </w:p>
              </w:tc>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p>
              </w:tc>
              <w:tc>
                <w:tcPr>
                  <w:tcW w:w="1176" w:type="dxa"/>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磨边粉尘</w:t>
                  </w:r>
                </w:p>
              </w:tc>
              <w:tc>
                <w:tcPr>
                  <w:tcW w:w="5223" w:type="dxa"/>
                  <w:tcBorders>
                    <w:top w:val="single" w:color="000000" w:sz="4" w:space="0"/>
                    <w:left w:val="single" w:color="000000" w:sz="4" w:space="0"/>
                    <w:bottom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磨边</w:t>
                  </w:r>
                  <w:r>
                    <w:rPr>
                      <w:rFonts w:hint="eastAsia" w:ascii="Times New Roman" w:hAnsi="Times New Roman" w:cs="宋体"/>
                      <w:bCs/>
                      <w:iCs/>
                      <w:color w:val="auto"/>
                      <w:kern w:val="2"/>
                      <w:sz w:val="21"/>
                      <w:szCs w:val="21"/>
                      <w:lang w:val="en-GB"/>
                    </w:rPr>
                    <w:t>粉尘采用</w:t>
                  </w:r>
                  <w:r>
                    <w:rPr>
                      <w:rFonts w:hint="eastAsia" w:ascii="Times New Roman" w:hAnsi="Times New Roman" w:cs="宋体"/>
                      <w:bCs/>
                      <w:iCs/>
                      <w:color w:val="auto"/>
                      <w:kern w:val="2"/>
                      <w:sz w:val="21"/>
                      <w:szCs w:val="21"/>
                    </w:rPr>
                    <w:t>集气罩、软帘封闭，</w:t>
                  </w:r>
                  <w:r>
                    <w:rPr>
                      <w:rFonts w:hint="eastAsia" w:ascii="Times New Roman" w:hAnsi="Times New Roman"/>
                      <w:bCs/>
                      <w:color w:val="auto"/>
                      <w:kern w:val="2"/>
                      <w:sz w:val="21"/>
                      <w:szCs w:val="24"/>
                    </w:rPr>
                    <w:t>使用布袋收尘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37"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504"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1666" w:type="dxa"/>
                  <w:gridSpan w:val="2"/>
                  <w:tcBorders>
                    <w:top w:val="single" w:color="000000" w:sz="4" w:space="0"/>
                    <w:left w:val="single" w:color="000000" w:sz="4" w:space="0"/>
                    <w:bottom w:val="single" w:color="000000" w:sz="4" w:space="0"/>
                    <w:right w:val="single" w:color="000000"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s="宋体"/>
                      <w:bCs/>
                      <w:iCs/>
                      <w:color w:val="auto"/>
                      <w:kern w:val="2"/>
                      <w:sz w:val="21"/>
                      <w:szCs w:val="21"/>
                    </w:rPr>
                    <w:t>车辆运输起尘</w:t>
                  </w:r>
                </w:p>
              </w:tc>
              <w:tc>
                <w:tcPr>
                  <w:tcW w:w="5223" w:type="dxa"/>
                  <w:tcBorders>
                    <w:top w:val="single" w:color="000000" w:sz="4" w:space="0"/>
                    <w:left w:val="single" w:color="000000" w:sz="4" w:space="0"/>
                    <w:bottom w:val="single" w:color="000000" w:sz="4" w:space="0"/>
                  </w:tcBorders>
                  <w:vAlign w:val="center"/>
                </w:tcPr>
                <w:p>
                  <w:pPr>
                    <w:pStyle w:val="25"/>
                    <w:widowControl w:val="0"/>
                    <w:adjustRightInd w:val="0"/>
                    <w:snapToGrid w:val="0"/>
                    <w:spacing w:before="0" w:beforeAutospacing="0" w:after="0" w:afterAutospacing="0"/>
                    <w:outlineLvl w:val="2"/>
                    <w:rPr>
                      <w:rFonts w:ascii="Times New Roman" w:hAnsi="Times New Roman"/>
                      <w:color w:val="auto"/>
                      <w:sz w:val="21"/>
                      <w:szCs w:val="21"/>
                    </w:rPr>
                  </w:pPr>
                  <w:r>
                    <w:rPr>
                      <w:rFonts w:hint="eastAsia" w:ascii="Times New Roman" w:hAnsi="Times New Roman" w:cs="宋体"/>
                      <w:bCs/>
                      <w:iCs/>
                      <w:color w:val="auto"/>
                      <w:kern w:val="2"/>
                      <w:sz w:val="21"/>
                      <w:szCs w:val="21"/>
                    </w:rPr>
                    <w:t>对进出车辆冲洗；厂区道路、原料库、车间地面进行硬化处理，定期对场地道路进行清扫和洒水抑尘，对运输车辆进行加盖帆布并限制车速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34" w:hRule="atLeast"/>
                <w:jc w:val="center"/>
              </w:trPr>
              <w:tc>
                <w:tcPr>
                  <w:tcW w:w="489" w:type="dxa"/>
                  <w:vMerge w:val="continue"/>
                  <w:tcBorders>
                    <w:top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p>
              </w:tc>
              <w:tc>
                <w:tcPr>
                  <w:tcW w:w="2170" w:type="dxa"/>
                  <w:gridSpan w:val="3"/>
                  <w:tcBorders>
                    <w:top w:val="single" w:color="000000" w:sz="4" w:space="0"/>
                    <w:left w:val="single" w:color="000000" w:sz="4" w:space="0"/>
                    <w:bottom w:val="single" w:color="000000" w:sz="4" w:space="0"/>
                    <w:right w:val="single" w:color="000000" w:sz="4" w:space="0"/>
                  </w:tcBorders>
                  <w:vAlign w:val="center"/>
                </w:tcPr>
                <w:p>
                  <w:pPr>
                    <w:adjustRightInd w:val="0"/>
                    <w:snapToGrid w:val="0"/>
                    <w:jc w:val="center"/>
                    <w:rPr>
                      <w:color w:val="auto"/>
                      <w:szCs w:val="21"/>
                    </w:rPr>
                  </w:pPr>
                  <w:r>
                    <w:rPr>
                      <w:rFonts w:hint="eastAsia"/>
                      <w:color w:val="auto"/>
                      <w:szCs w:val="21"/>
                    </w:rPr>
                    <w:t>噪声</w:t>
                  </w:r>
                </w:p>
              </w:tc>
              <w:tc>
                <w:tcPr>
                  <w:tcW w:w="5223" w:type="dxa"/>
                  <w:tcBorders>
                    <w:top w:val="single" w:color="000000" w:sz="4" w:space="0"/>
                    <w:left w:val="single" w:color="000000" w:sz="4" w:space="0"/>
                    <w:bottom w:val="single" w:color="000000" w:sz="4" w:space="0"/>
                  </w:tcBorders>
                  <w:vAlign w:val="center"/>
                </w:tcPr>
                <w:p>
                  <w:pPr>
                    <w:pStyle w:val="189"/>
                    <w:spacing w:line="240" w:lineRule="auto"/>
                    <w:ind w:firstLine="0" w:firstLineChars="0"/>
                    <w:jc w:val="left"/>
                    <w:rPr>
                      <w:rFonts w:ascii="宋体" w:cs="宋体"/>
                      <w:color w:val="auto"/>
                      <w:sz w:val="21"/>
                      <w:szCs w:val="21"/>
                    </w:rPr>
                  </w:pPr>
                  <w:r>
                    <w:rPr>
                      <w:rFonts w:hint="eastAsia" w:ascii="宋体" w:hAnsi="宋体" w:cs="宋体"/>
                      <w:color w:val="auto"/>
                      <w:sz w:val="21"/>
                      <w:szCs w:val="21"/>
                    </w:rPr>
                    <w:t>选购低噪声设备，高噪声设备隔声减震，加强设备维护，确保良好运行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9" w:type="dxa"/>
                  <w:vMerge w:val="continue"/>
                  <w:tcBorders>
                    <w:top w:val="single" w:color="000000" w:sz="4" w:space="0"/>
                    <w:bottom w:val="single" w:color="000000" w:sz="12" w:space="0"/>
                    <w:right w:val="single" w:color="000000" w:sz="4" w:space="0"/>
                  </w:tcBorders>
                  <w:vAlign w:val="center"/>
                </w:tcPr>
                <w:p>
                  <w:pPr>
                    <w:adjustRightInd w:val="0"/>
                    <w:snapToGrid w:val="0"/>
                    <w:jc w:val="center"/>
                    <w:rPr>
                      <w:color w:val="auto"/>
                      <w:szCs w:val="21"/>
                    </w:rPr>
                  </w:pPr>
                </w:p>
              </w:tc>
              <w:tc>
                <w:tcPr>
                  <w:tcW w:w="622" w:type="dxa"/>
                  <w:vMerge w:val="continue"/>
                  <w:tcBorders>
                    <w:top w:val="single" w:color="000000" w:sz="4" w:space="0"/>
                    <w:left w:val="single" w:color="000000" w:sz="4" w:space="0"/>
                    <w:bottom w:val="single" w:color="000000" w:sz="12" w:space="0"/>
                    <w:right w:val="single" w:color="000000" w:sz="4" w:space="0"/>
                  </w:tcBorders>
                  <w:vAlign w:val="center"/>
                </w:tcPr>
                <w:p>
                  <w:pPr>
                    <w:adjustRightInd w:val="0"/>
                    <w:snapToGrid w:val="0"/>
                    <w:jc w:val="center"/>
                    <w:rPr>
                      <w:color w:val="auto"/>
                      <w:szCs w:val="21"/>
                    </w:rPr>
                  </w:pPr>
                </w:p>
              </w:tc>
              <w:tc>
                <w:tcPr>
                  <w:tcW w:w="2170" w:type="dxa"/>
                  <w:gridSpan w:val="3"/>
                  <w:tcBorders>
                    <w:top w:val="single" w:color="000000" w:sz="4" w:space="0"/>
                    <w:left w:val="single" w:color="000000" w:sz="4" w:space="0"/>
                    <w:bottom w:val="single" w:color="000000" w:sz="12" w:space="0"/>
                    <w:right w:val="single" w:color="000000" w:sz="4" w:space="0"/>
                  </w:tcBorders>
                  <w:vAlign w:val="center"/>
                </w:tcPr>
                <w:p>
                  <w:pPr>
                    <w:adjustRightInd w:val="0"/>
                    <w:snapToGrid w:val="0"/>
                    <w:jc w:val="center"/>
                    <w:rPr>
                      <w:color w:val="auto"/>
                      <w:szCs w:val="21"/>
                    </w:rPr>
                  </w:pPr>
                  <w:r>
                    <w:rPr>
                      <w:rFonts w:hint="eastAsia"/>
                      <w:color w:val="auto"/>
                      <w:szCs w:val="21"/>
                    </w:rPr>
                    <w:t>固体废物</w:t>
                  </w:r>
                </w:p>
              </w:tc>
              <w:tc>
                <w:tcPr>
                  <w:tcW w:w="5223" w:type="dxa"/>
                  <w:tcBorders>
                    <w:top w:val="single" w:color="000000" w:sz="4" w:space="0"/>
                    <w:left w:val="single" w:color="000000" w:sz="4" w:space="0"/>
                    <w:bottom w:val="single" w:color="000000" w:sz="12" w:space="0"/>
                  </w:tcBorders>
                  <w:vAlign w:val="center"/>
                </w:tcPr>
                <w:p>
                  <w:pPr>
                    <w:pStyle w:val="25"/>
                    <w:widowControl w:val="0"/>
                    <w:adjustRightInd w:val="0"/>
                    <w:snapToGrid w:val="0"/>
                    <w:spacing w:before="0" w:beforeAutospacing="0" w:after="0" w:afterAutospacing="0"/>
                    <w:outlineLvl w:val="2"/>
                    <w:rPr>
                      <w:rFonts w:ascii="Times New Roman" w:hAnsi="Times New Roman" w:cs="宋体"/>
                      <w:bCs/>
                      <w:iCs/>
                      <w:color w:val="auto"/>
                      <w:kern w:val="2"/>
                      <w:sz w:val="21"/>
                      <w:szCs w:val="21"/>
                    </w:rPr>
                  </w:pPr>
                  <w:r>
                    <w:rPr>
                      <w:rFonts w:hint="eastAsia" w:cs="宋体"/>
                      <w:bCs/>
                      <w:iCs/>
                      <w:color w:val="auto"/>
                      <w:kern w:val="2"/>
                      <w:sz w:val="21"/>
                      <w:szCs w:val="21"/>
                    </w:rPr>
                    <w:t>①</w:t>
                  </w:r>
                  <w:r>
                    <w:rPr>
                      <w:rFonts w:hint="eastAsia" w:ascii="Times New Roman" w:hAnsi="Times New Roman" w:cs="宋体"/>
                      <w:bCs/>
                      <w:iCs/>
                      <w:color w:val="auto"/>
                      <w:kern w:val="2"/>
                      <w:sz w:val="21"/>
                      <w:szCs w:val="21"/>
                    </w:rPr>
                    <w:t>生活垃圾委托环卫定期清运；</w:t>
                  </w:r>
                </w:p>
                <w:p>
                  <w:pPr>
                    <w:pStyle w:val="25"/>
                    <w:widowControl w:val="0"/>
                    <w:adjustRightInd w:val="0"/>
                    <w:snapToGrid w:val="0"/>
                    <w:spacing w:before="0" w:beforeAutospacing="0" w:after="0" w:afterAutospacing="0"/>
                    <w:outlineLvl w:val="2"/>
                    <w:rPr>
                      <w:rFonts w:ascii="Times New Roman" w:hAnsi="Times New Roman" w:cs="宋体"/>
                      <w:bCs/>
                      <w:iCs/>
                      <w:color w:val="auto"/>
                      <w:kern w:val="2"/>
                      <w:sz w:val="21"/>
                      <w:szCs w:val="21"/>
                    </w:rPr>
                  </w:pPr>
                  <w:r>
                    <w:rPr>
                      <w:rFonts w:hint="eastAsia" w:cs="宋体"/>
                      <w:bCs/>
                      <w:iCs/>
                      <w:color w:val="auto"/>
                      <w:kern w:val="2"/>
                      <w:sz w:val="21"/>
                      <w:szCs w:val="21"/>
                    </w:rPr>
                    <w:t>②</w:t>
                  </w:r>
                  <w:r>
                    <w:rPr>
                      <w:rFonts w:hint="eastAsia" w:ascii="Times New Roman" w:hAnsi="Times New Roman" w:cs="宋体"/>
                      <w:bCs/>
                      <w:iCs/>
                      <w:color w:val="auto"/>
                      <w:kern w:val="2"/>
                      <w:sz w:val="21"/>
                      <w:szCs w:val="21"/>
                    </w:rPr>
                    <w:t>废机油等危险废物委托有资质单位处置；</w:t>
                  </w:r>
                </w:p>
                <w:p>
                  <w:pPr>
                    <w:pStyle w:val="25"/>
                    <w:widowControl w:val="0"/>
                    <w:adjustRightInd w:val="0"/>
                    <w:snapToGrid w:val="0"/>
                    <w:spacing w:before="0" w:beforeAutospacing="0" w:after="0" w:afterAutospacing="0"/>
                    <w:outlineLvl w:val="2"/>
                    <w:rPr>
                      <w:rFonts w:ascii="Times New Roman" w:hAnsi="Times New Roman" w:cs="宋体"/>
                      <w:bCs/>
                      <w:iCs/>
                      <w:color w:val="auto"/>
                      <w:kern w:val="2"/>
                      <w:sz w:val="21"/>
                      <w:szCs w:val="21"/>
                    </w:rPr>
                  </w:pPr>
                  <w:r>
                    <w:rPr>
                      <w:rFonts w:hint="eastAsia" w:cs="宋体"/>
                      <w:bCs/>
                      <w:iCs/>
                      <w:color w:val="auto"/>
                      <w:kern w:val="2"/>
                      <w:sz w:val="21"/>
                      <w:szCs w:val="21"/>
                    </w:rPr>
                    <w:t>③</w:t>
                  </w:r>
                  <w:r>
                    <w:rPr>
                      <w:rFonts w:hint="eastAsia" w:ascii="Times New Roman" w:hAnsi="Times New Roman" w:cs="宋体"/>
                      <w:bCs/>
                      <w:iCs/>
                      <w:color w:val="auto"/>
                      <w:kern w:val="2"/>
                      <w:sz w:val="21"/>
                      <w:szCs w:val="21"/>
                    </w:rPr>
                    <w:t>粉尘、边角料收集后回用生产。</w:t>
                  </w:r>
                </w:p>
                <w:p>
                  <w:pPr>
                    <w:pStyle w:val="25"/>
                    <w:widowControl w:val="0"/>
                    <w:adjustRightInd w:val="0"/>
                    <w:snapToGrid w:val="0"/>
                    <w:spacing w:before="0" w:beforeAutospacing="0" w:after="0" w:afterAutospacing="0"/>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④</w:t>
                  </w:r>
                  <w:r>
                    <w:rPr>
                      <w:rFonts w:hint="eastAsia" w:ascii="Times New Roman" w:hAnsi="Times New Roman"/>
                      <w:color w:val="auto"/>
                      <w:sz w:val="21"/>
                      <w:szCs w:val="21"/>
                    </w:rPr>
                    <w:t>沉淀污泥外卖综合处置</w:t>
                  </w:r>
                  <w:r>
                    <w:rPr>
                      <w:rFonts w:hint="eastAsia" w:ascii="Times New Roman" w:hAnsi="Times New Roman" w:cs="宋体"/>
                      <w:bCs/>
                      <w:iCs/>
                      <w:color w:val="auto"/>
                      <w:kern w:val="2"/>
                      <w:sz w:val="21"/>
                      <w:szCs w:val="21"/>
                    </w:rPr>
                    <w:t>。</w:t>
                  </w:r>
                </w:p>
              </w:tc>
            </w:tr>
          </w:tbl>
          <w:p>
            <w:pPr>
              <w:pStyle w:val="83"/>
              <w:adjustRightInd/>
              <w:snapToGrid/>
              <w:rPr>
                <w:color w:val="auto"/>
              </w:rPr>
            </w:pPr>
            <w:r>
              <w:rPr>
                <w:color w:val="auto"/>
              </w:rPr>
              <w:t>2.3</w:t>
            </w:r>
            <w:r>
              <w:rPr>
                <w:rFonts w:hint="eastAsia"/>
                <w:color w:val="auto"/>
              </w:rPr>
              <w:t>产品方案和主要原辅材料、能源消耗</w:t>
            </w:r>
          </w:p>
          <w:p>
            <w:pPr>
              <w:pStyle w:val="67"/>
              <w:ind w:firstLine="31680"/>
              <w:rPr>
                <w:color w:val="auto"/>
              </w:rPr>
            </w:pPr>
            <w:r>
              <w:rPr>
                <w:rFonts w:hint="eastAsia"/>
                <w:color w:val="auto"/>
              </w:rPr>
              <w:t>（</w:t>
            </w:r>
            <w:r>
              <w:rPr>
                <w:color w:val="auto"/>
              </w:rPr>
              <w:t>1</w:t>
            </w:r>
            <w:r>
              <w:rPr>
                <w:rFonts w:hint="eastAsia"/>
                <w:color w:val="auto"/>
              </w:rPr>
              <w:t>）产品方案</w:t>
            </w:r>
          </w:p>
          <w:p>
            <w:pPr>
              <w:pStyle w:val="67"/>
              <w:ind w:firstLine="31680"/>
              <w:rPr>
                <w:color w:val="auto"/>
              </w:rPr>
            </w:pPr>
            <w:r>
              <w:rPr>
                <w:rFonts w:hint="eastAsia"/>
                <w:color w:val="auto"/>
              </w:rPr>
              <w:t>项目具体产品方案及产量情况详见表</w:t>
            </w:r>
            <w:r>
              <w:rPr>
                <w:color w:val="auto"/>
              </w:rPr>
              <w:t>2.3-1</w:t>
            </w:r>
            <w:r>
              <w:rPr>
                <w:rFonts w:hint="eastAsia"/>
                <w:color w:val="auto"/>
              </w:rPr>
              <w:t>。</w:t>
            </w:r>
          </w:p>
          <w:p>
            <w:pPr>
              <w:pStyle w:val="85"/>
              <w:adjustRightInd/>
              <w:snapToGrid/>
              <w:rPr>
                <w:rFonts w:hint="eastAsia"/>
                <w:color w:val="auto"/>
              </w:rPr>
            </w:pPr>
          </w:p>
          <w:p>
            <w:pPr>
              <w:pStyle w:val="85"/>
              <w:adjustRightInd/>
              <w:snapToGrid/>
              <w:rPr>
                <w:rFonts w:hint="eastAsia"/>
                <w:color w:val="auto"/>
              </w:rPr>
            </w:pPr>
          </w:p>
          <w:p>
            <w:pPr>
              <w:pStyle w:val="85"/>
              <w:adjustRightInd/>
              <w:snapToGrid/>
              <w:rPr>
                <w:color w:val="auto"/>
              </w:rPr>
            </w:pPr>
            <w:r>
              <w:rPr>
                <w:rFonts w:hint="eastAsia"/>
                <w:color w:val="auto"/>
              </w:rPr>
              <w:t>表</w:t>
            </w:r>
            <w:r>
              <w:rPr>
                <w:color w:val="auto"/>
              </w:rPr>
              <w:t xml:space="preserve">2.3-1  </w:t>
            </w:r>
            <w:r>
              <w:rPr>
                <w:rFonts w:hint="eastAsia"/>
                <w:color w:val="auto"/>
              </w:rPr>
              <w:t>项目产品方案情况一览表</w:t>
            </w:r>
          </w:p>
          <w:tbl>
            <w:tblPr>
              <w:tblStyle w:val="2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63"/>
              <w:gridCol w:w="810"/>
              <w:gridCol w:w="1440"/>
              <w:gridCol w:w="2270"/>
              <w:gridCol w:w="20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82" w:type="dxa"/>
                  <w:tcBorders>
                    <w:top w:val="single" w:color="auto" w:sz="12"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序号</w:t>
                  </w:r>
                </w:p>
              </w:tc>
              <w:tc>
                <w:tcPr>
                  <w:tcW w:w="1263"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产品名称</w:t>
                  </w:r>
                </w:p>
              </w:tc>
              <w:tc>
                <w:tcPr>
                  <w:tcW w:w="810"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单位</w:t>
                  </w:r>
                </w:p>
              </w:tc>
              <w:tc>
                <w:tcPr>
                  <w:tcW w:w="1440"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设计产量</w:t>
                  </w:r>
                </w:p>
              </w:tc>
              <w:tc>
                <w:tcPr>
                  <w:tcW w:w="2270"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规格（</w:t>
                  </w:r>
                  <w:r>
                    <w:rPr>
                      <w:color w:val="auto"/>
                      <w:szCs w:val="21"/>
                    </w:rPr>
                    <w:t>mm</w:t>
                  </w:r>
                  <w:r>
                    <w:rPr>
                      <w:rFonts w:hint="eastAsia"/>
                      <w:color w:val="auto"/>
                      <w:szCs w:val="21"/>
                    </w:rPr>
                    <w:t>）</w:t>
                  </w:r>
                </w:p>
              </w:tc>
              <w:tc>
                <w:tcPr>
                  <w:tcW w:w="2039" w:type="dxa"/>
                  <w:tcBorders>
                    <w:top w:val="single" w:color="auto" w:sz="12"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682" w:type="dxa"/>
                  <w:tcBorders>
                    <w:top w:val="single" w:color="auto" w:sz="4" w:space="0"/>
                    <w:bottom w:val="single" w:color="auto" w:sz="12" w:space="0"/>
                    <w:right w:val="single" w:color="auto" w:sz="4" w:space="0"/>
                  </w:tcBorders>
                  <w:vAlign w:val="center"/>
                </w:tcPr>
                <w:p>
                  <w:pPr>
                    <w:adjustRightInd w:val="0"/>
                    <w:snapToGrid w:val="0"/>
                    <w:jc w:val="center"/>
                    <w:rPr>
                      <w:color w:val="auto"/>
                      <w:szCs w:val="21"/>
                    </w:rPr>
                  </w:pPr>
                  <w:r>
                    <w:rPr>
                      <w:color w:val="auto"/>
                      <w:szCs w:val="21"/>
                    </w:rPr>
                    <w:t>1</w:t>
                  </w:r>
                </w:p>
              </w:tc>
              <w:tc>
                <w:tcPr>
                  <w:tcW w:w="1263"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szCs w:val="21"/>
                    </w:rPr>
                  </w:pPr>
                  <w:r>
                    <w:rPr>
                      <w:rFonts w:hint="eastAsia"/>
                      <w:color w:val="auto"/>
                      <w:szCs w:val="21"/>
                    </w:rPr>
                    <w:t>硅酸钙板</w:t>
                  </w:r>
                </w:p>
              </w:tc>
              <w:tc>
                <w:tcPr>
                  <w:tcW w:w="810"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rPr>
                  </w:pPr>
                  <w:r>
                    <w:rPr>
                      <w:rFonts w:hint="eastAsia"/>
                      <w:color w:val="auto"/>
                      <w:szCs w:val="21"/>
                    </w:rPr>
                    <w:t>㎡</w:t>
                  </w:r>
                  <w:r>
                    <w:rPr>
                      <w:color w:val="auto"/>
                      <w:szCs w:val="21"/>
                    </w:rPr>
                    <w:t>/a</w:t>
                  </w:r>
                </w:p>
              </w:tc>
              <w:tc>
                <w:tcPr>
                  <w:tcW w:w="1440"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rPr>
                  </w:pPr>
                  <w:r>
                    <w:rPr>
                      <w:color w:val="auto"/>
                    </w:rPr>
                    <w:t>3000</w:t>
                  </w:r>
                  <w:r>
                    <w:rPr>
                      <w:rFonts w:hint="eastAsia"/>
                      <w:color w:val="auto"/>
                      <w:szCs w:val="21"/>
                    </w:rPr>
                    <w:t>万</w:t>
                  </w:r>
                </w:p>
              </w:tc>
              <w:tc>
                <w:tcPr>
                  <w:tcW w:w="2270"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rPr>
                  </w:pPr>
                  <w:r>
                    <w:rPr>
                      <w:color w:val="auto"/>
                    </w:rPr>
                    <w:t>1220</w:t>
                  </w:r>
                  <w:r>
                    <w:rPr>
                      <w:rFonts w:hint="eastAsia"/>
                      <w:color w:val="auto"/>
                    </w:rPr>
                    <w:t>×</w:t>
                  </w:r>
                  <w:r>
                    <w:rPr>
                      <w:color w:val="auto"/>
                    </w:rPr>
                    <w:t>2440</w:t>
                  </w:r>
                  <w:r>
                    <w:rPr>
                      <w:rFonts w:hint="eastAsia"/>
                      <w:color w:val="auto"/>
                    </w:rPr>
                    <w:t>×（</w:t>
                  </w:r>
                  <w:r>
                    <w:rPr>
                      <w:color w:val="auto"/>
                    </w:rPr>
                    <w:t>5~20</w:t>
                  </w:r>
                  <w:r>
                    <w:rPr>
                      <w:rFonts w:hint="eastAsia"/>
                      <w:color w:val="auto"/>
                    </w:rPr>
                    <w:t>）</w:t>
                  </w:r>
                </w:p>
              </w:tc>
              <w:tc>
                <w:tcPr>
                  <w:tcW w:w="2039" w:type="dxa"/>
                  <w:tcBorders>
                    <w:top w:val="single" w:color="auto" w:sz="4" w:space="0"/>
                    <w:left w:val="single" w:color="auto" w:sz="4" w:space="0"/>
                    <w:bottom w:val="single" w:color="auto" w:sz="12" w:space="0"/>
                  </w:tcBorders>
                  <w:vAlign w:val="center"/>
                </w:tcPr>
                <w:p>
                  <w:pPr>
                    <w:adjustRightInd w:val="0"/>
                    <w:snapToGrid w:val="0"/>
                    <w:jc w:val="center"/>
                    <w:rPr>
                      <w:color w:val="auto"/>
                    </w:rPr>
                  </w:pPr>
                  <w:r>
                    <w:rPr>
                      <w:rFonts w:hint="eastAsia"/>
                      <w:color w:val="auto"/>
                    </w:rPr>
                    <w:t>工业建筑，家庭装修</w:t>
                  </w:r>
                </w:p>
              </w:tc>
            </w:tr>
          </w:tbl>
          <w:p>
            <w:pPr>
              <w:pStyle w:val="99"/>
              <w:adjustRightInd/>
              <w:snapToGrid/>
              <w:ind w:firstLine="31680"/>
              <w:rPr>
                <w:color w:val="auto"/>
              </w:rPr>
            </w:pPr>
            <w:r>
              <w:rPr>
                <w:rFonts w:hint="eastAsia"/>
                <w:color w:val="auto"/>
              </w:rPr>
              <w:t>（</w:t>
            </w:r>
            <w:r>
              <w:rPr>
                <w:color w:val="auto"/>
              </w:rPr>
              <w:t>2</w:t>
            </w:r>
            <w:r>
              <w:rPr>
                <w:rFonts w:hint="eastAsia"/>
                <w:color w:val="auto"/>
              </w:rPr>
              <w:t>）主要原辅材料、能源消耗</w:t>
            </w:r>
          </w:p>
          <w:p>
            <w:pPr>
              <w:pStyle w:val="99"/>
              <w:adjustRightInd/>
              <w:snapToGrid/>
              <w:ind w:firstLine="31680"/>
              <w:rPr>
                <w:color w:val="auto"/>
              </w:rPr>
            </w:pPr>
            <w:r>
              <w:rPr>
                <w:rFonts w:hint="eastAsia"/>
                <w:color w:val="auto"/>
              </w:rPr>
              <w:t>本项目主要原辅材料及能源消耗详见表</w:t>
            </w:r>
            <w:r>
              <w:rPr>
                <w:color w:val="auto"/>
              </w:rPr>
              <w:t>2.3-2</w:t>
            </w:r>
            <w:r>
              <w:rPr>
                <w:rFonts w:hint="eastAsia"/>
                <w:color w:val="auto"/>
              </w:rPr>
              <w:t>。原辅材料主要理化性质见表</w:t>
            </w:r>
            <w:r>
              <w:rPr>
                <w:color w:val="auto"/>
              </w:rPr>
              <w:t>2.3-3</w:t>
            </w:r>
            <w:r>
              <w:rPr>
                <w:rFonts w:hint="eastAsia"/>
                <w:color w:val="auto"/>
              </w:rPr>
              <w:t>。</w:t>
            </w:r>
          </w:p>
          <w:p>
            <w:pPr>
              <w:pStyle w:val="85"/>
              <w:adjustRightInd/>
              <w:snapToGrid/>
              <w:rPr>
                <w:color w:val="auto"/>
              </w:rPr>
            </w:pPr>
            <w:r>
              <w:rPr>
                <w:rFonts w:hint="eastAsia"/>
                <w:color w:val="auto"/>
              </w:rPr>
              <w:t>表</w:t>
            </w:r>
            <w:r>
              <w:rPr>
                <w:color w:val="auto"/>
              </w:rPr>
              <w:t xml:space="preserve">2.3-2  </w:t>
            </w:r>
            <w:r>
              <w:rPr>
                <w:rFonts w:hint="eastAsia"/>
                <w:color w:val="auto"/>
              </w:rPr>
              <w:t>项目主要原辅材料、能源消耗情况一览表</w:t>
            </w:r>
          </w:p>
          <w:tbl>
            <w:tblPr>
              <w:tblStyle w:val="27"/>
              <w:tblW w:w="843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2185"/>
              <w:gridCol w:w="1575"/>
              <w:gridCol w:w="1459"/>
              <w:gridCol w:w="21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exact"/>
              </w:trPr>
              <w:tc>
                <w:tcPr>
                  <w:tcW w:w="1066" w:type="dxa"/>
                  <w:tcBorders>
                    <w:top w:val="single" w:color="auto" w:sz="12"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序号</w:t>
                  </w:r>
                </w:p>
              </w:tc>
              <w:tc>
                <w:tcPr>
                  <w:tcW w:w="218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原料名称</w:t>
                  </w:r>
                </w:p>
              </w:tc>
              <w:tc>
                <w:tcPr>
                  <w:tcW w:w="157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用量</w:t>
                  </w:r>
                </w:p>
              </w:tc>
              <w:tc>
                <w:tcPr>
                  <w:tcW w:w="1459"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单位</w:t>
                  </w:r>
                </w:p>
              </w:tc>
              <w:tc>
                <w:tcPr>
                  <w:tcW w:w="2146" w:type="dxa"/>
                  <w:tcBorders>
                    <w:top w:val="single" w:color="auto" w:sz="12"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431" w:type="dxa"/>
                  <w:gridSpan w:val="5"/>
                  <w:tcBorders>
                    <w:top w:val="single" w:color="auto" w:sz="4" w:space="0"/>
                    <w:bottom w:val="single" w:color="auto" w:sz="4" w:space="0"/>
                  </w:tcBorders>
                  <w:vAlign w:val="center"/>
                </w:tcPr>
                <w:p>
                  <w:pPr>
                    <w:adjustRightInd w:val="0"/>
                    <w:snapToGrid w:val="0"/>
                    <w:jc w:val="left"/>
                    <w:rPr>
                      <w:color w:val="auto"/>
                      <w:szCs w:val="21"/>
                    </w:rPr>
                  </w:pPr>
                  <w:r>
                    <w:rPr>
                      <w:rFonts w:hint="eastAsia"/>
                      <w:color w:val="auto"/>
                      <w:szCs w:val="21"/>
                    </w:rPr>
                    <w:t>一、主要原辅材料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66" w:type="dxa"/>
                  <w:tcBorders>
                    <w:top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ascii="Times New Roman" w:hAnsi="Times New Roman"/>
                      <w:color w:val="auto"/>
                    </w:rPr>
                    <w:t>1</w:t>
                  </w:r>
                </w:p>
              </w:tc>
              <w:tc>
                <w:tcPr>
                  <w:tcW w:w="2185"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hint="eastAsia" w:ascii="Times New Roman" w:hAnsi="Times New Roman"/>
                      <w:color w:val="auto"/>
                    </w:rPr>
                    <w:t>石英矿</w:t>
                  </w:r>
                </w:p>
              </w:tc>
              <w:tc>
                <w:tcPr>
                  <w:tcW w:w="1575"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ascii="Times New Roman" w:hAnsi="Times New Roman"/>
                      <w:color w:val="auto"/>
                    </w:rPr>
                    <w:t>20</w:t>
                  </w:r>
                </w:p>
              </w:tc>
              <w:tc>
                <w:tcPr>
                  <w:tcW w:w="1459"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hint="eastAsia" w:ascii="Times New Roman" w:hAnsi="Times New Roman"/>
                      <w:color w:val="auto"/>
                    </w:rPr>
                    <w:t>万</w:t>
                  </w:r>
                  <w:r>
                    <w:rPr>
                      <w:rFonts w:ascii="Times New Roman" w:hAnsi="Times New Roman"/>
                      <w:color w:val="auto"/>
                    </w:rPr>
                    <w:t>t/a</w:t>
                  </w:r>
                </w:p>
              </w:tc>
              <w:tc>
                <w:tcPr>
                  <w:tcW w:w="2146" w:type="dxa"/>
                  <w:tcBorders>
                    <w:top w:val="single" w:color="auto" w:sz="4" w:space="0"/>
                    <w:left w:val="single" w:color="auto" w:sz="4" w:space="0"/>
                    <w:bottom w:val="single" w:color="auto" w:sz="4" w:space="0"/>
                  </w:tcBorders>
                  <w:vAlign w:val="center"/>
                </w:tcPr>
                <w:p>
                  <w:pPr>
                    <w:pStyle w:val="16"/>
                    <w:jc w:val="center"/>
                    <w:rPr>
                      <w:rFonts w:ascii="Times New Roman" w:hAnsi="Times New Roman"/>
                      <w:color w:val="auto"/>
                    </w:rPr>
                  </w:pPr>
                  <w:r>
                    <w:rPr>
                      <w:rFonts w:hint="eastAsia" w:ascii="Times New Roman" w:hAnsi="Times New Roman"/>
                      <w:color w:val="auto"/>
                      <w:kern w:val="0"/>
                    </w:rPr>
                    <w:t>外购，</w:t>
                  </w:r>
                  <w:r>
                    <w:rPr>
                      <w:rFonts w:hint="eastAsia" w:cs="Courier New"/>
                      <w:color w:val="auto"/>
                    </w:rPr>
                    <w:t>不涉及采矿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66" w:type="dxa"/>
                  <w:tcBorders>
                    <w:top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ascii="Times New Roman" w:hAnsi="Times New Roman"/>
                      <w:color w:val="auto"/>
                    </w:rPr>
                    <w:t>2</w:t>
                  </w:r>
                </w:p>
              </w:tc>
              <w:tc>
                <w:tcPr>
                  <w:tcW w:w="21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水泥（散装）</w:t>
                  </w:r>
                </w:p>
              </w:tc>
              <w:tc>
                <w:tcPr>
                  <w:tcW w:w="1575"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ascii="Times New Roman" w:hAnsi="Times New Roman"/>
                      <w:color w:val="auto"/>
                    </w:rPr>
                    <w:t>17</w:t>
                  </w:r>
                </w:p>
              </w:tc>
              <w:tc>
                <w:tcPr>
                  <w:tcW w:w="1459"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hint="eastAsia" w:ascii="Times New Roman" w:hAnsi="Times New Roman"/>
                      <w:color w:val="auto"/>
                    </w:rPr>
                    <w:t>万</w:t>
                  </w:r>
                  <w:r>
                    <w:rPr>
                      <w:rFonts w:ascii="Times New Roman" w:hAnsi="Times New Roman"/>
                      <w:color w:val="auto"/>
                    </w:rPr>
                    <w:t>t/a</w:t>
                  </w:r>
                </w:p>
              </w:tc>
              <w:tc>
                <w:tcPr>
                  <w:tcW w:w="2146" w:type="dxa"/>
                  <w:tcBorders>
                    <w:top w:val="single" w:color="auto" w:sz="4" w:space="0"/>
                    <w:left w:val="single" w:color="auto" w:sz="4" w:space="0"/>
                    <w:bottom w:val="single" w:color="auto" w:sz="4" w:space="0"/>
                  </w:tcBorders>
                  <w:vAlign w:val="center"/>
                </w:tcPr>
                <w:p>
                  <w:pPr>
                    <w:pStyle w:val="16"/>
                    <w:jc w:val="center"/>
                    <w:rPr>
                      <w:rFonts w:ascii="Times New Roman" w:hAnsi="Times New Roman"/>
                      <w:color w:val="auto"/>
                      <w:kern w:val="0"/>
                    </w:rPr>
                  </w:pPr>
                  <w:r>
                    <w:rPr>
                      <w:rFonts w:hint="eastAsia" w:ascii="Times New Roman" w:hAnsi="Times New Roman"/>
                      <w:color w:val="auto"/>
                      <w:kern w:val="0"/>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66" w:type="dxa"/>
                  <w:tcBorders>
                    <w:top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ascii="Times New Roman" w:hAnsi="Times New Roman"/>
                      <w:color w:val="auto"/>
                    </w:rPr>
                    <w:t>3</w:t>
                  </w:r>
                </w:p>
              </w:tc>
              <w:tc>
                <w:tcPr>
                  <w:tcW w:w="21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纸浆板</w:t>
                  </w:r>
                </w:p>
              </w:tc>
              <w:tc>
                <w:tcPr>
                  <w:tcW w:w="1575"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ascii="Times New Roman" w:hAnsi="Times New Roman"/>
                      <w:color w:val="auto"/>
                    </w:rPr>
                    <w:t>3</w:t>
                  </w:r>
                </w:p>
              </w:tc>
              <w:tc>
                <w:tcPr>
                  <w:tcW w:w="1459"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hint="eastAsia" w:ascii="Times New Roman" w:hAnsi="Times New Roman"/>
                      <w:color w:val="auto"/>
                    </w:rPr>
                    <w:t>万</w:t>
                  </w:r>
                  <w:r>
                    <w:rPr>
                      <w:rFonts w:ascii="Times New Roman" w:hAnsi="Times New Roman"/>
                      <w:color w:val="auto"/>
                    </w:rPr>
                    <w:t>t/a</w:t>
                  </w:r>
                </w:p>
              </w:tc>
              <w:tc>
                <w:tcPr>
                  <w:tcW w:w="2146" w:type="dxa"/>
                  <w:tcBorders>
                    <w:top w:val="single" w:color="auto" w:sz="4" w:space="0"/>
                    <w:left w:val="single" w:color="auto" w:sz="4" w:space="0"/>
                    <w:bottom w:val="single" w:color="auto" w:sz="4" w:space="0"/>
                  </w:tcBorders>
                  <w:vAlign w:val="center"/>
                </w:tcPr>
                <w:p>
                  <w:pPr>
                    <w:pStyle w:val="16"/>
                    <w:jc w:val="center"/>
                    <w:rPr>
                      <w:rFonts w:ascii="Times New Roman" w:hAnsi="Times New Roman"/>
                      <w:color w:val="auto"/>
                      <w:kern w:val="0"/>
                    </w:rPr>
                  </w:pPr>
                  <w:r>
                    <w:rPr>
                      <w:rFonts w:hint="eastAsia" w:ascii="Times New Roman" w:hAnsi="Times New Roman"/>
                      <w:color w:val="auto"/>
                      <w:kern w:val="0"/>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8431" w:type="dxa"/>
                  <w:gridSpan w:val="5"/>
                  <w:tcBorders>
                    <w:top w:val="single" w:color="auto" w:sz="4" w:space="0"/>
                    <w:bottom w:val="single" w:color="auto" w:sz="4" w:space="0"/>
                  </w:tcBorders>
                  <w:vAlign w:val="center"/>
                </w:tcPr>
                <w:p>
                  <w:pPr>
                    <w:rPr>
                      <w:color w:val="auto"/>
                      <w:szCs w:val="21"/>
                    </w:rPr>
                  </w:pPr>
                  <w:r>
                    <w:rPr>
                      <w:rFonts w:hint="eastAsia"/>
                      <w:color w:val="auto"/>
                      <w:szCs w:val="21"/>
                    </w:rPr>
                    <w:t>二、资源、能源消耗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66"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w:t>
                  </w:r>
                </w:p>
              </w:tc>
              <w:tc>
                <w:tcPr>
                  <w:tcW w:w="21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水</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7456.5</w:t>
                  </w:r>
                </w:p>
              </w:tc>
              <w:tc>
                <w:tcPr>
                  <w:tcW w:w="1459"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ascii="Times New Roman" w:hAnsi="Times New Roman"/>
                      <w:color w:val="auto"/>
                    </w:rPr>
                    <w:t>t/a</w:t>
                  </w:r>
                </w:p>
              </w:tc>
              <w:tc>
                <w:tcPr>
                  <w:tcW w:w="2146" w:type="dxa"/>
                  <w:tcBorders>
                    <w:top w:val="single" w:color="auto" w:sz="4" w:space="0"/>
                    <w:left w:val="single" w:color="auto" w:sz="4" w:space="0"/>
                    <w:bottom w:val="single" w:color="auto" w:sz="4" w:space="0"/>
                  </w:tcBorders>
                  <w:vAlign w:val="center"/>
                </w:tcPr>
                <w:p>
                  <w:pPr>
                    <w:pStyle w:val="16"/>
                    <w:jc w:val="center"/>
                    <w:rPr>
                      <w:rFonts w:ascii="Times New Roman" w:hAnsi="Times New Roman"/>
                      <w:color w:val="auto"/>
                    </w:rPr>
                  </w:pPr>
                  <w:r>
                    <w:rPr>
                      <w:rFonts w:hint="eastAsia" w:ascii="Times New Roman" w:hAnsi="Times New Roman"/>
                      <w:color w:val="auto"/>
                    </w:rPr>
                    <w:t>市政供给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1066"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2</w:t>
                  </w:r>
                </w:p>
              </w:tc>
              <w:tc>
                <w:tcPr>
                  <w:tcW w:w="218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电</w:t>
                  </w:r>
                </w:p>
              </w:tc>
              <w:tc>
                <w:tcPr>
                  <w:tcW w:w="1575"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500</w:t>
                  </w:r>
                </w:p>
              </w:tc>
              <w:tc>
                <w:tcPr>
                  <w:tcW w:w="1459" w:type="dxa"/>
                  <w:tcBorders>
                    <w:top w:val="single" w:color="auto" w:sz="4" w:space="0"/>
                    <w:left w:val="single" w:color="auto" w:sz="4" w:space="0"/>
                    <w:bottom w:val="single" w:color="auto" w:sz="4" w:space="0"/>
                    <w:right w:val="single" w:color="auto" w:sz="4" w:space="0"/>
                  </w:tcBorders>
                  <w:vAlign w:val="center"/>
                </w:tcPr>
                <w:p>
                  <w:pPr>
                    <w:pStyle w:val="16"/>
                    <w:jc w:val="center"/>
                    <w:rPr>
                      <w:rFonts w:ascii="Times New Roman" w:hAnsi="Times New Roman"/>
                      <w:color w:val="auto"/>
                    </w:rPr>
                  </w:pPr>
                  <w:r>
                    <w:rPr>
                      <w:rFonts w:ascii="Times New Roman" w:hAnsi="Times New Roman"/>
                      <w:color w:val="auto"/>
                    </w:rPr>
                    <w:t>Kwh/a</w:t>
                  </w:r>
                </w:p>
              </w:tc>
              <w:tc>
                <w:tcPr>
                  <w:tcW w:w="2146" w:type="dxa"/>
                  <w:tcBorders>
                    <w:top w:val="single" w:color="auto" w:sz="4" w:space="0"/>
                    <w:left w:val="single" w:color="auto" w:sz="4" w:space="0"/>
                    <w:bottom w:val="single" w:color="auto" w:sz="4" w:space="0"/>
                  </w:tcBorders>
                  <w:vAlign w:val="center"/>
                </w:tcPr>
                <w:p>
                  <w:pPr>
                    <w:pStyle w:val="16"/>
                    <w:jc w:val="center"/>
                    <w:rPr>
                      <w:rFonts w:ascii="Times New Roman" w:hAnsi="Times New Roman"/>
                      <w:color w:val="auto"/>
                    </w:rPr>
                  </w:pPr>
                  <w:r>
                    <w:rPr>
                      <w:rFonts w:hint="eastAsia" w:ascii="Times New Roman" w:hAnsi="Times New Roman"/>
                      <w:color w:val="auto"/>
                    </w:rPr>
                    <w:t>市政供给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exact"/>
              </w:trPr>
              <w:tc>
                <w:tcPr>
                  <w:tcW w:w="8431" w:type="dxa"/>
                  <w:gridSpan w:val="5"/>
                  <w:tcBorders>
                    <w:top w:val="single" w:color="auto" w:sz="4" w:space="0"/>
                    <w:bottom w:val="single" w:color="auto" w:sz="12" w:space="0"/>
                  </w:tcBorders>
                  <w:vAlign w:val="center"/>
                </w:tcPr>
                <w:p>
                  <w:pPr>
                    <w:pStyle w:val="16"/>
                    <w:jc w:val="left"/>
                    <w:rPr>
                      <w:rFonts w:ascii="Times New Roman" w:hAnsi="Times New Roman"/>
                      <w:color w:val="auto"/>
                      <w:kern w:val="0"/>
                    </w:rPr>
                  </w:pPr>
                  <w:r>
                    <w:rPr>
                      <w:rFonts w:hint="eastAsia" w:ascii="Times New Roman" w:hAnsi="Times New Roman"/>
                      <w:b/>
                      <w:bCs/>
                      <w:color w:val="auto"/>
                      <w:sz w:val="18"/>
                      <w:szCs w:val="18"/>
                    </w:rPr>
                    <w:t>注：原料石英矿有石块和细石之分，为干净石料无需清洗，可直接进行破碎、研磨生产。</w:t>
                  </w:r>
                </w:p>
              </w:tc>
            </w:tr>
          </w:tbl>
          <w:p>
            <w:pPr>
              <w:pStyle w:val="85"/>
              <w:adjustRightInd/>
              <w:snapToGrid/>
              <w:spacing w:beforeLines="50"/>
              <w:rPr>
                <w:b/>
                <w:color w:val="auto"/>
                <w:kern w:val="0"/>
              </w:rPr>
            </w:pPr>
            <w:r>
              <w:rPr>
                <w:rFonts w:hint="eastAsia"/>
                <w:color w:val="auto"/>
              </w:rPr>
              <w:t>表</w:t>
            </w:r>
            <w:r>
              <w:rPr>
                <w:color w:val="auto"/>
              </w:rPr>
              <w:t xml:space="preserve">2.3-3  </w:t>
            </w:r>
            <w:r>
              <w:rPr>
                <w:rFonts w:hint="eastAsia"/>
                <w:color w:val="auto"/>
              </w:rPr>
              <w:t>项目辅料理化性质及作用一览表</w:t>
            </w:r>
          </w:p>
          <w:tbl>
            <w:tblPr>
              <w:tblStyle w:val="27"/>
              <w:tblW w:w="849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4"/>
              <w:gridCol w:w="75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924" w:type="dxa"/>
                  <w:tcBorders>
                    <w:top w:val="single" w:color="auto" w:sz="12" w:space="0"/>
                    <w:bottom w:val="single" w:color="auto" w:sz="6" w:space="0"/>
                    <w:right w:val="single" w:color="auto" w:sz="6" w:space="0"/>
                  </w:tcBorders>
                  <w:vAlign w:val="center"/>
                </w:tcPr>
                <w:p>
                  <w:pPr>
                    <w:adjustRightInd w:val="0"/>
                    <w:snapToGrid w:val="0"/>
                    <w:jc w:val="center"/>
                    <w:rPr>
                      <w:color w:val="auto"/>
                      <w:szCs w:val="21"/>
                    </w:rPr>
                  </w:pPr>
                  <w:r>
                    <w:rPr>
                      <w:rFonts w:hint="eastAsia"/>
                      <w:color w:val="auto"/>
                      <w:szCs w:val="21"/>
                    </w:rPr>
                    <w:t>名称</w:t>
                  </w:r>
                </w:p>
              </w:tc>
              <w:tc>
                <w:tcPr>
                  <w:tcW w:w="7566" w:type="dxa"/>
                  <w:tcBorders>
                    <w:top w:val="single" w:color="auto" w:sz="12" w:space="0"/>
                    <w:left w:val="single" w:color="auto" w:sz="6" w:space="0"/>
                    <w:bottom w:val="single" w:color="auto" w:sz="6" w:space="0"/>
                  </w:tcBorders>
                  <w:vAlign w:val="center"/>
                </w:tcPr>
                <w:p>
                  <w:pPr>
                    <w:adjustRightInd w:val="0"/>
                    <w:snapToGrid w:val="0"/>
                    <w:jc w:val="center"/>
                    <w:rPr>
                      <w:color w:val="auto"/>
                      <w:szCs w:val="21"/>
                    </w:rPr>
                  </w:pPr>
                  <w:r>
                    <w:rPr>
                      <w:rFonts w:hint="eastAsia"/>
                      <w:color w:val="auto"/>
                      <w:szCs w:val="21"/>
                    </w:rPr>
                    <w:t>理化性质及作用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53" w:hRule="atLeast"/>
                <w:jc w:val="center"/>
              </w:trPr>
              <w:tc>
                <w:tcPr>
                  <w:tcW w:w="924" w:type="dxa"/>
                  <w:tcBorders>
                    <w:top w:val="single" w:color="auto" w:sz="6" w:space="0"/>
                    <w:bottom w:val="single" w:color="auto" w:sz="6" w:space="0"/>
                    <w:right w:val="single" w:color="auto" w:sz="6" w:space="0"/>
                  </w:tcBorders>
                  <w:vAlign w:val="center"/>
                </w:tcPr>
                <w:p>
                  <w:pPr>
                    <w:adjustRightInd w:val="0"/>
                    <w:snapToGrid w:val="0"/>
                    <w:jc w:val="center"/>
                    <w:rPr>
                      <w:color w:val="auto"/>
                      <w:szCs w:val="21"/>
                    </w:rPr>
                  </w:pPr>
                  <w:r>
                    <w:rPr>
                      <w:rFonts w:hint="eastAsia"/>
                      <w:color w:val="auto"/>
                    </w:rPr>
                    <w:t>石英</w:t>
                  </w:r>
                  <w:r>
                    <w:rPr>
                      <w:rFonts w:hint="eastAsia"/>
                      <w:color w:val="auto"/>
                      <w:szCs w:val="21"/>
                    </w:rPr>
                    <w:t>矿</w:t>
                  </w:r>
                </w:p>
              </w:tc>
              <w:tc>
                <w:tcPr>
                  <w:tcW w:w="7566" w:type="dxa"/>
                  <w:tcBorders>
                    <w:top w:val="single" w:color="auto" w:sz="6" w:space="0"/>
                    <w:left w:val="single" w:color="auto" w:sz="6" w:space="0"/>
                    <w:bottom w:val="single" w:color="auto" w:sz="6" w:space="0"/>
                  </w:tcBorders>
                  <w:vAlign w:val="center"/>
                </w:tcPr>
                <w:p>
                  <w:pPr>
                    <w:adjustRightInd w:val="0"/>
                    <w:snapToGrid w:val="0"/>
                    <w:spacing w:line="280" w:lineRule="exact"/>
                    <w:jc w:val="center"/>
                    <w:rPr>
                      <w:color w:val="auto"/>
                      <w:szCs w:val="21"/>
                    </w:rPr>
                  </w:pPr>
                  <w:r>
                    <w:rPr>
                      <w:rFonts w:hint="eastAsia"/>
                      <w:color w:val="auto"/>
                      <w:szCs w:val="21"/>
                    </w:rPr>
                    <w:t>石英矿通常分为石英、鳞石英、白矽石三大类。基本上由石英粒组成的未胶结的碎岩石称为石英砂。石英包括三方晶系的低温石英（</w:t>
                  </w:r>
                  <w:r>
                    <w:rPr>
                      <w:color w:val="auto"/>
                      <w:szCs w:val="21"/>
                    </w:rPr>
                    <w:t>α—</w:t>
                  </w:r>
                  <w:r>
                    <w:rPr>
                      <w:rFonts w:hint="eastAsia"/>
                      <w:color w:val="auto"/>
                      <w:szCs w:val="21"/>
                    </w:rPr>
                    <w:t>石英）和六方晶系的高温石英（</w:t>
                  </w:r>
                  <w:r>
                    <w:rPr>
                      <w:color w:val="auto"/>
                      <w:szCs w:val="21"/>
                    </w:rPr>
                    <w:t>β—</w:t>
                  </w:r>
                  <w:r>
                    <w:rPr>
                      <w:rFonts w:hint="eastAsia"/>
                      <w:color w:val="auto"/>
                      <w:szCs w:val="21"/>
                    </w:rPr>
                    <w:t>石英），一般所称石英均指低温石英。石英作为工业原料，依其质量和用途分为压电石英、光学石英、熔炼石英和琢磨石英四大类。石英在常温下是一种稳定的矿物，不溶于水和硫酸、盐酸、硝酸中。硬度</w:t>
                  </w:r>
                  <w:r>
                    <w:rPr>
                      <w:color w:val="auto"/>
                      <w:szCs w:val="21"/>
                    </w:rPr>
                    <w:t>7</w:t>
                  </w:r>
                  <w:r>
                    <w:rPr>
                      <w:rFonts w:hint="eastAsia"/>
                      <w:color w:val="auto"/>
                      <w:szCs w:val="21"/>
                    </w:rPr>
                    <w:t>，比重约</w:t>
                  </w:r>
                  <w:r>
                    <w:rPr>
                      <w:color w:val="auto"/>
                      <w:szCs w:val="21"/>
                    </w:rPr>
                    <w:t>2.65</w:t>
                  </w:r>
                  <w:r>
                    <w:rPr>
                      <w:rFonts w:hint="eastAsia"/>
                      <w:color w:val="auto"/>
                      <w:szCs w:val="21"/>
                    </w:rPr>
                    <w:t>，熔点</w:t>
                  </w:r>
                  <w:r>
                    <w:rPr>
                      <w:color w:val="auto"/>
                      <w:szCs w:val="21"/>
                    </w:rPr>
                    <w:t>1713</w:t>
                  </w:r>
                  <w:r>
                    <w:rPr>
                      <w:rFonts w:hint="eastAsia" w:ascii="宋体" w:hAnsi="宋体" w:cs="宋体"/>
                      <w:color w:val="auto"/>
                      <w:szCs w:val="21"/>
                    </w:rPr>
                    <w:t>℃</w:t>
                  </w:r>
                  <w:r>
                    <w:rPr>
                      <w:rFonts w:hint="eastAsia"/>
                      <w:color w:val="auto"/>
                      <w:szCs w:val="21"/>
                    </w:rPr>
                    <w:t>。光泽呈玻璃状，有时呈脂肪状。质地纯粹者为无色；含杂质者有红、黄、蓝、黑、褐、紫、绿色；透明至不透明，性脆。断口呈壳状或参差状。晶体呈六方柱状，柱面具横纹。有左晶和右晶的区别。双晶很普遍。通常呈晶簇或粒状、块状集合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924" w:type="dxa"/>
                  <w:tcBorders>
                    <w:top w:val="single" w:color="auto" w:sz="6" w:space="0"/>
                    <w:bottom w:val="single" w:color="auto" w:sz="6" w:space="0"/>
                    <w:right w:val="single" w:color="auto" w:sz="6" w:space="0"/>
                  </w:tcBorders>
                  <w:vAlign w:val="center"/>
                </w:tcPr>
                <w:p>
                  <w:pPr>
                    <w:adjustRightInd w:val="0"/>
                    <w:snapToGrid w:val="0"/>
                    <w:jc w:val="center"/>
                    <w:rPr>
                      <w:color w:val="auto"/>
                    </w:rPr>
                  </w:pPr>
                  <w:r>
                    <w:rPr>
                      <w:rFonts w:hint="eastAsia" w:ascii="宋体" w:hAnsi="宋体" w:cs="宋体"/>
                      <w:color w:val="auto"/>
                      <w:szCs w:val="21"/>
                      <w:shd w:val="clear" w:color="auto" w:fill="FFFFFF"/>
                    </w:rPr>
                    <w:t>水泥</w:t>
                  </w:r>
                </w:p>
              </w:tc>
              <w:tc>
                <w:tcPr>
                  <w:tcW w:w="7566" w:type="dxa"/>
                  <w:tcBorders>
                    <w:top w:val="single" w:color="auto" w:sz="6" w:space="0"/>
                    <w:left w:val="single" w:color="auto" w:sz="6" w:space="0"/>
                    <w:bottom w:val="single" w:color="auto" w:sz="6" w:space="0"/>
                  </w:tcBorders>
                  <w:vAlign w:val="center"/>
                </w:tcPr>
                <w:p>
                  <w:pPr>
                    <w:adjustRightInd w:val="0"/>
                    <w:snapToGrid w:val="0"/>
                    <w:spacing w:line="280" w:lineRule="exact"/>
                    <w:jc w:val="center"/>
                    <w:rPr>
                      <w:color w:val="auto"/>
                      <w:szCs w:val="21"/>
                    </w:rPr>
                  </w:pPr>
                  <w:r>
                    <w:rPr>
                      <w:rFonts w:hint="eastAsia"/>
                      <w:color w:val="auto"/>
                      <w:szCs w:val="21"/>
                    </w:rPr>
                    <w:t>水泥为粉状</w:t>
                  </w:r>
                  <w:r>
                    <w:rPr>
                      <w:color w:val="auto"/>
                    </w:rPr>
                    <w:fldChar w:fldCharType="begin"/>
                  </w:r>
                  <w:r>
                    <w:rPr>
                      <w:color w:val="auto"/>
                    </w:rPr>
                    <w:instrText xml:space="preserve"> HYPERLINK "https://baike.baidu.com/item/%E6%B0%B4%E7%A1%AC%E6%80%A7/3691661?fromModule=lemma_inlink" \t "https://baike.baidu.com/item/%E6%B0%B4%E6%B3%A5/_blank" </w:instrText>
                  </w:r>
                  <w:r>
                    <w:rPr>
                      <w:color w:val="auto"/>
                    </w:rPr>
                    <w:fldChar w:fldCharType="separate"/>
                  </w:r>
                  <w:r>
                    <w:rPr>
                      <w:rFonts w:hint="eastAsia"/>
                      <w:color w:val="auto"/>
                      <w:szCs w:val="21"/>
                    </w:rPr>
                    <w:t>水硬性</w:t>
                  </w:r>
                  <w:r>
                    <w:rPr>
                      <w:rFonts w:hint="eastAsia"/>
                      <w:color w:val="auto"/>
                      <w:szCs w:val="21"/>
                    </w:rPr>
                    <w:fldChar w:fldCharType="end"/>
                  </w:r>
                  <w:r>
                    <w:rPr>
                      <w:color w:val="auto"/>
                    </w:rPr>
                    <w:fldChar w:fldCharType="begin"/>
                  </w:r>
                  <w:r>
                    <w:rPr>
                      <w:color w:val="auto"/>
                    </w:rPr>
                    <w:instrText xml:space="preserve"> HYPERLINK "https://baike.baidu.com/item/%E6%97%A0%E6%9C%BA%E8%83%B6%E5%87%9D%E6%9D%90%E6%96%99/7802050?fromModule=lemma_inlink" \t "https://baike.baidu.com/item/%E6%B0%B4%E6%B3%A5/_blank" </w:instrText>
                  </w:r>
                  <w:r>
                    <w:rPr>
                      <w:color w:val="auto"/>
                    </w:rPr>
                    <w:fldChar w:fldCharType="separate"/>
                  </w:r>
                  <w:r>
                    <w:rPr>
                      <w:rFonts w:hint="eastAsia"/>
                      <w:color w:val="auto"/>
                      <w:szCs w:val="21"/>
                    </w:rPr>
                    <w:t>无机胶凝材料</w:t>
                  </w:r>
                  <w:r>
                    <w:rPr>
                      <w:rFonts w:hint="eastAsia"/>
                      <w:color w:val="auto"/>
                      <w:szCs w:val="21"/>
                    </w:rPr>
                    <w:fldChar w:fldCharType="end"/>
                  </w:r>
                  <w:r>
                    <w:rPr>
                      <w:rFonts w:hint="eastAsia"/>
                      <w:color w:val="auto"/>
                      <w:szCs w:val="21"/>
                    </w:rPr>
                    <w:t>。加水搅拌后成</w:t>
                  </w:r>
                  <w:r>
                    <w:rPr>
                      <w:color w:val="auto"/>
                    </w:rPr>
                    <w:fldChar w:fldCharType="begin"/>
                  </w:r>
                  <w:r>
                    <w:rPr>
                      <w:color w:val="auto"/>
                    </w:rPr>
                    <w:instrText xml:space="preserve"> HYPERLINK "https://baike.baidu.com/item/%E6%B5%86%E4%BD%93/56169892?fromModule=lemma_inlink" \t "https://baike.baidu.com/item/%E6%B0%B4%E6%B3%A5/_blank" </w:instrText>
                  </w:r>
                  <w:r>
                    <w:rPr>
                      <w:color w:val="auto"/>
                    </w:rPr>
                    <w:fldChar w:fldCharType="separate"/>
                  </w:r>
                  <w:r>
                    <w:rPr>
                      <w:rFonts w:hint="eastAsia"/>
                      <w:color w:val="auto"/>
                      <w:szCs w:val="21"/>
                    </w:rPr>
                    <w:t>浆体</w:t>
                  </w:r>
                  <w:r>
                    <w:rPr>
                      <w:rFonts w:hint="eastAsia"/>
                      <w:color w:val="auto"/>
                      <w:szCs w:val="21"/>
                    </w:rPr>
                    <w:fldChar w:fldCharType="end"/>
                  </w:r>
                  <w:r>
                    <w:rPr>
                      <w:rFonts w:hint="eastAsia"/>
                      <w:color w:val="auto"/>
                      <w:szCs w:val="21"/>
                    </w:rPr>
                    <w:t>，能在空气中硬化或者在水中硬化，并能把砂、石等材料牢固</w:t>
                  </w:r>
                  <w:r>
                    <w:rPr>
                      <w:color w:val="auto"/>
                    </w:rPr>
                    <w:fldChar w:fldCharType="begin"/>
                  </w:r>
                  <w:r>
                    <w:rPr>
                      <w:color w:val="auto"/>
                    </w:rPr>
                    <w:instrText xml:space="preserve"> HYPERLINK "https://baike.baidu.com/item/%E5%9C%B0%E8%83%B6/10724267?fromModule=lemma_inlink" \t "https://baike.baidu.com/item/%E6%B0%B4%E6%B3%A5/_blank" </w:instrText>
                  </w:r>
                  <w:r>
                    <w:rPr>
                      <w:color w:val="auto"/>
                    </w:rPr>
                    <w:fldChar w:fldCharType="separate"/>
                  </w:r>
                  <w:r>
                    <w:rPr>
                      <w:rFonts w:hint="eastAsia"/>
                      <w:color w:val="auto"/>
                      <w:szCs w:val="21"/>
                    </w:rPr>
                    <w:t>地胶</w:t>
                  </w:r>
                  <w:r>
                    <w:rPr>
                      <w:rFonts w:hint="eastAsia"/>
                      <w:color w:val="auto"/>
                      <w:szCs w:val="21"/>
                    </w:rPr>
                    <w:fldChar w:fldCharType="end"/>
                  </w:r>
                  <w:r>
                    <w:rPr>
                      <w:rFonts w:hint="eastAsia"/>
                      <w:color w:val="auto"/>
                      <w:szCs w:val="21"/>
                    </w:rPr>
                    <w:t>结在一起。硅酸盐水泥的主要</w:t>
                  </w:r>
                  <w:r>
                    <w:rPr>
                      <w:color w:val="auto"/>
                    </w:rPr>
                    <w:fldChar w:fldCharType="begin"/>
                  </w:r>
                  <w:r>
                    <w:rPr>
                      <w:color w:val="auto"/>
                    </w:rPr>
                    <w:instrText xml:space="preserve"> HYPERLINK "https://baike.baidu.com/item/%E5%8C%96%E5%AD%A6%E6%88%90%E5%88%86/17012791?fromModule=lemma_inlink" \t "https://baike.baidu.com/item/%E6%B0%B4%E6%B3%A5/_blank" </w:instrText>
                  </w:r>
                  <w:r>
                    <w:rPr>
                      <w:color w:val="auto"/>
                    </w:rPr>
                    <w:fldChar w:fldCharType="separate"/>
                  </w:r>
                  <w:r>
                    <w:rPr>
                      <w:rFonts w:hint="eastAsia"/>
                      <w:color w:val="auto"/>
                      <w:szCs w:val="21"/>
                    </w:rPr>
                    <w:t>化学成分</w:t>
                  </w:r>
                  <w:r>
                    <w:rPr>
                      <w:rFonts w:hint="eastAsia"/>
                      <w:color w:val="auto"/>
                      <w:szCs w:val="21"/>
                    </w:rPr>
                    <w:fldChar w:fldCharType="end"/>
                  </w:r>
                  <w:r>
                    <w:rPr>
                      <w:rFonts w:hint="eastAsia"/>
                      <w:color w:val="auto"/>
                      <w:szCs w:val="21"/>
                    </w:rPr>
                    <w:t>：</w:t>
                  </w:r>
                  <w:r>
                    <w:rPr>
                      <w:color w:val="auto"/>
                    </w:rPr>
                    <w:fldChar w:fldCharType="begin"/>
                  </w:r>
                  <w:r>
                    <w:rPr>
                      <w:color w:val="auto"/>
                    </w:rPr>
                    <w:instrText xml:space="preserve"> HYPERLINK "https://baike.baidu.com/item/%E6%B0%A7%E5%8C%96%E9%92%99/2815549?fromModule=lemma_inlink" \t "https://baike.baidu.com/item/%E6%B0%B4%E6%B3%A5/_blank" </w:instrText>
                  </w:r>
                  <w:r>
                    <w:rPr>
                      <w:color w:val="auto"/>
                    </w:rPr>
                    <w:fldChar w:fldCharType="separate"/>
                  </w:r>
                  <w:r>
                    <w:rPr>
                      <w:rFonts w:hint="eastAsia"/>
                      <w:color w:val="auto"/>
                      <w:szCs w:val="21"/>
                    </w:rPr>
                    <w:t>氧化钙</w:t>
                  </w:r>
                  <w:r>
                    <w:rPr>
                      <w:rFonts w:hint="eastAsia"/>
                      <w:color w:val="auto"/>
                      <w:szCs w:val="21"/>
                    </w:rPr>
                    <w:fldChar w:fldCharType="end"/>
                  </w:r>
                  <w:r>
                    <w:rPr>
                      <w:color w:val="auto"/>
                      <w:szCs w:val="21"/>
                    </w:rPr>
                    <w:t>CaO</w:t>
                  </w:r>
                  <w:r>
                    <w:rPr>
                      <w:rFonts w:hint="eastAsia"/>
                      <w:color w:val="auto"/>
                      <w:szCs w:val="21"/>
                    </w:rPr>
                    <w:t>，</w:t>
                  </w:r>
                  <w:r>
                    <w:rPr>
                      <w:color w:val="auto"/>
                    </w:rPr>
                    <w:fldChar w:fldCharType="begin"/>
                  </w:r>
                  <w:r>
                    <w:rPr>
                      <w:color w:val="auto"/>
                    </w:rPr>
                    <w:instrText xml:space="preserve"> HYPERLINK "https://baike.baidu.com/item/%E4%BA%8C%E6%B0%A7%E5%8C%96%E7%A1%85/513704?fromModule=lemma_inlink" \t "https://baike.baidu.com/item/%E6%B0%B4%E6%B3%A5/_blank" </w:instrText>
                  </w:r>
                  <w:r>
                    <w:rPr>
                      <w:color w:val="auto"/>
                    </w:rPr>
                    <w:fldChar w:fldCharType="separate"/>
                  </w:r>
                  <w:r>
                    <w:rPr>
                      <w:rFonts w:hint="eastAsia"/>
                      <w:color w:val="auto"/>
                      <w:szCs w:val="21"/>
                    </w:rPr>
                    <w:t>二氧化硅</w:t>
                  </w:r>
                  <w:r>
                    <w:rPr>
                      <w:rFonts w:hint="eastAsia"/>
                      <w:color w:val="auto"/>
                      <w:szCs w:val="21"/>
                    </w:rPr>
                    <w:fldChar w:fldCharType="end"/>
                  </w:r>
                  <w:r>
                    <w:rPr>
                      <w:color w:val="auto"/>
                      <w:szCs w:val="21"/>
                    </w:rPr>
                    <w:t>SiO</w:t>
                  </w:r>
                  <w:r>
                    <w:rPr>
                      <w:color w:val="auto"/>
                      <w:szCs w:val="21"/>
                      <w:vertAlign w:val="subscript"/>
                    </w:rPr>
                    <w:t>2</w:t>
                  </w:r>
                  <w:r>
                    <w:rPr>
                      <w:rFonts w:hint="eastAsia"/>
                      <w:color w:val="auto"/>
                      <w:szCs w:val="21"/>
                    </w:rPr>
                    <w:t>，</w:t>
                  </w:r>
                  <w:r>
                    <w:rPr>
                      <w:color w:val="auto"/>
                    </w:rPr>
                    <w:fldChar w:fldCharType="begin"/>
                  </w:r>
                  <w:r>
                    <w:rPr>
                      <w:color w:val="auto"/>
                    </w:rPr>
                    <w:instrText xml:space="preserve"> HYPERLINK "https://baike.baidu.com/item/%E4%B8%89%E6%B0%A7%E5%8C%96%E4%BA%8C%E9%93%81/8318314?fromModule=lemma_inlink" \t "https://baike.baidu.com/item/%E6%B0%B4%E6%B3%A5/_blank" </w:instrText>
                  </w:r>
                  <w:r>
                    <w:rPr>
                      <w:color w:val="auto"/>
                    </w:rPr>
                    <w:fldChar w:fldCharType="separate"/>
                  </w:r>
                  <w:r>
                    <w:rPr>
                      <w:rFonts w:hint="eastAsia"/>
                      <w:color w:val="auto"/>
                      <w:szCs w:val="21"/>
                    </w:rPr>
                    <w:t>三氧化二铁</w:t>
                  </w:r>
                  <w:r>
                    <w:rPr>
                      <w:rFonts w:hint="eastAsia"/>
                      <w:color w:val="auto"/>
                      <w:szCs w:val="21"/>
                    </w:rPr>
                    <w:fldChar w:fldCharType="end"/>
                  </w:r>
                  <w:r>
                    <w:rPr>
                      <w:color w:val="auto"/>
                      <w:szCs w:val="21"/>
                    </w:rPr>
                    <w:t>Fe</w:t>
                  </w:r>
                  <w:r>
                    <w:rPr>
                      <w:color w:val="auto"/>
                      <w:szCs w:val="21"/>
                      <w:vertAlign w:val="subscript"/>
                    </w:rPr>
                    <w:t>2</w:t>
                  </w:r>
                  <w:r>
                    <w:rPr>
                      <w:color w:val="auto"/>
                      <w:szCs w:val="21"/>
                    </w:rPr>
                    <w:t>O</w:t>
                  </w:r>
                  <w:r>
                    <w:rPr>
                      <w:color w:val="auto"/>
                      <w:szCs w:val="21"/>
                      <w:vertAlign w:val="subscript"/>
                    </w:rPr>
                    <w:t>3</w:t>
                  </w:r>
                  <w:r>
                    <w:rPr>
                      <w:rFonts w:hint="eastAsia"/>
                      <w:color w:val="auto"/>
                      <w:szCs w:val="21"/>
                    </w:rPr>
                    <w:t>，</w:t>
                  </w:r>
                  <w:r>
                    <w:rPr>
                      <w:color w:val="auto"/>
                    </w:rPr>
                    <w:fldChar w:fldCharType="begin"/>
                  </w:r>
                  <w:r>
                    <w:rPr>
                      <w:color w:val="auto"/>
                    </w:rPr>
                    <w:instrText xml:space="preserve"> HYPERLINK "https://baike.baidu.com/item/%E4%B8%89%E6%B0%A7%E5%8C%96%E4%BA%8C%E9%93%9D/917078?fromModule=lemma_inlink" \t "https://baike.baidu.com/item/%E6%B0%B4%E6%B3%A5/_blank" </w:instrText>
                  </w:r>
                  <w:r>
                    <w:rPr>
                      <w:color w:val="auto"/>
                    </w:rPr>
                    <w:fldChar w:fldCharType="separate"/>
                  </w:r>
                  <w:r>
                    <w:rPr>
                      <w:rFonts w:hint="eastAsia"/>
                      <w:color w:val="auto"/>
                      <w:szCs w:val="21"/>
                    </w:rPr>
                    <w:t>三氧化二铝</w:t>
                  </w:r>
                  <w:r>
                    <w:rPr>
                      <w:rFonts w:hint="eastAsia"/>
                      <w:color w:val="auto"/>
                      <w:szCs w:val="21"/>
                    </w:rPr>
                    <w:fldChar w:fldCharType="end"/>
                  </w:r>
                  <w:r>
                    <w:rPr>
                      <w:color w:val="auto"/>
                      <w:szCs w:val="21"/>
                    </w:rPr>
                    <w:t>Al</w:t>
                  </w:r>
                  <w:r>
                    <w:rPr>
                      <w:color w:val="auto"/>
                      <w:szCs w:val="21"/>
                      <w:vertAlign w:val="subscript"/>
                    </w:rPr>
                    <w:t>2</w:t>
                  </w:r>
                  <w:r>
                    <w:rPr>
                      <w:color w:val="auto"/>
                      <w:szCs w:val="21"/>
                    </w:rPr>
                    <w:t>O</w:t>
                  </w:r>
                  <w:r>
                    <w:rPr>
                      <w:color w:val="auto"/>
                      <w:szCs w:val="21"/>
                      <w:vertAlign w:val="subscript"/>
                    </w:rPr>
                    <w:t>3</w:t>
                  </w:r>
                  <w:r>
                    <w:rPr>
                      <w:rFonts w:hint="eastAsia"/>
                      <w:color w:val="auto"/>
                      <w:szCs w:val="21"/>
                    </w:rPr>
                    <w:t>。硅酸盐水泥的主要矿物：</w:t>
                  </w:r>
                  <w:r>
                    <w:rPr>
                      <w:color w:val="auto"/>
                    </w:rPr>
                    <w:fldChar w:fldCharType="begin"/>
                  </w:r>
                  <w:r>
                    <w:rPr>
                      <w:color w:val="auto"/>
                    </w:rPr>
                    <w:instrText xml:space="preserve"> HYPERLINK "https://baike.baidu.com/item/%E7%A1%85%E9%85%B8%E4%B8%89%E9%92%99/8518699?fromModule=lemma_inlink" \t "https://baike.baidu.com/item/%E6%B0%B4%E6%B3%A5/_blank" </w:instrText>
                  </w:r>
                  <w:r>
                    <w:rPr>
                      <w:color w:val="auto"/>
                    </w:rPr>
                    <w:fldChar w:fldCharType="separate"/>
                  </w:r>
                  <w:r>
                    <w:rPr>
                      <w:rFonts w:hint="eastAsia"/>
                      <w:color w:val="auto"/>
                      <w:szCs w:val="21"/>
                    </w:rPr>
                    <w:t>硅酸三钙</w:t>
                  </w:r>
                  <w:r>
                    <w:rPr>
                      <w:rFonts w:hint="eastAsia"/>
                      <w:color w:val="auto"/>
                      <w:szCs w:val="21"/>
                    </w:rPr>
                    <w:fldChar w:fldCharType="end"/>
                  </w:r>
                  <w:r>
                    <w:rPr>
                      <w:rFonts w:hint="eastAsia"/>
                      <w:color w:val="auto"/>
                      <w:szCs w:val="21"/>
                    </w:rPr>
                    <w:t>（</w:t>
                  </w:r>
                  <w:r>
                    <w:rPr>
                      <w:color w:val="auto"/>
                      <w:szCs w:val="21"/>
                    </w:rPr>
                    <w:t>3CaO·SiO</w:t>
                  </w:r>
                  <w:r>
                    <w:rPr>
                      <w:color w:val="auto"/>
                      <w:szCs w:val="21"/>
                      <w:vertAlign w:val="subscript"/>
                    </w:rPr>
                    <w:t>2</w:t>
                  </w:r>
                  <w:r>
                    <w:rPr>
                      <w:rFonts w:hint="eastAsia"/>
                      <w:color w:val="auto"/>
                      <w:szCs w:val="21"/>
                    </w:rPr>
                    <w:t>，简式</w:t>
                  </w:r>
                  <w:r>
                    <w:rPr>
                      <w:color w:val="auto"/>
                      <w:szCs w:val="21"/>
                    </w:rPr>
                    <w:t>C</w:t>
                  </w:r>
                  <w:r>
                    <w:rPr>
                      <w:color w:val="auto"/>
                      <w:szCs w:val="21"/>
                      <w:vertAlign w:val="subscript"/>
                    </w:rPr>
                    <w:t>3</w:t>
                  </w:r>
                  <w:r>
                    <w:rPr>
                      <w:color w:val="auto"/>
                      <w:szCs w:val="21"/>
                    </w:rPr>
                    <w:t>S</w:t>
                  </w:r>
                  <w:r>
                    <w:rPr>
                      <w:rFonts w:hint="eastAsia"/>
                      <w:color w:val="auto"/>
                      <w:szCs w:val="21"/>
                    </w:rPr>
                    <w:t>），</w:t>
                  </w:r>
                  <w:r>
                    <w:rPr>
                      <w:color w:val="auto"/>
                    </w:rPr>
                    <w:fldChar w:fldCharType="begin"/>
                  </w:r>
                  <w:r>
                    <w:rPr>
                      <w:color w:val="auto"/>
                    </w:rPr>
                    <w:instrText xml:space="preserve"> HYPERLINK "https://baike.baidu.com/item/%E7%A1%85%E9%85%B8%E4%BA%8C%E9%92%99/9078845?fromModule=lemma_inlink" \t "https://baike.baidu.com/item/%E6%B0%B4%E6%B3%A5/_blank" </w:instrText>
                  </w:r>
                  <w:r>
                    <w:rPr>
                      <w:color w:val="auto"/>
                    </w:rPr>
                    <w:fldChar w:fldCharType="separate"/>
                  </w:r>
                  <w:r>
                    <w:rPr>
                      <w:rFonts w:hint="eastAsia"/>
                      <w:color w:val="auto"/>
                      <w:szCs w:val="21"/>
                    </w:rPr>
                    <w:t>硅酸二钙</w:t>
                  </w:r>
                  <w:r>
                    <w:rPr>
                      <w:rFonts w:hint="eastAsia"/>
                      <w:color w:val="auto"/>
                      <w:szCs w:val="21"/>
                    </w:rPr>
                    <w:fldChar w:fldCharType="end"/>
                  </w:r>
                  <w:r>
                    <w:rPr>
                      <w:rFonts w:hint="eastAsia"/>
                      <w:color w:val="auto"/>
                      <w:szCs w:val="21"/>
                    </w:rPr>
                    <w:t>（</w:t>
                  </w:r>
                  <w:r>
                    <w:rPr>
                      <w:color w:val="auto"/>
                      <w:szCs w:val="21"/>
                    </w:rPr>
                    <w:t>2CaO·SiO</w:t>
                  </w:r>
                  <w:r>
                    <w:rPr>
                      <w:color w:val="auto"/>
                      <w:szCs w:val="21"/>
                      <w:vertAlign w:val="subscript"/>
                    </w:rPr>
                    <w:t>2</w:t>
                  </w:r>
                  <w:r>
                    <w:rPr>
                      <w:rFonts w:hint="eastAsia"/>
                      <w:color w:val="auto"/>
                      <w:szCs w:val="21"/>
                    </w:rPr>
                    <w:t>，简式</w:t>
                  </w:r>
                  <w:r>
                    <w:rPr>
                      <w:color w:val="auto"/>
                      <w:szCs w:val="21"/>
                    </w:rPr>
                    <w:t>C</w:t>
                  </w:r>
                  <w:r>
                    <w:rPr>
                      <w:color w:val="auto"/>
                      <w:szCs w:val="21"/>
                      <w:vertAlign w:val="subscript"/>
                    </w:rPr>
                    <w:t>2</w:t>
                  </w:r>
                  <w:r>
                    <w:rPr>
                      <w:color w:val="auto"/>
                      <w:szCs w:val="21"/>
                    </w:rPr>
                    <w:t>S</w:t>
                  </w:r>
                  <w:r>
                    <w:rPr>
                      <w:rFonts w:hint="eastAsia"/>
                      <w:color w:val="auto"/>
                      <w:szCs w:val="21"/>
                    </w:rPr>
                    <w:t>），</w:t>
                  </w:r>
                  <w:r>
                    <w:rPr>
                      <w:color w:val="auto"/>
                    </w:rPr>
                    <w:fldChar w:fldCharType="begin"/>
                  </w:r>
                  <w:r>
                    <w:rPr>
                      <w:color w:val="auto"/>
                    </w:rPr>
                    <w:instrText xml:space="preserve"> HYPERLINK "https://baike.baidu.com/item/%E9%93%9D%E9%85%B8%E4%B8%89%E9%92%99/9078855?fromModule=lemma_inlink" \t "https://baike.baidu.com/item/%E6%B0%B4%E6%B3%A5/_blank" </w:instrText>
                  </w:r>
                  <w:r>
                    <w:rPr>
                      <w:color w:val="auto"/>
                    </w:rPr>
                    <w:fldChar w:fldCharType="separate"/>
                  </w:r>
                  <w:r>
                    <w:rPr>
                      <w:rFonts w:hint="eastAsia"/>
                      <w:color w:val="auto"/>
                      <w:szCs w:val="21"/>
                    </w:rPr>
                    <w:t>铝酸三钙</w:t>
                  </w:r>
                  <w:r>
                    <w:rPr>
                      <w:rFonts w:hint="eastAsia"/>
                      <w:color w:val="auto"/>
                      <w:szCs w:val="21"/>
                    </w:rPr>
                    <w:fldChar w:fldCharType="end"/>
                  </w:r>
                  <w:r>
                    <w:rPr>
                      <w:rFonts w:hint="eastAsia"/>
                      <w:color w:val="auto"/>
                      <w:szCs w:val="21"/>
                    </w:rPr>
                    <w:t>（</w:t>
                  </w:r>
                  <w:r>
                    <w:rPr>
                      <w:color w:val="auto"/>
                      <w:szCs w:val="21"/>
                    </w:rPr>
                    <w:t>3CaO·Al</w:t>
                  </w:r>
                  <w:r>
                    <w:rPr>
                      <w:color w:val="auto"/>
                      <w:szCs w:val="21"/>
                      <w:vertAlign w:val="subscript"/>
                    </w:rPr>
                    <w:t>2</w:t>
                  </w:r>
                  <w:r>
                    <w:rPr>
                      <w:color w:val="auto"/>
                      <w:szCs w:val="21"/>
                    </w:rPr>
                    <w:t>O</w:t>
                  </w:r>
                  <w:r>
                    <w:rPr>
                      <w:color w:val="auto"/>
                      <w:szCs w:val="21"/>
                      <w:vertAlign w:val="subscript"/>
                    </w:rPr>
                    <w:t>3</w:t>
                  </w:r>
                  <w:r>
                    <w:rPr>
                      <w:rFonts w:hint="eastAsia"/>
                      <w:color w:val="auto"/>
                      <w:szCs w:val="21"/>
                    </w:rPr>
                    <w:t>，简式</w:t>
                  </w:r>
                  <w:r>
                    <w:rPr>
                      <w:color w:val="auto"/>
                      <w:szCs w:val="21"/>
                    </w:rPr>
                    <w:t>C</w:t>
                  </w:r>
                  <w:r>
                    <w:rPr>
                      <w:color w:val="auto"/>
                      <w:szCs w:val="21"/>
                      <w:vertAlign w:val="subscript"/>
                    </w:rPr>
                    <w:t>3</w:t>
                  </w:r>
                  <w:r>
                    <w:rPr>
                      <w:color w:val="auto"/>
                      <w:szCs w:val="21"/>
                    </w:rPr>
                    <w:t>A</w:t>
                  </w:r>
                  <w:r>
                    <w:rPr>
                      <w:rFonts w:hint="eastAsia"/>
                      <w:color w:val="auto"/>
                      <w:szCs w:val="21"/>
                    </w:rPr>
                    <w:t>），</w:t>
                  </w:r>
                  <w:r>
                    <w:rPr>
                      <w:color w:val="auto"/>
                    </w:rPr>
                    <w:fldChar w:fldCharType="begin"/>
                  </w:r>
                  <w:r>
                    <w:rPr>
                      <w:color w:val="auto"/>
                    </w:rPr>
                    <w:instrText xml:space="preserve"> HYPERLINK "https://baike.baidu.com/item/%E9%93%81%E9%93%9D%E9%85%B8%E5%9B%9B%E9%92%99/9078866?fromModule=lemma_inlink" \t "https://baike.baidu.com/item/%E6%B0%B4%E6%B3%A5/_blank" </w:instrText>
                  </w:r>
                  <w:r>
                    <w:rPr>
                      <w:color w:val="auto"/>
                    </w:rPr>
                    <w:fldChar w:fldCharType="separate"/>
                  </w:r>
                  <w:r>
                    <w:rPr>
                      <w:rFonts w:hint="eastAsia"/>
                      <w:color w:val="auto"/>
                      <w:szCs w:val="21"/>
                    </w:rPr>
                    <w:t>铁铝酸四钙</w:t>
                  </w:r>
                  <w:r>
                    <w:rPr>
                      <w:rFonts w:hint="eastAsia"/>
                      <w:color w:val="auto"/>
                      <w:szCs w:val="21"/>
                    </w:rPr>
                    <w:fldChar w:fldCharType="end"/>
                  </w:r>
                  <w:r>
                    <w:rPr>
                      <w:rFonts w:hint="eastAsia"/>
                      <w:color w:val="auto"/>
                      <w:szCs w:val="21"/>
                    </w:rPr>
                    <w:t>（</w:t>
                  </w:r>
                  <w:r>
                    <w:rPr>
                      <w:color w:val="auto"/>
                      <w:szCs w:val="21"/>
                    </w:rPr>
                    <w:t>4CaO·Al</w:t>
                  </w:r>
                  <w:r>
                    <w:rPr>
                      <w:color w:val="auto"/>
                      <w:szCs w:val="21"/>
                      <w:vertAlign w:val="subscript"/>
                    </w:rPr>
                    <w:t>2</w:t>
                  </w:r>
                  <w:r>
                    <w:rPr>
                      <w:color w:val="auto"/>
                      <w:szCs w:val="21"/>
                    </w:rPr>
                    <w:t>O</w:t>
                  </w:r>
                  <w:r>
                    <w:rPr>
                      <w:color w:val="auto"/>
                      <w:szCs w:val="21"/>
                      <w:vertAlign w:val="subscript"/>
                    </w:rPr>
                    <w:t>3</w:t>
                  </w:r>
                  <w:r>
                    <w:rPr>
                      <w:color w:val="auto"/>
                      <w:szCs w:val="21"/>
                    </w:rPr>
                    <w:t>·Fe</w:t>
                  </w:r>
                  <w:r>
                    <w:rPr>
                      <w:color w:val="auto"/>
                      <w:szCs w:val="21"/>
                      <w:vertAlign w:val="subscript"/>
                    </w:rPr>
                    <w:t>2</w:t>
                  </w:r>
                  <w:r>
                    <w:rPr>
                      <w:color w:val="auto"/>
                      <w:szCs w:val="21"/>
                    </w:rPr>
                    <w:t>O</w:t>
                  </w:r>
                  <w:r>
                    <w:rPr>
                      <w:color w:val="auto"/>
                      <w:szCs w:val="21"/>
                      <w:vertAlign w:val="subscript"/>
                    </w:rPr>
                    <w:t>3</w:t>
                  </w:r>
                  <w:r>
                    <w:rPr>
                      <w:rFonts w:hint="eastAsia"/>
                      <w:color w:val="auto"/>
                      <w:szCs w:val="21"/>
                    </w:rPr>
                    <w:t>，简式</w:t>
                  </w:r>
                  <w:r>
                    <w:rPr>
                      <w:color w:val="auto"/>
                      <w:szCs w:val="21"/>
                    </w:rPr>
                    <w:t>C</w:t>
                  </w:r>
                  <w:r>
                    <w:rPr>
                      <w:color w:val="auto"/>
                      <w:szCs w:val="21"/>
                      <w:vertAlign w:val="subscript"/>
                    </w:rPr>
                    <w:t>4</w:t>
                  </w:r>
                  <w:r>
                    <w:rPr>
                      <w:color w:val="auto"/>
                      <w:szCs w:val="21"/>
                    </w:rPr>
                    <w:t>AF</w:t>
                  </w:r>
                  <w:r>
                    <w:rPr>
                      <w:rFonts w:hint="eastAsia"/>
                      <w:color w:val="auto"/>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924" w:type="dxa"/>
                  <w:tcBorders>
                    <w:top w:val="single" w:color="auto" w:sz="6" w:space="0"/>
                    <w:bottom w:val="single" w:color="auto" w:sz="12" w:space="0"/>
                    <w:right w:val="single" w:color="auto" w:sz="6" w:space="0"/>
                  </w:tcBorders>
                  <w:vAlign w:val="center"/>
                </w:tcPr>
                <w:p>
                  <w:pPr>
                    <w:adjustRightInd w:val="0"/>
                    <w:snapToGrid w:val="0"/>
                    <w:jc w:val="center"/>
                    <w:rPr>
                      <w:rFonts w:ascii="Helvetica" w:hAnsi="Helvetica" w:cs="Helvetica"/>
                      <w:color w:val="auto"/>
                      <w:szCs w:val="21"/>
                      <w:shd w:val="clear" w:color="auto" w:fill="FFFFFF"/>
                    </w:rPr>
                  </w:pPr>
                  <w:r>
                    <w:rPr>
                      <w:rFonts w:hint="eastAsia" w:ascii="Helvetica" w:hAnsi="Helvetica" w:cs="Helvetica"/>
                      <w:color w:val="auto"/>
                      <w:szCs w:val="21"/>
                      <w:shd w:val="clear" w:color="auto" w:fill="FFFFFF"/>
                    </w:rPr>
                    <w:t>纸浆板</w:t>
                  </w:r>
                </w:p>
              </w:tc>
              <w:tc>
                <w:tcPr>
                  <w:tcW w:w="7566" w:type="dxa"/>
                  <w:tcBorders>
                    <w:top w:val="single" w:color="auto" w:sz="6" w:space="0"/>
                    <w:left w:val="single" w:color="auto" w:sz="6" w:space="0"/>
                    <w:bottom w:val="single" w:color="auto" w:sz="12" w:space="0"/>
                  </w:tcBorders>
                  <w:vAlign w:val="center"/>
                </w:tcPr>
                <w:p>
                  <w:pPr>
                    <w:adjustRightInd w:val="0"/>
                    <w:snapToGrid w:val="0"/>
                    <w:spacing w:line="280" w:lineRule="exact"/>
                    <w:jc w:val="center"/>
                    <w:rPr>
                      <w:color w:val="auto"/>
                      <w:szCs w:val="21"/>
                    </w:rPr>
                  </w:pPr>
                  <w:r>
                    <w:rPr>
                      <w:rFonts w:hint="eastAsia"/>
                      <w:color w:val="auto"/>
                      <w:szCs w:val="21"/>
                    </w:rPr>
                    <w:t>纸浆是植物纤维经不同加工方法制成的纤维状材料。根据加工方法可分为机械浆、化学浆和化学机械浆；也可根据纤维原料分为木浆、草浆、麻浆、苇浆、蔗浆、竹浆、碎布浆等。本项目</w:t>
                  </w:r>
                  <w:r>
                    <w:rPr>
                      <w:rFonts w:hint="eastAsia" w:ascii="Helvetica" w:hAnsi="Helvetica" w:cs="Helvetica"/>
                      <w:color w:val="auto"/>
                      <w:szCs w:val="21"/>
                      <w:shd w:val="clear" w:color="auto" w:fill="FFFFFF"/>
                    </w:rPr>
                    <w:t>纸浆板加水化浆后加入硅酸钙板生产，进行纤维增强。</w:t>
                  </w:r>
                </w:p>
              </w:tc>
            </w:tr>
          </w:tbl>
          <w:p>
            <w:pPr>
              <w:pStyle w:val="83"/>
              <w:adjustRightInd/>
              <w:snapToGrid/>
              <w:rPr>
                <w:color w:val="auto"/>
              </w:rPr>
            </w:pPr>
            <w:r>
              <w:rPr>
                <w:color w:val="auto"/>
              </w:rPr>
              <w:t>2.4</w:t>
            </w:r>
            <w:r>
              <w:rPr>
                <w:rFonts w:hint="eastAsia"/>
                <w:color w:val="auto"/>
              </w:rPr>
              <w:t>主要生产设备</w:t>
            </w:r>
          </w:p>
          <w:p>
            <w:pPr>
              <w:pStyle w:val="67"/>
              <w:ind w:firstLine="31680"/>
              <w:rPr>
                <w:color w:val="auto"/>
              </w:rPr>
            </w:pPr>
            <w:r>
              <w:rPr>
                <w:rFonts w:hint="eastAsia"/>
                <w:color w:val="auto"/>
              </w:rPr>
              <w:t>项目主要生产设备见表</w:t>
            </w:r>
            <w:r>
              <w:rPr>
                <w:color w:val="auto"/>
              </w:rPr>
              <w:t>2.4-1</w:t>
            </w:r>
            <w:r>
              <w:rPr>
                <w:rFonts w:hint="eastAsia"/>
                <w:color w:val="auto"/>
              </w:rPr>
              <w:t>。</w:t>
            </w:r>
          </w:p>
          <w:p>
            <w:pPr>
              <w:pStyle w:val="85"/>
              <w:adjustRightInd/>
              <w:snapToGrid/>
              <w:rPr>
                <w:color w:val="auto"/>
              </w:rPr>
            </w:pPr>
            <w:bookmarkStart w:id="7" w:name="_Toc32047"/>
            <w:bookmarkStart w:id="8" w:name="_Toc25349"/>
            <w:r>
              <w:rPr>
                <w:rFonts w:hint="eastAsia"/>
                <w:color w:val="auto"/>
              </w:rPr>
              <w:t>表</w:t>
            </w:r>
            <w:r>
              <w:rPr>
                <w:color w:val="auto"/>
              </w:rPr>
              <w:t xml:space="preserve">2.4-1  </w:t>
            </w:r>
            <w:r>
              <w:rPr>
                <w:rFonts w:hint="eastAsia"/>
                <w:color w:val="auto"/>
              </w:rPr>
              <w:t>项目主要设备一览表清单</w:t>
            </w:r>
          </w:p>
          <w:tbl>
            <w:tblPr>
              <w:tblStyle w:val="27"/>
              <w:tblW w:w="85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741"/>
              <w:gridCol w:w="2600"/>
              <w:gridCol w:w="1763"/>
              <w:gridCol w:w="16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9" w:hRule="atLeast"/>
                <w:tblHeader/>
                <w:jc w:val="center"/>
              </w:trPr>
              <w:tc>
                <w:tcPr>
                  <w:tcW w:w="812" w:type="dxa"/>
                  <w:tcBorders>
                    <w:top w:val="single" w:color="auto" w:sz="12"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序号</w:t>
                  </w:r>
                </w:p>
              </w:tc>
              <w:tc>
                <w:tcPr>
                  <w:tcW w:w="1741" w:type="dxa"/>
                  <w:tcBorders>
                    <w:top w:val="single" w:color="auto" w:sz="12"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生产车间</w:t>
                  </w:r>
                </w:p>
              </w:tc>
              <w:tc>
                <w:tcPr>
                  <w:tcW w:w="2600" w:type="dxa"/>
                  <w:tcBorders>
                    <w:top w:val="single" w:color="auto" w:sz="12"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设备名称</w:t>
                  </w:r>
                </w:p>
              </w:tc>
              <w:tc>
                <w:tcPr>
                  <w:tcW w:w="1763" w:type="dxa"/>
                  <w:tcBorders>
                    <w:top w:val="single" w:color="auto" w:sz="12"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型号</w:t>
                  </w:r>
                </w:p>
              </w:tc>
              <w:tc>
                <w:tcPr>
                  <w:tcW w:w="1633" w:type="dxa"/>
                  <w:tcBorders>
                    <w:top w:val="single" w:color="auto" w:sz="12" w:space="0"/>
                    <w:left w:val="single" w:color="auto" w:sz="4" w:space="0"/>
                    <w:bottom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w:t>
                  </w:r>
                </w:p>
              </w:tc>
              <w:tc>
                <w:tcPr>
                  <w:tcW w:w="1741" w:type="dxa"/>
                  <w:vMerge w:val="restart"/>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2#</w:t>
                  </w:r>
                  <w:r>
                    <w:rPr>
                      <w:rFonts w:hint="eastAsia" w:ascii="Times New Roman" w:hAnsi="Times New Roman"/>
                      <w:color w:val="auto"/>
                      <w:sz w:val="21"/>
                      <w:szCs w:val="21"/>
                      <w:lang w:eastAsia="zh-CN"/>
                    </w:rPr>
                    <w:t>厂房</w:t>
                  </w:r>
                </w:p>
              </w:tc>
              <w:tc>
                <w:tcPr>
                  <w:tcW w:w="2600"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鄂破机</w:t>
                  </w:r>
                </w:p>
              </w:tc>
              <w:tc>
                <w:tcPr>
                  <w:tcW w:w="1763"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55kw</w:t>
                  </w:r>
                </w:p>
              </w:tc>
              <w:tc>
                <w:tcPr>
                  <w:tcW w:w="1633" w:type="dxa"/>
                  <w:tcBorders>
                    <w:top w:val="single" w:color="auto" w:sz="4" w:space="0"/>
                    <w:left w:val="single" w:color="auto" w:sz="4" w:space="0"/>
                    <w:bottom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2</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圆锥破碎机</w:t>
                  </w:r>
                </w:p>
              </w:tc>
              <w:tc>
                <w:tcPr>
                  <w:tcW w:w="1763"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110kw</w:t>
                  </w:r>
                </w:p>
              </w:tc>
              <w:tc>
                <w:tcPr>
                  <w:tcW w:w="1633" w:type="dxa"/>
                  <w:tcBorders>
                    <w:top w:val="single" w:color="auto" w:sz="4" w:space="0"/>
                    <w:left w:val="single" w:color="auto" w:sz="4" w:space="0"/>
                    <w:bottom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3</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振动筛</w:t>
                  </w:r>
                </w:p>
              </w:tc>
              <w:tc>
                <w:tcPr>
                  <w:tcW w:w="1763"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1633" w:type="dxa"/>
                  <w:tcBorders>
                    <w:top w:val="single" w:color="auto" w:sz="4" w:space="0"/>
                    <w:left w:val="single" w:color="auto" w:sz="4" w:space="0"/>
                    <w:bottom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4</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雷蒙磨</w:t>
                  </w:r>
                </w:p>
              </w:tc>
              <w:tc>
                <w:tcPr>
                  <w:tcW w:w="1763"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680kw</w:t>
                  </w:r>
                </w:p>
              </w:tc>
              <w:tc>
                <w:tcPr>
                  <w:tcW w:w="1633" w:type="dxa"/>
                  <w:tcBorders>
                    <w:top w:val="single" w:color="auto" w:sz="4" w:space="0"/>
                    <w:left w:val="single" w:color="auto" w:sz="4" w:space="0"/>
                    <w:bottom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2</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5</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提升机</w:t>
                  </w:r>
                </w:p>
              </w:tc>
              <w:tc>
                <w:tcPr>
                  <w:tcW w:w="1763"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1633" w:type="dxa"/>
                  <w:tcBorders>
                    <w:top w:val="single" w:color="auto" w:sz="4" w:space="0"/>
                    <w:left w:val="single" w:color="auto" w:sz="4" w:space="0"/>
                    <w:bottom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2</w:t>
                  </w:r>
                  <w:r>
                    <w:rPr>
                      <w:rFonts w:hint="eastAsia"/>
                      <w:color w:val="auto"/>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6</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铲车</w:t>
                  </w:r>
                </w:p>
              </w:tc>
              <w:tc>
                <w:tcPr>
                  <w:tcW w:w="1763" w:type="dxa"/>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4t</w:t>
                  </w:r>
                </w:p>
              </w:tc>
              <w:tc>
                <w:tcPr>
                  <w:tcW w:w="1633" w:type="dxa"/>
                  <w:tcBorders>
                    <w:top w:val="single" w:color="auto" w:sz="4" w:space="0"/>
                    <w:left w:val="single" w:color="auto" w:sz="4" w:space="0"/>
                    <w:bottom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2</w:t>
                  </w:r>
                  <w:r>
                    <w:rPr>
                      <w:rFonts w:hint="eastAsia"/>
                      <w:color w:val="auto"/>
                      <w:szCs w:val="21"/>
                      <w:lang w:eastAsia="zh-CN"/>
                    </w:rPr>
                    <w:t>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7</w:t>
                  </w:r>
                </w:p>
              </w:tc>
              <w:tc>
                <w:tcPr>
                  <w:tcW w:w="1741" w:type="dxa"/>
                  <w:vMerge w:val="restart"/>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w:t>
                  </w:r>
                  <w:r>
                    <w:rPr>
                      <w:rFonts w:hint="eastAsia" w:ascii="Times New Roman" w:hAnsi="Times New Roman"/>
                      <w:color w:val="auto"/>
                      <w:sz w:val="21"/>
                      <w:szCs w:val="21"/>
                      <w:lang w:eastAsia="zh-CN"/>
                    </w:rPr>
                    <w:t>厂房</w:t>
                  </w: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纸浆碎浆磨浆机</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w:t>
                  </w:r>
                  <w:r>
                    <w:rPr>
                      <w:rFonts w:hint="eastAsia"/>
                      <w:color w:val="auto"/>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8</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制浆机</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w:t>
                  </w:r>
                  <w:r>
                    <w:rPr>
                      <w:rFonts w:hint="eastAsia"/>
                      <w:color w:val="auto"/>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9</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混水罐</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75m</w:t>
                  </w:r>
                  <w:r>
                    <w:rPr>
                      <w:color w:val="auto"/>
                      <w:szCs w:val="21"/>
                      <w:vertAlign w:val="superscript"/>
                    </w:rPr>
                    <w:t>3</w:t>
                  </w: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2</w:t>
                  </w:r>
                  <w:r>
                    <w:rPr>
                      <w:rFonts w:hint="eastAsia"/>
                      <w:color w:val="auto"/>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10</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清水罐</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75m</w:t>
                  </w:r>
                  <w:r>
                    <w:rPr>
                      <w:color w:val="auto"/>
                      <w:szCs w:val="21"/>
                      <w:vertAlign w:val="superscript"/>
                    </w:rPr>
                    <w:t>3</w:t>
                  </w: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3</w:t>
                  </w:r>
                  <w:r>
                    <w:rPr>
                      <w:rFonts w:hint="eastAsia"/>
                      <w:color w:val="auto"/>
                      <w:szCs w:val="21"/>
                    </w:rPr>
                    <w:t>个</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11</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三网箱抄取成型机</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w:t>
                  </w:r>
                  <w:r>
                    <w:rPr>
                      <w:rFonts w:hint="eastAsia"/>
                      <w:color w:val="auto"/>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12</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堆垛机</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w:t>
                  </w:r>
                  <w:r>
                    <w:rPr>
                      <w:rFonts w:hint="eastAsia"/>
                      <w:color w:val="auto"/>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13</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磨边倒角机</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1</w:t>
                  </w:r>
                  <w:r>
                    <w:rPr>
                      <w:rFonts w:hint="eastAsia"/>
                      <w:color w:val="auto"/>
                      <w:szCs w:val="21"/>
                    </w:rPr>
                    <w:t>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14</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烘干机</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color w:val="auto"/>
                      <w:szCs w:val="21"/>
                    </w:rPr>
                    <w:t>26m</w:t>
                  </w:r>
                  <w:r>
                    <w:rPr>
                      <w:rFonts w:hint="eastAsia"/>
                      <w:color w:val="auto"/>
                      <w:szCs w:val="21"/>
                    </w:rPr>
                    <w:t>×</w:t>
                  </w:r>
                  <w:r>
                    <w:rPr>
                      <w:color w:val="auto"/>
                      <w:szCs w:val="21"/>
                    </w:rPr>
                    <w:t>5m</w:t>
                  </w: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2</w:t>
                  </w:r>
                  <w:r>
                    <w:rPr>
                      <w:rFonts w:hint="eastAsia"/>
                      <w:color w:val="auto"/>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15</w:t>
                  </w:r>
                </w:p>
              </w:tc>
              <w:tc>
                <w:tcPr>
                  <w:tcW w:w="1741" w:type="dxa"/>
                  <w:vMerge w:val="continue"/>
                  <w:tcBorders>
                    <w:top w:val="single" w:color="auto" w:sz="4" w:space="0"/>
                    <w:left w:val="single" w:color="auto" w:sz="4" w:space="0"/>
                    <w:bottom w:val="single" w:color="auto" w:sz="4"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蒸压釜</w:t>
                  </w:r>
                </w:p>
              </w:tc>
              <w:tc>
                <w:tcPr>
                  <w:tcW w:w="1763"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szCs w:val="21"/>
                    </w:rPr>
                    <w:t>Φ</w:t>
                  </w:r>
                  <w:r>
                    <w:rPr>
                      <w:color w:val="auto"/>
                      <w:szCs w:val="21"/>
                    </w:rPr>
                    <w:t>2.2</w:t>
                  </w:r>
                  <w:r>
                    <w:rPr>
                      <w:rFonts w:hint="eastAsia"/>
                      <w:color w:val="auto"/>
                      <w:szCs w:val="21"/>
                    </w:rPr>
                    <w:t>×</w:t>
                  </w:r>
                  <w:r>
                    <w:rPr>
                      <w:color w:val="auto"/>
                      <w:szCs w:val="21"/>
                    </w:rPr>
                    <w:t>35m</w:t>
                  </w:r>
                </w:p>
              </w:tc>
              <w:tc>
                <w:tcPr>
                  <w:tcW w:w="1633" w:type="dxa"/>
                  <w:tcBorders>
                    <w:top w:val="single" w:color="auto" w:sz="4" w:space="0"/>
                    <w:left w:val="single" w:color="auto" w:sz="4" w:space="0"/>
                    <w:bottom w:val="single" w:color="auto" w:sz="4" w:space="0"/>
                  </w:tcBorders>
                  <w:vAlign w:val="center"/>
                </w:tcPr>
                <w:p>
                  <w:pPr>
                    <w:jc w:val="center"/>
                    <w:rPr>
                      <w:color w:val="auto"/>
                      <w:szCs w:val="21"/>
                    </w:rPr>
                  </w:pPr>
                  <w:r>
                    <w:rPr>
                      <w:color w:val="auto"/>
                      <w:szCs w:val="21"/>
                    </w:rPr>
                    <w:t>5</w:t>
                  </w:r>
                  <w:r>
                    <w:rPr>
                      <w:rFonts w:hint="eastAsia"/>
                      <w:color w:val="auto"/>
                      <w:szCs w:val="21"/>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812" w:type="dxa"/>
                  <w:tcBorders>
                    <w:top w:val="single" w:color="auto" w:sz="4" w:space="0"/>
                    <w:bottom w:val="single" w:color="auto" w:sz="12" w:space="0"/>
                    <w:right w:val="single" w:color="auto" w:sz="4" w:space="0"/>
                  </w:tcBorders>
                  <w:vAlign w:val="center"/>
                </w:tcPr>
                <w:p>
                  <w:pPr>
                    <w:pStyle w:val="190"/>
                    <w:jc w:val="center"/>
                    <w:rPr>
                      <w:rFonts w:ascii="Times New Roman" w:hAnsi="Times New Roman"/>
                      <w:color w:val="auto"/>
                      <w:sz w:val="21"/>
                      <w:szCs w:val="21"/>
                      <w:lang w:eastAsia="zh-CN"/>
                    </w:rPr>
                  </w:pPr>
                  <w:r>
                    <w:rPr>
                      <w:rFonts w:ascii="Times New Roman" w:hAnsi="Times New Roman"/>
                      <w:color w:val="auto"/>
                      <w:sz w:val="21"/>
                      <w:szCs w:val="21"/>
                      <w:lang w:eastAsia="zh-CN"/>
                    </w:rPr>
                    <w:t>16</w:t>
                  </w:r>
                </w:p>
              </w:tc>
              <w:tc>
                <w:tcPr>
                  <w:tcW w:w="1741" w:type="dxa"/>
                  <w:vMerge w:val="continue"/>
                  <w:tcBorders>
                    <w:top w:val="single" w:color="auto" w:sz="4" w:space="0"/>
                    <w:left w:val="single" w:color="auto" w:sz="4" w:space="0"/>
                    <w:bottom w:val="single" w:color="auto" w:sz="12" w:space="0"/>
                    <w:right w:val="single" w:color="auto" w:sz="4" w:space="0"/>
                  </w:tcBorders>
                  <w:vAlign w:val="center"/>
                </w:tcPr>
                <w:p>
                  <w:pPr>
                    <w:pStyle w:val="190"/>
                    <w:jc w:val="center"/>
                    <w:rPr>
                      <w:rFonts w:ascii="Times New Roman" w:hAnsi="Times New Roman"/>
                      <w:color w:val="auto"/>
                      <w:sz w:val="21"/>
                      <w:szCs w:val="21"/>
                      <w:lang w:eastAsia="zh-CN"/>
                    </w:rPr>
                  </w:pPr>
                </w:p>
              </w:tc>
              <w:tc>
                <w:tcPr>
                  <w:tcW w:w="2600"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rFonts w:hint="eastAsia"/>
                      <w:color w:val="auto"/>
                      <w:szCs w:val="21"/>
                    </w:rPr>
                    <w:t>模板</w:t>
                  </w:r>
                </w:p>
              </w:tc>
              <w:tc>
                <w:tcPr>
                  <w:tcW w:w="1763" w:type="dxa"/>
                  <w:tcBorders>
                    <w:top w:val="single" w:color="auto" w:sz="4" w:space="0"/>
                    <w:left w:val="single" w:color="auto" w:sz="4" w:space="0"/>
                    <w:bottom w:val="single" w:color="auto" w:sz="12" w:space="0"/>
                    <w:right w:val="single" w:color="auto" w:sz="4" w:space="0"/>
                  </w:tcBorders>
                  <w:vAlign w:val="center"/>
                </w:tcPr>
                <w:p>
                  <w:pPr>
                    <w:jc w:val="center"/>
                    <w:rPr>
                      <w:color w:val="auto"/>
                      <w:szCs w:val="21"/>
                    </w:rPr>
                  </w:pPr>
                  <w:r>
                    <w:rPr>
                      <w:color w:val="auto"/>
                      <w:szCs w:val="21"/>
                    </w:rPr>
                    <w:t>2.5m</w:t>
                  </w:r>
                  <w:r>
                    <w:rPr>
                      <w:rFonts w:hint="eastAsia"/>
                      <w:color w:val="auto"/>
                      <w:szCs w:val="21"/>
                    </w:rPr>
                    <w:t>×</w:t>
                  </w:r>
                  <w:r>
                    <w:rPr>
                      <w:color w:val="auto"/>
                      <w:szCs w:val="21"/>
                    </w:rPr>
                    <w:t>1.3m</w:t>
                  </w:r>
                </w:p>
              </w:tc>
              <w:tc>
                <w:tcPr>
                  <w:tcW w:w="1633" w:type="dxa"/>
                  <w:tcBorders>
                    <w:top w:val="single" w:color="auto" w:sz="4" w:space="0"/>
                    <w:left w:val="single" w:color="auto" w:sz="4" w:space="0"/>
                    <w:bottom w:val="single" w:color="auto" w:sz="12" w:space="0"/>
                  </w:tcBorders>
                  <w:vAlign w:val="center"/>
                </w:tcPr>
                <w:p>
                  <w:pPr>
                    <w:jc w:val="center"/>
                    <w:rPr>
                      <w:color w:val="auto"/>
                      <w:szCs w:val="21"/>
                    </w:rPr>
                  </w:pPr>
                  <w:r>
                    <w:rPr>
                      <w:color w:val="auto"/>
                      <w:szCs w:val="21"/>
                    </w:rPr>
                    <w:t>3000</w:t>
                  </w:r>
                  <w:r>
                    <w:rPr>
                      <w:rFonts w:hint="eastAsia"/>
                      <w:color w:val="auto"/>
                      <w:szCs w:val="21"/>
                    </w:rPr>
                    <w:t>片</w:t>
                  </w:r>
                </w:p>
              </w:tc>
            </w:tr>
          </w:tbl>
          <w:p>
            <w:pPr>
              <w:pStyle w:val="83"/>
              <w:adjustRightInd/>
              <w:snapToGrid/>
              <w:spacing w:beforeLines="50"/>
              <w:rPr>
                <w:color w:val="auto"/>
              </w:rPr>
            </w:pPr>
            <w:r>
              <w:rPr>
                <w:color w:val="auto"/>
              </w:rPr>
              <w:t xml:space="preserve">2.5 </w:t>
            </w:r>
            <w:r>
              <w:rPr>
                <w:rFonts w:hint="eastAsia"/>
                <w:color w:val="auto"/>
              </w:rPr>
              <w:t>物料平衡</w:t>
            </w:r>
            <w:r>
              <w:rPr>
                <w:color w:val="auto"/>
              </w:rPr>
              <w:t xml:space="preserve"> </w:t>
            </w:r>
          </w:p>
          <w:p>
            <w:pPr>
              <w:pStyle w:val="67"/>
              <w:ind w:firstLine="31680"/>
              <w:rPr>
                <w:color w:val="auto"/>
              </w:rPr>
            </w:pPr>
            <w:r>
              <w:rPr>
                <w:rFonts w:hint="eastAsia"/>
                <w:color w:val="auto"/>
              </w:rPr>
              <w:t>本项目年生产硅酸钙板</w:t>
            </w:r>
            <w:r>
              <w:rPr>
                <w:color w:val="auto"/>
              </w:rPr>
              <w:t>3000</w:t>
            </w:r>
            <w:r>
              <w:rPr>
                <w:rFonts w:hint="eastAsia"/>
                <w:color w:val="auto"/>
                <w:sz w:val="21"/>
                <w:szCs w:val="21"/>
              </w:rPr>
              <w:t>万</w:t>
            </w:r>
            <w:r>
              <w:rPr>
                <w:rFonts w:hint="eastAsia"/>
                <w:color w:val="auto"/>
              </w:rPr>
              <w:t>㎡，年使用石英矿</w:t>
            </w:r>
            <w:r>
              <w:rPr>
                <w:color w:val="auto"/>
              </w:rPr>
              <w:t>20</w:t>
            </w:r>
            <w:r>
              <w:rPr>
                <w:rFonts w:hint="eastAsia"/>
                <w:color w:val="auto"/>
              </w:rPr>
              <w:t>万吨，水泥（散装）</w:t>
            </w:r>
            <w:r>
              <w:rPr>
                <w:color w:val="auto"/>
              </w:rPr>
              <w:t>17</w:t>
            </w:r>
            <w:r>
              <w:rPr>
                <w:rFonts w:hint="eastAsia"/>
                <w:color w:val="auto"/>
              </w:rPr>
              <w:t>万吨，纸浆</w:t>
            </w:r>
            <w:r>
              <w:rPr>
                <w:color w:val="auto"/>
              </w:rPr>
              <w:t>3</w:t>
            </w:r>
            <w:r>
              <w:rPr>
                <w:rFonts w:hint="eastAsia"/>
                <w:color w:val="auto"/>
              </w:rPr>
              <w:t>万吨，产品为硅酸钙板。项目物料平衡见表</w:t>
            </w:r>
            <w:r>
              <w:rPr>
                <w:color w:val="auto"/>
              </w:rPr>
              <w:t>2.5-1</w:t>
            </w:r>
            <w:r>
              <w:rPr>
                <w:rFonts w:hint="eastAsia"/>
                <w:color w:val="auto"/>
              </w:rPr>
              <w:t>。</w:t>
            </w:r>
          </w:p>
          <w:p>
            <w:pPr>
              <w:pStyle w:val="85"/>
              <w:adjustRightInd/>
              <w:snapToGrid/>
              <w:rPr>
                <w:color w:val="auto"/>
              </w:rPr>
            </w:pPr>
            <w:r>
              <w:rPr>
                <w:rFonts w:hint="eastAsia"/>
                <w:color w:val="auto"/>
              </w:rPr>
              <w:t>表</w:t>
            </w:r>
            <w:r>
              <w:rPr>
                <w:color w:val="auto"/>
              </w:rPr>
              <w:t>2.5-1</w:t>
            </w:r>
            <w:r>
              <w:rPr>
                <w:rFonts w:hint="eastAsia"/>
                <w:color w:val="auto"/>
              </w:rPr>
              <w:t>项目物料平衡一览表</w:t>
            </w:r>
          </w:p>
          <w:tbl>
            <w:tblPr>
              <w:tblStyle w:val="27"/>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430"/>
              <w:gridCol w:w="1695"/>
              <w:gridCol w:w="838"/>
              <w:gridCol w:w="2221"/>
              <w:gridCol w:w="16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tblHeader/>
              </w:trPr>
              <w:tc>
                <w:tcPr>
                  <w:tcW w:w="656" w:type="dxa"/>
                  <w:tcBorders>
                    <w:top w:val="single" w:color="auto" w:sz="12"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序号</w:t>
                  </w:r>
                </w:p>
              </w:tc>
              <w:tc>
                <w:tcPr>
                  <w:tcW w:w="1430"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进料名称</w:t>
                  </w:r>
                </w:p>
              </w:tc>
              <w:tc>
                <w:tcPr>
                  <w:tcW w:w="1695"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数量（</w:t>
                  </w:r>
                  <w:r>
                    <w:rPr>
                      <w:rFonts w:cs="宋体"/>
                      <w:color w:val="auto"/>
                      <w:kern w:val="0"/>
                      <w:szCs w:val="21"/>
                    </w:rPr>
                    <w:t>t/a</w:t>
                  </w:r>
                  <w:r>
                    <w:rPr>
                      <w:rFonts w:hint="eastAsia" w:cs="宋体"/>
                      <w:color w:val="auto"/>
                      <w:kern w:val="0"/>
                      <w:szCs w:val="21"/>
                    </w:rPr>
                    <w:t>）</w:t>
                  </w:r>
                </w:p>
              </w:tc>
              <w:tc>
                <w:tcPr>
                  <w:tcW w:w="838"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序号</w:t>
                  </w:r>
                </w:p>
              </w:tc>
              <w:tc>
                <w:tcPr>
                  <w:tcW w:w="2221" w:type="dxa"/>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产出名称</w:t>
                  </w:r>
                </w:p>
              </w:tc>
              <w:tc>
                <w:tcPr>
                  <w:tcW w:w="1664" w:type="dxa"/>
                  <w:tcBorders>
                    <w:top w:val="single" w:color="auto" w:sz="12" w:space="0"/>
                    <w:left w:val="single" w:color="auto" w:sz="4" w:space="0"/>
                    <w:bottom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数量（</w:t>
                  </w:r>
                  <w:r>
                    <w:rPr>
                      <w:rFonts w:cs="宋体"/>
                      <w:color w:val="auto"/>
                      <w:kern w:val="0"/>
                      <w:szCs w:val="21"/>
                    </w:rPr>
                    <w:t>t/a</w:t>
                  </w:r>
                  <w:r>
                    <w:rPr>
                      <w:rFonts w:hint="eastAsia" w:cs="宋体"/>
                      <w:color w:val="auto"/>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656" w:type="dxa"/>
                  <w:tcBorders>
                    <w:top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1</w:t>
                  </w:r>
                </w:p>
              </w:tc>
              <w:tc>
                <w:tcPr>
                  <w:tcW w:w="143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olor w:val="auto"/>
                      <w:szCs w:val="21"/>
                    </w:rPr>
                    <w:t>石英矿</w:t>
                  </w:r>
                </w:p>
              </w:tc>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200000</w:t>
                  </w:r>
                </w:p>
              </w:tc>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1</w:t>
                  </w:r>
                </w:p>
              </w:tc>
              <w:tc>
                <w:tcPr>
                  <w:tcW w:w="22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olor w:val="auto"/>
                      <w:szCs w:val="21"/>
                    </w:rPr>
                    <w:t>硅酸钙板</w:t>
                  </w:r>
                </w:p>
              </w:tc>
              <w:tc>
                <w:tcPr>
                  <w:tcW w:w="1664" w:type="dxa"/>
                  <w:tcBorders>
                    <w:top w:val="single" w:color="auto" w:sz="4" w:space="0"/>
                    <w:left w:val="single" w:color="auto" w:sz="4" w:space="0"/>
                    <w:bottom w:val="single" w:color="auto" w:sz="4" w:space="0"/>
                  </w:tcBorders>
                  <w:vAlign w:val="center"/>
                </w:tcPr>
                <w:p>
                  <w:pPr>
                    <w:adjustRightInd w:val="0"/>
                    <w:snapToGrid w:val="0"/>
                    <w:jc w:val="center"/>
                    <w:rPr>
                      <w:rFonts w:cs="宋体"/>
                      <w:color w:val="auto"/>
                      <w:kern w:val="0"/>
                      <w:szCs w:val="21"/>
                    </w:rPr>
                  </w:pPr>
                  <w:r>
                    <w:rPr>
                      <w:color w:val="auto"/>
                      <w:szCs w:val="21"/>
                    </w:rPr>
                    <w:t>399997.85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656" w:type="dxa"/>
                  <w:tcBorders>
                    <w:top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2</w:t>
                  </w:r>
                </w:p>
              </w:tc>
              <w:tc>
                <w:tcPr>
                  <w:tcW w:w="143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kern w:val="0"/>
                      <w:szCs w:val="21"/>
                    </w:rPr>
                  </w:pPr>
                  <w:r>
                    <w:rPr>
                      <w:rFonts w:hint="eastAsia"/>
                      <w:color w:val="auto"/>
                      <w:szCs w:val="21"/>
                    </w:rPr>
                    <w:t>水泥（散装）</w:t>
                  </w:r>
                </w:p>
              </w:tc>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170000</w:t>
                  </w:r>
                </w:p>
              </w:tc>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2</w:t>
                  </w:r>
                </w:p>
              </w:tc>
              <w:tc>
                <w:tcPr>
                  <w:tcW w:w="22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有组织排放粉尘量</w:t>
                  </w:r>
                </w:p>
              </w:tc>
              <w:tc>
                <w:tcPr>
                  <w:tcW w:w="1664" w:type="dxa"/>
                  <w:tcBorders>
                    <w:top w:val="single" w:color="auto" w:sz="4" w:space="0"/>
                    <w:left w:val="single" w:color="auto" w:sz="4" w:space="0"/>
                    <w:bottom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656" w:type="dxa"/>
                  <w:tcBorders>
                    <w:top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3</w:t>
                  </w:r>
                </w:p>
              </w:tc>
              <w:tc>
                <w:tcPr>
                  <w:tcW w:w="1430" w:type="dxa"/>
                  <w:tcBorders>
                    <w:top w:val="single" w:color="auto" w:sz="4" w:space="0"/>
                    <w:left w:val="single" w:color="auto" w:sz="4" w:space="0"/>
                    <w:bottom w:val="single" w:color="auto" w:sz="4" w:space="0"/>
                    <w:right w:val="single" w:color="auto" w:sz="4" w:space="0"/>
                  </w:tcBorders>
                  <w:vAlign w:val="center"/>
                </w:tcPr>
                <w:p>
                  <w:pPr>
                    <w:jc w:val="center"/>
                    <w:rPr>
                      <w:rFonts w:cs="宋体"/>
                      <w:color w:val="auto"/>
                      <w:kern w:val="0"/>
                      <w:szCs w:val="21"/>
                    </w:rPr>
                  </w:pPr>
                  <w:r>
                    <w:rPr>
                      <w:rFonts w:hint="eastAsia"/>
                      <w:color w:val="auto"/>
                      <w:szCs w:val="21"/>
                    </w:rPr>
                    <w:t>纸浆板</w:t>
                  </w:r>
                </w:p>
              </w:tc>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30000</w:t>
                  </w:r>
                </w:p>
              </w:tc>
              <w:tc>
                <w:tcPr>
                  <w:tcW w:w="83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3</w:t>
                  </w:r>
                </w:p>
              </w:tc>
              <w:tc>
                <w:tcPr>
                  <w:tcW w:w="2221"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无组织排放粉尘量</w:t>
                  </w:r>
                </w:p>
              </w:tc>
              <w:tc>
                <w:tcPr>
                  <w:tcW w:w="1664" w:type="dxa"/>
                  <w:tcBorders>
                    <w:top w:val="single" w:color="auto" w:sz="4" w:space="0"/>
                    <w:left w:val="single" w:color="auto" w:sz="4" w:space="0"/>
                    <w:bottom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exact"/>
              </w:trPr>
              <w:tc>
                <w:tcPr>
                  <w:tcW w:w="2086" w:type="dxa"/>
                  <w:gridSpan w:val="2"/>
                  <w:tcBorders>
                    <w:top w:val="single" w:color="auto" w:sz="4" w:space="0"/>
                    <w:bottom w:val="single" w:color="auto" w:sz="12" w:space="0"/>
                    <w:right w:val="single" w:color="auto" w:sz="4" w:space="0"/>
                  </w:tcBorders>
                  <w:vAlign w:val="center"/>
                </w:tcPr>
                <w:p>
                  <w:pPr>
                    <w:adjustRightInd w:val="0"/>
                    <w:snapToGrid w:val="0"/>
                    <w:jc w:val="center"/>
                    <w:rPr>
                      <w:rFonts w:cs="宋体"/>
                      <w:color w:val="auto"/>
                      <w:kern w:val="0"/>
                      <w:szCs w:val="21"/>
                    </w:rPr>
                  </w:pPr>
                  <w:r>
                    <w:rPr>
                      <w:rFonts w:hint="eastAsia" w:cs="宋体"/>
                      <w:color w:val="auto"/>
                      <w:kern w:val="0"/>
                      <w:szCs w:val="21"/>
                    </w:rPr>
                    <w:t>合计</w:t>
                  </w:r>
                </w:p>
              </w:tc>
              <w:tc>
                <w:tcPr>
                  <w:tcW w:w="16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400000</w:t>
                  </w:r>
                </w:p>
              </w:tc>
              <w:tc>
                <w:tcPr>
                  <w:tcW w:w="83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w:t>
                  </w:r>
                </w:p>
              </w:tc>
              <w:tc>
                <w:tcPr>
                  <w:tcW w:w="222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宋体"/>
                      <w:color w:val="auto"/>
                      <w:kern w:val="0"/>
                      <w:szCs w:val="21"/>
                    </w:rPr>
                  </w:pPr>
                  <w:r>
                    <w:rPr>
                      <w:rFonts w:cs="宋体"/>
                      <w:color w:val="auto"/>
                      <w:kern w:val="0"/>
                      <w:szCs w:val="21"/>
                    </w:rPr>
                    <w:t>/</w:t>
                  </w:r>
                </w:p>
              </w:tc>
              <w:tc>
                <w:tcPr>
                  <w:tcW w:w="1664" w:type="dxa"/>
                  <w:tcBorders>
                    <w:top w:val="single" w:color="auto" w:sz="4" w:space="0"/>
                    <w:left w:val="single" w:color="auto" w:sz="4" w:space="0"/>
                    <w:bottom w:val="single" w:color="auto" w:sz="12" w:space="0"/>
                  </w:tcBorders>
                  <w:vAlign w:val="center"/>
                </w:tcPr>
                <w:p>
                  <w:pPr>
                    <w:adjustRightInd w:val="0"/>
                    <w:snapToGrid w:val="0"/>
                    <w:jc w:val="center"/>
                    <w:rPr>
                      <w:rFonts w:cs="宋体"/>
                      <w:color w:val="auto"/>
                      <w:kern w:val="0"/>
                      <w:szCs w:val="21"/>
                    </w:rPr>
                  </w:pPr>
                  <w:r>
                    <w:rPr>
                      <w:rFonts w:cs="宋体"/>
                      <w:color w:val="auto"/>
                      <w:kern w:val="0"/>
                      <w:szCs w:val="21"/>
                    </w:rPr>
                    <w:t>400000</w:t>
                  </w:r>
                </w:p>
              </w:tc>
            </w:tr>
          </w:tbl>
          <w:p>
            <w:pPr>
              <w:pStyle w:val="83"/>
              <w:adjustRightInd/>
              <w:snapToGrid/>
              <w:spacing w:beforeLines="50"/>
              <w:rPr>
                <w:color w:val="auto"/>
              </w:rPr>
            </w:pPr>
            <w:r>
              <w:rPr>
                <w:color w:val="auto"/>
              </w:rPr>
              <w:t>2.6</w:t>
            </w:r>
            <w:r>
              <w:rPr>
                <w:rFonts w:hint="eastAsia"/>
                <w:color w:val="auto"/>
              </w:rPr>
              <w:t>水平衡</w:t>
            </w:r>
            <w:bookmarkEnd w:id="7"/>
            <w:r>
              <w:rPr>
                <w:rFonts w:hint="eastAsia"/>
                <w:color w:val="auto"/>
              </w:rPr>
              <w:t>分析</w:t>
            </w:r>
            <w:bookmarkEnd w:id="8"/>
          </w:p>
          <w:p>
            <w:pPr>
              <w:pStyle w:val="67"/>
              <w:ind w:firstLine="31680"/>
              <w:rPr>
                <w:color w:val="auto"/>
              </w:rPr>
            </w:pPr>
            <w:r>
              <w:rPr>
                <w:rFonts w:hint="eastAsia"/>
                <w:bCs/>
                <w:color w:val="auto"/>
              </w:rPr>
              <w:t>项目依托市政管网作为给水水源</w:t>
            </w:r>
            <w:r>
              <w:rPr>
                <w:rFonts w:hint="eastAsia"/>
                <w:color w:val="auto"/>
              </w:rPr>
              <w:t>，项目废水采用</w:t>
            </w:r>
            <w:r>
              <w:rPr>
                <w:color w:val="auto"/>
              </w:rPr>
              <w:t>“</w:t>
            </w:r>
            <w:r>
              <w:rPr>
                <w:rFonts w:hint="eastAsia"/>
                <w:color w:val="auto"/>
              </w:rPr>
              <w:t>雨污分流、清污分流</w:t>
            </w:r>
            <w:r>
              <w:rPr>
                <w:color w:val="auto"/>
              </w:rPr>
              <w:t>”</w:t>
            </w:r>
            <w:r>
              <w:rPr>
                <w:rFonts w:hint="eastAsia"/>
                <w:color w:val="auto"/>
              </w:rPr>
              <w:t>的排水制度。废水主要来源生产废水和生活污水及其其他用水，生产废水主要来自网箱抄取废水、蒸汽冷凝水，其中网箱抄取废水经沉淀后回用生产，不外排，蒸汽冷凝水作为生产补充水，不外排。</w:t>
            </w:r>
          </w:p>
          <w:p>
            <w:pPr>
              <w:pStyle w:val="67"/>
              <w:ind w:firstLine="31680"/>
              <w:rPr>
                <w:color w:val="auto"/>
              </w:rPr>
            </w:pPr>
            <w:r>
              <w:rPr>
                <w:rFonts w:hint="eastAsia"/>
                <w:color w:val="auto"/>
              </w:rPr>
              <w:t>（</w:t>
            </w:r>
            <w:r>
              <w:rPr>
                <w:color w:val="auto"/>
              </w:rPr>
              <w:t>1</w:t>
            </w:r>
            <w:r>
              <w:rPr>
                <w:rFonts w:hint="eastAsia"/>
                <w:color w:val="auto"/>
              </w:rPr>
              <w:t>）生活用水</w:t>
            </w:r>
          </w:p>
          <w:p>
            <w:pPr>
              <w:pStyle w:val="67"/>
              <w:ind w:firstLine="31680"/>
              <w:rPr>
                <w:color w:val="auto"/>
              </w:rPr>
            </w:pPr>
            <w:r>
              <w:rPr>
                <w:rFonts w:hint="eastAsia"/>
                <w:color w:val="auto"/>
              </w:rPr>
              <w:t>项目生产职工</w:t>
            </w:r>
            <w:r>
              <w:rPr>
                <w:color w:val="auto"/>
              </w:rPr>
              <w:t>20</w:t>
            </w:r>
            <w:r>
              <w:rPr>
                <w:rFonts w:hint="eastAsia"/>
                <w:color w:val="auto"/>
              </w:rPr>
              <w:t>人，</w:t>
            </w:r>
            <w:r>
              <w:rPr>
                <w:color w:val="auto"/>
              </w:rPr>
              <w:t>5</w:t>
            </w:r>
            <w:r>
              <w:rPr>
                <w:rFonts w:hint="eastAsia"/>
                <w:color w:val="auto"/>
              </w:rPr>
              <w:t>人住厂，</w:t>
            </w:r>
            <w:r>
              <w:rPr>
                <w:color w:val="auto"/>
              </w:rPr>
              <w:t>15</w:t>
            </w:r>
            <w:r>
              <w:rPr>
                <w:rFonts w:hint="eastAsia"/>
                <w:color w:val="auto"/>
              </w:rPr>
              <w:t>人不住厂。</w:t>
            </w:r>
          </w:p>
          <w:p>
            <w:pPr>
              <w:pStyle w:val="67"/>
              <w:ind w:firstLine="31680"/>
              <w:rPr>
                <w:color w:val="auto"/>
              </w:rPr>
            </w:pPr>
            <w:r>
              <w:rPr>
                <w:rFonts w:hint="eastAsia"/>
                <w:color w:val="auto"/>
              </w:rPr>
              <w:t>①生活污水</w:t>
            </w:r>
          </w:p>
          <w:p>
            <w:pPr>
              <w:pStyle w:val="67"/>
              <w:ind w:firstLine="31680"/>
              <w:rPr>
                <w:color w:val="auto"/>
              </w:rPr>
            </w:pPr>
            <w:r>
              <w:rPr>
                <w:rFonts w:hint="eastAsia"/>
                <w:color w:val="auto"/>
              </w:rPr>
              <w:t>项目职工</w:t>
            </w:r>
            <w:r>
              <w:rPr>
                <w:color w:val="auto"/>
              </w:rPr>
              <w:t>20</w:t>
            </w:r>
            <w:r>
              <w:rPr>
                <w:rFonts w:hint="eastAsia"/>
                <w:color w:val="auto"/>
              </w:rPr>
              <w:t>人，其中</w:t>
            </w:r>
            <w:r>
              <w:rPr>
                <w:color w:val="auto"/>
              </w:rPr>
              <w:t>5</w:t>
            </w:r>
            <w:r>
              <w:rPr>
                <w:rFonts w:hint="eastAsia"/>
                <w:color w:val="auto"/>
              </w:rPr>
              <w:t>人住宿，根据《建筑给水排水设计标准》</w:t>
            </w:r>
            <w:r>
              <w:rPr>
                <w:color w:val="auto"/>
              </w:rPr>
              <w:t>(GB50015-2019)</w:t>
            </w:r>
            <w:r>
              <w:rPr>
                <w:rFonts w:hint="eastAsia"/>
                <w:color w:val="auto"/>
              </w:rPr>
              <w:t>，住厂工人生活用水量取</w:t>
            </w:r>
            <w:r>
              <w:rPr>
                <w:color w:val="auto"/>
              </w:rPr>
              <w:t>150L/d</w:t>
            </w:r>
            <w:r>
              <w:rPr>
                <w:rFonts w:hint="eastAsia"/>
                <w:color w:val="auto"/>
              </w:rPr>
              <w:t>·人，不住厂工人生活用水量取</w:t>
            </w:r>
            <w:r>
              <w:rPr>
                <w:color w:val="auto"/>
              </w:rPr>
              <w:t>50L/d</w:t>
            </w:r>
            <w:r>
              <w:rPr>
                <w:rFonts w:hint="eastAsia"/>
                <w:color w:val="auto"/>
              </w:rPr>
              <w:t>·人，项目年工作时间</w:t>
            </w:r>
            <w:r>
              <w:rPr>
                <w:color w:val="auto"/>
              </w:rPr>
              <w:t>300</w:t>
            </w:r>
            <w:r>
              <w:rPr>
                <w:rFonts w:hint="eastAsia"/>
                <w:color w:val="auto"/>
              </w:rPr>
              <w:t>天，则生活用水量为</w:t>
            </w:r>
            <w:r>
              <w:rPr>
                <w:color w:val="auto"/>
              </w:rPr>
              <w:t>1.5m</w:t>
            </w:r>
            <w:r>
              <w:rPr>
                <w:rFonts w:hint="eastAsia"/>
                <w:color w:val="auto"/>
              </w:rPr>
              <w:t>³</w:t>
            </w:r>
            <w:r>
              <w:rPr>
                <w:color w:val="auto"/>
              </w:rPr>
              <w:t>/d</w:t>
            </w:r>
            <w:r>
              <w:rPr>
                <w:rFonts w:hint="eastAsia"/>
                <w:color w:val="auto"/>
              </w:rPr>
              <w:t>（</w:t>
            </w:r>
            <w:r>
              <w:rPr>
                <w:color w:val="auto"/>
              </w:rPr>
              <w:t>450m</w:t>
            </w:r>
            <w:r>
              <w:rPr>
                <w:rFonts w:hint="eastAsia"/>
                <w:color w:val="auto"/>
              </w:rPr>
              <w:t>³</w:t>
            </w:r>
            <w:r>
              <w:rPr>
                <w:color w:val="auto"/>
              </w:rPr>
              <w:t>/a</w:t>
            </w:r>
            <w:r>
              <w:rPr>
                <w:rFonts w:hint="eastAsia"/>
                <w:color w:val="auto"/>
              </w:rPr>
              <w:t>）。项目生活污水产生量按生活用水量的</w:t>
            </w:r>
            <w:r>
              <w:rPr>
                <w:color w:val="auto"/>
              </w:rPr>
              <w:t>80%</w:t>
            </w:r>
            <w:r>
              <w:rPr>
                <w:rFonts w:hint="eastAsia"/>
                <w:color w:val="auto"/>
              </w:rPr>
              <w:t>计，则生活污水产生量为</w:t>
            </w:r>
            <w:r>
              <w:rPr>
                <w:color w:val="auto"/>
              </w:rPr>
              <w:t>1.2m</w:t>
            </w:r>
            <w:r>
              <w:rPr>
                <w:rFonts w:hint="eastAsia"/>
                <w:color w:val="auto"/>
              </w:rPr>
              <w:t>³</w:t>
            </w:r>
            <w:r>
              <w:rPr>
                <w:color w:val="auto"/>
              </w:rPr>
              <w:t>/d</w:t>
            </w:r>
            <w:r>
              <w:rPr>
                <w:rFonts w:hint="eastAsia"/>
                <w:color w:val="auto"/>
              </w:rPr>
              <w:t>（</w:t>
            </w:r>
            <w:r>
              <w:rPr>
                <w:color w:val="auto"/>
              </w:rPr>
              <w:t>360m</w:t>
            </w:r>
            <w:r>
              <w:rPr>
                <w:rFonts w:hint="eastAsia"/>
                <w:color w:val="auto"/>
              </w:rPr>
              <w:t>³</w:t>
            </w:r>
            <w:r>
              <w:rPr>
                <w:color w:val="auto"/>
              </w:rPr>
              <w:t>/a</w:t>
            </w:r>
            <w:r>
              <w:rPr>
                <w:rFonts w:hint="eastAsia"/>
                <w:color w:val="auto"/>
              </w:rPr>
              <w:t>）。生活污水经化粪池处理后排入尼葛污水处理厂集中处理达标排放。</w:t>
            </w:r>
          </w:p>
          <w:p>
            <w:pPr>
              <w:pStyle w:val="67"/>
              <w:ind w:firstLine="31680"/>
              <w:rPr>
                <w:color w:val="auto"/>
              </w:rPr>
            </w:pPr>
            <w:r>
              <w:rPr>
                <w:rFonts w:hint="eastAsia"/>
                <w:color w:val="auto"/>
              </w:rPr>
              <w:t>②食堂废水</w:t>
            </w:r>
          </w:p>
          <w:p>
            <w:pPr>
              <w:pStyle w:val="67"/>
              <w:ind w:firstLine="31680"/>
              <w:rPr>
                <w:color w:val="auto"/>
              </w:rPr>
            </w:pPr>
            <w:r>
              <w:rPr>
                <w:rFonts w:hint="eastAsia"/>
                <w:color w:val="auto"/>
              </w:rPr>
              <w:t>项目食堂为员工提供快餐服务，项目聘职工</w:t>
            </w:r>
            <w:r>
              <w:rPr>
                <w:color w:val="auto"/>
              </w:rPr>
              <w:t>20</w:t>
            </w:r>
            <w:r>
              <w:rPr>
                <w:rFonts w:hint="eastAsia"/>
                <w:color w:val="auto"/>
              </w:rPr>
              <w:t>人，年工作时间为</w:t>
            </w:r>
            <w:r>
              <w:rPr>
                <w:color w:val="auto"/>
              </w:rPr>
              <w:t>300</w:t>
            </w:r>
            <w:r>
              <w:rPr>
                <w:rFonts w:hint="eastAsia"/>
                <w:color w:val="auto"/>
              </w:rPr>
              <w:t>天，食堂用水量取</w:t>
            </w:r>
            <w:r>
              <w:rPr>
                <w:color w:val="auto"/>
              </w:rPr>
              <w:t>15L/</w:t>
            </w:r>
            <w:r>
              <w:rPr>
                <w:rFonts w:hint="eastAsia"/>
                <w:color w:val="auto"/>
              </w:rPr>
              <w:t>（人·次）。</w:t>
            </w:r>
            <w:r>
              <w:rPr>
                <w:color w:val="auto"/>
              </w:rPr>
              <w:t>5</w:t>
            </w:r>
            <w:r>
              <w:rPr>
                <w:rFonts w:hint="eastAsia"/>
                <w:color w:val="auto"/>
              </w:rPr>
              <w:t>人住厂，一日二餐，</w:t>
            </w:r>
            <w:r>
              <w:rPr>
                <w:color w:val="auto"/>
              </w:rPr>
              <w:t>15</w:t>
            </w:r>
            <w:r>
              <w:rPr>
                <w:rFonts w:hint="eastAsia"/>
                <w:color w:val="auto"/>
              </w:rPr>
              <w:t>人不住厂，一日一餐，即食堂用水</w:t>
            </w:r>
            <w:r>
              <w:rPr>
                <w:color w:val="auto"/>
              </w:rPr>
              <w:t>25</w:t>
            </w:r>
            <w:r>
              <w:rPr>
                <w:rFonts w:hint="eastAsia"/>
                <w:color w:val="auto"/>
              </w:rPr>
              <w:t>人次</w:t>
            </w:r>
            <w:r>
              <w:rPr>
                <w:color w:val="auto"/>
              </w:rPr>
              <w:t>/</w:t>
            </w:r>
            <w:r>
              <w:rPr>
                <w:rFonts w:hint="eastAsia"/>
                <w:color w:val="auto"/>
              </w:rPr>
              <w:t>天，食堂用水量为</w:t>
            </w:r>
            <w:r>
              <w:rPr>
                <w:color w:val="auto"/>
              </w:rPr>
              <w:t>0.375m</w:t>
            </w:r>
            <w:r>
              <w:rPr>
                <w:rFonts w:hint="eastAsia"/>
                <w:color w:val="auto"/>
              </w:rPr>
              <w:t>³</w:t>
            </w:r>
            <w:r>
              <w:rPr>
                <w:color w:val="auto"/>
              </w:rPr>
              <w:t>/d</w:t>
            </w:r>
            <w:r>
              <w:rPr>
                <w:rFonts w:hint="eastAsia"/>
                <w:color w:val="auto"/>
              </w:rPr>
              <w:t>（</w:t>
            </w:r>
            <w:r>
              <w:rPr>
                <w:color w:val="auto"/>
              </w:rPr>
              <w:t>112.5m</w:t>
            </w:r>
            <w:r>
              <w:rPr>
                <w:rFonts w:hint="eastAsia"/>
                <w:color w:val="auto"/>
              </w:rPr>
              <w:t>³</w:t>
            </w:r>
            <w:r>
              <w:rPr>
                <w:color w:val="auto"/>
              </w:rPr>
              <w:t>/a</w:t>
            </w:r>
            <w:r>
              <w:rPr>
                <w:rFonts w:hint="eastAsia"/>
                <w:color w:val="auto"/>
              </w:rPr>
              <w:t>），排污系数取</w:t>
            </w:r>
            <w:r>
              <w:rPr>
                <w:color w:val="auto"/>
              </w:rPr>
              <w:t>0.9</w:t>
            </w:r>
            <w:r>
              <w:rPr>
                <w:rFonts w:hint="eastAsia"/>
                <w:color w:val="auto"/>
              </w:rPr>
              <w:t>，即食堂废水排放量为</w:t>
            </w:r>
            <w:r>
              <w:rPr>
                <w:color w:val="auto"/>
              </w:rPr>
              <w:t>0.3375m</w:t>
            </w:r>
            <w:r>
              <w:rPr>
                <w:rFonts w:hint="eastAsia"/>
                <w:color w:val="auto"/>
              </w:rPr>
              <w:t>³</w:t>
            </w:r>
            <w:r>
              <w:rPr>
                <w:color w:val="auto"/>
              </w:rPr>
              <w:t>/d</w:t>
            </w:r>
            <w:r>
              <w:rPr>
                <w:rFonts w:hint="eastAsia"/>
                <w:color w:val="auto"/>
              </w:rPr>
              <w:t>（</w:t>
            </w:r>
            <w:r>
              <w:rPr>
                <w:color w:val="auto"/>
              </w:rPr>
              <w:t>101.25m</w:t>
            </w:r>
            <w:r>
              <w:rPr>
                <w:rFonts w:hint="eastAsia"/>
                <w:color w:val="auto"/>
              </w:rPr>
              <w:t>³</w:t>
            </w:r>
            <w:r>
              <w:rPr>
                <w:color w:val="auto"/>
              </w:rPr>
              <w:t>/a</w:t>
            </w:r>
            <w:r>
              <w:rPr>
                <w:rFonts w:hint="eastAsia"/>
                <w:color w:val="auto"/>
              </w:rPr>
              <w:t>）。食堂废水经化粪池预处理后排入尼葛污水处理厂集中处理达标排放。</w:t>
            </w:r>
          </w:p>
          <w:p>
            <w:pPr>
              <w:pStyle w:val="67"/>
              <w:ind w:firstLine="31680"/>
              <w:rPr>
                <w:color w:val="auto"/>
              </w:rPr>
            </w:pPr>
            <w:r>
              <w:rPr>
                <w:rFonts w:hint="eastAsia"/>
                <w:color w:val="auto"/>
              </w:rPr>
              <w:t>即生活用水量为</w:t>
            </w:r>
            <w:r>
              <w:rPr>
                <w:color w:val="auto"/>
              </w:rPr>
              <w:t>1.875m</w:t>
            </w:r>
            <w:r>
              <w:rPr>
                <w:rFonts w:hint="eastAsia"/>
                <w:color w:val="auto"/>
              </w:rPr>
              <w:t>³</w:t>
            </w:r>
            <w:r>
              <w:rPr>
                <w:color w:val="auto"/>
              </w:rPr>
              <w:t>/d</w:t>
            </w:r>
            <w:r>
              <w:rPr>
                <w:rFonts w:hint="eastAsia"/>
                <w:color w:val="auto"/>
              </w:rPr>
              <w:t>（</w:t>
            </w:r>
            <w:r>
              <w:rPr>
                <w:color w:val="auto"/>
              </w:rPr>
              <w:t>562.5m</w:t>
            </w:r>
            <w:r>
              <w:rPr>
                <w:rFonts w:hint="eastAsia"/>
                <w:color w:val="auto"/>
              </w:rPr>
              <w:t>³</w:t>
            </w:r>
            <w:r>
              <w:rPr>
                <w:color w:val="auto"/>
              </w:rPr>
              <w:t>/a</w:t>
            </w:r>
            <w:r>
              <w:rPr>
                <w:rFonts w:hint="eastAsia"/>
                <w:color w:val="auto"/>
              </w:rPr>
              <w:t>），生活污水排放量为</w:t>
            </w:r>
            <w:r>
              <w:rPr>
                <w:color w:val="auto"/>
              </w:rPr>
              <w:t>1.5375m</w:t>
            </w:r>
            <w:r>
              <w:rPr>
                <w:rFonts w:hint="eastAsia"/>
                <w:color w:val="auto"/>
              </w:rPr>
              <w:t>³</w:t>
            </w:r>
            <w:r>
              <w:rPr>
                <w:color w:val="auto"/>
              </w:rPr>
              <w:t>/d</w:t>
            </w:r>
            <w:r>
              <w:rPr>
                <w:rFonts w:hint="eastAsia"/>
                <w:color w:val="auto"/>
              </w:rPr>
              <w:t>（</w:t>
            </w:r>
            <w:r>
              <w:rPr>
                <w:color w:val="auto"/>
              </w:rPr>
              <w:t>461.25m</w:t>
            </w:r>
            <w:r>
              <w:rPr>
                <w:rFonts w:hint="eastAsia"/>
                <w:color w:val="auto"/>
              </w:rPr>
              <w:t>³</w:t>
            </w:r>
            <w:r>
              <w:rPr>
                <w:color w:val="auto"/>
              </w:rPr>
              <w:t>/a</w:t>
            </w:r>
            <w:r>
              <w:rPr>
                <w:rFonts w:hint="eastAsia"/>
                <w:color w:val="auto"/>
              </w:rPr>
              <w:t>）。</w:t>
            </w:r>
          </w:p>
          <w:p>
            <w:pPr>
              <w:pStyle w:val="67"/>
              <w:ind w:firstLine="31680"/>
              <w:rPr>
                <w:color w:val="auto"/>
              </w:rPr>
            </w:pPr>
            <w:r>
              <w:rPr>
                <w:rFonts w:hint="eastAsia"/>
                <w:color w:val="auto"/>
              </w:rPr>
              <w:t>（</w:t>
            </w:r>
            <w:r>
              <w:rPr>
                <w:color w:val="auto"/>
              </w:rPr>
              <w:t>2</w:t>
            </w:r>
            <w:r>
              <w:rPr>
                <w:rFonts w:hint="eastAsia"/>
                <w:color w:val="auto"/>
              </w:rPr>
              <w:t>）生产废水</w:t>
            </w:r>
          </w:p>
          <w:p>
            <w:pPr>
              <w:pStyle w:val="67"/>
              <w:ind w:firstLine="31680"/>
              <w:rPr>
                <w:color w:val="auto"/>
              </w:rPr>
            </w:pPr>
            <w:r>
              <w:rPr>
                <w:rFonts w:hint="eastAsia"/>
                <w:color w:val="auto"/>
              </w:rPr>
              <w:t>①网箱抄取废水</w:t>
            </w:r>
          </w:p>
          <w:p>
            <w:pPr>
              <w:pStyle w:val="67"/>
              <w:ind w:firstLine="31680"/>
              <w:rPr>
                <w:color w:val="auto"/>
              </w:rPr>
            </w:pPr>
            <w:r>
              <w:rPr>
                <w:rFonts w:hint="eastAsia"/>
                <w:color w:val="auto"/>
              </w:rPr>
              <w:t>根据生产工艺，网箱抄取</w:t>
            </w:r>
            <w:r>
              <w:rPr>
                <w:color w:val="auto"/>
              </w:rPr>
              <w:t>1</w:t>
            </w:r>
            <w:r>
              <w:rPr>
                <w:rFonts w:hint="eastAsia"/>
                <w:color w:val="auto"/>
              </w:rPr>
              <w:t>万㎡硅酸钙板需要用水</w:t>
            </w:r>
            <w:r>
              <w:rPr>
                <w:color w:val="auto"/>
              </w:rPr>
              <w:t>120t</w:t>
            </w:r>
            <w:r>
              <w:rPr>
                <w:rFonts w:hint="eastAsia"/>
                <w:color w:val="auto"/>
              </w:rPr>
              <w:t>。本项目年产硅酸钙板</w:t>
            </w:r>
            <w:r>
              <w:rPr>
                <w:color w:val="auto"/>
              </w:rPr>
              <w:t>3000</w:t>
            </w:r>
            <w:r>
              <w:rPr>
                <w:rFonts w:hint="eastAsia"/>
                <w:color w:val="auto"/>
              </w:rPr>
              <w:t>万㎡，网箱抄取产生的清洗水量约为</w:t>
            </w:r>
            <w:r>
              <w:rPr>
                <w:color w:val="auto"/>
              </w:rPr>
              <w:t>36</w:t>
            </w:r>
            <w:r>
              <w:rPr>
                <w:rFonts w:hint="eastAsia"/>
                <w:color w:val="auto"/>
              </w:rPr>
              <w:t>万</w:t>
            </w:r>
            <w:r>
              <w:rPr>
                <w:color w:val="auto"/>
              </w:rPr>
              <w:t>t/a</w:t>
            </w:r>
            <w:r>
              <w:rPr>
                <w:rFonts w:hint="eastAsia"/>
                <w:color w:val="auto"/>
              </w:rPr>
              <w:t>，即</w:t>
            </w:r>
            <w:r>
              <w:rPr>
                <w:color w:val="auto"/>
              </w:rPr>
              <w:t>1200t/d</w:t>
            </w:r>
            <w:r>
              <w:rPr>
                <w:rFonts w:hint="eastAsia"/>
                <w:color w:val="auto"/>
              </w:rPr>
              <w:t>。网箱抄取后产生的废水输送至混水罐澄清后，上层清液进入清水罐，回用于碎浆，底层的混浊液用于制浆工序。</w:t>
            </w:r>
          </w:p>
          <w:p>
            <w:pPr>
              <w:pStyle w:val="67"/>
              <w:ind w:firstLine="31680"/>
              <w:rPr>
                <w:color w:val="auto"/>
              </w:rPr>
            </w:pPr>
            <w:r>
              <w:rPr>
                <w:rFonts w:hint="eastAsia"/>
                <w:color w:val="auto"/>
              </w:rPr>
              <w:t>网箱抄取制板过程中日用水损耗量约</w:t>
            </w:r>
            <w:r>
              <w:rPr>
                <w:color w:val="auto"/>
              </w:rPr>
              <w:t>24t/d</w:t>
            </w:r>
            <w:r>
              <w:rPr>
                <w:rFonts w:hint="eastAsia"/>
                <w:color w:val="auto"/>
              </w:rPr>
              <w:t>，制版完成后约</w:t>
            </w:r>
            <w:r>
              <w:rPr>
                <w:color w:val="auto"/>
              </w:rPr>
              <w:t>36t/d</w:t>
            </w:r>
            <w:r>
              <w:rPr>
                <w:rFonts w:hint="eastAsia"/>
                <w:color w:val="auto"/>
              </w:rPr>
              <w:t>水量进入</w:t>
            </w:r>
            <w:r>
              <w:rPr>
                <w:rFonts w:hint="eastAsia"/>
                <w:color w:val="auto"/>
                <w:szCs w:val="21"/>
              </w:rPr>
              <w:t>蒸压釜、烘干机中高温损耗。</w:t>
            </w:r>
          </w:p>
          <w:p>
            <w:pPr>
              <w:pStyle w:val="67"/>
              <w:ind w:firstLine="31680"/>
              <w:rPr>
                <w:color w:val="auto"/>
              </w:rPr>
            </w:pPr>
            <w:r>
              <w:rPr>
                <w:rFonts w:hint="eastAsia"/>
                <w:color w:val="auto"/>
              </w:rPr>
              <w:t>②蒸汽冷凝水</w:t>
            </w:r>
          </w:p>
          <w:p>
            <w:pPr>
              <w:pStyle w:val="67"/>
              <w:ind w:firstLine="31680"/>
              <w:rPr>
                <w:color w:val="auto"/>
              </w:rPr>
            </w:pPr>
            <w:r>
              <w:rPr>
                <w:rFonts w:hint="eastAsia"/>
                <w:color w:val="auto"/>
              </w:rPr>
              <w:t>项目采用永安市火电厂集中供热蒸汽作为高压蒸养与烘干工序的热源，根据建设单位提供的资料，蒸养、烘干工序冷凝水产生量约为</w:t>
            </w:r>
            <w:r>
              <w:rPr>
                <w:color w:val="auto"/>
              </w:rPr>
              <w:t>11250t/a</w:t>
            </w:r>
            <w:r>
              <w:rPr>
                <w:rFonts w:hint="eastAsia"/>
                <w:color w:val="auto"/>
              </w:rPr>
              <w:t>，即</w:t>
            </w:r>
            <w:r>
              <w:rPr>
                <w:color w:val="auto"/>
              </w:rPr>
              <w:t>37.5t/d</w:t>
            </w:r>
            <w:r>
              <w:rPr>
                <w:rFonts w:hint="eastAsia"/>
                <w:color w:val="auto"/>
              </w:rPr>
              <w:t>，经清水罐收集后用于碎浆，制浆。</w:t>
            </w:r>
          </w:p>
          <w:p>
            <w:pPr>
              <w:pStyle w:val="67"/>
              <w:ind w:firstLine="31680"/>
              <w:rPr>
                <w:color w:val="auto"/>
              </w:rPr>
            </w:pPr>
            <w:r>
              <w:rPr>
                <w:rFonts w:hint="eastAsia"/>
                <w:color w:val="auto"/>
              </w:rPr>
              <w:t>（</w:t>
            </w:r>
            <w:r>
              <w:rPr>
                <w:color w:val="auto"/>
              </w:rPr>
              <w:t>3</w:t>
            </w:r>
            <w:r>
              <w:rPr>
                <w:rFonts w:hint="eastAsia"/>
                <w:color w:val="auto"/>
              </w:rPr>
              <w:t>）其他用水</w:t>
            </w:r>
          </w:p>
          <w:p>
            <w:pPr>
              <w:pStyle w:val="67"/>
              <w:ind w:firstLine="31680"/>
              <w:rPr>
                <w:color w:val="auto"/>
              </w:rPr>
            </w:pPr>
            <w:r>
              <w:rPr>
                <w:rFonts w:hint="eastAsia"/>
                <w:color w:val="auto"/>
              </w:rPr>
              <w:t>①车辆清洗水</w:t>
            </w:r>
          </w:p>
          <w:p>
            <w:pPr>
              <w:pStyle w:val="67"/>
              <w:ind w:firstLine="31680"/>
              <w:rPr>
                <w:color w:val="auto"/>
              </w:rPr>
            </w:pPr>
            <w:r>
              <w:rPr>
                <w:rFonts w:hint="eastAsia"/>
                <w:color w:val="auto"/>
              </w:rPr>
              <w:t>本项目在</w:t>
            </w:r>
            <w:r>
              <w:rPr>
                <w:color w:val="auto"/>
              </w:rPr>
              <w:t>2#</w:t>
            </w:r>
            <w:r>
              <w:rPr>
                <w:rFonts w:hint="eastAsia"/>
                <w:color w:val="auto"/>
              </w:rPr>
              <w:t>厂房出入口设置车辆冲洗区，对车轮胎、车体等进行冲洗，预计年装载</w:t>
            </w:r>
            <w:r>
              <w:rPr>
                <w:color w:val="auto"/>
              </w:rPr>
              <w:t>30000</w:t>
            </w:r>
            <w:r>
              <w:rPr>
                <w:rFonts w:hint="eastAsia"/>
                <w:color w:val="auto"/>
              </w:rPr>
              <w:t>辆次，每辆次用水量</w:t>
            </w:r>
            <w:r>
              <w:rPr>
                <w:color w:val="auto"/>
              </w:rPr>
              <w:t>0.5m</w:t>
            </w:r>
            <w:r>
              <w:rPr>
                <w:rFonts w:hint="eastAsia"/>
                <w:color w:val="auto"/>
              </w:rPr>
              <w:t>³，损耗量按</w:t>
            </w:r>
            <w:r>
              <w:rPr>
                <w:color w:val="auto"/>
              </w:rPr>
              <w:t>10%</w:t>
            </w:r>
            <w:r>
              <w:rPr>
                <w:rFonts w:hint="eastAsia"/>
                <w:color w:val="auto"/>
              </w:rPr>
              <w:t>计，损耗量为</w:t>
            </w:r>
            <w:r>
              <w:rPr>
                <w:color w:val="auto"/>
              </w:rPr>
              <w:t>0.05m</w:t>
            </w:r>
            <w:r>
              <w:rPr>
                <w:rFonts w:hint="eastAsia"/>
                <w:color w:val="auto"/>
              </w:rPr>
              <w:t>³</w:t>
            </w:r>
            <w:r>
              <w:rPr>
                <w:color w:val="auto"/>
              </w:rPr>
              <w:t>/</w:t>
            </w:r>
            <w:r>
              <w:rPr>
                <w:rFonts w:hint="eastAsia"/>
                <w:color w:val="auto"/>
              </w:rPr>
              <w:t>辆次，则车辆清洗水水量</w:t>
            </w:r>
            <w:r>
              <w:rPr>
                <w:color w:val="auto"/>
              </w:rPr>
              <w:t>50t/d(15000t/a)</w:t>
            </w:r>
            <w:r>
              <w:rPr>
                <w:rFonts w:hint="eastAsia"/>
                <w:color w:val="auto"/>
              </w:rPr>
              <w:t>，车辆用水消耗量为</w:t>
            </w:r>
            <w:r>
              <w:rPr>
                <w:color w:val="auto"/>
              </w:rPr>
              <w:t>5t/d(1500t/a)</w:t>
            </w:r>
            <w:r>
              <w:rPr>
                <w:rFonts w:hint="eastAsia"/>
                <w:color w:val="auto"/>
              </w:rPr>
              <w:t>。该冲洗水循环使用，不外排。</w:t>
            </w:r>
          </w:p>
          <w:p>
            <w:pPr>
              <w:pStyle w:val="67"/>
              <w:ind w:firstLine="31680"/>
              <w:rPr>
                <w:color w:val="auto"/>
              </w:rPr>
            </w:pPr>
            <w:r>
              <w:rPr>
                <w:rFonts w:hint="eastAsia"/>
                <w:color w:val="auto"/>
              </w:rPr>
              <w:t>②道路抑尘用水</w:t>
            </w:r>
          </w:p>
          <w:p>
            <w:pPr>
              <w:pStyle w:val="67"/>
              <w:ind w:firstLine="31680"/>
              <w:rPr>
                <w:color w:val="auto"/>
              </w:rPr>
            </w:pPr>
            <w:r>
              <w:rPr>
                <w:rFonts w:hint="eastAsia"/>
                <w:color w:val="auto"/>
              </w:rPr>
              <w:t>为了降低厂区粉尘对项目周边环境的影响，对道路（面积约为</w:t>
            </w:r>
            <w:r>
              <w:rPr>
                <w:color w:val="auto"/>
              </w:rPr>
              <w:t>1000</w:t>
            </w:r>
            <w:r>
              <w:rPr>
                <w:rFonts w:hint="eastAsia"/>
                <w:color w:val="auto"/>
              </w:rPr>
              <w:t>㎡）进行喷淋抑尘，按平均一天</w:t>
            </w:r>
            <w:r>
              <w:rPr>
                <w:color w:val="auto"/>
              </w:rPr>
              <w:t>4</w:t>
            </w:r>
            <w:r>
              <w:rPr>
                <w:rFonts w:hint="eastAsia"/>
                <w:color w:val="auto"/>
              </w:rPr>
              <w:t>次，每次</w:t>
            </w:r>
            <w:r>
              <w:rPr>
                <w:color w:val="auto"/>
              </w:rPr>
              <w:t>0.2L/</w:t>
            </w:r>
            <w:r>
              <w:rPr>
                <w:rFonts w:hint="eastAsia"/>
                <w:color w:val="auto"/>
              </w:rPr>
              <w:t>㎡地面用水量计算，则喷淋量为</w:t>
            </w:r>
            <w:r>
              <w:rPr>
                <w:color w:val="auto"/>
              </w:rPr>
              <w:t>0.8m</w:t>
            </w:r>
            <w:r>
              <w:rPr>
                <w:rFonts w:hint="eastAsia"/>
                <w:color w:val="auto"/>
              </w:rPr>
              <w:t>³</w:t>
            </w:r>
            <w:r>
              <w:rPr>
                <w:color w:val="auto"/>
              </w:rPr>
              <w:t>/d</w:t>
            </w:r>
            <w:r>
              <w:rPr>
                <w:rFonts w:hint="eastAsia"/>
                <w:color w:val="auto"/>
              </w:rPr>
              <w:t>。</w:t>
            </w:r>
          </w:p>
          <w:p>
            <w:pPr>
              <w:pStyle w:val="67"/>
              <w:ind w:firstLine="31680"/>
              <w:rPr>
                <w:color w:val="auto"/>
              </w:rPr>
            </w:pPr>
            <w:r>
              <w:rPr>
                <w:rFonts w:hint="eastAsia"/>
                <w:color w:val="auto"/>
              </w:rPr>
              <w:t>（</w:t>
            </w:r>
            <w:r>
              <w:rPr>
                <w:color w:val="auto"/>
              </w:rPr>
              <w:t>4</w:t>
            </w:r>
            <w:r>
              <w:rPr>
                <w:rFonts w:hint="eastAsia"/>
                <w:color w:val="auto"/>
              </w:rPr>
              <w:t>）初期雨水</w:t>
            </w:r>
          </w:p>
          <w:p>
            <w:pPr>
              <w:pStyle w:val="67"/>
              <w:ind w:firstLine="31680"/>
              <w:rPr>
                <w:color w:val="auto"/>
              </w:rPr>
            </w:pPr>
            <w:r>
              <w:rPr>
                <w:rFonts w:hint="eastAsia"/>
                <w:color w:val="auto"/>
              </w:rPr>
              <w:t>场地降雨冲洗会产生一定的废水，场内初期雨水通过导流沟收集后进入初期雨水池，后期雨水经过切换阀切换后外排。初期雨水一般采用历年最大暴雨的前</w:t>
            </w:r>
            <w:r>
              <w:rPr>
                <w:color w:val="auto"/>
              </w:rPr>
              <w:t>15min</w:t>
            </w:r>
            <w:r>
              <w:rPr>
                <w:rFonts w:hint="eastAsia"/>
                <w:color w:val="auto"/>
              </w:rPr>
              <w:t>雨量为初期雨水量，计算公式如下：</w:t>
            </w:r>
          </w:p>
          <w:p>
            <w:pPr>
              <w:pStyle w:val="67"/>
              <w:spacing w:beforeLines="50" w:afterLines="50"/>
              <w:ind w:firstLine="31680"/>
              <w:jc w:val="center"/>
              <w:rPr>
                <w:color w:val="auto"/>
              </w:rPr>
            </w:pPr>
            <w:r>
              <w:rPr>
                <w:color w:val="auto"/>
              </w:rPr>
              <w:object>
                <v:shape id="_x0000_i1025" o:spt="75" type="#_x0000_t75" style="height:15.75pt;width:47.25pt;" o:ole="t" filled="f" o:preferrelative="t" stroked="f" coordsize="21600,21600">
                  <v:path/>
                  <v:fill on="f" focussize="0,0"/>
                  <v:stroke on="f" joinstyle="miter"/>
                  <v:imagedata r:id="rId9" o:title=""/>
                  <o:lock v:ext="edit" aspectratio="t"/>
                  <w10:wrap type="none"/>
                  <w10:anchorlock/>
                </v:shape>
                <o:OLEObject Type="Embed" ProgID="Equation.3" ShapeID="_x0000_i1025" DrawAspect="Content" ObjectID="_1468075725" r:id="rId8">
                  <o:LockedField>false</o:LockedField>
                </o:OLEObject>
              </w:object>
            </w:r>
          </w:p>
          <w:p>
            <w:pPr>
              <w:pStyle w:val="67"/>
              <w:ind w:firstLine="31680"/>
              <w:rPr>
                <w:color w:val="auto"/>
              </w:rPr>
            </w:pPr>
            <w:r>
              <w:rPr>
                <w:color w:val="auto"/>
              </w:rPr>
              <w:object>
                <v:shape id="_x0000_i1026" o:spt="75" type="#_x0000_t75" style="height:15pt;width:11.25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color w:val="auto"/>
              </w:rPr>
              <w:t>—</w:t>
            </w:r>
            <w:r>
              <w:rPr>
                <w:rFonts w:hint="eastAsia"/>
                <w:color w:val="auto"/>
              </w:rPr>
              <w:t>初期雨水流量</w:t>
            </w:r>
            <w:r>
              <w:rPr>
                <w:color w:val="auto"/>
              </w:rPr>
              <w:t>(L/s)</w:t>
            </w:r>
            <w:r>
              <w:rPr>
                <w:rFonts w:hint="eastAsia"/>
                <w:color w:val="auto"/>
              </w:rPr>
              <w:t>；</w:t>
            </w:r>
          </w:p>
          <w:p>
            <w:pPr>
              <w:pStyle w:val="67"/>
              <w:ind w:firstLine="31680"/>
              <w:rPr>
                <w:color w:val="auto"/>
              </w:rPr>
            </w:pPr>
            <w:r>
              <w:rPr>
                <w:color w:val="auto"/>
              </w:rPr>
              <w:object>
                <v:shape id="_x0000_i1027" o:spt="75" type="#_x0000_t75" style="height:13.5pt;width:12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color w:val="auto"/>
              </w:rPr>
              <w:t>—</w:t>
            </w:r>
            <w:r>
              <w:rPr>
                <w:rFonts w:hint="eastAsia"/>
                <w:color w:val="auto"/>
              </w:rPr>
              <w:t>汇水面积（</w:t>
            </w:r>
            <w:r>
              <w:rPr>
                <w:color w:val="auto"/>
              </w:rPr>
              <w:t>0.53</w:t>
            </w:r>
            <w:r>
              <w:rPr>
                <w:rFonts w:hint="eastAsia"/>
                <w:color w:val="auto"/>
              </w:rPr>
              <w:t>公顷）；</w:t>
            </w:r>
          </w:p>
          <w:p>
            <w:pPr>
              <w:pStyle w:val="67"/>
              <w:ind w:firstLine="31680"/>
              <w:rPr>
                <w:color w:val="auto"/>
              </w:rPr>
            </w:pPr>
            <w:r>
              <w:rPr>
                <w:color w:val="auto"/>
              </w:rPr>
              <w:object>
                <v:shape id="_x0000_i1028" o:spt="75" type="#_x0000_t75" style="height:13.5pt;width:12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r>
              <w:rPr>
                <w:color w:val="auto"/>
              </w:rPr>
              <w:t>—</w:t>
            </w:r>
            <w:r>
              <w:rPr>
                <w:rFonts w:hint="eastAsia"/>
                <w:color w:val="auto"/>
              </w:rPr>
              <w:t>为径流系数（取</w:t>
            </w:r>
            <w:r>
              <w:rPr>
                <w:color w:val="auto"/>
              </w:rPr>
              <w:t>0.9</w:t>
            </w:r>
            <w:r>
              <w:rPr>
                <w:rFonts w:hint="eastAsia"/>
                <w:color w:val="auto"/>
              </w:rPr>
              <w:t>）；</w:t>
            </w:r>
          </w:p>
          <w:p>
            <w:pPr>
              <w:pStyle w:val="67"/>
              <w:ind w:firstLine="31680"/>
              <w:rPr>
                <w:color w:val="auto"/>
              </w:rPr>
            </w:pPr>
            <w:r>
              <w:rPr>
                <w:color w:val="auto"/>
              </w:rPr>
              <w:object>
                <v:shape id="_x0000_i1029" o:spt="75" type="#_x0000_t75" style="height:12pt;width:9.75pt;" o:ole="t" filled="f" o:preferrelative="t" stroked="f" coordsize="21600,21600">
                  <v:path/>
                  <v:fill on="f" focussize="0,0"/>
                  <v:stroke on="f" joinstyle="miter"/>
                  <v:imagedata r:id="rId17" o:title=""/>
                  <o:lock v:ext="edit" aspectratio="t"/>
                  <w10:wrap type="none"/>
                  <w10:anchorlock/>
                </v:shape>
                <o:OLEObject Type="Embed" ProgID="Equation.DSMT4" ShapeID="_x0000_i1029" DrawAspect="Content" ObjectID="_1468075729" r:id="rId16">
                  <o:LockedField>false</o:LockedField>
                </o:OLEObject>
              </w:object>
            </w:r>
            <w:r>
              <w:rPr>
                <w:color w:val="auto"/>
              </w:rPr>
              <w:t>—</w:t>
            </w:r>
            <w:r>
              <w:rPr>
                <w:rFonts w:hint="eastAsia"/>
                <w:color w:val="auto"/>
              </w:rPr>
              <w:t>暴雨强度</w:t>
            </w:r>
            <w:r>
              <w:rPr>
                <w:color w:val="auto"/>
              </w:rPr>
              <w:t>(L/s·hm</w:t>
            </w:r>
            <w:r>
              <w:rPr>
                <w:color w:val="auto"/>
                <w:vertAlign w:val="superscript"/>
              </w:rPr>
              <w:t>2</w:t>
            </w:r>
            <w:r>
              <w:rPr>
                <w:color w:val="auto"/>
              </w:rPr>
              <w:t>)</w:t>
            </w:r>
            <w:r>
              <w:rPr>
                <w:rFonts w:hint="eastAsia"/>
                <w:color w:val="auto"/>
              </w:rPr>
              <w:t>；</w:t>
            </w:r>
          </w:p>
          <w:p>
            <w:pPr>
              <w:pStyle w:val="67"/>
              <w:ind w:firstLine="31680"/>
              <w:rPr>
                <w:color w:val="auto"/>
              </w:rPr>
            </w:pPr>
            <w:r>
              <w:rPr>
                <w:rFonts w:hint="eastAsia"/>
                <w:color w:val="auto"/>
              </w:rPr>
              <w:t>暴雨强度的计算参照福建省三明市永安市暴雨强度计算公式：</w:t>
            </w:r>
          </w:p>
          <w:p>
            <w:pPr>
              <w:pStyle w:val="67"/>
              <w:spacing w:beforeLines="50" w:afterLines="50"/>
              <w:ind w:firstLine="31680"/>
              <w:jc w:val="center"/>
              <w:rPr>
                <w:color w:val="auto"/>
              </w:rPr>
            </w:pPr>
            <w:r>
              <w:rPr>
                <w:color w:val="auto"/>
              </w:rPr>
              <w:object>
                <v:shape id="_x0000_i1030" o:spt="75" type="#_x0000_t75" style="height:33.75pt;width:140.25pt;" o:ole="t" filled="f" o:preferrelative="t" stroked="f" coordsize="21600,21600">
                  <v:path/>
                  <v:fill on="f" focussize="0,0"/>
                  <v:stroke on="f" joinstyle="miter"/>
                  <v:imagedata r:id="rId19" o:title=""/>
                  <o:lock v:ext="edit" aspectratio="t"/>
                  <w10:wrap type="none"/>
                  <w10:anchorlock/>
                </v:shape>
                <o:OLEObject Type="Embed" ProgID="Equation.3" ShapeID="_x0000_i1030" DrawAspect="Content" ObjectID="_1468075730" r:id="rId18">
                  <o:LockedField>false</o:LockedField>
                </o:OLEObject>
              </w:object>
            </w:r>
          </w:p>
          <w:p>
            <w:pPr>
              <w:pStyle w:val="67"/>
              <w:ind w:firstLine="31680"/>
              <w:rPr>
                <w:color w:val="auto"/>
              </w:rPr>
            </w:pPr>
            <w:r>
              <w:rPr>
                <w:color w:val="auto"/>
              </w:rPr>
              <w:object>
                <v:shape id="_x0000_i1031" o:spt="75" type="#_x0000_t75" style="height:13.5pt;width:12pt;" o:ole="t" filled="f" o:preferrelative="t" stroked="f" coordsize="21600,21600">
                  <v:path/>
                  <v:fill on="f" focussize="0,0"/>
                  <v:stroke on="f" joinstyle="miter"/>
                  <v:imagedata r:id="rId21" o:title=""/>
                  <o:lock v:ext="edit" aspectratio="t"/>
                  <w10:wrap type="none"/>
                  <w10:anchorlock/>
                </v:shape>
                <o:OLEObject Type="Embed" ProgID="Equation.DSMT4" ShapeID="_x0000_i1031" DrawAspect="Content" ObjectID="_1468075731" r:id="rId20">
                  <o:LockedField>false</o:LockedField>
                </o:OLEObject>
              </w:object>
            </w:r>
            <w:r>
              <w:rPr>
                <w:color w:val="auto"/>
              </w:rPr>
              <w:t>—</w:t>
            </w:r>
            <w:r>
              <w:rPr>
                <w:rFonts w:hint="eastAsia"/>
                <w:color w:val="auto"/>
              </w:rPr>
              <w:t>设计重现期，取</w:t>
            </w:r>
            <w:r>
              <w:rPr>
                <w:color w:val="auto"/>
              </w:rPr>
              <w:t>2</w:t>
            </w:r>
            <w:r>
              <w:rPr>
                <w:rFonts w:hint="eastAsia"/>
                <w:color w:val="auto"/>
              </w:rPr>
              <w:t>年；</w:t>
            </w:r>
          </w:p>
          <w:p>
            <w:pPr>
              <w:pStyle w:val="67"/>
              <w:ind w:firstLine="31680"/>
              <w:rPr>
                <w:color w:val="auto"/>
              </w:rPr>
            </w:pPr>
            <w:r>
              <w:rPr>
                <w:color w:val="auto"/>
              </w:rPr>
              <w:object>
                <v:shape id="_x0000_i1032" o:spt="75" type="#_x0000_t75" style="height:12pt;width:8.25pt;" o:ole="t" filled="f" o:preferrelative="t" stroked="f" coordsize="21600,21600">
                  <v:path/>
                  <v:fill on="f" focussize="0,0"/>
                  <v:stroke on="f" joinstyle="miter"/>
                  <v:imagedata r:id="rId23" o:title=""/>
                  <o:lock v:ext="edit" aspectratio="t"/>
                  <w10:wrap type="none"/>
                  <w10:anchorlock/>
                </v:shape>
                <o:OLEObject Type="Embed" ProgID="Equation.DSMT4" ShapeID="_x0000_i1032" DrawAspect="Content" ObjectID="_1468075732" r:id="rId22">
                  <o:LockedField>false</o:LockedField>
                </o:OLEObject>
              </w:object>
            </w:r>
            <w:r>
              <w:rPr>
                <w:color w:val="auto"/>
              </w:rPr>
              <w:t>—</w:t>
            </w:r>
            <w:r>
              <w:rPr>
                <w:rFonts w:hint="eastAsia"/>
                <w:color w:val="auto"/>
              </w:rPr>
              <w:t>降雨历时，取</w:t>
            </w:r>
            <w:r>
              <w:rPr>
                <w:color w:val="auto"/>
              </w:rPr>
              <w:t>15min</w:t>
            </w:r>
            <w:r>
              <w:rPr>
                <w:rFonts w:hint="eastAsia"/>
                <w:color w:val="auto"/>
              </w:rPr>
              <w:t>；</w:t>
            </w:r>
          </w:p>
          <w:p>
            <w:pPr>
              <w:pStyle w:val="67"/>
              <w:ind w:firstLine="31680"/>
              <w:rPr>
                <w:color w:val="auto"/>
              </w:rPr>
            </w:pPr>
            <w:r>
              <w:rPr>
                <w:rFonts w:hint="eastAsia"/>
                <w:color w:val="auto"/>
              </w:rPr>
              <w:t>经计算，暴雨强度为</w:t>
            </w:r>
            <w:r>
              <w:rPr>
                <w:color w:val="auto"/>
              </w:rPr>
              <w:t>253.44L/s</w:t>
            </w:r>
            <w:r>
              <w:rPr>
                <w:rFonts w:hint="eastAsia"/>
                <w:color w:val="auto"/>
              </w:rPr>
              <w:t>·</w:t>
            </w:r>
            <w:r>
              <w:rPr>
                <w:color w:val="auto"/>
              </w:rPr>
              <w:t>h</w:t>
            </w:r>
            <w:r>
              <w:rPr>
                <w:rFonts w:hint="eastAsia"/>
                <w:color w:val="auto"/>
              </w:rPr>
              <w:t>㎡，雨水流量</w:t>
            </w:r>
            <w:r>
              <w:rPr>
                <w:color w:val="auto"/>
              </w:rPr>
              <w:t>202.25L/s</w:t>
            </w:r>
            <w:r>
              <w:rPr>
                <w:rFonts w:hint="eastAsia"/>
                <w:color w:val="auto"/>
              </w:rPr>
              <w:t>，则</w:t>
            </w:r>
            <w:r>
              <w:rPr>
                <w:color w:val="auto"/>
              </w:rPr>
              <w:t>15min</w:t>
            </w:r>
            <w:r>
              <w:rPr>
                <w:rFonts w:hint="eastAsia"/>
                <w:color w:val="auto"/>
              </w:rPr>
              <w:t>内的初期雨水量为</w:t>
            </w:r>
            <w:r>
              <w:rPr>
                <w:color w:val="auto"/>
              </w:rPr>
              <w:t>96.47m</w:t>
            </w:r>
            <w:r>
              <w:rPr>
                <w:rFonts w:hint="eastAsia"/>
                <w:color w:val="auto"/>
              </w:rPr>
              <w:t>³</w:t>
            </w:r>
            <w:r>
              <w:rPr>
                <w:color w:val="auto"/>
              </w:rPr>
              <w:t>/</w:t>
            </w:r>
            <w:r>
              <w:rPr>
                <w:rFonts w:hint="eastAsia"/>
                <w:color w:val="auto"/>
              </w:rPr>
              <w:t>次，每年降雨以</w:t>
            </w:r>
            <w:r>
              <w:rPr>
                <w:color w:val="auto"/>
              </w:rPr>
              <w:t>15</w:t>
            </w:r>
            <w:r>
              <w:rPr>
                <w:rFonts w:hint="eastAsia"/>
                <w:color w:val="auto"/>
              </w:rPr>
              <w:t>次计，则初期雨水量为</w:t>
            </w:r>
            <w:r>
              <w:rPr>
                <w:color w:val="auto"/>
              </w:rPr>
              <w:t>1447.05m</w:t>
            </w:r>
            <w:r>
              <w:rPr>
                <w:rFonts w:hint="eastAsia"/>
                <w:color w:val="auto"/>
              </w:rPr>
              <w:t>³</w:t>
            </w:r>
            <w:r>
              <w:rPr>
                <w:color w:val="auto"/>
              </w:rPr>
              <w:t>/a(4.82m</w:t>
            </w:r>
            <w:r>
              <w:rPr>
                <w:rFonts w:hint="eastAsia"/>
                <w:color w:val="auto"/>
              </w:rPr>
              <w:t>³</w:t>
            </w:r>
            <w:r>
              <w:rPr>
                <w:color w:val="auto"/>
              </w:rPr>
              <w:t>/d)</w:t>
            </w:r>
            <w:r>
              <w:rPr>
                <w:rFonts w:hint="eastAsia"/>
                <w:color w:val="auto"/>
              </w:rPr>
              <w:t>，该部分雨水在初期雨水池沉淀处理后用作厂区车辆冲洗用水使用。定期将沉淀污泥清理，外卖综合处置。</w:t>
            </w:r>
          </w:p>
          <w:p>
            <w:pPr>
              <w:pStyle w:val="67"/>
              <w:ind w:firstLine="31680"/>
              <w:rPr>
                <w:color w:val="auto"/>
              </w:rPr>
            </w:pPr>
            <w:r>
              <w:rPr>
                <w:rFonts w:hint="eastAsia"/>
                <w:color w:val="auto"/>
              </w:rPr>
              <w:t>项目水平衡见图</w:t>
            </w:r>
            <w:r>
              <w:rPr>
                <w:color w:val="auto"/>
              </w:rPr>
              <w:t>2.6-1</w:t>
            </w:r>
            <w:r>
              <w:rPr>
                <w:rFonts w:hint="eastAsia"/>
                <w:color w:val="auto"/>
              </w:rPr>
              <w:t>：</w:t>
            </w:r>
          </w:p>
          <w:p>
            <w:pPr>
              <w:pStyle w:val="67"/>
              <w:ind w:firstLine="0" w:firstLineChars="0"/>
              <w:jc w:val="center"/>
              <w:rPr>
                <w:color w:val="auto"/>
              </w:rPr>
            </w:pPr>
            <w:r>
              <w:rPr>
                <w:color w:val="auto"/>
              </w:rPr>
              <w:object>
                <v:shape id="_x0000_i1033" o:spt="75" type="#_x0000_t75" style="height:226.5pt;width:365.25pt;" o:ole="t" filled="f" o:preferrelative="t" stroked="f" coordsize="21600,21600">
                  <v:path/>
                  <v:fill on="f" focussize="0,0"/>
                  <v:stroke on="f"/>
                  <v:imagedata r:id="rId25" o:title=""/>
                  <o:lock v:ext="edit" aspectratio="f"/>
                  <w10:wrap type="none"/>
                  <w10:anchorlock/>
                </v:shape>
                <o:OLEObject Type="Embed" ProgID="Visio.Drawing.15" ShapeID="_x0000_i1033" DrawAspect="Content" ObjectID="_1468075733" r:id="rId24">
                  <o:LockedField>false</o:LockedField>
                </o:OLEObject>
              </w:object>
            </w:r>
          </w:p>
          <w:p>
            <w:pPr>
              <w:pStyle w:val="83"/>
              <w:adjustRightInd/>
              <w:snapToGrid/>
              <w:spacing w:beforeLines="50"/>
              <w:jc w:val="center"/>
              <w:rPr>
                <w:color w:val="auto"/>
                <w:sz w:val="24"/>
                <w:szCs w:val="24"/>
              </w:rPr>
            </w:pPr>
            <w:r>
              <w:rPr>
                <w:rFonts w:hint="eastAsia"/>
                <w:color w:val="auto"/>
                <w:sz w:val="24"/>
                <w:szCs w:val="24"/>
              </w:rPr>
              <w:t>图</w:t>
            </w:r>
            <w:r>
              <w:rPr>
                <w:color w:val="auto"/>
                <w:sz w:val="24"/>
                <w:szCs w:val="24"/>
              </w:rPr>
              <w:t xml:space="preserve">2.6-1 </w:t>
            </w:r>
            <w:r>
              <w:rPr>
                <w:rFonts w:hint="eastAsia"/>
                <w:color w:val="auto"/>
                <w:sz w:val="24"/>
                <w:szCs w:val="24"/>
              </w:rPr>
              <w:t>项目水平衡图（</w:t>
            </w:r>
            <w:r>
              <w:rPr>
                <w:color w:val="auto"/>
                <w:sz w:val="24"/>
                <w:szCs w:val="24"/>
              </w:rPr>
              <w:t>t/d</w:t>
            </w:r>
            <w:r>
              <w:rPr>
                <w:rFonts w:hint="eastAsia"/>
                <w:color w:val="auto"/>
                <w:sz w:val="24"/>
                <w:szCs w:val="24"/>
              </w:rPr>
              <w:t>）</w:t>
            </w:r>
          </w:p>
          <w:p>
            <w:pPr>
              <w:pStyle w:val="83"/>
              <w:adjustRightInd/>
              <w:snapToGrid/>
              <w:rPr>
                <w:color w:val="auto"/>
              </w:rPr>
            </w:pPr>
            <w:r>
              <w:rPr>
                <w:color w:val="auto"/>
              </w:rPr>
              <w:t>2.7</w:t>
            </w:r>
            <w:r>
              <w:rPr>
                <w:rFonts w:hint="eastAsia"/>
                <w:color w:val="auto"/>
              </w:rPr>
              <w:t>厂区平面布置</w:t>
            </w:r>
          </w:p>
          <w:p>
            <w:pPr>
              <w:pStyle w:val="106"/>
              <w:ind w:firstLine="31680"/>
              <w:rPr>
                <w:color w:val="auto"/>
              </w:rPr>
            </w:pPr>
            <w:r>
              <w:rPr>
                <w:rFonts w:hint="eastAsia"/>
                <w:color w:val="auto"/>
              </w:rPr>
              <w:t>本项目位于福建省三明市永安市曹远镇坑边路（北部工业新城鑫华港饲料东侧），总占地面积</w:t>
            </w:r>
            <w:r>
              <w:rPr>
                <w:color w:val="auto"/>
              </w:rPr>
              <w:t>15080</w:t>
            </w:r>
            <w:r>
              <w:rPr>
                <w:rFonts w:hint="eastAsia"/>
                <w:color w:val="auto"/>
              </w:rPr>
              <w:t>㎡。项目厂区西北侧为永安鑫华港饲料有限公司，西南侧为园区内道路及福建明源板业有限公司，东北和东南侧均为山林。厂区出入口设置在西南侧。</w:t>
            </w:r>
          </w:p>
          <w:p>
            <w:pPr>
              <w:pStyle w:val="106"/>
              <w:ind w:firstLine="31680"/>
              <w:rPr>
                <w:color w:val="auto"/>
              </w:rPr>
            </w:pPr>
            <w:r>
              <w:rPr>
                <w:rFonts w:hint="eastAsia"/>
                <w:color w:val="auto"/>
              </w:rPr>
              <w:t>本项目</w:t>
            </w:r>
            <w:r>
              <w:rPr>
                <w:color w:val="auto"/>
              </w:rPr>
              <w:t>2#</w:t>
            </w:r>
            <w:r>
              <w:rPr>
                <w:rFonts w:hint="eastAsia"/>
                <w:color w:val="auto"/>
              </w:rPr>
              <w:t>厂房布设</w:t>
            </w:r>
            <w:r>
              <w:rPr>
                <w:rFonts w:hint="eastAsia"/>
                <w:bCs/>
                <w:color w:val="auto"/>
              </w:rPr>
              <w:t>石英粉生产线</w:t>
            </w:r>
            <w:r>
              <w:rPr>
                <w:rFonts w:hint="eastAsia"/>
                <w:color w:val="auto"/>
              </w:rPr>
              <w:t>，</w:t>
            </w:r>
            <w:r>
              <w:rPr>
                <w:color w:val="auto"/>
              </w:rPr>
              <w:t>1#</w:t>
            </w:r>
            <w:r>
              <w:rPr>
                <w:rFonts w:hint="eastAsia"/>
                <w:color w:val="auto"/>
              </w:rPr>
              <w:t>厂房用于后端硅酸钙板生产。综合楼设置在厂区南侧。</w:t>
            </w:r>
            <w:r>
              <w:rPr>
                <w:color w:val="auto"/>
              </w:rPr>
              <w:t>2#</w:t>
            </w:r>
            <w:r>
              <w:rPr>
                <w:rFonts w:hint="eastAsia"/>
                <w:color w:val="auto"/>
              </w:rPr>
              <w:t>厂房按照工艺流程由西南往东北方向依次布设鄂破机、圆锥破碎机、振动筛、料仓、雷蒙磨、提升机、料仓；</w:t>
            </w:r>
            <w:r>
              <w:rPr>
                <w:color w:val="auto"/>
              </w:rPr>
              <w:t>1#</w:t>
            </w:r>
            <w:r>
              <w:rPr>
                <w:rFonts w:hint="eastAsia"/>
                <w:color w:val="auto"/>
              </w:rPr>
              <w:t>厂房按照工艺流程由西南往东北方向依次布水泥料仓、制浆区、网箱抄取区、磨边倒角区、脱模区、</w:t>
            </w:r>
            <w:r>
              <w:rPr>
                <w:rFonts w:hint="eastAsia"/>
                <w:color w:val="auto"/>
                <w:szCs w:val="21"/>
              </w:rPr>
              <w:t>蒸养区</w:t>
            </w:r>
            <w:r>
              <w:rPr>
                <w:rFonts w:hint="eastAsia"/>
                <w:color w:val="auto"/>
              </w:rPr>
              <w:t>、</w:t>
            </w:r>
            <w:r>
              <w:rPr>
                <w:rFonts w:hint="eastAsia"/>
                <w:color w:val="auto"/>
                <w:szCs w:val="21"/>
              </w:rPr>
              <w:t>烘干区</w:t>
            </w:r>
            <w:r>
              <w:rPr>
                <w:rFonts w:hint="eastAsia"/>
                <w:color w:val="auto"/>
              </w:rPr>
              <w:t>。生产车间平面布局根据生产工艺需求和周边环境等特点进行布置，生产过程中产生的各类污染物经治理后对周边环境影响较小。生产车间各区块功能明确，物料流向顺畅，符合防火、安全等有关规范，总体布局功能分区明确，便于生产的连续性，项目平面布置基本合理。</w:t>
            </w:r>
          </w:p>
          <w:p>
            <w:pPr>
              <w:pStyle w:val="106"/>
              <w:ind w:firstLine="31680"/>
              <w:rPr>
                <w:color w:val="auto"/>
              </w:rPr>
            </w:pPr>
            <w:r>
              <w:rPr>
                <w:rFonts w:hint="eastAsia"/>
                <w:color w:val="auto"/>
              </w:rPr>
              <w:t>厂区平面布置图见附图</w:t>
            </w:r>
            <w:r>
              <w:rPr>
                <w:color w:val="auto"/>
              </w:rPr>
              <w:t>2</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03" w:hRule="atLeast"/>
          <w:jc w:val="center"/>
        </w:trPr>
        <w:tc>
          <w:tcPr>
            <w:tcW w:w="405" w:type="dxa"/>
            <w:vAlign w:val="center"/>
          </w:tcPr>
          <w:p>
            <w:pPr>
              <w:pStyle w:val="25"/>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建设内容</w:t>
            </w:r>
          </w:p>
        </w:tc>
        <w:tc>
          <w:tcPr>
            <w:tcW w:w="8655" w:type="dxa"/>
            <w:vMerge w:val="continue"/>
          </w:tcPr>
          <w:p>
            <w:pPr>
              <w:pStyle w:val="67"/>
              <w:ind w:firstLine="3168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5" w:hRule="atLeast"/>
          <w:jc w:val="center"/>
        </w:trPr>
        <w:tc>
          <w:tcPr>
            <w:tcW w:w="405" w:type="dxa"/>
            <w:vAlign w:val="center"/>
          </w:tcPr>
          <w:p>
            <w:pPr>
              <w:pStyle w:val="25"/>
              <w:spacing w:before="0" w:beforeAutospacing="0" w:after="0" w:afterAutospacing="0"/>
              <w:jc w:val="center"/>
              <w:rPr>
                <w:rFonts w:ascii="Times New Roman" w:hAnsi="Times New Roman"/>
                <w:color w:val="auto"/>
                <w:sz w:val="21"/>
                <w:szCs w:val="21"/>
              </w:rPr>
            </w:pPr>
            <w:r>
              <w:rPr>
                <w:rFonts w:hint="eastAsia" w:ascii="Times New Roman" w:hAnsi="Times New Roman"/>
                <w:color w:val="auto"/>
                <w:sz w:val="21"/>
                <w:szCs w:val="21"/>
              </w:rPr>
              <w:t>工艺流程和产排污环节</w:t>
            </w:r>
          </w:p>
        </w:tc>
        <w:tc>
          <w:tcPr>
            <w:tcW w:w="8655" w:type="dxa"/>
          </w:tcPr>
          <w:p>
            <w:pPr>
              <w:pStyle w:val="83"/>
              <w:adjustRightInd/>
              <w:snapToGrid/>
              <w:rPr>
                <w:color w:val="auto"/>
              </w:rPr>
            </w:pPr>
            <w:r>
              <w:rPr>
                <w:color w:val="auto"/>
              </w:rPr>
              <w:t>2.8</w:t>
            </w:r>
            <w:r>
              <w:rPr>
                <w:rFonts w:hint="eastAsia"/>
                <w:color w:val="auto"/>
              </w:rPr>
              <w:t>生产工艺及产污环节分析</w:t>
            </w:r>
          </w:p>
          <w:p>
            <w:pPr>
              <w:pStyle w:val="81"/>
              <w:ind w:firstLine="31680"/>
              <w:rPr>
                <w:color w:val="auto"/>
                <w:szCs w:val="24"/>
                <w:highlight w:val="yellow"/>
              </w:rPr>
            </w:pPr>
            <w:r>
              <w:rPr>
                <w:rFonts w:hint="eastAsia"/>
                <w:color w:val="auto"/>
                <w:szCs w:val="24"/>
              </w:rPr>
              <w:t>本项目从事硅酸钙板生产，石英粉作为硅酸钙板主要的原料，公司为保证硅酸钙板产品质量，同时降低生产成本，本项目设置石英粉加工生产线。由于从石英矿加工至成品硅酸钙板流程较长，将生产工艺分为石英粉与硅酸钙板加工生产工艺。</w:t>
            </w:r>
          </w:p>
          <w:p>
            <w:pPr>
              <w:pStyle w:val="174"/>
              <w:rPr>
                <w:color w:val="auto"/>
              </w:rPr>
            </w:pPr>
            <w:r>
              <w:rPr>
                <w:color w:val="auto"/>
              </w:rPr>
              <w:t>2.8.1</w:t>
            </w:r>
            <w:r>
              <w:rPr>
                <w:rFonts w:hint="eastAsia"/>
                <w:color w:val="auto"/>
              </w:rPr>
              <w:t>石英粉加工生产工艺</w:t>
            </w:r>
          </w:p>
          <w:p>
            <w:pPr>
              <w:pStyle w:val="81"/>
              <w:ind w:firstLine="31680"/>
              <w:rPr>
                <w:color w:val="auto"/>
              </w:rPr>
            </w:pPr>
            <w:r>
              <w:rPr>
                <w:rFonts w:hint="eastAsia"/>
                <w:color w:val="auto"/>
                <w:szCs w:val="32"/>
              </w:rPr>
              <w:t>本项目原料石英矿由汽车运输至厂区原料堆存（</w:t>
            </w:r>
            <w:r>
              <w:rPr>
                <w:color w:val="auto"/>
                <w:szCs w:val="32"/>
              </w:rPr>
              <w:t>2#</w:t>
            </w:r>
            <w:r>
              <w:rPr>
                <w:rFonts w:hint="eastAsia"/>
                <w:color w:val="auto"/>
                <w:szCs w:val="32"/>
              </w:rPr>
              <w:t>车间）卸货，原料卸料过程中会产生一定量的粉尘（</w:t>
            </w:r>
            <w:r>
              <w:rPr>
                <w:color w:val="auto"/>
                <w:szCs w:val="32"/>
              </w:rPr>
              <w:t>G1-1</w:t>
            </w:r>
            <w:r>
              <w:rPr>
                <w:rFonts w:hint="eastAsia"/>
                <w:color w:val="auto"/>
                <w:szCs w:val="32"/>
              </w:rPr>
              <w:t>）及噪声。原料石英矿有石英石块、石英细石之分，其中石英石块因粒径较大需要先使用破碎机破碎成细石后再进入圆锥破碎机完成后续生产工序；石英细石则可直接进入圆锥破碎机完成后续生产工序。石英粉生产工艺流程及产污环节见图</w:t>
            </w:r>
            <w:r>
              <w:rPr>
                <w:color w:val="auto"/>
                <w:szCs w:val="32"/>
              </w:rPr>
              <w:t>2.8-1</w:t>
            </w:r>
            <w:r>
              <w:rPr>
                <w:rFonts w:hint="eastAsia"/>
                <w:color w:val="auto"/>
                <w:szCs w:val="32"/>
              </w:rPr>
              <w:t>。</w:t>
            </w:r>
          </w:p>
          <w:p>
            <w:pPr>
              <w:pStyle w:val="81"/>
              <w:tabs>
                <w:tab w:val="center" w:pos="4279"/>
                <w:tab w:val="left" w:pos="7653"/>
              </w:tabs>
              <w:spacing w:beforeLines="50"/>
              <w:ind w:firstLine="0" w:firstLineChars="0"/>
              <w:jc w:val="center"/>
              <w:rPr>
                <w:color w:val="auto"/>
              </w:rPr>
            </w:pPr>
            <w:r>
              <w:rPr>
                <w:color w:val="auto"/>
              </w:rPr>
              <w:object>
                <v:shape id="_x0000_i1034" o:spt="75" type="#_x0000_t75" style="height:453pt;width:213.75pt;" o:ole="t" filled="f" o:preferrelative="t" stroked="f" coordsize="21600,21600">
                  <v:path/>
                  <v:fill on="f" focussize="0,0"/>
                  <v:stroke on="f" joinstyle="miter"/>
                  <v:imagedata r:id="rId27" o:title=""/>
                  <o:lock v:ext="edit" aspectratio="f"/>
                  <w10:wrap type="none"/>
                  <w10:anchorlock/>
                </v:shape>
                <o:OLEObject Type="Embed" ProgID="Visio.Drawing.15" ShapeID="_x0000_i1034" DrawAspect="Content" ObjectID="_1468075734" r:id="rId26">
                  <o:LockedField>false</o:LockedField>
                </o:OLEObject>
              </w:object>
            </w:r>
          </w:p>
          <w:p>
            <w:pPr>
              <w:pStyle w:val="83"/>
              <w:adjustRightInd/>
              <w:snapToGrid/>
              <w:jc w:val="center"/>
              <w:rPr>
                <w:color w:val="auto"/>
                <w:sz w:val="24"/>
                <w:szCs w:val="24"/>
              </w:rPr>
            </w:pPr>
            <w:r>
              <w:rPr>
                <w:rFonts w:hint="eastAsia"/>
                <w:color w:val="auto"/>
                <w:sz w:val="24"/>
                <w:szCs w:val="24"/>
              </w:rPr>
              <w:t>图</w:t>
            </w:r>
            <w:r>
              <w:rPr>
                <w:color w:val="auto"/>
                <w:sz w:val="24"/>
                <w:szCs w:val="24"/>
              </w:rPr>
              <w:t xml:space="preserve">2.8-1  </w:t>
            </w:r>
            <w:r>
              <w:rPr>
                <w:rFonts w:hint="eastAsia"/>
                <w:color w:val="auto"/>
                <w:sz w:val="24"/>
                <w:szCs w:val="24"/>
              </w:rPr>
              <w:t>石英粉生产工艺流程图</w:t>
            </w:r>
          </w:p>
          <w:p>
            <w:pPr>
              <w:pStyle w:val="81"/>
              <w:ind w:firstLine="31680"/>
              <w:rPr>
                <w:color w:val="auto"/>
                <w:szCs w:val="32"/>
              </w:rPr>
            </w:pPr>
            <w:r>
              <w:rPr>
                <w:color w:val="auto"/>
                <w:szCs w:val="32"/>
              </w:rPr>
              <w:t>1</w:t>
            </w:r>
            <w:r>
              <w:rPr>
                <w:rFonts w:hint="eastAsia"/>
                <w:color w:val="auto"/>
                <w:szCs w:val="32"/>
              </w:rPr>
              <w:t>）鄂破</w:t>
            </w:r>
          </w:p>
          <w:p>
            <w:pPr>
              <w:pStyle w:val="81"/>
              <w:ind w:firstLine="31680"/>
              <w:rPr>
                <w:color w:val="auto"/>
                <w:szCs w:val="32"/>
              </w:rPr>
            </w:pPr>
            <w:r>
              <w:rPr>
                <w:rFonts w:hint="eastAsia"/>
                <w:color w:val="auto"/>
                <w:szCs w:val="32"/>
              </w:rPr>
              <w:t>生石英石块进场地后储存于原料堆存，石料投入鄂破机进行初步破碎，鄂破机内对石英石块进行挤压、搓、碾等多重</w:t>
            </w:r>
            <w:r>
              <w:rPr>
                <w:color w:val="auto"/>
              </w:rPr>
              <w:fldChar w:fldCharType="begin"/>
            </w:r>
            <w:r>
              <w:rPr>
                <w:color w:val="auto"/>
              </w:rPr>
              <w:instrText xml:space="preserve"> HYPERLINK "https://baike.baidu.com/item/%E7%A0%B4%E7%A2%8E/4802716" \t "https://baike.baidu.com/item/%E9%84%82%E7%A0%B4%E6%9C%BA/_blank" </w:instrText>
            </w:r>
            <w:r>
              <w:rPr>
                <w:color w:val="auto"/>
              </w:rPr>
              <w:fldChar w:fldCharType="separate"/>
            </w:r>
            <w:r>
              <w:rPr>
                <w:rFonts w:hint="eastAsia"/>
                <w:color w:val="auto"/>
                <w:szCs w:val="32"/>
              </w:rPr>
              <w:t>破碎</w:t>
            </w:r>
            <w:r>
              <w:rPr>
                <w:rFonts w:hint="eastAsia"/>
                <w:color w:val="auto"/>
                <w:szCs w:val="32"/>
              </w:rPr>
              <w:fldChar w:fldCharType="end"/>
            </w:r>
            <w:r>
              <w:rPr>
                <w:rFonts w:hint="eastAsia"/>
                <w:color w:val="auto"/>
                <w:szCs w:val="32"/>
              </w:rPr>
              <w:t>，使物料由大变小，逐渐下落，直至从排料口排出，进入下道破碎工序。在此过程中会产生一定量的粉尘（</w:t>
            </w:r>
            <w:r>
              <w:rPr>
                <w:color w:val="auto"/>
                <w:szCs w:val="32"/>
              </w:rPr>
              <w:t>G1-2</w:t>
            </w:r>
            <w:r>
              <w:rPr>
                <w:rFonts w:hint="eastAsia"/>
                <w:color w:val="auto"/>
                <w:szCs w:val="32"/>
              </w:rPr>
              <w:t>）及噪声。</w:t>
            </w:r>
          </w:p>
          <w:p>
            <w:pPr>
              <w:pStyle w:val="81"/>
              <w:ind w:firstLine="31680"/>
              <w:rPr>
                <w:color w:val="auto"/>
                <w:szCs w:val="32"/>
              </w:rPr>
            </w:pPr>
            <w:r>
              <w:rPr>
                <w:color w:val="auto"/>
                <w:szCs w:val="32"/>
              </w:rPr>
              <w:t>2</w:t>
            </w:r>
            <w:r>
              <w:rPr>
                <w:rFonts w:hint="eastAsia"/>
                <w:color w:val="auto"/>
                <w:szCs w:val="32"/>
              </w:rPr>
              <w:t>）圆锥破碎</w:t>
            </w:r>
          </w:p>
          <w:p>
            <w:pPr>
              <w:pStyle w:val="81"/>
              <w:ind w:firstLine="31680"/>
              <w:rPr>
                <w:color w:val="auto"/>
                <w:szCs w:val="32"/>
              </w:rPr>
            </w:pPr>
            <w:r>
              <w:rPr>
                <w:rFonts w:hint="eastAsia"/>
                <w:color w:val="auto"/>
              </w:rPr>
              <w:t>经过鄂破后的物料由输送带送入</w:t>
            </w:r>
            <w:r>
              <w:rPr>
                <w:rFonts w:hint="eastAsia"/>
                <w:color w:val="auto"/>
                <w:szCs w:val="32"/>
              </w:rPr>
              <w:t>圆锥破碎机进行第二次破碎，圆锥破碎工作原理：</w:t>
            </w:r>
            <w:r>
              <w:rPr>
                <w:color w:val="auto"/>
              </w:rPr>
              <w:fldChar w:fldCharType="begin"/>
            </w:r>
            <w:r>
              <w:rPr>
                <w:color w:val="auto"/>
              </w:rPr>
              <w:instrText xml:space="preserve"> HYPERLINK "https://baike.baidu.com/item/%E7%94%B5%E5%8A%A8%E6%9C%BA/63197" \t "https://baike.baidu.com/item/_blank" </w:instrText>
            </w:r>
            <w:r>
              <w:rPr>
                <w:color w:val="auto"/>
              </w:rPr>
              <w:fldChar w:fldCharType="separate"/>
            </w:r>
            <w:r>
              <w:rPr>
                <w:rFonts w:hint="eastAsia"/>
                <w:color w:val="auto"/>
                <w:szCs w:val="32"/>
              </w:rPr>
              <w:t>电动机</w:t>
            </w:r>
            <w:r>
              <w:rPr>
                <w:rFonts w:hint="eastAsia"/>
                <w:color w:val="auto"/>
                <w:szCs w:val="32"/>
              </w:rPr>
              <w:fldChar w:fldCharType="end"/>
            </w:r>
            <w:r>
              <w:rPr>
                <w:rFonts w:hint="eastAsia"/>
                <w:color w:val="auto"/>
                <w:szCs w:val="32"/>
              </w:rPr>
              <w:t>通过传动装置带动偏心套旋转，动锥在偏心轴套的迫动下做旋转摆动，动锥靠近静锥的区段即成为破碎腔，物料受到动锥和静锥的多次挤压和撞击而破碎。动锥离开该区段时，该处已破碎至要求粒度的物料在自身重力作用下落，从锥底排出。粒径大于</w:t>
            </w:r>
            <w:r>
              <w:rPr>
                <w:color w:val="auto"/>
                <w:szCs w:val="32"/>
              </w:rPr>
              <w:t>40mm</w:t>
            </w:r>
            <w:r>
              <w:rPr>
                <w:rFonts w:hint="eastAsia"/>
                <w:color w:val="auto"/>
                <w:szCs w:val="32"/>
              </w:rPr>
              <w:t>的物料经过振动筛分筛后返回圆锥破碎机再次破碎，粒径小于</w:t>
            </w:r>
            <w:r>
              <w:rPr>
                <w:color w:val="auto"/>
                <w:szCs w:val="32"/>
              </w:rPr>
              <w:t>40mm</w:t>
            </w:r>
            <w:r>
              <w:rPr>
                <w:rFonts w:hint="eastAsia"/>
                <w:color w:val="auto"/>
                <w:szCs w:val="32"/>
              </w:rPr>
              <w:t>的物料</w:t>
            </w:r>
            <w:r>
              <w:rPr>
                <w:rFonts w:hint="eastAsia"/>
                <w:color w:val="auto"/>
              </w:rPr>
              <w:t>由输送带输送</w:t>
            </w:r>
            <w:r>
              <w:rPr>
                <w:rFonts w:hint="eastAsia"/>
                <w:color w:val="auto"/>
                <w:szCs w:val="32"/>
              </w:rPr>
              <w:t>料仓。在此过程中会产生一定量的粉尘（</w:t>
            </w:r>
            <w:r>
              <w:rPr>
                <w:color w:val="auto"/>
                <w:szCs w:val="32"/>
              </w:rPr>
              <w:t>G1-3</w:t>
            </w:r>
            <w:r>
              <w:rPr>
                <w:rFonts w:hint="eastAsia"/>
                <w:color w:val="auto"/>
                <w:szCs w:val="32"/>
              </w:rPr>
              <w:t>）、（</w:t>
            </w:r>
            <w:r>
              <w:rPr>
                <w:color w:val="auto"/>
                <w:szCs w:val="32"/>
              </w:rPr>
              <w:t>G1-4</w:t>
            </w:r>
            <w:r>
              <w:rPr>
                <w:rFonts w:hint="eastAsia"/>
                <w:color w:val="auto"/>
                <w:szCs w:val="32"/>
              </w:rPr>
              <w:t>）及噪声。</w:t>
            </w:r>
          </w:p>
          <w:p>
            <w:pPr>
              <w:pStyle w:val="81"/>
              <w:ind w:firstLine="31680"/>
              <w:rPr>
                <w:color w:val="auto"/>
                <w:szCs w:val="32"/>
              </w:rPr>
            </w:pPr>
            <w:r>
              <w:rPr>
                <w:color w:val="auto"/>
                <w:szCs w:val="32"/>
              </w:rPr>
              <w:t>3</w:t>
            </w:r>
            <w:r>
              <w:rPr>
                <w:rFonts w:hint="eastAsia"/>
                <w:color w:val="auto"/>
                <w:szCs w:val="32"/>
              </w:rPr>
              <w:t>）雷蒙磨</w:t>
            </w:r>
          </w:p>
          <w:p>
            <w:pPr>
              <w:pStyle w:val="81"/>
              <w:ind w:firstLine="31680"/>
              <w:rPr>
                <w:color w:val="auto"/>
                <w:szCs w:val="32"/>
              </w:rPr>
            </w:pPr>
            <w:r>
              <w:rPr>
                <w:rFonts w:hint="eastAsia"/>
                <w:color w:val="auto"/>
                <w:szCs w:val="32"/>
              </w:rPr>
              <w:t>雷蒙磨设备工作流程：物料经破碎机粉碎到所需粒径（</w:t>
            </w:r>
            <w:r>
              <w:rPr>
                <w:color w:val="auto"/>
                <w:szCs w:val="32"/>
              </w:rPr>
              <w:t>40mm</w:t>
            </w:r>
            <w:r>
              <w:rPr>
                <w:rFonts w:hint="eastAsia"/>
                <w:color w:val="auto"/>
                <w:szCs w:val="32"/>
              </w:rPr>
              <w:t>）后，由提升机将物料送至储料斗，再经振动给料机将料均匀连续地送入雷蒙磨粉机主机磨室内，由于旋转时离心力作用，磨向外摆动，紧压于磨环，铲刀铲起物料送到磨混与磨环之间，因磨轮的滚动而达到粉碎目的。高压式的为增加产量可调紧弹簧上螺塞压缩弹簧，增加磨能对物料的压力。物料研磨后的细粉随鼓风机的循环风被带入分析机进行分选，细度过粗的物料落回重磨，合格细粉（</w:t>
            </w:r>
            <w:r>
              <w:rPr>
                <w:color w:val="auto"/>
                <w:szCs w:val="32"/>
              </w:rPr>
              <w:t>0.08mm</w:t>
            </w:r>
            <w:r>
              <w:rPr>
                <w:rFonts w:hint="eastAsia"/>
                <w:color w:val="auto"/>
                <w:szCs w:val="32"/>
              </w:rPr>
              <w:t>）则随气流进入旋风集粉器，经出粉管排出，即为石英粉成品；剩余粒径返回雷蒙磨再次破碎、重磨，物料再次破碎、重磨后粒径小于</w:t>
            </w:r>
            <w:r>
              <w:rPr>
                <w:color w:val="auto"/>
                <w:szCs w:val="32"/>
              </w:rPr>
              <w:t>0.08mm</w:t>
            </w:r>
            <w:r>
              <w:rPr>
                <w:rFonts w:hint="eastAsia"/>
                <w:color w:val="auto"/>
                <w:szCs w:val="32"/>
              </w:rPr>
              <w:t>作为石英粉成品进入旋风集粉器。在此过程中会产生一定量的粉尘（</w:t>
            </w:r>
            <w:r>
              <w:rPr>
                <w:color w:val="auto"/>
                <w:szCs w:val="32"/>
              </w:rPr>
              <w:t>G1-5</w:t>
            </w:r>
            <w:r>
              <w:rPr>
                <w:rFonts w:hint="eastAsia"/>
                <w:color w:val="auto"/>
                <w:szCs w:val="32"/>
              </w:rPr>
              <w:t>）、（</w:t>
            </w:r>
            <w:r>
              <w:rPr>
                <w:color w:val="auto"/>
                <w:szCs w:val="32"/>
              </w:rPr>
              <w:t>G1-6</w:t>
            </w:r>
            <w:r>
              <w:rPr>
                <w:rFonts w:hint="eastAsia"/>
                <w:color w:val="auto"/>
                <w:szCs w:val="32"/>
              </w:rPr>
              <w:t>）及噪声。雷蒙磨工作原理及配置见图</w:t>
            </w:r>
            <w:r>
              <w:rPr>
                <w:color w:val="auto"/>
                <w:szCs w:val="32"/>
              </w:rPr>
              <w:t>2.8-2</w:t>
            </w:r>
            <w:r>
              <w:rPr>
                <w:rFonts w:hint="eastAsia"/>
                <w:color w:val="auto"/>
                <w:szCs w:val="32"/>
              </w:rPr>
              <w:t>与图</w:t>
            </w:r>
            <w:r>
              <w:rPr>
                <w:color w:val="auto"/>
                <w:szCs w:val="32"/>
              </w:rPr>
              <w:t>2.8-3</w:t>
            </w:r>
            <w:r>
              <w:rPr>
                <w:rFonts w:hint="eastAsia"/>
                <w:color w:val="auto"/>
                <w:szCs w:val="32"/>
              </w:rPr>
              <w:t>。</w:t>
            </w:r>
          </w:p>
          <w:p>
            <w:pPr>
              <w:pStyle w:val="81"/>
              <w:ind w:firstLine="0" w:firstLineChars="0"/>
              <w:jc w:val="center"/>
              <w:rPr>
                <w:rFonts w:ascii="宋体" w:cs="宋体"/>
                <w:color w:val="auto"/>
                <w:szCs w:val="24"/>
              </w:rPr>
            </w:pPr>
            <w:r>
              <w:rPr>
                <w:rFonts w:ascii="宋体" w:cs="宋体"/>
                <w:color w:val="auto"/>
                <w:szCs w:val="24"/>
              </w:rPr>
              <w:drawing>
                <wp:inline distT="0" distB="0" distL="114300" distR="114300">
                  <wp:extent cx="4038600" cy="2657475"/>
                  <wp:effectExtent l="0" t="0" r="0" b="9525"/>
                  <wp:docPr id="38" name="图片 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8" descr="IMG_256"/>
                          <pic:cNvPicPr>
                            <a:picLocks noChangeAspect="1"/>
                          </pic:cNvPicPr>
                        </pic:nvPicPr>
                        <pic:blipFill>
                          <a:blip r:embed="rId28"/>
                          <a:stretch>
                            <a:fillRect/>
                          </a:stretch>
                        </pic:blipFill>
                        <pic:spPr>
                          <a:xfrm>
                            <a:off x="0" y="0"/>
                            <a:ext cx="4038600" cy="2657475"/>
                          </a:xfrm>
                          <a:prstGeom prst="rect">
                            <a:avLst/>
                          </a:prstGeom>
                          <a:noFill/>
                          <a:ln>
                            <a:noFill/>
                          </a:ln>
                        </pic:spPr>
                      </pic:pic>
                    </a:graphicData>
                  </a:graphic>
                </wp:inline>
              </w:drawing>
            </w:r>
          </w:p>
          <w:p>
            <w:pPr>
              <w:spacing w:line="360" w:lineRule="auto"/>
              <w:jc w:val="center"/>
              <w:rPr>
                <w:rFonts w:eastAsia="黑体"/>
                <w:color w:val="auto"/>
                <w:sz w:val="24"/>
              </w:rPr>
            </w:pPr>
            <w:r>
              <w:rPr>
                <w:rFonts w:hint="eastAsia" w:eastAsia="黑体"/>
                <w:color w:val="auto"/>
                <w:sz w:val="24"/>
              </w:rPr>
              <w:t>图</w:t>
            </w:r>
            <w:r>
              <w:rPr>
                <w:rFonts w:eastAsia="黑体"/>
                <w:color w:val="auto"/>
                <w:sz w:val="24"/>
              </w:rPr>
              <w:t xml:space="preserve">2.8-2  </w:t>
            </w:r>
            <w:r>
              <w:rPr>
                <w:rFonts w:hint="eastAsia" w:eastAsia="黑体"/>
                <w:color w:val="auto"/>
                <w:sz w:val="24"/>
              </w:rPr>
              <w:t>雷蒙磨工作原理示意图</w:t>
            </w:r>
          </w:p>
          <w:p>
            <w:pPr>
              <w:pStyle w:val="81"/>
              <w:ind w:firstLine="0" w:firstLineChars="0"/>
              <w:jc w:val="center"/>
              <w:rPr>
                <w:color w:val="auto"/>
              </w:rPr>
            </w:pPr>
            <w:r>
              <w:rPr>
                <w:color w:val="auto"/>
              </w:rPr>
              <w:drawing>
                <wp:inline distT="0" distB="0" distL="114300" distR="114300">
                  <wp:extent cx="3810000" cy="2847975"/>
                  <wp:effectExtent l="0" t="0" r="0" b="9525"/>
                  <wp:docPr id="3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1"/>
                          <pic:cNvPicPr>
                            <a:picLocks noChangeAspect="1"/>
                          </pic:cNvPicPr>
                        </pic:nvPicPr>
                        <pic:blipFill>
                          <a:blip r:embed="rId29"/>
                          <a:stretch>
                            <a:fillRect/>
                          </a:stretch>
                        </pic:blipFill>
                        <pic:spPr>
                          <a:xfrm>
                            <a:off x="0" y="0"/>
                            <a:ext cx="3810000" cy="2847975"/>
                          </a:xfrm>
                          <a:prstGeom prst="rect">
                            <a:avLst/>
                          </a:prstGeom>
                          <a:noFill/>
                          <a:ln>
                            <a:noFill/>
                          </a:ln>
                        </pic:spPr>
                      </pic:pic>
                    </a:graphicData>
                  </a:graphic>
                </wp:inline>
              </w:drawing>
            </w:r>
          </w:p>
          <w:p>
            <w:pPr>
              <w:spacing w:line="360" w:lineRule="auto"/>
              <w:jc w:val="center"/>
              <w:rPr>
                <w:rFonts w:eastAsia="黑体"/>
                <w:color w:val="auto"/>
                <w:sz w:val="24"/>
              </w:rPr>
            </w:pPr>
            <w:r>
              <w:rPr>
                <w:rFonts w:hint="eastAsia" w:eastAsia="黑体"/>
                <w:color w:val="auto"/>
                <w:sz w:val="24"/>
              </w:rPr>
              <w:t>图</w:t>
            </w:r>
            <w:r>
              <w:rPr>
                <w:rFonts w:eastAsia="黑体"/>
                <w:color w:val="auto"/>
                <w:sz w:val="24"/>
              </w:rPr>
              <w:t xml:space="preserve">2.8-3  </w:t>
            </w:r>
            <w:r>
              <w:rPr>
                <w:rFonts w:hint="eastAsia" w:eastAsia="黑体"/>
                <w:color w:val="auto"/>
                <w:sz w:val="24"/>
              </w:rPr>
              <w:t>雷蒙磨配置示意图</w:t>
            </w:r>
          </w:p>
          <w:p>
            <w:pPr>
              <w:pStyle w:val="81"/>
              <w:ind w:firstLine="31680"/>
              <w:rPr>
                <w:color w:val="auto"/>
                <w:szCs w:val="32"/>
              </w:rPr>
            </w:pPr>
            <w:r>
              <w:rPr>
                <w:color w:val="auto"/>
                <w:szCs w:val="32"/>
              </w:rPr>
              <w:t>4</w:t>
            </w:r>
            <w:r>
              <w:rPr>
                <w:rFonts w:hint="eastAsia"/>
                <w:color w:val="auto"/>
                <w:szCs w:val="32"/>
              </w:rPr>
              <w:t>）物料提升入仓</w:t>
            </w:r>
          </w:p>
          <w:p>
            <w:pPr>
              <w:pStyle w:val="81"/>
              <w:ind w:firstLine="31680"/>
              <w:rPr>
                <w:color w:val="auto"/>
                <w:szCs w:val="32"/>
              </w:rPr>
            </w:pPr>
            <w:r>
              <w:rPr>
                <w:rFonts w:hint="eastAsia"/>
                <w:color w:val="auto"/>
                <w:szCs w:val="32"/>
              </w:rPr>
              <w:t>加工完成的物料由提升机料斗把物料从下面的储藏中舀起，随着输送带或链提升到顶部，绕过顶轮后向下翻转，斗式提升机将物料倾入接收槽内。带传动的斗式提升机的传动带一般采用橡胶带，装在下或上面的传动滚筒和上下面的改向滚筒上。相对而言，链传动的斗式提升机一般装有两条平行的传动链，上或下面有一对传动链轮，下或上面是一对改向链轮。在此过程中会产生一定量的粉尘（</w:t>
            </w:r>
            <w:r>
              <w:rPr>
                <w:color w:val="auto"/>
                <w:szCs w:val="32"/>
              </w:rPr>
              <w:t>G1-7</w:t>
            </w:r>
            <w:r>
              <w:rPr>
                <w:rFonts w:hint="eastAsia"/>
                <w:color w:val="auto"/>
                <w:szCs w:val="32"/>
              </w:rPr>
              <w:t>）、（</w:t>
            </w:r>
            <w:r>
              <w:rPr>
                <w:color w:val="auto"/>
                <w:szCs w:val="32"/>
              </w:rPr>
              <w:t>G1-8</w:t>
            </w:r>
            <w:r>
              <w:rPr>
                <w:rFonts w:hint="eastAsia"/>
                <w:color w:val="auto"/>
                <w:szCs w:val="32"/>
              </w:rPr>
              <w:t>）。</w:t>
            </w:r>
          </w:p>
          <w:p>
            <w:pPr>
              <w:pStyle w:val="174"/>
              <w:rPr>
                <w:color w:val="auto"/>
              </w:rPr>
            </w:pPr>
            <w:r>
              <w:rPr>
                <w:color w:val="auto"/>
              </w:rPr>
              <w:t>2.8.2</w:t>
            </w:r>
            <w:r>
              <w:rPr>
                <w:rFonts w:hint="eastAsia"/>
                <w:color w:val="auto"/>
              </w:rPr>
              <w:t>硅酸钙板加工生产工艺</w:t>
            </w:r>
          </w:p>
          <w:p>
            <w:pPr>
              <w:pStyle w:val="81"/>
              <w:ind w:firstLine="31680"/>
              <w:rPr>
                <w:color w:val="auto"/>
                <w:szCs w:val="32"/>
              </w:rPr>
            </w:pPr>
            <w:r>
              <w:rPr>
                <w:rFonts w:hint="eastAsia"/>
                <w:color w:val="auto"/>
                <w:szCs w:val="24"/>
              </w:rPr>
              <w:t>本项目水泥为散装水泥，由水泥罐车运输到厂区</w:t>
            </w:r>
            <w:r>
              <w:rPr>
                <w:color w:val="auto"/>
                <w:szCs w:val="32"/>
              </w:rPr>
              <w:t>1#</w:t>
            </w:r>
            <w:r>
              <w:rPr>
                <w:rFonts w:hint="eastAsia"/>
                <w:color w:val="auto"/>
                <w:szCs w:val="32"/>
              </w:rPr>
              <w:t>车间</w:t>
            </w:r>
            <w:r>
              <w:rPr>
                <w:rFonts w:hint="eastAsia"/>
                <w:color w:val="auto"/>
                <w:szCs w:val="24"/>
              </w:rPr>
              <w:t>后罐装入水泥罐（罐装过程中产生粉尘</w:t>
            </w:r>
            <w:r>
              <w:rPr>
                <w:rFonts w:hint="eastAsia"/>
                <w:color w:val="auto"/>
                <w:szCs w:val="32"/>
              </w:rPr>
              <w:t>（</w:t>
            </w:r>
            <w:r>
              <w:rPr>
                <w:color w:val="auto"/>
                <w:szCs w:val="32"/>
              </w:rPr>
              <w:t>G2-1</w:t>
            </w:r>
            <w:r>
              <w:rPr>
                <w:rFonts w:hint="eastAsia"/>
                <w:color w:val="auto"/>
                <w:szCs w:val="32"/>
              </w:rPr>
              <w:t>）</w:t>
            </w:r>
            <w:r>
              <w:rPr>
                <w:rFonts w:hint="eastAsia"/>
                <w:color w:val="auto"/>
                <w:szCs w:val="24"/>
              </w:rPr>
              <w:t>），与</w:t>
            </w:r>
            <w:r>
              <w:rPr>
                <w:rFonts w:hint="eastAsia"/>
                <w:color w:val="auto"/>
                <w:szCs w:val="32"/>
              </w:rPr>
              <w:t>加工的石英粉，纸浆板加工获得硅酸钙板成品。硅酸钙板生产工序主要包括制浆、制板、堆垛脱模处理、压蒸养护处理以及磨边倒角砂光处理。硅酸钙板生产工艺流程及产污环节见图</w:t>
            </w:r>
            <w:r>
              <w:rPr>
                <w:color w:val="auto"/>
                <w:szCs w:val="32"/>
              </w:rPr>
              <w:t>2.8-4</w:t>
            </w:r>
            <w:r>
              <w:rPr>
                <w:rFonts w:hint="eastAsia"/>
                <w:color w:val="auto"/>
                <w:szCs w:val="32"/>
              </w:rPr>
              <w:t>。</w:t>
            </w:r>
          </w:p>
          <w:p>
            <w:pPr>
              <w:pStyle w:val="83"/>
              <w:adjustRightInd/>
              <w:snapToGrid/>
              <w:jc w:val="center"/>
              <w:rPr>
                <w:color w:val="auto"/>
                <w:sz w:val="24"/>
                <w:szCs w:val="24"/>
              </w:rPr>
            </w:pPr>
            <w:r>
              <w:rPr>
                <w:color w:val="auto"/>
                <w:sz w:val="24"/>
                <w:szCs w:val="24"/>
              </w:rPr>
              <w:object>
                <v:shape id="_x0000_i1035" o:spt="75" type="#_x0000_t75" style="height:532.5pt;width:345pt;" o:ole="t" filled="f" o:preferrelative="t" stroked="f" coordsize="21600,21600">
                  <v:path/>
                  <v:fill on="f" focussize="0,0"/>
                  <v:stroke on="f"/>
                  <v:imagedata r:id="rId31" o:title=""/>
                  <o:lock v:ext="edit" aspectratio="f"/>
                  <w10:wrap type="none"/>
                  <w10:anchorlock/>
                </v:shape>
                <o:OLEObject Type="Embed" ProgID="Visio.Drawing.15" ShapeID="_x0000_i1035" DrawAspect="Content" ObjectID="_1468075735" r:id="rId30">
                  <o:LockedField>false</o:LockedField>
                </o:OLEObject>
              </w:object>
            </w:r>
          </w:p>
          <w:p>
            <w:pPr>
              <w:pStyle w:val="83"/>
              <w:adjustRightInd/>
              <w:snapToGrid/>
              <w:jc w:val="center"/>
              <w:rPr>
                <w:color w:val="auto"/>
                <w:sz w:val="24"/>
                <w:szCs w:val="24"/>
              </w:rPr>
            </w:pPr>
            <w:r>
              <w:rPr>
                <w:color w:val="auto"/>
                <w:sz w:val="24"/>
                <w:szCs w:val="24"/>
              </w:rPr>
              <w:t>2.8-4</w:t>
            </w:r>
            <w:r>
              <w:rPr>
                <w:rFonts w:hint="eastAsia"/>
                <w:color w:val="auto"/>
                <w:sz w:val="24"/>
                <w:szCs w:val="24"/>
              </w:rPr>
              <w:t>石英粉生产工艺流程图</w:t>
            </w:r>
          </w:p>
          <w:p>
            <w:pPr>
              <w:pStyle w:val="81"/>
              <w:ind w:firstLine="31680"/>
              <w:rPr>
                <w:color w:val="auto"/>
                <w:szCs w:val="32"/>
              </w:rPr>
            </w:pPr>
            <w:r>
              <w:rPr>
                <w:rFonts w:hint="eastAsia"/>
                <w:color w:val="auto"/>
                <w:szCs w:val="32"/>
              </w:rPr>
              <w:t>（</w:t>
            </w:r>
            <w:r>
              <w:rPr>
                <w:color w:val="auto"/>
                <w:szCs w:val="32"/>
              </w:rPr>
              <w:t>1</w:t>
            </w:r>
            <w:r>
              <w:rPr>
                <w:rFonts w:hint="eastAsia"/>
                <w:color w:val="auto"/>
                <w:szCs w:val="32"/>
              </w:rPr>
              <w:t>）制浆</w:t>
            </w:r>
          </w:p>
          <w:p>
            <w:pPr>
              <w:pStyle w:val="81"/>
              <w:ind w:firstLine="31680"/>
              <w:rPr>
                <w:rFonts w:hint="eastAsia"/>
                <w:color w:val="auto"/>
                <w:szCs w:val="32"/>
              </w:rPr>
            </w:pPr>
            <w:r>
              <w:rPr>
                <w:rFonts w:hint="eastAsia"/>
                <w:color w:val="auto"/>
                <w:szCs w:val="32"/>
              </w:rPr>
              <w:t>外购的纸浆板加水磨成纸浆，纸浆暂存于纸浆罐内</w:t>
            </w:r>
            <w:r>
              <w:rPr>
                <w:rFonts w:hint="eastAsia"/>
                <w:color w:val="auto"/>
                <w:szCs w:val="32"/>
                <w:lang w:eastAsia="zh-CN"/>
              </w:rPr>
              <w:t>。</w:t>
            </w:r>
            <w:r>
              <w:rPr>
                <w:rFonts w:hint="eastAsia"/>
                <w:color w:val="auto"/>
                <w:szCs w:val="32"/>
              </w:rPr>
              <w:t>水泥、石英粉（自加工）等原料从料仓内经管道泵入制浆罐内，加入水进行搅拌制浆，然后将制好的各种原料浆按比例泵入浆池进行搅拌，经搅拌均匀后制成混合浆以待制板。在此过程中会产生一定量的粉尘（</w:t>
            </w:r>
            <w:r>
              <w:rPr>
                <w:color w:val="auto"/>
                <w:szCs w:val="32"/>
              </w:rPr>
              <w:t>G2-2</w:t>
            </w:r>
            <w:r>
              <w:rPr>
                <w:rFonts w:hint="eastAsia"/>
                <w:color w:val="auto"/>
                <w:szCs w:val="32"/>
              </w:rPr>
              <w:t>）、（</w:t>
            </w:r>
            <w:r>
              <w:rPr>
                <w:color w:val="auto"/>
                <w:szCs w:val="32"/>
              </w:rPr>
              <w:t>G2-3</w:t>
            </w:r>
            <w:r>
              <w:rPr>
                <w:rFonts w:hint="eastAsia"/>
                <w:color w:val="auto"/>
                <w:szCs w:val="32"/>
              </w:rPr>
              <w:t>）及噪声。其中粉尘（</w:t>
            </w:r>
            <w:r>
              <w:rPr>
                <w:color w:val="auto"/>
                <w:szCs w:val="32"/>
              </w:rPr>
              <w:t>G2-3</w:t>
            </w:r>
            <w:r>
              <w:rPr>
                <w:rFonts w:hint="eastAsia"/>
                <w:color w:val="auto"/>
                <w:szCs w:val="32"/>
              </w:rPr>
              <w:t>）湿式加工，密闭式搅拌，基本不产生粉尘，忽略不计。</w:t>
            </w:r>
          </w:p>
          <w:p>
            <w:pPr>
              <w:pStyle w:val="81"/>
              <w:ind w:firstLine="31680"/>
              <w:rPr>
                <w:rFonts w:hint="default" w:eastAsia="宋体"/>
                <w:color w:val="auto"/>
                <w:szCs w:val="32"/>
                <w:lang w:val="en-US" w:eastAsia="zh-CN"/>
              </w:rPr>
            </w:pPr>
            <w:r>
              <w:rPr>
                <w:rFonts w:hint="eastAsia"/>
                <w:color w:val="auto"/>
                <w:szCs w:val="32"/>
                <w:lang w:val="en-US" w:eastAsia="zh-CN"/>
              </w:rPr>
              <w:t>本项目使用商品浆板，主要成分为</w:t>
            </w:r>
            <w:r>
              <w:rPr>
                <w:rFonts w:hint="eastAsia"/>
                <w:color w:val="auto"/>
                <w:szCs w:val="32"/>
              </w:rPr>
              <w:t>植物纤维</w:t>
            </w:r>
            <w:r>
              <w:rPr>
                <w:rFonts w:hint="eastAsia"/>
                <w:color w:val="auto"/>
                <w:szCs w:val="32"/>
                <w:lang w:eastAsia="zh-CN"/>
              </w:rPr>
              <w:t>，</w:t>
            </w:r>
            <w:r>
              <w:rPr>
                <w:rFonts w:hint="eastAsia"/>
                <w:color w:val="auto"/>
                <w:szCs w:val="32"/>
                <w:lang w:val="en-US" w:eastAsia="zh-CN"/>
              </w:rPr>
              <w:t>加水制浆后可生化性差，不易因</w:t>
            </w:r>
            <w:r>
              <w:rPr>
                <w:rFonts w:hint="eastAsia"/>
                <w:color w:val="auto"/>
                <w:szCs w:val="32"/>
              </w:rPr>
              <w:t>微生物菌发酵</w:t>
            </w:r>
            <w:r>
              <w:rPr>
                <w:rFonts w:hint="eastAsia"/>
                <w:color w:val="auto"/>
                <w:szCs w:val="32"/>
                <w:lang w:eastAsia="zh-CN"/>
              </w:rPr>
              <w:t>，</w:t>
            </w:r>
            <w:r>
              <w:rPr>
                <w:rFonts w:hint="eastAsia"/>
                <w:color w:val="auto"/>
                <w:szCs w:val="32"/>
                <w:lang w:val="en-US" w:eastAsia="zh-CN"/>
              </w:rPr>
              <w:t>引起纸浆</w:t>
            </w:r>
            <w:r>
              <w:rPr>
                <w:rFonts w:hint="eastAsia"/>
                <w:color w:val="auto"/>
                <w:szCs w:val="32"/>
              </w:rPr>
              <w:t>腐败变质</w:t>
            </w:r>
            <w:r>
              <w:rPr>
                <w:rFonts w:hint="eastAsia"/>
                <w:color w:val="auto"/>
                <w:szCs w:val="32"/>
                <w:lang w:eastAsia="zh-CN"/>
              </w:rPr>
              <w:t>，</w:t>
            </w:r>
            <w:r>
              <w:rPr>
                <w:rFonts w:hint="eastAsia"/>
                <w:color w:val="auto"/>
                <w:szCs w:val="32"/>
                <w:lang w:val="en-US" w:eastAsia="zh-CN"/>
              </w:rPr>
              <w:t>产生</w:t>
            </w:r>
            <w:r>
              <w:rPr>
                <w:rFonts w:hint="eastAsia"/>
                <w:color w:val="auto"/>
                <w:szCs w:val="32"/>
              </w:rPr>
              <w:t>恶臭</w:t>
            </w:r>
            <w:r>
              <w:rPr>
                <w:rFonts w:hint="eastAsia"/>
                <w:color w:val="auto"/>
                <w:szCs w:val="32"/>
                <w:lang w:val="en-US" w:eastAsia="zh-CN"/>
              </w:rPr>
              <w:t>气体。同时浆板用量均根据生产安排不会造成因纸浆长时间静止的情况，导致纸浆厌氧发酵产生</w:t>
            </w:r>
            <w:r>
              <w:rPr>
                <w:rFonts w:hint="eastAsia"/>
                <w:color w:val="auto"/>
                <w:szCs w:val="32"/>
              </w:rPr>
              <w:t>恶臭</w:t>
            </w:r>
            <w:r>
              <w:rPr>
                <w:rFonts w:hint="eastAsia"/>
                <w:color w:val="auto"/>
                <w:szCs w:val="32"/>
                <w:lang w:val="en-US" w:eastAsia="zh-CN"/>
              </w:rPr>
              <w:t>气体。故</w:t>
            </w:r>
            <w:r>
              <w:rPr>
                <w:rFonts w:hint="eastAsia"/>
                <w:color w:val="auto"/>
                <w:szCs w:val="32"/>
              </w:rPr>
              <w:t>浆板碎浆</w:t>
            </w:r>
            <w:r>
              <w:rPr>
                <w:rFonts w:hint="eastAsia"/>
                <w:color w:val="auto"/>
                <w:szCs w:val="32"/>
                <w:lang w:val="en-US" w:eastAsia="zh-CN"/>
              </w:rPr>
              <w:t>与</w:t>
            </w:r>
            <w:r>
              <w:rPr>
                <w:rFonts w:hint="eastAsia"/>
                <w:color w:val="auto"/>
                <w:szCs w:val="32"/>
              </w:rPr>
              <w:t>浆水贮存基本不产生</w:t>
            </w:r>
            <w:r>
              <w:rPr>
                <w:rFonts w:hint="eastAsia"/>
                <w:color w:val="auto"/>
                <w:szCs w:val="32"/>
                <w:lang w:val="en-US" w:eastAsia="zh-CN"/>
              </w:rPr>
              <w:t>恶臭气体，可忽略不计。</w:t>
            </w:r>
          </w:p>
          <w:p>
            <w:pPr>
              <w:pStyle w:val="81"/>
              <w:ind w:firstLine="31680"/>
              <w:rPr>
                <w:color w:val="auto"/>
                <w:szCs w:val="32"/>
              </w:rPr>
            </w:pPr>
            <w:r>
              <w:rPr>
                <w:rFonts w:hint="eastAsia"/>
                <w:color w:val="auto"/>
                <w:szCs w:val="32"/>
              </w:rPr>
              <w:t>浆板碎浆</w:t>
            </w:r>
            <w:r>
              <w:rPr>
                <w:rFonts w:hint="eastAsia"/>
                <w:color w:val="auto"/>
                <w:szCs w:val="32"/>
                <w:lang w:val="en-US" w:eastAsia="zh-CN"/>
              </w:rPr>
              <w:t>与</w:t>
            </w:r>
            <w:r>
              <w:rPr>
                <w:rFonts w:hint="eastAsia"/>
                <w:color w:val="auto"/>
                <w:szCs w:val="32"/>
              </w:rPr>
              <w:t>浆水贮存</w:t>
            </w:r>
          </w:p>
          <w:p>
            <w:pPr>
              <w:pStyle w:val="81"/>
              <w:ind w:firstLine="31680"/>
              <w:rPr>
                <w:color w:val="auto"/>
                <w:szCs w:val="32"/>
              </w:rPr>
            </w:pPr>
            <w:r>
              <w:rPr>
                <w:rFonts w:hint="eastAsia"/>
                <w:color w:val="auto"/>
                <w:szCs w:val="32"/>
              </w:rPr>
              <w:t>（</w:t>
            </w:r>
            <w:r>
              <w:rPr>
                <w:color w:val="auto"/>
                <w:szCs w:val="32"/>
              </w:rPr>
              <w:t>2</w:t>
            </w:r>
            <w:r>
              <w:rPr>
                <w:rFonts w:hint="eastAsia"/>
                <w:color w:val="auto"/>
                <w:szCs w:val="32"/>
              </w:rPr>
              <w:t>）制板堆垛脱模</w:t>
            </w:r>
          </w:p>
          <w:p>
            <w:pPr>
              <w:pStyle w:val="81"/>
              <w:ind w:firstLine="31680"/>
              <w:rPr>
                <w:color w:val="auto"/>
                <w:szCs w:val="32"/>
              </w:rPr>
            </w:pPr>
            <w:r>
              <w:rPr>
                <w:rFonts w:hint="eastAsia"/>
                <w:color w:val="auto"/>
                <w:szCs w:val="32"/>
              </w:rPr>
              <w:t>①</w:t>
            </w:r>
            <w:r>
              <w:rPr>
                <w:rFonts w:hint="eastAsia" w:ascii="宋体" w:hAnsi="宋体" w:cs="宋体"/>
                <w:color w:val="auto"/>
              </w:rPr>
              <w:t>网箱抄取成型（制板）</w:t>
            </w:r>
          </w:p>
          <w:p>
            <w:pPr>
              <w:pStyle w:val="81"/>
              <w:ind w:firstLine="31680"/>
              <w:rPr>
                <w:rFonts w:hint="eastAsia"/>
                <w:color w:val="auto"/>
                <w:szCs w:val="32"/>
              </w:rPr>
            </w:pPr>
            <w:r>
              <w:rPr>
                <w:rFonts w:hint="eastAsia"/>
                <w:color w:val="auto"/>
                <w:szCs w:val="32"/>
              </w:rPr>
              <w:t>料浆进入网箱后，经制板机网轮脱水、真空脱水（</w:t>
            </w:r>
            <w:r>
              <w:rPr>
                <w:rFonts w:hint="eastAsia"/>
                <w:color w:val="auto"/>
                <w:szCs w:val="21"/>
              </w:rPr>
              <w:t>三网箱抄取成型机自带真空泵抽真空</w:t>
            </w:r>
            <w:r>
              <w:rPr>
                <w:rFonts w:hint="eastAsia"/>
                <w:color w:val="auto"/>
                <w:szCs w:val="32"/>
              </w:rPr>
              <w:t>）形成单料层。利用成型筒与胸辊的反向运转，将单料层一圈一圈地缠绕在成型筒上，通过多层环绕到达到设定的料坯厚度时形成坯料，完成制板工序。</w:t>
            </w:r>
          </w:p>
          <w:p>
            <w:pPr>
              <w:pStyle w:val="81"/>
              <w:ind w:firstLine="31680"/>
              <w:rPr>
                <w:color w:val="auto"/>
                <w:szCs w:val="32"/>
              </w:rPr>
            </w:pPr>
            <w:r>
              <w:rPr>
                <w:rFonts w:hint="eastAsia"/>
                <w:color w:val="auto"/>
                <w:szCs w:val="32"/>
              </w:rPr>
              <w:t>②横切、纵切</w:t>
            </w:r>
          </w:p>
          <w:p>
            <w:pPr>
              <w:pStyle w:val="81"/>
              <w:ind w:firstLine="31680"/>
              <w:rPr>
                <w:color w:val="auto"/>
                <w:szCs w:val="32"/>
              </w:rPr>
            </w:pPr>
            <w:r>
              <w:rPr>
                <w:rFonts w:hint="eastAsia"/>
                <w:color w:val="auto"/>
                <w:szCs w:val="32"/>
              </w:rPr>
              <w:t>下刀切下坯料，去除边角料，然后将料坯输送到接坯机。</w:t>
            </w:r>
          </w:p>
          <w:p>
            <w:pPr>
              <w:pStyle w:val="81"/>
              <w:ind w:firstLine="31680"/>
              <w:rPr>
                <w:color w:val="auto"/>
                <w:szCs w:val="32"/>
              </w:rPr>
            </w:pPr>
            <w:r>
              <w:rPr>
                <w:rFonts w:hint="eastAsia"/>
                <w:color w:val="auto"/>
                <w:szCs w:val="32"/>
              </w:rPr>
              <w:t>③堆垛（预养护）</w:t>
            </w:r>
          </w:p>
          <w:p>
            <w:pPr>
              <w:pStyle w:val="81"/>
              <w:ind w:firstLine="31680"/>
              <w:rPr>
                <w:color w:val="auto"/>
                <w:szCs w:val="32"/>
              </w:rPr>
            </w:pPr>
            <w:r>
              <w:rPr>
                <w:rFonts w:hint="eastAsia"/>
                <w:color w:val="auto"/>
                <w:szCs w:val="32"/>
              </w:rPr>
              <w:t>由接坯皮带机送来的板坯经纵边切割后，再送至定位皮带机。堆垛工启动三工位堆垛机，由堆垛机上的切割设备对板坯进行横向切割，完成切割后，三工位堆垛机的真空吸盘在坯侧放下模板板坯由三工位堆垛机的真空坯盘吸送到生产转运小车的模板上，完成板坯与模板的堆放工作。湿坯堆垛后经一段时间的预养护，使板坯到达前期强度，以利于机械脱模堆垛。</w:t>
            </w:r>
          </w:p>
          <w:p>
            <w:pPr>
              <w:pStyle w:val="81"/>
              <w:ind w:firstLine="31680"/>
              <w:rPr>
                <w:color w:val="auto"/>
                <w:szCs w:val="32"/>
              </w:rPr>
            </w:pPr>
            <w:r>
              <w:rPr>
                <w:rFonts w:hint="eastAsia" w:ascii="宋体" w:hAnsi="宋体" w:cs="宋体"/>
                <w:color w:val="auto"/>
              </w:rPr>
              <w:t>④</w:t>
            </w:r>
            <w:r>
              <w:rPr>
                <w:rFonts w:hint="eastAsia"/>
                <w:color w:val="auto"/>
                <w:szCs w:val="32"/>
              </w:rPr>
              <w:t>脱模</w:t>
            </w:r>
          </w:p>
          <w:p>
            <w:pPr>
              <w:pStyle w:val="81"/>
              <w:ind w:firstLine="31680"/>
              <w:rPr>
                <w:color w:val="auto"/>
                <w:szCs w:val="32"/>
              </w:rPr>
            </w:pPr>
            <w:r>
              <w:rPr>
                <w:rFonts w:hint="eastAsia"/>
                <w:color w:val="auto"/>
                <w:szCs w:val="32"/>
              </w:rPr>
              <w:t>制板完成经预养合格的生产小车上的板坯与模板进行分离。从制板生产线转运来的小车经过预养后，按先生产先脱模的原则进行脱模。脱模后的板坯按工艺要求堆放于蒸养、蒸养垫板上。</w:t>
            </w:r>
          </w:p>
          <w:p>
            <w:pPr>
              <w:pStyle w:val="81"/>
              <w:ind w:firstLine="31680"/>
              <w:rPr>
                <w:rFonts w:hint="eastAsia"/>
                <w:color w:val="auto"/>
                <w:szCs w:val="32"/>
              </w:rPr>
            </w:pPr>
            <w:r>
              <w:rPr>
                <w:rFonts w:hint="eastAsia"/>
                <w:color w:val="auto"/>
                <w:szCs w:val="32"/>
              </w:rPr>
              <w:t>此过程产生切割粉尘（</w:t>
            </w:r>
            <w:r>
              <w:rPr>
                <w:color w:val="auto"/>
                <w:szCs w:val="32"/>
              </w:rPr>
              <w:t>G2-4</w:t>
            </w:r>
            <w:r>
              <w:rPr>
                <w:rFonts w:hint="eastAsia"/>
                <w:color w:val="auto"/>
                <w:szCs w:val="32"/>
              </w:rPr>
              <w:t>）、网箱抄取废水（</w:t>
            </w:r>
            <w:r>
              <w:rPr>
                <w:color w:val="auto"/>
                <w:szCs w:val="32"/>
              </w:rPr>
              <w:t>W2-1</w:t>
            </w:r>
            <w:r>
              <w:rPr>
                <w:rFonts w:hint="eastAsia"/>
                <w:color w:val="auto"/>
                <w:szCs w:val="32"/>
              </w:rPr>
              <w:t>）、废边角料（</w:t>
            </w:r>
            <w:r>
              <w:rPr>
                <w:color w:val="auto"/>
                <w:szCs w:val="32"/>
              </w:rPr>
              <w:t>S2-1</w:t>
            </w:r>
            <w:r>
              <w:rPr>
                <w:rFonts w:hint="eastAsia"/>
                <w:color w:val="auto"/>
                <w:szCs w:val="32"/>
              </w:rPr>
              <w:t>）及机械设备噪声。制板堆垛过程中均为湿加工，粉尘产生量极少，忽略不计。</w:t>
            </w:r>
          </w:p>
          <w:p>
            <w:pPr>
              <w:pStyle w:val="81"/>
              <w:ind w:firstLine="31680"/>
              <w:rPr>
                <w:rFonts w:hint="default" w:eastAsia="宋体"/>
                <w:color w:val="auto"/>
                <w:szCs w:val="32"/>
                <w:lang w:val="en-US" w:eastAsia="zh-CN"/>
              </w:rPr>
            </w:pPr>
            <w:r>
              <w:rPr>
                <w:rFonts w:hint="eastAsia"/>
                <w:color w:val="auto"/>
                <w:szCs w:val="32"/>
                <w:lang w:val="en-US" w:eastAsia="zh-CN"/>
              </w:rPr>
              <w:t>本项目</w:t>
            </w:r>
            <w:r>
              <w:rPr>
                <w:rFonts w:hint="eastAsia"/>
                <w:color w:val="auto"/>
                <w:szCs w:val="32"/>
              </w:rPr>
              <w:t>网箱抄取采用封闭循环用水，零排放抄造工艺，网箱抄取</w:t>
            </w:r>
            <w:r>
              <w:rPr>
                <w:rFonts w:hint="eastAsia"/>
                <w:color w:val="auto"/>
                <w:szCs w:val="32"/>
                <w:lang w:val="en-US" w:eastAsia="zh-CN"/>
              </w:rPr>
              <w:t>过程中因废水循环使用可能出现</w:t>
            </w:r>
            <w:r>
              <w:rPr>
                <w:rFonts w:hint="eastAsia"/>
                <w:color w:val="auto"/>
                <w:szCs w:val="32"/>
              </w:rPr>
              <w:t>网箱抄取</w:t>
            </w:r>
            <w:r>
              <w:rPr>
                <w:rFonts w:hint="eastAsia"/>
                <w:color w:val="auto"/>
                <w:szCs w:val="32"/>
                <w:lang w:val="en-US" w:eastAsia="zh-CN"/>
              </w:rPr>
              <w:t>废水因</w:t>
            </w:r>
            <w:r>
              <w:rPr>
                <w:rFonts w:hint="eastAsia"/>
                <w:color w:val="auto"/>
                <w:szCs w:val="32"/>
              </w:rPr>
              <w:t>微生物菌类滋生、腐败变质</w:t>
            </w:r>
            <w:r>
              <w:rPr>
                <w:rFonts w:hint="eastAsia"/>
                <w:color w:val="auto"/>
                <w:szCs w:val="32"/>
                <w:lang w:val="en-US" w:eastAsia="zh-CN"/>
              </w:rPr>
              <w:t>产生恶臭气体。根据原辅料使用情况，硅酸钙板生产中使用水泥、石英粉占比为92.5%，纸浆用量为7.5%。同时生产使用的纸浆基本与水泥、石英粉混合后制成硅酸钙板成品，进入</w:t>
            </w:r>
            <w:r>
              <w:rPr>
                <w:rFonts w:hint="eastAsia"/>
                <w:color w:val="auto"/>
                <w:szCs w:val="32"/>
              </w:rPr>
              <w:t>网箱抄取</w:t>
            </w:r>
            <w:r>
              <w:rPr>
                <w:rFonts w:hint="eastAsia"/>
                <w:color w:val="auto"/>
                <w:szCs w:val="32"/>
                <w:lang w:val="en-US" w:eastAsia="zh-CN"/>
              </w:rPr>
              <w:t>废水纸浆量有限。故</w:t>
            </w:r>
            <w:r>
              <w:rPr>
                <w:rFonts w:hint="eastAsia"/>
                <w:color w:val="auto"/>
                <w:szCs w:val="32"/>
              </w:rPr>
              <w:t>网箱抄取</w:t>
            </w:r>
            <w:r>
              <w:rPr>
                <w:rFonts w:hint="eastAsia"/>
                <w:color w:val="auto"/>
                <w:szCs w:val="32"/>
                <w:lang w:val="en-US" w:eastAsia="zh-CN"/>
              </w:rPr>
              <w:t>废水主要污染物为颗粒物，基本无可生化性。恶臭气体主要源于</w:t>
            </w:r>
            <w:r>
              <w:rPr>
                <w:rFonts w:hint="eastAsia"/>
                <w:color w:val="auto"/>
                <w:szCs w:val="32"/>
              </w:rPr>
              <w:t>有机物</w:t>
            </w:r>
            <w:r>
              <w:rPr>
                <w:rFonts w:hint="eastAsia"/>
                <w:color w:val="auto"/>
                <w:szCs w:val="32"/>
                <w:lang w:val="en-US" w:eastAsia="zh-CN"/>
              </w:rPr>
              <w:t>厌氧发酵，</w:t>
            </w:r>
            <w:r>
              <w:rPr>
                <w:rFonts w:hint="eastAsia"/>
                <w:color w:val="auto"/>
                <w:szCs w:val="32"/>
              </w:rPr>
              <w:t>网箱抄取</w:t>
            </w:r>
            <w:r>
              <w:rPr>
                <w:rFonts w:hint="eastAsia"/>
                <w:color w:val="auto"/>
                <w:szCs w:val="32"/>
                <w:lang w:val="en-US" w:eastAsia="zh-CN"/>
              </w:rPr>
              <w:t>制版过程中废水处于流动状态（非理想的厌氧环境），且废水有机物量有限。故</w:t>
            </w:r>
            <w:r>
              <w:rPr>
                <w:rFonts w:hint="eastAsia"/>
                <w:color w:val="auto"/>
                <w:szCs w:val="32"/>
              </w:rPr>
              <w:t>网箱抄取基本不产生</w:t>
            </w:r>
            <w:r>
              <w:rPr>
                <w:rFonts w:hint="eastAsia"/>
                <w:color w:val="auto"/>
                <w:szCs w:val="32"/>
                <w:lang w:val="en-US" w:eastAsia="zh-CN"/>
              </w:rPr>
              <w:t>恶臭气体，可忽略不计。</w:t>
            </w:r>
          </w:p>
          <w:p>
            <w:pPr>
              <w:pStyle w:val="81"/>
              <w:ind w:firstLine="31680"/>
              <w:rPr>
                <w:color w:val="auto"/>
                <w:szCs w:val="32"/>
              </w:rPr>
            </w:pPr>
            <w:r>
              <w:rPr>
                <w:rFonts w:hint="eastAsia"/>
                <w:color w:val="auto"/>
                <w:szCs w:val="32"/>
              </w:rPr>
              <w:t>（</w:t>
            </w:r>
            <w:r>
              <w:rPr>
                <w:color w:val="auto"/>
                <w:szCs w:val="32"/>
              </w:rPr>
              <w:t>3</w:t>
            </w:r>
            <w:r>
              <w:rPr>
                <w:rFonts w:hint="eastAsia"/>
                <w:color w:val="auto"/>
                <w:szCs w:val="32"/>
              </w:rPr>
              <w:t>）压蒸养护</w:t>
            </w:r>
          </w:p>
          <w:p>
            <w:pPr>
              <w:pStyle w:val="81"/>
              <w:ind w:firstLine="31680"/>
              <w:rPr>
                <w:color w:val="auto"/>
                <w:szCs w:val="32"/>
              </w:rPr>
            </w:pPr>
            <w:r>
              <w:rPr>
                <w:rFonts w:hint="eastAsia"/>
                <w:color w:val="auto"/>
                <w:szCs w:val="32"/>
              </w:rPr>
              <w:t>将脱模后的钙板送至蒸压釜中进行蒸养，蒸汽直接加热</w:t>
            </w:r>
            <w:r>
              <w:rPr>
                <w:color w:val="auto"/>
                <w:szCs w:val="32"/>
              </w:rPr>
              <w:t>16h</w:t>
            </w:r>
            <w:r>
              <w:rPr>
                <w:rFonts w:hint="eastAsia"/>
                <w:color w:val="auto"/>
                <w:szCs w:val="32"/>
              </w:rPr>
              <w:t>，蒸汽来自蒸汽由永安市火电厂，蒸汽对硅酸钙板加热后成为冷凝水（</w:t>
            </w:r>
            <w:r>
              <w:rPr>
                <w:color w:val="auto"/>
                <w:szCs w:val="32"/>
              </w:rPr>
              <w:t>W2-2</w:t>
            </w:r>
            <w:r>
              <w:rPr>
                <w:rFonts w:hint="eastAsia"/>
                <w:color w:val="auto"/>
                <w:szCs w:val="32"/>
              </w:rPr>
              <w:t>）进入清水罐回用生产。</w:t>
            </w:r>
          </w:p>
          <w:p>
            <w:pPr>
              <w:pStyle w:val="81"/>
              <w:ind w:firstLine="31680"/>
              <w:rPr>
                <w:color w:val="auto"/>
                <w:szCs w:val="32"/>
              </w:rPr>
            </w:pPr>
            <w:r>
              <w:rPr>
                <w:rFonts w:hint="eastAsia"/>
                <w:color w:val="auto"/>
                <w:szCs w:val="32"/>
              </w:rPr>
              <w:t>（</w:t>
            </w:r>
            <w:r>
              <w:rPr>
                <w:color w:val="auto"/>
                <w:szCs w:val="32"/>
              </w:rPr>
              <w:t>4</w:t>
            </w:r>
            <w:r>
              <w:rPr>
                <w:rFonts w:hint="eastAsia"/>
                <w:color w:val="auto"/>
                <w:szCs w:val="32"/>
              </w:rPr>
              <w:t>）烘干</w:t>
            </w:r>
          </w:p>
          <w:p>
            <w:pPr>
              <w:pStyle w:val="81"/>
              <w:ind w:firstLine="31680"/>
              <w:rPr>
                <w:color w:val="auto"/>
                <w:szCs w:val="32"/>
              </w:rPr>
            </w:pPr>
            <w:r>
              <w:rPr>
                <w:rFonts w:hint="eastAsia"/>
                <w:color w:val="auto"/>
                <w:szCs w:val="32"/>
              </w:rPr>
              <w:t>经压蒸养护后的钙板转移至烘干机进行热风烘干，烘干机热源使用永安市火电厂提供的蒸汽。</w:t>
            </w:r>
          </w:p>
          <w:p>
            <w:pPr>
              <w:pStyle w:val="81"/>
              <w:ind w:firstLine="31680"/>
              <w:rPr>
                <w:color w:val="auto"/>
                <w:szCs w:val="32"/>
              </w:rPr>
            </w:pPr>
            <w:r>
              <w:rPr>
                <w:rFonts w:hint="eastAsia"/>
                <w:color w:val="auto"/>
                <w:szCs w:val="32"/>
              </w:rPr>
              <w:t>（</w:t>
            </w:r>
            <w:r>
              <w:rPr>
                <w:color w:val="auto"/>
                <w:szCs w:val="32"/>
              </w:rPr>
              <w:t>5</w:t>
            </w:r>
            <w:r>
              <w:rPr>
                <w:rFonts w:hint="eastAsia"/>
                <w:color w:val="auto"/>
                <w:szCs w:val="32"/>
              </w:rPr>
              <w:t>）磨边倒角</w:t>
            </w:r>
          </w:p>
          <w:p>
            <w:pPr>
              <w:pStyle w:val="81"/>
              <w:ind w:firstLine="31680"/>
              <w:rPr>
                <w:color w:val="auto"/>
                <w:szCs w:val="32"/>
              </w:rPr>
            </w:pPr>
            <w:r>
              <w:rPr>
                <w:rFonts w:hint="eastAsia"/>
                <w:color w:val="auto"/>
                <w:szCs w:val="32"/>
              </w:rPr>
              <w:t>将烘干后的钙板送至磨边</w:t>
            </w:r>
            <w:r>
              <w:rPr>
                <w:rFonts w:hint="eastAsia"/>
                <w:color w:val="auto"/>
                <w:szCs w:val="21"/>
              </w:rPr>
              <w:t>倒角</w:t>
            </w:r>
            <w:r>
              <w:rPr>
                <w:rFonts w:hint="eastAsia"/>
                <w:color w:val="auto"/>
                <w:szCs w:val="32"/>
              </w:rPr>
              <w:t>机进行砂磨处理，经检验合格后入库待售。此过程产生切割粉尘（</w:t>
            </w:r>
            <w:r>
              <w:rPr>
                <w:color w:val="auto"/>
                <w:szCs w:val="32"/>
              </w:rPr>
              <w:t>G2-5</w:t>
            </w:r>
            <w:r>
              <w:rPr>
                <w:rFonts w:hint="eastAsia"/>
                <w:color w:val="auto"/>
                <w:szCs w:val="32"/>
              </w:rPr>
              <w:t>）、废边角料（</w:t>
            </w:r>
            <w:r>
              <w:rPr>
                <w:color w:val="auto"/>
                <w:szCs w:val="32"/>
              </w:rPr>
              <w:t>S2-2</w:t>
            </w:r>
            <w:r>
              <w:rPr>
                <w:rFonts w:hint="eastAsia"/>
                <w:color w:val="auto"/>
                <w:szCs w:val="32"/>
              </w:rPr>
              <w:t>）及机械设备噪声。</w:t>
            </w:r>
          </w:p>
          <w:p>
            <w:pPr>
              <w:pStyle w:val="174"/>
              <w:rPr>
                <w:color w:val="auto"/>
              </w:rPr>
            </w:pPr>
            <w:r>
              <w:rPr>
                <w:color w:val="auto"/>
              </w:rPr>
              <w:t>2.8.3</w:t>
            </w:r>
            <w:r>
              <w:rPr>
                <w:rFonts w:hint="eastAsia"/>
                <w:color w:val="auto"/>
              </w:rPr>
              <w:t>产污环节</w:t>
            </w:r>
          </w:p>
          <w:p>
            <w:pPr>
              <w:pStyle w:val="85"/>
              <w:adjustRightInd/>
              <w:snapToGrid/>
              <w:ind w:firstLine="480"/>
              <w:jc w:val="both"/>
              <w:rPr>
                <w:rFonts w:eastAsia="宋体"/>
                <w:color w:val="auto"/>
              </w:rPr>
            </w:pPr>
            <w:r>
              <w:rPr>
                <w:rFonts w:hint="eastAsia" w:eastAsia="宋体"/>
                <w:color w:val="auto"/>
              </w:rPr>
              <w:t>项目产污环节汇总详见表</w:t>
            </w:r>
            <w:r>
              <w:rPr>
                <w:rFonts w:eastAsia="宋体"/>
                <w:color w:val="auto"/>
              </w:rPr>
              <w:t>2.</w:t>
            </w:r>
            <w:r>
              <w:rPr>
                <w:color w:val="auto"/>
              </w:rPr>
              <w:t>8-1</w:t>
            </w:r>
            <w:r>
              <w:rPr>
                <w:rFonts w:hint="eastAsia" w:eastAsia="宋体"/>
                <w:color w:val="auto"/>
              </w:rPr>
              <w:t>。</w:t>
            </w:r>
          </w:p>
          <w:p>
            <w:pPr>
              <w:spacing w:beforeLines="50"/>
              <w:jc w:val="center"/>
              <w:rPr>
                <w:rFonts w:eastAsia="黑体"/>
                <w:color w:val="auto"/>
                <w:sz w:val="24"/>
              </w:rPr>
            </w:pPr>
            <w:r>
              <w:rPr>
                <w:rFonts w:hint="eastAsia" w:eastAsia="黑体"/>
                <w:color w:val="auto"/>
                <w:sz w:val="24"/>
              </w:rPr>
              <w:t>图</w:t>
            </w:r>
            <w:r>
              <w:rPr>
                <w:rFonts w:eastAsia="黑体"/>
                <w:color w:val="auto"/>
                <w:sz w:val="24"/>
              </w:rPr>
              <w:t xml:space="preserve">2.8-1  </w:t>
            </w:r>
            <w:r>
              <w:rPr>
                <w:rFonts w:hint="eastAsia" w:eastAsia="黑体"/>
                <w:color w:val="auto"/>
                <w:sz w:val="24"/>
              </w:rPr>
              <w:t>项目产污环节一览表</w:t>
            </w:r>
          </w:p>
          <w:tbl>
            <w:tblPr>
              <w:tblStyle w:val="27"/>
              <w:tblW w:w="85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46"/>
              <w:gridCol w:w="1740"/>
              <w:gridCol w:w="969"/>
              <w:gridCol w:w="1114"/>
              <w:gridCol w:w="35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7" w:hRule="atLeast"/>
                <w:tblHeader/>
                <w:jc w:val="center"/>
              </w:trPr>
              <w:tc>
                <w:tcPr>
                  <w:tcW w:w="1146" w:type="dxa"/>
                  <w:tcBorders>
                    <w:top w:val="single" w:color="auto" w:sz="12"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污染类型</w:t>
                  </w:r>
                </w:p>
              </w:tc>
              <w:tc>
                <w:tcPr>
                  <w:tcW w:w="1740" w:type="dxa"/>
                  <w:tcBorders>
                    <w:top w:val="single" w:color="auto" w:sz="12" w:space="0"/>
                    <w:left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污染源名称</w:t>
                  </w:r>
                </w:p>
              </w:tc>
              <w:tc>
                <w:tcPr>
                  <w:tcW w:w="969" w:type="dxa"/>
                  <w:tcBorders>
                    <w:top w:val="single" w:color="auto" w:sz="12" w:space="0"/>
                    <w:left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编号</w:t>
                  </w:r>
                  <w:r>
                    <w:rPr>
                      <w:color w:val="auto"/>
                      <w:szCs w:val="21"/>
                    </w:rPr>
                    <w:t>/</w:t>
                  </w:r>
                  <w:r>
                    <w:rPr>
                      <w:rFonts w:hint="eastAsia"/>
                      <w:color w:val="auto"/>
                      <w:szCs w:val="21"/>
                    </w:rPr>
                    <w:t>来源</w:t>
                  </w:r>
                </w:p>
              </w:tc>
              <w:tc>
                <w:tcPr>
                  <w:tcW w:w="1110" w:type="dxa"/>
                  <w:tcBorders>
                    <w:top w:val="single" w:color="auto" w:sz="12" w:space="0"/>
                    <w:left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污染因子</w:t>
                  </w:r>
                </w:p>
              </w:tc>
              <w:tc>
                <w:tcPr>
                  <w:tcW w:w="3539" w:type="dxa"/>
                  <w:tcBorders>
                    <w:top w:val="single" w:color="auto" w:sz="12" w:space="0"/>
                    <w:left w:val="single" w:color="auto" w:sz="4" w:space="0"/>
                    <w:bottom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治理措施及排放去向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7" w:hRule="atLeast"/>
                <w:tblHeader/>
                <w:jc w:val="center"/>
              </w:trPr>
              <w:tc>
                <w:tcPr>
                  <w:tcW w:w="1146" w:type="dxa"/>
                  <w:vMerge w:val="restart"/>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废气</w:t>
                  </w: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卸料扬尘</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G1-1</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原料库封闭，原料库进出口使用集气罩</w:t>
                  </w:r>
                  <w:r>
                    <w:rPr>
                      <w:color w:val="auto"/>
                      <w:szCs w:val="21"/>
                    </w:rPr>
                    <w:t>+</w:t>
                  </w:r>
                  <w:r>
                    <w:rPr>
                      <w:rFonts w:hint="eastAsia"/>
                      <w:color w:val="auto"/>
                      <w:szCs w:val="21"/>
                    </w:rPr>
                    <w:t>袋式除尘器</w:t>
                  </w:r>
                  <w:r>
                    <w:rPr>
                      <w:color w:val="auto"/>
                      <w:szCs w:val="21"/>
                    </w:rPr>
                    <w:t>+15m</w:t>
                  </w:r>
                  <w:r>
                    <w:rPr>
                      <w:rFonts w:hint="eastAsia"/>
                      <w:color w:val="auto"/>
                      <w:szCs w:val="21"/>
                    </w:rPr>
                    <w:t>高排气筒（</w:t>
                  </w:r>
                  <w:r>
                    <w:rPr>
                      <w:color w:val="auto"/>
                      <w:szCs w:val="21"/>
                    </w:rPr>
                    <w:t>DA001</w:t>
                  </w:r>
                  <w:r>
                    <w:rPr>
                      <w:rFonts w:hint="eastAsia"/>
                      <w:color w:val="auto"/>
                      <w:szCs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4"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投料、破碎、筛分</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G1-2</w:t>
                  </w:r>
                  <w:r>
                    <w:rPr>
                      <w:rFonts w:hint="eastAsia"/>
                      <w:color w:val="auto"/>
                      <w:szCs w:val="21"/>
                    </w:rPr>
                    <w:t>～</w:t>
                  </w:r>
                  <w:r>
                    <w:rPr>
                      <w:color w:val="auto"/>
                      <w:szCs w:val="21"/>
                    </w:rPr>
                    <w:t>G1-6</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投料等起尘点使用袋式除尘器</w:t>
                  </w:r>
                  <w:r>
                    <w:rPr>
                      <w:color w:val="auto"/>
                      <w:szCs w:val="21"/>
                    </w:rPr>
                    <w:t>+15m</w:t>
                  </w:r>
                  <w:r>
                    <w:rPr>
                      <w:rFonts w:hint="eastAsia"/>
                      <w:color w:val="auto"/>
                      <w:szCs w:val="21"/>
                    </w:rPr>
                    <w:t>高排气筒（</w:t>
                  </w:r>
                  <w:r>
                    <w:rPr>
                      <w:color w:val="auto"/>
                      <w:szCs w:val="21"/>
                    </w:rPr>
                    <w:t>DA001</w:t>
                  </w:r>
                  <w:r>
                    <w:rPr>
                      <w:rFonts w:hint="eastAsia"/>
                      <w:color w:val="auto"/>
                      <w:szCs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输送带扬尘</w:t>
                  </w: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输送带加盖密闭，落料点使用袋式除尘器</w:t>
                  </w:r>
                  <w:r>
                    <w:rPr>
                      <w:color w:val="auto"/>
                      <w:szCs w:val="21"/>
                    </w:rPr>
                    <w:t>+15m</w:t>
                  </w:r>
                  <w:r>
                    <w:rPr>
                      <w:rFonts w:hint="eastAsia"/>
                      <w:color w:val="auto"/>
                      <w:szCs w:val="21"/>
                    </w:rPr>
                    <w:t>高排气筒（</w:t>
                  </w:r>
                  <w:r>
                    <w:rPr>
                      <w:color w:val="auto"/>
                      <w:szCs w:val="21"/>
                    </w:rPr>
                    <w:t>DA001</w:t>
                  </w:r>
                  <w:r>
                    <w:rPr>
                      <w:rFonts w:hint="eastAsia"/>
                      <w:color w:val="auto"/>
                      <w:szCs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进仓粉尘</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G1-7</w:t>
                  </w:r>
                  <w:r>
                    <w:rPr>
                      <w:rFonts w:hint="eastAsia"/>
                      <w:color w:val="auto"/>
                      <w:szCs w:val="21"/>
                    </w:rPr>
                    <w:t>、</w:t>
                  </w:r>
                  <w:r>
                    <w:rPr>
                      <w:color w:val="auto"/>
                      <w:szCs w:val="21"/>
                    </w:rPr>
                    <w:t>G1-8</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料仓呼吸口管道对接使用袋式除尘器</w:t>
                  </w:r>
                  <w:r>
                    <w:rPr>
                      <w:color w:val="auto"/>
                      <w:szCs w:val="21"/>
                    </w:rPr>
                    <w:t>+15m</w:t>
                  </w:r>
                  <w:r>
                    <w:rPr>
                      <w:rFonts w:hint="eastAsia"/>
                      <w:color w:val="auto"/>
                      <w:szCs w:val="21"/>
                    </w:rPr>
                    <w:t>高排气筒（</w:t>
                  </w:r>
                  <w:r>
                    <w:rPr>
                      <w:color w:val="auto"/>
                      <w:szCs w:val="21"/>
                    </w:rPr>
                    <w:t>DA001</w:t>
                  </w:r>
                  <w:r>
                    <w:rPr>
                      <w:rFonts w:hint="eastAsia"/>
                      <w:color w:val="auto"/>
                      <w:szCs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G2-1</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料仓呼吸口管道对接使用袋式除尘器</w:t>
                  </w:r>
                  <w:r>
                    <w:rPr>
                      <w:color w:val="auto"/>
                      <w:szCs w:val="21"/>
                    </w:rPr>
                    <w:t>+15m</w:t>
                  </w:r>
                  <w:r>
                    <w:rPr>
                      <w:rFonts w:hint="eastAsia"/>
                      <w:color w:val="auto"/>
                      <w:szCs w:val="21"/>
                    </w:rPr>
                    <w:t>高排气筒（</w:t>
                  </w:r>
                  <w:r>
                    <w:rPr>
                      <w:color w:val="auto"/>
                      <w:szCs w:val="21"/>
                    </w:rPr>
                    <w:t>DA002</w:t>
                  </w:r>
                  <w:r>
                    <w:rPr>
                      <w:rFonts w:hint="eastAsia"/>
                      <w:color w:val="auto"/>
                      <w:szCs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s="宋体"/>
                      <w:bCs/>
                      <w:iCs/>
                      <w:color w:val="auto"/>
                      <w:kern w:val="2"/>
                      <w:sz w:val="21"/>
                      <w:szCs w:val="21"/>
                    </w:rPr>
                    <w:t>配料粉尘</w:t>
                  </w:r>
                </w:p>
              </w:tc>
              <w:tc>
                <w:tcPr>
                  <w:tcW w:w="969"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ascii="Times New Roman" w:hAnsi="Times New Roman"/>
                      <w:color w:val="auto"/>
                      <w:sz w:val="21"/>
                      <w:szCs w:val="21"/>
                    </w:rPr>
                    <w:t>G2-2</w:t>
                  </w:r>
                </w:p>
              </w:tc>
              <w:tc>
                <w:tcPr>
                  <w:tcW w:w="1110"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olor w:val="auto"/>
                      <w:sz w:val="21"/>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料仓呼吸口管道对接使用袋式除尘器</w:t>
                  </w:r>
                  <w:r>
                    <w:rPr>
                      <w:color w:val="auto"/>
                      <w:szCs w:val="21"/>
                    </w:rPr>
                    <w:t>+15m</w:t>
                  </w:r>
                  <w:r>
                    <w:rPr>
                      <w:rFonts w:hint="eastAsia"/>
                      <w:color w:val="auto"/>
                      <w:szCs w:val="21"/>
                    </w:rPr>
                    <w:t>高排气筒（</w:t>
                  </w:r>
                  <w:r>
                    <w:rPr>
                      <w:color w:val="auto"/>
                      <w:szCs w:val="21"/>
                    </w:rPr>
                    <w:t>DA003</w:t>
                  </w:r>
                  <w:r>
                    <w:rPr>
                      <w:rFonts w:hint="eastAsia"/>
                      <w:color w:val="auto"/>
                      <w:szCs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制浆搅拌粉尘</w:t>
                  </w:r>
                </w:p>
              </w:tc>
              <w:tc>
                <w:tcPr>
                  <w:tcW w:w="969"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ascii="Times New Roman" w:hAnsi="Times New Roman"/>
                      <w:color w:val="auto"/>
                      <w:sz w:val="21"/>
                      <w:szCs w:val="21"/>
                    </w:rPr>
                    <w:t>G2-3</w:t>
                  </w:r>
                </w:p>
              </w:tc>
              <w:tc>
                <w:tcPr>
                  <w:tcW w:w="1110"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olor w:val="auto"/>
                      <w:sz w:val="21"/>
                      <w:szCs w:val="21"/>
                    </w:rPr>
                    <w:t>颗粒物</w:t>
                  </w:r>
                </w:p>
              </w:tc>
              <w:tc>
                <w:tcPr>
                  <w:tcW w:w="3539" w:type="dxa"/>
                  <w:tcBorders>
                    <w:top w:val="single" w:color="auto" w:sz="4" w:space="0"/>
                    <w:left w:val="single" w:color="auto" w:sz="4" w:space="0"/>
                    <w:bottom w:val="single" w:color="auto" w:sz="4" w:space="0"/>
                  </w:tcBorders>
                  <w:vAlign w:val="center"/>
                </w:tcPr>
                <w:p>
                  <w:pPr>
                    <w:pStyle w:val="25"/>
                    <w:widowControl w:val="0"/>
                    <w:adjustRightInd w:val="0"/>
                    <w:snapToGrid w:val="0"/>
                    <w:spacing w:before="0" w:beforeAutospacing="0" w:after="0" w:afterAutospacing="0"/>
                    <w:jc w:val="center"/>
                    <w:outlineLvl w:val="2"/>
                    <w:rPr>
                      <w:color w:val="auto"/>
                      <w:sz w:val="21"/>
                      <w:szCs w:val="21"/>
                    </w:rPr>
                  </w:pPr>
                  <w:r>
                    <w:rPr>
                      <w:rFonts w:hint="eastAsia" w:ascii="Times New Roman" w:hAnsi="Times New Roman" w:cs="宋体"/>
                      <w:bCs/>
                      <w:iCs/>
                      <w:color w:val="auto"/>
                      <w:kern w:val="2"/>
                      <w:sz w:val="21"/>
                      <w:szCs w:val="21"/>
                    </w:rPr>
                    <w:t>湿式加工，密闭式搅拌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纵切、横切粉尘</w:t>
                  </w:r>
                </w:p>
              </w:tc>
              <w:tc>
                <w:tcPr>
                  <w:tcW w:w="969"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ascii="Times New Roman" w:hAnsi="Times New Roman"/>
                      <w:color w:val="auto"/>
                      <w:sz w:val="21"/>
                      <w:szCs w:val="21"/>
                    </w:rPr>
                    <w:t>G2-4</w:t>
                  </w:r>
                </w:p>
              </w:tc>
              <w:tc>
                <w:tcPr>
                  <w:tcW w:w="1110"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olor w:val="auto"/>
                      <w:sz w:val="21"/>
                      <w:szCs w:val="21"/>
                    </w:rPr>
                    <w:t>颗粒物</w:t>
                  </w:r>
                </w:p>
              </w:tc>
              <w:tc>
                <w:tcPr>
                  <w:tcW w:w="3539" w:type="dxa"/>
                  <w:tcBorders>
                    <w:top w:val="single" w:color="auto" w:sz="4" w:space="0"/>
                    <w:left w:val="single" w:color="auto" w:sz="4" w:space="0"/>
                    <w:bottom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color w:val="auto"/>
                      <w:kern w:val="2"/>
                      <w:sz w:val="21"/>
                      <w:szCs w:val="21"/>
                    </w:rPr>
                  </w:pPr>
                  <w:r>
                    <w:rPr>
                      <w:rFonts w:hint="eastAsia" w:ascii="Times New Roman" w:hAnsi="Times New Roman" w:cs="宋体"/>
                      <w:bCs/>
                      <w:iCs/>
                      <w:color w:val="auto"/>
                      <w:kern w:val="2"/>
                      <w:sz w:val="21"/>
                      <w:szCs w:val="21"/>
                    </w:rPr>
                    <w:t>湿式加工，粉尘量少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s="宋体"/>
                      <w:bCs/>
                      <w:iCs/>
                      <w:color w:val="auto"/>
                      <w:kern w:val="2"/>
                      <w:sz w:val="21"/>
                      <w:szCs w:val="21"/>
                    </w:rPr>
                    <w:t>磨边粉尘</w:t>
                  </w:r>
                </w:p>
              </w:tc>
              <w:tc>
                <w:tcPr>
                  <w:tcW w:w="969"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ascii="Times New Roman" w:hAnsi="Times New Roman"/>
                      <w:color w:val="auto"/>
                      <w:sz w:val="21"/>
                      <w:szCs w:val="21"/>
                    </w:rPr>
                    <w:t>G2-5</w:t>
                  </w:r>
                </w:p>
              </w:tc>
              <w:tc>
                <w:tcPr>
                  <w:tcW w:w="1110" w:type="dxa"/>
                  <w:tcBorders>
                    <w:top w:val="single" w:color="auto" w:sz="4" w:space="0"/>
                    <w:left w:val="single" w:color="auto" w:sz="4" w:space="0"/>
                    <w:bottom w:val="single" w:color="auto" w:sz="4" w:space="0"/>
                    <w:right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olor w:val="auto"/>
                      <w:sz w:val="21"/>
                      <w:szCs w:val="21"/>
                    </w:rPr>
                    <w:t>颗粒物</w:t>
                  </w:r>
                </w:p>
              </w:tc>
              <w:tc>
                <w:tcPr>
                  <w:tcW w:w="3539" w:type="dxa"/>
                  <w:tcBorders>
                    <w:top w:val="single" w:color="auto" w:sz="4" w:space="0"/>
                    <w:left w:val="single" w:color="auto" w:sz="4" w:space="0"/>
                    <w:bottom w:val="single" w:color="auto" w:sz="4" w:space="0"/>
                  </w:tcBorders>
                  <w:vAlign w:val="center"/>
                </w:tcPr>
                <w:p>
                  <w:pPr>
                    <w:pStyle w:val="25"/>
                    <w:widowControl w:val="0"/>
                    <w:adjustRightInd w:val="0"/>
                    <w:snapToGrid w:val="0"/>
                    <w:spacing w:before="0" w:beforeAutospacing="0" w:after="0" w:afterAutospacing="0"/>
                    <w:jc w:val="center"/>
                    <w:outlineLvl w:val="2"/>
                    <w:rPr>
                      <w:rFonts w:ascii="Times New Roman" w:hAnsi="Times New Roman"/>
                      <w:color w:val="auto"/>
                      <w:sz w:val="21"/>
                      <w:szCs w:val="21"/>
                    </w:rPr>
                  </w:pPr>
                  <w:r>
                    <w:rPr>
                      <w:rFonts w:hint="eastAsia" w:ascii="Times New Roman" w:hAnsi="Times New Roman" w:cs="宋体"/>
                      <w:bCs/>
                      <w:iCs/>
                      <w:color w:val="auto"/>
                      <w:kern w:val="2"/>
                      <w:sz w:val="21"/>
                      <w:szCs w:val="21"/>
                    </w:rPr>
                    <w:t>集气罩</w:t>
                  </w:r>
                  <w:r>
                    <w:rPr>
                      <w:color w:val="auto"/>
                      <w:sz w:val="21"/>
                      <w:szCs w:val="21"/>
                    </w:rPr>
                    <w:t>+</w:t>
                  </w:r>
                  <w:r>
                    <w:rPr>
                      <w:rFonts w:hint="eastAsia" w:ascii="Times New Roman" w:hAnsi="Times New Roman"/>
                      <w:color w:val="auto"/>
                      <w:sz w:val="21"/>
                      <w:szCs w:val="21"/>
                    </w:rPr>
                    <w:t>袋式除尘器</w:t>
                  </w:r>
                  <w:r>
                    <w:rPr>
                      <w:rFonts w:ascii="Times New Roman" w:hAnsi="Times New Roman"/>
                      <w:color w:val="auto"/>
                      <w:sz w:val="21"/>
                      <w:szCs w:val="21"/>
                    </w:rPr>
                    <w:t>+15m</w:t>
                  </w:r>
                  <w:r>
                    <w:rPr>
                      <w:rFonts w:hint="eastAsia" w:ascii="Times New Roman" w:hAnsi="Times New Roman"/>
                      <w:color w:val="auto"/>
                      <w:sz w:val="21"/>
                      <w:szCs w:val="21"/>
                    </w:rPr>
                    <w:t>高排气筒（</w:t>
                  </w:r>
                  <w:r>
                    <w:rPr>
                      <w:rFonts w:ascii="Times New Roman" w:hAnsi="Times New Roman"/>
                      <w:color w:val="auto"/>
                      <w:sz w:val="21"/>
                      <w:szCs w:val="21"/>
                    </w:rPr>
                    <w:t>DA003</w:t>
                  </w:r>
                  <w:r>
                    <w:rPr>
                      <w:rFonts w:hint="eastAsia" w:ascii="Times New Roman" w:hAnsi="Times New Roman"/>
                      <w:color w:val="auto"/>
                      <w:sz w:val="21"/>
                      <w:szCs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bCs/>
                      <w:color w:val="auto"/>
                      <w:sz w:val="21"/>
                    </w:rPr>
                    <w:t>车辆</w:t>
                  </w:r>
                  <w:r>
                    <w:rPr>
                      <w:rFonts w:hint="eastAsia" w:ascii="Times New Roman" w:hAnsi="Times New Roman" w:cs="Times New Roman"/>
                      <w:color w:val="auto"/>
                      <w:sz w:val="21"/>
                    </w:rPr>
                    <w:t>运输</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bCs/>
                      <w:snapToGrid w:val="0"/>
                      <w:color w:val="auto"/>
                      <w:kern w:val="0"/>
                      <w:szCs w:val="21"/>
                    </w:rPr>
                    <w:t>厂区运输车辆进出口设置自动车辆冲洗装置和沉淀水池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bCs/>
                      <w:color w:val="auto"/>
                      <w:sz w:val="21"/>
                    </w:rPr>
                  </w:pPr>
                  <w:r>
                    <w:rPr>
                      <w:rFonts w:hint="eastAsia" w:ascii="Times New Roman" w:hAnsi="Times New Roman" w:cs="Times New Roman"/>
                      <w:bCs/>
                      <w:color w:val="auto"/>
                      <w:sz w:val="21"/>
                    </w:rPr>
                    <w:t>道路扬尘</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bCs/>
                      <w:snapToGrid w:val="0"/>
                      <w:color w:val="auto"/>
                      <w:kern w:val="0"/>
                      <w:szCs w:val="21"/>
                    </w:rPr>
                  </w:pPr>
                  <w:r>
                    <w:rPr>
                      <w:rFonts w:hint="eastAsia"/>
                      <w:bCs/>
                      <w:snapToGrid w:val="0"/>
                      <w:color w:val="auto"/>
                      <w:kern w:val="0"/>
                      <w:szCs w:val="21"/>
                    </w:rPr>
                    <w:t>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1146" w:type="dxa"/>
                  <w:vMerge w:val="restart"/>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废水</w:t>
                  </w: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rFonts w:hint="eastAsia"/>
                      <w:color w:val="auto"/>
                    </w:rPr>
                    <w:t>网箱抄取废水</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W2-1</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混水罐澄清后，上层清液进入清水罐，底层的混浊液用于制浆，不外排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rPr>
                  </w:pPr>
                  <w:r>
                    <w:rPr>
                      <w:rFonts w:hint="eastAsia"/>
                      <w:color w:val="auto"/>
                    </w:rPr>
                    <w:t>冷凝水</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W2-2</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收集进入清水罐，回用生产，不外排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洗车废水</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lang w:val="zh-CN"/>
                    </w:rPr>
                  </w:pPr>
                  <w:r>
                    <w:rPr>
                      <w:color w:val="auto"/>
                      <w:szCs w:val="21"/>
                      <w:lang w:val="zh-CN"/>
                    </w:rPr>
                    <w:t>pH</w:t>
                  </w:r>
                  <w:r>
                    <w:rPr>
                      <w:rFonts w:hint="eastAsia"/>
                      <w:color w:val="auto"/>
                      <w:szCs w:val="21"/>
                      <w:lang w:val="zh-CN"/>
                    </w:rPr>
                    <w:t>、</w:t>
                  </w:r>
                  <w:r>
                    <w:rPr>
                      <w:color w:val="auto"/>
                      <w:szCs w:val="21"/>
                    </w:rPr>
                    <w:t>SS</w:t>
                  </w:r>
                  <w:r>
                    <w:rPr>
                      <w:rFonts w:hint="eastAsia"/>
                      <w:color w:val="auto"/>
                      <w:szCs w:val="21"/>
                      <w:lang w:val="zh-CN"/>
                    </w:rPr>
                    <w:t>、</w:t>
                  </w:r>
                  <w:r>
                    <w:rPr>
                      <w:rFonts w:hint="eastAsia"/>
                      <w:color w:val="auto"/>
                      <w:szCs w:val="21"/>
                    </w:rPr>
                    <w:t>石油类</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设置车辆冲洗区，冲洗水经沉淀后循环使用，不外排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1146" w:type="dxa"/>
                  <w:vMerge w:val="continue"/>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生活污水</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lang w:val="zh-CN"/>
                    </w:rPr>
                  </w:pPr>
                  <w:r>
                    <w:rPr>
                      <w:color w:val="auto"/>
                      <w:szCs w:val="21"/>
                      <w:lang w:val="zh-CN"/>
                    </w:rPr>
                    <w:t>COD</w:t>
                  </w:r>
                  <w:r>
                    <w:rPr>
                      <w:rFonts w:hint="eastAsia"/>
                      <w:color w:val="auto"/>
                      <w:szCs w:val="21"/>
                      <w:lang w:val="zh-CN"/>
                    </w:rPr>
                    <w:t>、</w:t>
                  </w:r>
                  <w:r>
                    <w:rPr>
                      <w:rFonts w:hint="eastAsia"/>
                      <w:color w:val="auto"/>
                      <w:szCs w:val="21"/>
                    </w:rPr>
                    <w:t>氨氮</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化粪池预处理后排入尼葛污水处理厂集中处理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1146" w:type="dxa"/>
                  <w:vMerge w:val="continue"/>
                  <w:tcBorders>
                    <w:top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初期雨水</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w:t>
                  </w:r>
                </w:p>
              </w:tc>
              <w:tc>
                <w:tcPr>
                  <w:tcW w:w="111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SS</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rPr>
                    <w:t>设置初期雨水池，沉淀处理后上清液用于车辆冲洗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3" w:hRule="atLeast"/>
                <w:jc w:val="center"/>
              </w:trPr>
              <w:tc>
                <w:tcPr>
                  <w:tcW w:w="1146" w:type="dxa"/>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噪声</w:t>
                  </w:r>
                </w:p>
              </w:tc>
              <w:tc>
                <w:tcPr>
                  <w:tcW w:w="1740" w:type="dxa"/>
                  <w:tcBorders>
                    <w:top w:val="single" w:color="auto" w:sz="4" w:space="0"/>
                    <w:left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设备噪声</w:t>
                  </w:r>
                </w:p>
              </w:tc>
              <w:tc>
                <w:tcPr>
                  <w:tcW w:w="969" w:type="dxa"/>
                  <w:tcBorders>
                    <w:top w:val="single" w:color="auto" w:sz="4" w:space="0"/>
                    <w:left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color w:val="auto"/>
                      <w:szCs w:val="21"/>
                    </w:rPr>
                    <w:t>N</w:t>
                  </w:r>
                </w:p>
              </w:tc>
              <w:tc>
                <w:tcPr>
                  <w:tcW w:w="1110" w:type="dxa"/>
                  <w:tcBorders>
                    <w:top w:val="single" w:color="auto" w:sz="4" w:space="0"/>
                    <w:left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color w:val="auto"/>
                      <w:szCs w:val="21"/>
                    </w:rPr>
                    <w:t>L</w:t>
                  </w:r>
                  <w:r>
                    <w:rPr>
                      <w:color w:val="auto"/>
                      <w:szCs w:val="21"/>
                      <w:vertAlign w:val="subscript"/>
                    </w:rPr>
                    <w:t>Aeq</w:t>
                  </w:r>
                </w:p>
              </w:tc>
              <w:tc>
                <w:tcPr>
                  <w:tcW w:w="3539" w:type="dxa"/>
                  <w:tcBorders>
                    <w:top w:val="single" w:color="auto" w:sz="4" w:space="0"/>
                    <w:left w:val="single" w:color="auto" w:sz="4" w:space="0"/>
                    <w:bottom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采用隔声、减震、消声等降噪措施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6" w:hRule="atLeast"/>
                <w:jc w:val="center"/>
              </w:trPr>
              <w:tc>
                <w:tcPr>
                  <w:tcW w:w="1146" w:type="dxa"/>
                  <w:vMerge w:val="restart"/>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固体废物</w:t>
                  </w: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生活、厨余垃圾</w:t>
                  </w:r>
                </w:p>
              </w:tc>
              <w:tc>
                <w:tcPr>
                  <w:tcW w:w="96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生活</w:t>
                  </w:r>
                </w:p>
              </w:tc>
              <w:tc>
                <w:tcPr>
                  <w:tcW w:w="11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生活、厨余垃圾</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lang w:val="zh-CN"/>
                    </w:rPr>
                    <w:t>收集后委托环卫部门外运处置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15"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化粪池污泥</w:t>
                  </w:r>
                </w:p>
              </w:tc>
              <w:tc>
                <w:tcPr>
                  <w:tcW w:w="969" w:type="dxa"/>
                  <w:vMerge w:val="continue"/>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p>
              </w:tc>
              <w:tc>
                <w:tcPr>
                  <w:tcW w:w="11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化粪池污泥</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lang w:val="zh-CN"/>
                    </w:rPr>
                  </w:pPr>
                  <w:r>
                    <w:rPr>
                      <w:rFonts w:hint="eastAsia"/>
                      <w:color w:val="auto"/>
                      <w:szCs w:val="21"/>
                    </w:rPr>
                    <w:t>吸粪车定期清运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粉尘</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布袋收尘</w:t>
                  </w:r>
                </w:p>
              </w:tc>
              <w:tc>
                <w:tcPr>
                  <w:tcW w:w="11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颗粒物</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rPr>
                  </w:pPr>
                  <w:r>
                    <w:rPr>
                      <w:rFonts w:hint="eastAsia"/>
                      <w:color w:val="auto"/>
                      <w:szCs w:val="21"/>
                      <w:lang w:val="zh-CN"/>
                    </w:rPr>
                    <w:t>收集后</w:t>
                  </w:r>
                  <w:r>
                    <w:rPr>
                      <w:rFonts w:hint="eastAsia"/>
                      <w:color w:val="auto"/>
                      <w:szCs w:val="21"/>
                    </w:rPr>
                    <w:t>回用生产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5"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边角料</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S2-1</w:t>
                  </w:r>
                  <w:r>
                    <w:rPr>
                      <w:rFonts w:hint="eastAsia"/>
                      <w:color w:val="auto"/>
                      <w:szCs w:val="21"/>
                    </w:rPr>
                    <w:t>、</w:t>
                  </w:r>
                  <w:r>
                    <w:rPr>
                      <w:color w:val="auto"/>
                      <w:szCs w:val="21"/>
                    </w:rPr>
                    <w:t>S2-2</w:t>
                  </w:r>
                </w:p>
              </w:tc>
              <w:tc>
                <w:tcPr>
                  <w:tcW w:w="111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边角料</w:t>
                  </w:r>
                </w:p>
              </w:tc>
              <w:tc>
                <w:tcPr>
                  <w:tcW w:w="3539" w:type="dxa"/>
                  <w:tcBorders>
                    <w:top w:val="single" w:color="auto" w:sz="4" w:space="0"/>
                    <w:left w:val="single" w:color="auto" w:sz="4" w:space="0"/>
                    <w:bottom w:val="single" w:color="auto" w:sz="4" w:space="0"/>
                  </w:tcBorders>
                  <w:vAlign w:val="center"/>
                </w:tcPr>
                <w:p>
                  <w:pPr>
                    <w:adjustRightInd w:val="0"/>
                    <w:snapToGrid w:val="0"/>
                    <w:jc w:val="center"/>
                    <w:rPr>
                      <w:color w:val="auto"/>
                      <w:szCs w:val="21"/>
                      <w:lang w:val="zh-CN"/>
                    </w:rPr>
                  </w:pPr>
                  <w:r>
                    <w:rPr>
                      <w:rFonts w:hint="eastAsia"/>
                      <w:color w:val="auto"/>
                      <w:szCs w:val="21"/>
                      <w:lang w:val="zh-CN"/>
                    </w:rPr>
                    <w:t>收集后</w:t>
                  </w:r>
                  <w:r>
                    <w:rPr>
                      <w:rFonts w:hint="eastAsia"/>
                      <w:color w:val="auto"/>
                      <w:szCs w:val="21"/>
                    </w:rPr>
                    <w:t>回用生产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污泥</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车辆清洗</w:t>
                  </w:r>
                </w:p>
              </w:tc>
              <w:tc>
                <w:tcPr>
                  <w:tcW w:w="1114" w:type="dxa"/>
                  <w:tcBorders>
                    <w:top w:val="single" w:color="auto" w:sz="4" w:space="0"/>
                    <w:left w:val="single" w:color="auto" w:sz="4" w:space="0"/>
                    <w:bottom w:val="single" w:color="auto" w:sz="4" w:space="0"/>
                    <w:right w:val="single" w:color="auto" w:sz="4" w:space="0"/>
                  </w:tcBorders>
                  <w:vAlign w:val="center"/>
                </w:tcPr>
                <w:p>
                  <w:pPr>
                    <w:jc w:val="center"/>
                    <w:rPr>
                      <w:color w:val="auto"/>
                      <w:szCs w:val="21"/>
                    </w:rPr>
                  </w:pPr>
                  <w:r>
                    <w:rPr>
                      <w:rFonts w:hint="eastAsia"/>
                      <w:color w:val="auto"/>
                    </w:rPr>
                    <w:t>沉淀污泥</w:t>
                  </w:r>
                </w:p>
              </w:tc>
              <w:tc>
                <w:tcPr>
                  <w:tcW w:w="3539" w:type="dxa"/>
                  <w:tcBorders>
                    <w:top w:val="single" w:color="auto" w:sz="4" w:space="0"/>
                    <w:left w:val="single" w:color="auto" w:sz="4" w:space="0"/>
                    <w:bottom w:val="single" w:color="auto" w:sz="4" w:space="0"/>
                  </w:tcBorders>
                  <w:vAlign w:val="center"/>
                </w:tcPr>
                <w:p>
                  <w:pPr>
                    <w:jc w:val="center"/>
                    <w:rPr>
                      <w:color w:val="auto"/>
                      <w:szCs w:val="21"/>
                      <w:lang w:val="zh-CN"/>
                    </w:rPr>
                  </w:pPr>
                  <w:r>
                    <w:rPr>
                      <w:rFonts w:hint="eastAsia"/>
                      <w:color w:val="auto"/>
                    </w:rPr>
                    <w:t>外卖综合利用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jc w:val="center"/>
              </w:trPr>
              <w:tc>
                <w:tcPr>
                  <w:tcW w:w="1146" w:type="dxa"/>
                  <w:vMerge w:val="continue"/>
                  <w:tcBorders>
                    <w:top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kern w:val="0"/>
                      <w:szCs w:val="21"/>
                    </w:rPr>
                    <w:t>隔油池油污</w:t>
                  </w:r>
                </w:p>
              </w:tc>
              <w:tc>
                <w:tcPr>
                  <w:tcW w:w="96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color w:val="auto"/>
                      <w:szCs w:val="21"/>
                    </w:rPr>
                    <w:t>车辆清洗</w:t>
                  </w:r>
                </w:p>
              </w:tc>
              <w:tc>
                <w:tcPr>
                  <w:tcW w:w="1114" w:type="dxa"/>
                  <w:tcBorders>
                    <w:top w:val="single" w:color="auto" w:sz="4" w:space="0"/>
                    <w:left w:val="single" w:color="auto" w:sz="4" w:space="0"/>
                    <w:bottom w:val="single" w:color="auto" w:sz="4" w:space="0"/>
                    <w:right w:val="single" w:color="auto" w:sz="4" w:space="0"/>
                  </w:tcBorders>
                  <w:vAlign w:val="center"/>
                </w:tcPr>
                <w:p>
                  <w:pPr>
                    <w:jc w:val="center"/>
                    <w:rPr>
                      <w:color w:val="auto"/>
                    </w:rPr>
                  </w:pPr>
                  <w:r>
                    <w:rPr>
                      <w:rFonts w:hint="eastAsia"/>
                      <w:color w:val="auto"/>
                      <w:szCs w:val="21"/>
                    </w:rPr>
                    <w:t>废油</w:t>
                  </w:r>
                </w:p>
              </w:tc>
              <w:tc>
                <w:tcPr>
                  <w:tcW w:w="3539" w:type="dxa"/>
                  <w:tcBorders>
                    <w:top w:val="single" w:color="auto" w:sz="4" w:space="0"/>
                    <w:left w:val="single" w:color="auto" w:sz="4" w:space="0"/>
                    <w:bottom w:val="single" w:color="auto" w:sz="4" w:space="0"/>
                  </w:tcBorders>
                  <w:vAlign w:val="center"/>
                </w:tcPr>
                <w:p>
                  <w:pPr>
                    <w:jc w:val="center"/>
                    <w:rPr>
                      <w:color w:val="auto"/>
                    </w:rPr>
                  </w:pPr>
                  <w:r>
                    <w:rPr>
                      <w:rFonts w:hint="eastAsia" w:hAnsi="宋体"/>
                      <w:color w:val="auto"/>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0" w:hRule="atLeast"/>
                <w:jc w:val="center"/>
              </w:trPr>
              <w:tc>
                <w:tcPr>
                  <w:tcW w:w="1146" w:type="dxa"/>
                  <w:vMerge w:val="continue"/>
                  <w:tcBorders>
                    <w:top w:val="single" w:color="auto" w:sz="4" w:space="0"/>
                    <w:bottom w:val="single" w:color="auto" w:sz="12" w:space="0"/>
                    <w:right w:val="single" w:color="auto" w:sz="4" w:space="0"/>
                  </w:tcBorders>
                  <w:vAlign w:val="center"/>
                </w:tcPr>
                <w:p>
                  <w:pPr>
                    <w:tabs>
                      <w:tab w:val="left" w:pos="2604"/>
                    </w:tabs>
                    <w:adjustRightInd w:val="0"/>
                    <w:snapToGrid w:val="0"/>
                    <w:jc w:val="center"/>
                    <w:rPr>
                      <w:color w:val="auto"/>
                      <w:szCs w:val="21"/>
                    </w:rPr>
                  </w:pPr>
                </w:p>
              </w:tc>
              <w:tc>
                <w:tcPr>
                  <w:tcW w:w="1740"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szCs w:val="21"/>
                    </w:rPr>
                  </w:pPr>
                  <w:r>
                    <w:rPr>
                      <w:rFonts w:hint="eastAsia"/>
                      <w:color w:val="auto"/>
                      <w:szCs w:val="21"/>
                    </w:rPr>
                    <w:t>废机油</w:t>
                  </w:r>
                </w:p>
              </w:tc>
              <w:tc>
                <w:tcPr>
                  <w:tcW w:w="96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szCs w:val="21"/>
                    </w:rPr>
                  </w:pPr>
                  <w:r>
                    <w:rPr>
                      <w:rFonts w:hint="eastAsia"/>
                      <w:color w:val="auto"/>
                      <w:szCs w:val="21"/>
                    </w:rPr>
                    <w:t>设备维护</w:t>
                  </w:r>
                </w:p>
              </w:tc>
              <w:tc>
                <w:tcPr>
                  <w:tcW w:w="1114"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color w:val="auto"/>
                      <w:szCs w:val="21"/>
                    </w:rPr>
                  </w:pPr>
                  <w:r>
                    <w:rPr>
                      <w:rFonts w:hint="eastAsia"/>
                      <w:color w:val="auto"/>
                      <w:szCs w:val="21"/>
                    </w:rPr>
                    <w:t>废油</w:t>
                  </w:r>
                </w:p>
              </w:tc>
              <w:tc>
                <w:tcPr>
                  <w:tcW w:w="3539" w:type="dxa"/>
                  <w:tcBorders>
                    <w:top w:val="single" w:color="auto" w:sz="4" w:space="0"/>
                    <w:left w:val="single" w:color="auto" w:sz="4" w:space="0"/>
                    <w:bottom w:val="single" w:color="auto" w:sz="12" w:space="0"/>
                  </w:tcBorders>
                  <w:vAlign w:val="center"/>
                </w:tcPr>
                <w:p>
                  <w:pPr>
                    <w:adjustRightInd w:val="0"/>
                    <w:snapToGrid w:val="0"/>
                    <w:jc w:val="center"/>
                    <w:rPr>
                      <w:color w:val="auto"/>
                      <w:szCs w:val="21"/>
                      <w:lang w:val="zh-CN"/>
                    </w:rPr>
                  </w:pPr>
                  <w:r>
                    <w:rPr>
                      <w:rFonts w:hint="eastAsia" w:hAnsi="宋体"/>
                      <w:color w:val="auto"/>
                      <w:szCs w:val="21"/>
                    </w:rPr>
                    <w:t>委托有资质单位处置</w:t>
                  </w:r>
                </w:p>
              </w:tc>
            </w:tr>
          </w:tbl>
          <w:p>
            <w:pPr>
              <w:pStyle w:val="85"/>
              <w:adjustRightInd/>
              <w:snapToGrid/>
              <w:ind w:firstLine="480"/>
              <w:jc w:val="both"/>
              <w:rPr>
                <w:rFonts w:eastAsia="宋体"/>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9" w:hRule="atLeast"/>
          <w:jc w:val="center"/>
        </w:trPr>
        <w:tc>
          <w:tcPr>
            <w:tcW w:w="405" w:type="dxa"/>
            <w:tcBorders>
              <w:bottom w:val="single" w:color="auto" w:sz="8" w:space="0"/>
            </w:tcBorders>
            <w:vAlign w:val="center"/>
          </w:tcPr>
          <w:p>
            <w:pPr>
              <w:pStyle w:val="25"/>
              <w:spacing w:before="0" w:beforeAutospacing="0" w:after="0" w:afterAutospacing="0"/>
              <w:jc w:val="center"/>
              <w:rPr>
                <w:rFonts w:ascii="Times New Roman" w:hAnsi="Times New Roman"/>
                <w:color w:val="auto"/>
                <w:sz w:val="21"/>
                <w:szCs w:val="21"/>
              </w:rPr>
            </w:pPr>
            <w:r>
              <w:rPr>
                <w:rFonts w:hint="eastAsia" w:ascii="Times New Roman" w:hAnsi="Times New Roman"/>
                <w:bCs/>
                <w:color w:val="auto"/>
                <w:kern w:val="2"/>
                <w:sz w:val="21"/>
                <w:szCs w:val="21"/>
              </w:rPr>
              <w:t>与项目有关的原有环境污染问题</w:t>
            </w:r>
          </w:p>
        </w:tc>
        <w:tc>
          <w:tcPr>
            <w:tcW w:w="8655" w:type="dxa"/>
            <w:tcBorders>
              <w:bottom w:val="single" w:color="auto" w:sz="8" w:space="0"/>
            </w:tcBorders>
            <w:vAlign w:val="center"/>
          </w:tcPr>
          <w:p>
            <w:pPr>
              <w:pStyle w:val="67"/>
              <w:ind w:firstLine="31680"/>
              <w:rPr>
                <w:bCs/>
                <w:color w:val="auto"/>
                <w:szCs w:val="21"/>
              </w:rPr>
            </w:pPr>
            <w:r>
              <w:rPr>
                <w:rFonts w:hint="eastAsia"/>
                <w:color w:val="auto"/>
              </w:rPr>
              <w:t>本项目为新建项目，无原有环境污染问题。</w:t>
            </w:r>
          </w:p>
        </w:tc>
      </w:tr>
    </w:tbl>
    <w:p/>
    <w:p/>
    <w:p/>
    <w:p>
      <w:pPr>
        <w:pStyle w:val="25"/>
        <w:jc w:val="center"/>
        <w:rPr>
          <w:rFonts w:ascii="Times New Roman" w:hAnsi="Times New Roman"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65"/>
        <w:adjustRightInd/>
        <w:snapToGrid/>
      </w:pPr>
      <w:r>
        <w:rPr>
          <w:rFonts w:hint="eastAsia"/>
        </w:rPr>
        <w:t>三、区域环境质量现状、环境保护目标及评价标准</w:t>
      </w:r>
    </w:p>
    <w:tbl>
      <w:tblPr>
        <w:tblStyle w:val="27"/>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96"/>
        <w:gridCol w:w="86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396" w:type="dxa"/>
            <w:tcBorders>
              <w:top w:val="single" w:color="auto" w:sz="8" w:space="0"/>
            </w:tcBorders>
            <w:vAlign w:val="center"/>
          </w:tcPr>
          <w:p>
            <w:pPr>
              <w:jc w:val="center"/>
              <w:rPr>
                <w:kern w:val="0"/>
                <w:szCs w:val="21"/>
              </w:rPr>
            </w:pPr>
            <w:r>
              <w:rPr>
                <w:rFonts w:hint="eastAsia"/>
                <w:kern w:val="0"/>
                <w:szCs w:val="21"/>
              </w:rPr>
              <w:t>区域</w:t>
            </w:r>
          </w:p>
          <w:p>
            <w:pPr>
              <w:jc w:val="center"/>
              <w:rPr>
                <w:kern w:val="0"/>
                <w:szCs w:val="21"/>
              </w:rPr>
            </w:pPr>
            <w:r>
              <w:rPr>
                <w:rFonts w:hint="eastAsia"/>
                <w:kern w:val="0"/>
                <w:szCs w:val="21"/>
              </w:rPr>
              <w:t>环境</w:t>
            </w:r>
          </w:p>
          <w:p>
            <w:pPr>
              <w:jc w:val="center"/>
              <w:rPr>
                <w:kern w:val="0"/>
                <w:szCs w:val="21"/>
              </w:rPr>
            </w:pPr>
            <w:r>
              <w:rPr>
                <w:rFonts w:hint="eastAsia"/>
                <w:kern w:val="0"/>
                <w:szCs w:val="21"/>
              </w:rPr>
              <w:t>质量</w:t>
            </w:r>
          </w:p>
          <w:p>
            <w:pPr>
              <w:jc w:val="center"/>
              <w:rPr>
                <w:kern w:val="0"/>
                <w:szCs w:val="21"/>
              </w:rPr>
            </w:pPr>
            <w:r>
              <w:rPr>
                <w:rFonts w:hint="eastAsia"/>
                <w:kern w:val="0"/>
                <w:szCs w:val="21"/>
              </w:rPr>
              <w:t>现状</w:t>
            </w:r>
          </w:p>
        </w:tc>
        <w:tc>
          <w:tcPr>
            <w:tcW w:w="8665" w:type="dxa"/>
            <w:tcBorders>
              <w:top w:val="single" w:color="auto" w:sz="8" w:space="0"/>
            </w:tcBorders>
            <w:vAlign w:val="center"/>
          </w:tcPr>
          <w:p>
            <w:pPr>
              <w:pStyle w:val="83"/>
              <w:adjustRightInd/>
              <w:snapToGrid/>
              <w:rPr>
                <w:color w:val="auto"/>
              </w:rPr>
            </w:pPr>
            <w:r>
              <w:rPr>
                <w:color w:val="auto"/>
              </w:rPr>
              <w:t>3.1</w:t>
            </w:r>
            <w:r>
              <w:rPr>
                <w:rFonts w:hint="eastAsia"/>
                <w:color w:val="auto"/>
              </w:rPr>
              <w:t>区域环境质量现状</w:t>
            </w:r>
          </w:p>
          <w:p>
            <w:pPr>
              <w:pStyle w:val="83"/>
              <w:adjustRightInd/>
              <w:snapToGrid/>
              <w:rPr>
                <w:color w:val="auto"/>
                <w:sz w:val="28"/>
              </w:rPr>
            </w:pPr>
            <w:r>
              <w:rPr>
                <w:color w:val="auto"/>
                <w:sz w:val="28"/>
              </w:rPr>
              <w:t>3.1.1</w:t>
            </w:r>
            <w:r>
              <w:rPr>
                <w:rFonts w:hint="eastAsia"/>
                <w:color w:val="auto"/>
                <w:sz w:val="28"/>
              </w:rPr>
              <w:t>水环境质量现状</w:t>
            </w:r>
          </w:p>
          <w:p>
            <w:pPr>
              <w:pStyle w:val="106"/>
              <w:ind w:firstLine="31680"/>
            </w:pPr>
            <w:r>
              <w:rPr>
                <w:rFonts w:hint="eastAsia"/>
              </w:rPr>
              <w:t>（</w:t>
            </w:r>
            <w:r>
              <w:t>1</w:t>
            </w:r>
            <w:r>
              <w:rPr>
                <w:rFonts w:hint="eastAsia"/>
              </w:rPr>
              <w:t>）地表水环境质量标准</w:t>
            </w:r>
          </w:p>
          <w:p>
            <w:pPr>
              <w:pStyle w:val="106"/>
              <w:ind w:firstLine="31680"/>
            </w:pPr>
            <w:r>
              <w:rPr>
                <w:rFonts w:hint="eastAsia"/>
              </w:rPr>
              <w:t>根据调查，评价区域主要地表水为沙溪（水系图见附图</w:t>
            </w:r>
            <w:r>
              <w:t>8</w:t>
            </w:r>
            <w:r>
              <w:rPr>
                <w:rFonts w:hint="eastAsia"/>
              </w:rPr>
              <w:t>）。根据《福建省人民政府关于福建省水功能区划的批复》（闽政文</w:t>
            </w:r>
            <w:r>
              <w:t>[2013]504</w:t>
            </w:r>
            <w:r>
              <w:rPr>
                <w:rFonts w:hint="eastAsia"/>
              </w:rPr>
              <w:t>号），该河段属于“沙溪永安、三明市区、沙县工业、景观、农业用水区”，为</w:t>
            </w:r>
            <w:r>
              <w:rPr>
                <w:rFonts w:hint="eastAsia" w:ascii="宋体" w:hAnsi="宋体" w:cs="宋体"/>
              </w:rPr>
              <w:t>Ⅲ</w:t>
            </w:r>
            <w:r>
              <w:rPr>
                <w:rFonts w:hint="eastAsia"/>
              </w:rPr>
              <w:t>类水环境功能区，水质执行《地表水环境质量标准》（</w:t>
            </w:r>
            <w:r>
              <w:t>GB3838-2002</w:t>
            </w:r>
            <w:r>
              <w:rPr>
                <w:rFonts w:hint="eastAsia"/>
              </w:rPr>
              <w:t>）中</w:t>
            </w:r>
            <w:r>
              <w:rPr>
                <w:rFonts w:hint="eastAsia" w:ascii="宋体" w:hAnsi="宋体" w:cs="宋体"/>
              </w:rPr>
              <w:t>Ⅲ</w:t>
            </w:r>
            <w:r>
              <w:rPr>
                <w:rFonts w:hint="eastAsia"/>
              </w:rPr>
              <w:t>类标准，详见表</w:t>
            </w:r>
            <w:r>
              <w:t>3.1-1</w:t>
            </w:r>
            <w:r>
              <w:rPr>
                <w:rFonts w:hint="eastAsia"/>
              </w:rPr>
              <w:t>。</w:t>
            </w:r>
          </w:p>
          <w:p>
            <w:pPr>
              <w:spacing w:beforeLines="50"/>
              <w:jc w:val="center"/>
              <w:rPr>
                <w:rFonts w:eastAsia="黑体"/>
                <w:sz w:val="24"/>
              </w:rPr>
            </w:pPr>
            <w:r>
              <w:rPr>
                <w:rFonts w:hint="eastAsia" w:eastAsia="黑体"/>
                <w:sz w:val="24"/>
              </w:rPr>
              <w:t>表</w:t>
            </w:r>
            <w:r>
              <w:rPr>
                <w:rFonts w:eastAsia="黑体"/>
                <w:sz w:val="24"/>
              </w:rPr>
              <w:t xml:space="preserve">3.1-1  </w:t>
            </w:r>
            <w:r>
              <w:rPr>
                <w:rFonts w:hint="eastAsia" w:eastAsia="黑体"/>
                <w:sz w:val="24"/>
              </w:rPr>
              <w:t>地表水水质评价标准（摘录）</w:t>
            </w:r>
          </w:p>
          <w:tbl>
            <w:tblPr>
              <w:tblStyle w:val="27"/>
              <w:tblW w:w="8332"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82"/>
              <w:gridCol w:w="2083"/>
              <w:gridCol w:w="2084"/>
              <w:gridCol w:w="20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2082" w:type="dxa"/>
                  <w:tcBorders>
                    <w:top w:val="single" w:color="auto" w:sz="12" w:space="0"/>
                    <w:bottom w:val="single" w:color="auto" w:sz="6" w:space="0"/>
                    <w:right w:val="single" w:color="auto" w:sz="6" w:space="0"/>
                  </w:tcBorders>
                  <w:vAlign w:val="center"/>
                </w:tcPr>
                <w:p>
                  <w:pPr>
                    <w:jc w:val="center"/>
                    <w:rPr>
                      <w:szCs w:val="21"/>
                    </w:rPr>
                  </w:pPr>
                  <w:r>
                    <w:rPr>
                      <w:rFonts w:hint="eastAsia"/>
                      <w:szCs w:val="21"/>
                    </w:rPr>
                    <w:t>标准名称</w:t>
                  </w:r>
                </w:p>
              </w:tc>
              <w:tc>
                <w:tcPr>
                  <w:tcW w:w="2083" w:type="dxa"/>
                  <w:tcBorders>
                    <w:top w:val="single" w:color="auto" w:sz="12" w:space="0"/>
                    <w:left w:val="single" w:color="auto" w:sz="6" w:space="0"/>
                    <w:bottom w:val="single" w:color="auto" w:sz="6" w:space="0"/>
                    <w:right w:val="single" w:color="auto" w:sz="6" w:space="0"/>
                  </w:tcBorders>
                  <w:vAlign w:val="center"/>
                </w:tcPr>
                <w:p>
                  <w:pPr>
                    <w:jc w:val="center"/>
                    <w:rPr>
                      <w:szCs w:val="21"/>
                    </w:rPr>
                  </w:pPr>
                  <w:r>
                    <w:rPr>
                      <w:rFonts w:hint="eastAsia"/>
                      <w:szCs w:val="21"/>
                    </w:rPr>
                    <w:t>适用类别</w:t>
                  </w:r>
                </w:p>
              </w:tc>
              <w:tc>
                <w:tcPr>
                  <w:tcW w:w="4167" w:type="dxa"/>
                  <w:gridSpan w:val="2"/>
                  <w:tcBorders>
                    <w:top w:val="single" w:color="auto" w:sz="12" w:space="0"/>
                    <w:left w:val="single" w:color="auto" w:sz="6" w:space="0"/>
                    <w:bottom w:val="single" w:color="auto" w:sz="6" w:space="0"/>
                  </w:tcBorders>
                  <w:vAlign w:val="center"/>
                </w:tcPr>
                <w:p>
                  <w:pPr>
                    <w:jc w:val="center"/>
                    <w:rPr>
                      <w:szCs w:val="21"/>
                    </w:rPr>
                  </w:pPr>
                  <w:r>
                    <w:rPr>
                      <w:rFonts w:hint="eastAsia"/>
                      <w:szCs w:val="21"/>
                    </w:rPr>
                    <w:t>标准限值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2082" w:type="dxa"/>
                  <w:vMerge w:val="restart"/>
                  <w:tcBorders>
                    <w:top w:val="single" w:color="auto" w:sz="6" w:space="0"/>
                    <w:bottom w:val="single" w:color="auto" w:sz="6" w:space="0"/>
                    <w:right w:val="single" w:color="auto" w:sz="6" w:space="0"/>
                  </w:tcBorders>
                  <w:vAlign w:val="center"/>
                </w:tcPr>
                <w:p>
                  <w:pPr>
                    <w:jc w:val="center"/>
                    <w:rPr>
                      <w:szCs w:val="21"/>
                    </w:rPr>
                  </w:pPr>
                  <w:r>
                    <w:rPr>
                      <w:szCs w:val="21"/>
                    </w:rPr>
                    <w:t>GB3838-2002</w:t>
                  </w:r>
                  <w:r>
                    <w:rPr>
                      <w:rFonts w:hint="eastAsia"/>
                      <w:szCs w:val="21"/>
                    </w:rPr>
                    <w:t>《地表水环境质量标准》</w:t>
                  </w:r>
                </w:p>
              </w:tc>
              <w:tc>
                <w:tcPr>
                  <w:tcW w:w="2083" w:type="dxa"/>
                  <w:vMerge w:val="restar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ascii="宋体" w:hAnsi="宋体" w:cs="宋体"/>
                      <w:szCs w:val="21"/>
                    </w:rPr>
                    <w:t>Ⅲ</w:t>
                  </w:r>
                  <w:r>
                    <w:rPr>
                      <w:rFonts w:hint="eastAsia"/>
                      <w:szCs w:val="21"/>
                    </w:rPr>
                    <w:t>类</w:t>
                  </w:r>
                </w:p>
              </w:tc>
              <w:tc>
                <w:tcPr>
                  <w:tcW w:w="2084"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参数名称</w:t>
                  </w:r>
                </w:p>
              </w:tc>
              <w:tc>
                <w:tcPr>
                  <w:tcW w:w="2083" w:type="dxa"/>
                  <w:tcBorders>
                    <w:top w:val="single" w:color="auto" w:sz="6" w:space="0"/>
                    <w:left w:val="single" w:color="auto" w:sz="6" w:space="0"/>
                    <w:bottom w:val="single" w:color="auto" w:sz="6" w:space="0"/>
                  </w:tcBorders>
                  <w:vAlign w:val="center"/>
                </w:tcPr>
                <w:p>
                  <w:pPr>
                    <w:jc w:val="center"/>
                    <w:rPr>
                      <w:szCs w:val="21"/>
                    </w:rPr>
                  </w:pPr>
                  <w:r>
                    <w:rPr>
                      <w:rFonts w:hint="eastAsia"/>
                      <w:szCs w:val="21"/>
                    </w:rPr>
                    <w:t>浓度限制</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2082" w:type="dxa"/>
                  <w:vMerge w:val="continue"/>
                  <w:tcBorders>
                    <w:top w:val="single" w:color="auto" w:sz="6" w:space="0"/>
                    <w:bottom w:val="single" w:color="auto" w:sz="6" w:space="0"/>
                    <w:right w:val="single" w:color="auto" w:sz="6" w:space="0"/>
                  </w:tcBorders>
                  <w:vAlign w:val="center"/>
                </w:tcPr>
                <w:p>
                  <w:pPr>
                    <w:jc w:val="center"/>
                    <w:rPr>
                      <w:szCs w:val="21"/>
                    </w:rPr>
                  </w:pPr>
                </w:p>
              </w:tc>
              <w:tc>
                <w:tcPr>
                  <w:tcW w:w="2083" w:type="dxa"/>
                  <w:vMerge w:val="continue"/>
                  <w:tcBorders>
                    <w:top w:val="single" w:color="auto" w:sz="6" w:space="0"/>
                    <w:left w:val="single" w:color="auto" w:sz="6" w:space="0"/>
                    <w:bottom w:val="single" w:color="auto" w:sz="6" w:space="0"/>
                    <w:right w:val="single" w:color="auto" w:sz="6" w:space="0"/>
                  </w:tcBorders>
                  <w:vAlign w:val="center"/>
                </w:tcPr>
                <w:p>
                  <w:pPr>
                    <w:jc w:val="center"/>
                    <w:rPr>
                      <w:szCs w:val="21"/>
                    </w:rPr>
                  </w:pPr>
                </w:p>
              </w:tc>
              <w:tc>
                <w:tcPr>
                  <w:tcW w:w="2084"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pH</w:t>
                  </w:r>
                </w:p>
              </w:tc>
              <w:tc>
                <w:tcPr>
                  <w:tcW w:w="2083" w:type="dxa"/>
                  <w:tcBorders>
                    <w:top w:val="single" w:color="auto" w:sz="6" w:space="0"/>
                    <w:left w:val="single" w:color="auto" w:sz="6" w:space="0"/>
                    <w:bottom w:val="single" w:color="auto" w:sz="6" w:space="0"/>
                  </w:tcBorders>
                  <w:vAlign w:val="center"/>
                </w:tcPr>
                <w:p>
                  <w:pPr>
                    <w:jc w:val="center"/>
                    <w:rPr>
                      <w:szCs w:val="21"/>
                    </w:rPr>
                  </w:pPr>
                  <w:r>
                    <w:rPr>
                      <w:szCs w:val="21"/>
                    </w:rPr>
                    <w:t>6~9</w:t>
                  </w:r>
                  <w:r>
                    <w:rPr>
                      <w:rFonts w:hint="eastAsia"/>
                      <w:szCs w:val="21"/>
                    </w:rPr>
                    <w:t>（无量纲）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2082" w:type="dxa"/>
                  <w:vMerge w:val="continue"/>
                  <w:tcBorders>
                    <w:top w:val="single" w:color="auto" w:sz="6" w:space="0"/>
                    <w:bottom w:val="single" w:color="auto" w:sz="6" w:space="0"/>
                    <w:right w:val="single" w:color="auto" w:sz="6" w:space="0"/>
                  </w:tcBorders>
                  <w:vAlign w:val="center"/>
                </w:tcPr>
                <w:p>
                  <w:pPr>
                    <w:jc w:val="center"/>
                    <w:rPr>
                      <w:szCs w:val="21"/>
                    </w:rPr>
                  </w:pPr>
                </w:p>
              </w:tc>
              <w:tc>
                <w:tcPr>
                  <w:tcW w:w="2083" w:type="dxa"/>
                  <w:vMerge w:val="continue"/>
                  <w:tcBorders>
                    <w:top w:val="single" w:color="auto" w:sz="6" w:space="0"/>
                    <w:left w:val="single" w:color="auto" w:sz="6" w:space="0"/>
                    <w:bottom w:val="single" w:color="auto" w:sz="6" w:space="0"/>
                    <w:right w:val="single" w:color="auto" w:sz="6" w:space="0"/>
                  </w:tcBorders>
                  <w:vAlign w:val="center"/>
                </w:tcPr>
                <w:p>
                  <w:pPr>
                    <w:jc w:val="center"/>
                    <w:rPr>
                      <w:szCs w:val="21"/>
                    </w:rPr>
                  </w:pPr>
                </w:p>
              </w:tc>
              <w:tc>
                <w:tcPr>
                  <w:tcW w:w="2084"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高锰酸钾盐指数</w:t>
                  </w:r>
                </w:p>
              </w:tc>
              <w:tc>
                <w:tcPr>
                  <w:tcW w:w="2083" w:type="dxa"/>
                  <w:tcBorders>
                    <w:top w:val="single" w:color="auto" w:sz="6" w:space="0"/>
                    <w:left w:val="single" w:color="auto" w:sz="6" w:space="0"/>
                    <w:bottom w:val="single" w:color="auto" w:sz="6" w:space="0"/>
                  </w:tcBorders>
                  <w:vAlign w:val="center"/>
                </w:tcPr>
                <w:p>
                  <w:pPr>
                    <w:jc w:val="center"/>
                    <w:rPr>
                      <w:szCs w:val="21"/>
                    </w:rPr>
                  </w:pPr>
                  <w:r>
                    <w:rPr>
                      <w:szCs w:val="21"/>
                    </w:rPr>
                    <w:t>≤6mg/L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2082" w:type="dxa"/>
                  <w:vMerge w:val="continue"/>
                  <w:tcBorders>
                    <w:top w:val="single" w:color="auto" w:sz="6" w:space="0"/>
                    <w:bottom w:val="single" w:color="auto" w:sz="6" w:space="0"/>
                    <w:right w:val="single" w:color="auto" w:sz="6" w:space="0"/>
                  </w:tcBorders>
                  <w:vAlign w:val="center"/>
                </w:tcPr>
                <w:p>
                  <w:pPr>
                    <w:jc w:val="center"/>
                    <w:rPr>
                      <w:szCs w:val="21"/>
                    </w:rPr>
                  </w:pPr>
                </w:p>
              </w:tc>
              <w:tc>
                <w:tcPr>
                  <w:tcW w:w="2083" w:type="dxa"/>
                  <w:vMerge w:val="continue"/>
                  <w:tcBorders>
                    <w:top w:val="single" w:color="auto" w:sz="6" w:space="0"/>
                    <w:left w:val="single" w:color="auto" w:sz="6" w:space="0"/>
                    <w:bottom w:val="single" w:color="auto" w:sz="6" w:space="0"/>
                    <w:right w:val="single" w:color="auto" w:sz="6" w:space="0"/>
                  </w:tcBorders>
                  <w:vAlign w:val="center"/>
                </w:tcPr>
                <w:p>
                  <w:pPr>
                    <w:jc w:val="center"/>
                    <w:rPr>
                      <w:szCs w:val="21"/>
                    </w:rPr>
                  </w:pPr>
                </w:p>
              </w:tc>
              <w:tc>
                <w:tcPr>
                  <w:tcW w:w="2084"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化学需氧量（</w:t>
                  </w:r>
                  <w:r>
                    <w:rPr>
                      <w:szCs w:val="21"/>
                    </w:rPr>
                    <w:t>COD</w:t>
                  </w:r>
                  <w:r>
                    <w:rPr>
                      <w:rFonts w:hint="eastAsia"/>
                      <w:szCs w:val="21"/>
                    </w:rPr>
                    <w:t>）</w:t>
                  </w:r>
                </w:p>
              </w:tc>
              <w:tc>
                <w:tcPr>
                  <w:tcW w:w="2083" w:type="dxa"/>
                  <w:tcBorders>
                    <w:top w:val="single" w:color="auto" w:sz="6" w:space="0"/>
                    <w:left w:val="single" w:color="auto" w:sz="6" w:space="0"/>
                    <w:bottom w:val="single" w:color="auto" w:sz="6" w:space="0"/>
                  </w:tcBorders>
                  <w:vAlign w:val="center"/>
                </w:tcPr>
                <w:p>
                  <w:pPr>
                    <w:jc w:val="center"/>
                    <w:rPr>
                      <w:szCs w:val="21"/>
                    </w:rPr>
                  </w:pPr>
                  <w:r>
                    <w:rPr>
                      <w:szCs w:val="21"/>
                    </w:rPr>
                    <w:t>≤20mg/L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2082" w:type="dxa"/>
                  <w:vMerge w:val="continue"/>
                  <w:tcBorders>
                    <w:top w:val="single" w:color="auto" w:sz="6" w:space="0"/>
                    <w:bottom w:val="single" w:color="auto" w:sz="6" w:space="0"/>
                    <w:right w:val="single" w:color="auto" w:sz="6" w:space="0"/>
                  </w:tcBorders>
                  <w:vAlign w:val="center"/>
                </w:tcPr>
                <w:p>
                  <w:pPr>
                    <w:jc w:val="center"/>
                    <w:rPr>
                      <w:szCs w:val="21"/>
                    </w:rPr>
                  </w:pPr>
                </w:p>
              </w:tc>
              <w:tc>
                <w:tcPr>
                  <w:tcW w:w="2083" w:type="dxa"/>
                  <w:vMerge w:val="continue"/>
                  <w:tcBorders>
                    <w:top w:val="single" w:color="auto" w:sz="6" w:space="0"/>
                    <w:left w:val="single" w:color="auto" w:sz="6" w:space="0"/>
                    <w:bottom w:val="single" w:color="auto" w:sz="6" w:space="0"/>
                    <w:right w:val="single" w:color="auto" w:sz="6" w:space="0"/>
                  </w:tcBorders>
                  <w:vAlign w:val="center"/>
                </w:tcPr>
                <w:p>
                  <w:pPr>
                    <w:jc w:val="center"/>
                    <w:rPr>
                      <w:szCs w:val="21"/>
                    </w:rPr>
                  </w:pPr>
                </w:p>
              </w:tc>
              <w:tc>
                <w:tcPr>
                  <w:tcW w:w="2084"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五日生化需氧量（</w:t>
                  </w:r>
                  <w:r>
                    <w:rPr>
                      <w:szCs w:val="21"/>
                    </w:rPr>
                    <w:t>BOD</w:t>
                  </w:r>
                  <w:r>
                    <w:rPr>
                      <w:szCs w:val="21"/>
                      <w:vertAlign w:val="subscript"/>
                    </w:rPr>
                    <w:t>5</w:t>
                  </w:r>
                  <w:r>
                    <w:rPr>
                      <w:rFonts w:hint="eastAsia"/>
                      <w:szCs w:val="21"/>
                    </w:rPr>
                    <w:t>）</w:t>
                  </w:r>
                </w:p>
              </w:tc>
              <w:tc>
                <w:tcPr>
                  <w:tcW w:w="2083" w:type="dxa"/>
                  <w:tcBorders>
                    <w:top w:val="single" w:color="auto" w:sz="6" w:space="0"/>
                    <w:left w:val="single" w:color="auto" w:sz="6" w:space="0"/>
                    <w:bottom w:val="single" w:color="auto" w:sz="6" w:space="0"/>
                  </w:tcBorders>
                  <w:vAlign w:val="center"/>
                </w:tcPr>
                <w:p>
                  <w:pPr>
                    <w:jc w:val="center"/>
                    <w:rPr>
                      <w:szCs w:val="21"/>
                    </w:rPr>
                  </w:pPr>
                  <w:r>
                    <w:rPr>
                      <w:szCs w:val="21"/>
                    </w:rPr>
                    <w:t>≤4mg/L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2082" w:type="dxa"/>
                  <w:vMerge w:val="continue"/>
                  <w:tcBorders>
                    <w:top w:val="single" w:color="auto" w:sz="6" w:space="0"/>
                    <w:bottom w:val="single" w:color="auto" w:sz="6" w:space="0"/>
                    <w:right w:val="single" w:color="auto" w:sz="6" w:space="0"/>
                  </w:tcBorders>
                  <w:vAlign w:val="center"/>
                </w:tcPr>
                <w:p>
                  <w:pPr>
                    <w:jc w:val="center"/>
                    <w:rPr>
                      <w:szCs w:val="21"/>
                    </w:rPr>
                  </w:pPr>
                </w:p>
              </w:tc>
              <w:tc>
                <w:tcPr>
                  <w:tcW w:w="2083" w:type="dxa"/>
                  <w:vMerge w:val="continue"/>
                  <w:tcBorders>
                    <w:top w:val="single" w:color="auto" w:sz="6" w:space="0"/>
                    <w:left w:val="single" w:color="auto" w:sz="6" w:space="0"/>
                    <w:bottom w:val="single" w:color="auto" w:sz="6" w:space="0"/>
                    <w:right w:val="single" w:color="auto" w:sz="6" w:space="0"/>
                  </w:tcBorders>
                  <w:vAlign w:val="center"/>
                </w:tcPr>
                <w:p>
                  <w:pPr>
                    <w:jc w:val="center"/>
                    <w:rPr>
                      <w:szCs w:val="21"/>
                    </w:rPr>
                  </w:pPr>
                </w:p>
              </w:tc>
              <w:tc>
                <w:tcPr>
                  <w:tcW w:w="2084"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氨氮（</w:t>
                  </w:r>
                  <w:r>
                    <w:rPr>
                      <w:szCs w:val="21"/>
                    </w:rPr>
                    <w:t>NH</w:t>
                  </w:r>
                  <w:r>
                    <w:rPr>
                      <w:szCs w:val="21"/>
                      <w:vertAlign w:val="subscript"/>
                    </w:rPr>
                    <w:t>3</w:t>
                  </w:r>
                  <w:r>
                    <w:rPr>
                      <w:szCs w:val="21"/>
                    </w:rPr>
                    <w:t>-N</w:t>
                  </w:r>
                  <w:r>
                    <w:rPr>
                      <w:rFonts w:hint="eastAsia"/>
                      <w:szCs w:val="21"/>
                    </w:rPr>
                    <w:t>）</w:t>
                  </w:r>
                </w:p>
              </w:tc>
              <w:tc>
                <w:tcPr>
                  <w:tcW w:w="2083" w:type="dxa"/>
                  <w:tcBorders>
                    <w:top w:val="single" w:color="auto" w:sz="6" w:space="0"/>
                    <w:left w:val="single" w:color="auto" w:sz="6" w:space="0"/>
                    <w:bottom w:val="single" w:color="auto" w:sz="6" w:space="0"/>
                  </w:tcBorders>
                  <w:vAlign w:val="center"/>
                </w:tcPr>
                <w:p>
                  <w:pPr>
                    <w:jc w:val="center"/>
                    <w:rPr>
                      <w:szCs w:val="21"/>
                    </w:rPr>
                  </w:pPr>
                  <w:r>
                    <w:rPr>
                      <w:szCs w:val="21"/>
                    </w:rPr>
                    <w:t>≤10mg/L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3" w:hRule="atLeast"/>
              </w:trPr>
              <w:tc>
                <w:tcPr>
                  <w:tcW w:w="2082" w:type="dxa"/>
                  <w:vMerge w:val="continue"/>
                  <w:tcBorders>
                    <w:top w:val="single" w:color="auto" w:sz="6" w:space="0"/>
                    <w:bottom w:val="single" w:color="auto" w:sz="12" w:space="0"/>
                    <w:right w:val="single" w:color="auto" w:sz="6" w:space="0"/>
                  </w:tcBorders>
                  <w:vAlign w:val="center"/>
                </w:tcPr>
                <w:p>
                  <w:pPr>
                    <w:jc w:val="center"/>
                    <w:rPr>
                      <w:szCs w:val="21"/>
                    </w:rPr>
                  </w:pPr>
                </w:p>
              </w:tc>
              <w:tc>
                <w:tcPr>
                  <w:tcW w:w="2083" w:type="dxa"/>
                  <w:vMerge w:val="continue"/>
                  <w:tcBorders>
                    <w:top w:val="single" w:color="auto" w:sz="6" w:space="0"/>
                    <w:left w:val="single" w:color="auto" w:sz="6" w:space="0"/>
                    <w:bottom w:val="single" w:color="auto" w:sz="12" w:space="0"/>
                    <w:right w:val="single" w:color="auto" w:sz="6" w:space="0"/>
                  </w:tcBorders>
                  <w:vAlign w:val="center"/>
                </w:tcPr>
                <w:p>
                  <w:pPr>
                    <w:jc w:val="center"/>
                    <w:rPr>
                      <w:szCs w:val="21"/>
                    </w:rPr>
                  </w:pPr>
                </w:p>
              </w:tc>
              <w:tc>
                <w:tcPr>
                  <w:tcW w:w="2084"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rFonts w:hint="eastAsia"/>
                      <w:szCs w:val="21"/>
                    </w:rPr>
                    <w:t>石油类</w:t>
                  </w:r>
                </w:p>
              </w:tc>
              <w:tc>
                <w:tcPr>
                  <w:tcW w:w="2083" w:type="dxa"/>
                  <w:tcBorders>
                    <w:top w:val="single" w:color="auto" w:sz="6" w:space="0"/>
                    <w:left w:val="single" w:color="auto" w:sz="6" w:space="0"/>
                    <w:bottom w:val="single" w:color="auto" w:sz="12" w:space="0"/>
                  </w:tcBorders>
                  <w:vAlign w:val="center"/>
                </w:tcPr>
                <w:p>
                  <w:pPr>
                    <w:jc w:val="center"/>
                    <w:rPr>
                      <w:szCs w:val="21"/>
                    </w:rPr>
                  </w:pPr>
                  <w:r>
                    <w:rPr>
                      <w:szCs w:val="21"/>
                    </w:rPr>
                    <w:t>≤0.05mg/L</w:t>
                  </w:r>
                </w:p>
              </w:tc>
            </w:tr>
          </w:tbl>
          <w:p>
            <w:pPr>
              <w:pStyle w:val="106"/>
              <w:ind w:firstLine="31680"/>
            </w:pPr>
            <w:r>
              <w:rPr>
                <w:rFonts w:hint="eastAsia"/>
              </w:rPr>
              <w:t>（</w:t>
            </w:r>
            <w:r>
              <w:t>2</w:t>
            </w:r>
            <w:r>
              <w:rPr>
                <w:rFonts w:hint="eastAsia"/>
              </w:rPr>
              <w:t>）水环境质量现状</w:t>
            </w:r>
          </w:p>
          <w:p>
            <w:pPr>
              <w:pStyle w:val="106"/>
              <w:ind w:firstLine="31680"/>
            </w:pPr>
            <w:r>
              <w:rPr>
                <w:rFonts w:hint="eastAsia"/>
              </w:rPr>
              <w:t>根据三明市永安市人民政府网站公布的水环境质量月报（</w:t>
            </w:r>
            <w:r>
              <w:t>2023</w:t>
            </w:r>
            <w:r>
              <w:rPr>
                <w:rFonts w:hint="eastAsia"/>
              </w:rPr>
              <w:t>年</w:t>
            </w:r>
            <w:r>
              <w:t>3</w:t>
            </w:r>
            <w:r>
              <w:rPr>
                <w:rFonts w:hint="eastAsia"/>
              </w:rPr>
              <w:t>月）（三明市生态环境局</w:t>
            </w:r>
            <w:r>
              <w:t>2023</w:t>
            </w:r>
            <w:r>
              <w:rPr>
                <w:rFonts w:hint="eastAsia"/>
              </w:rPr>
              <w:t>年</w:t>
            </w:r>
            <w:r>
              <w:t>4</w:t>
            </w:r>
            <w:r>
              <w:rPr>
                <w:rFonts w:hint="eastAsia"/>
              </w:rPr>
              <w:t>月</w:t>
            </w:r>
            <w:r>
              <w:t>21</w:t>
            </w:r>
            <w:r>
              <w:rPr>
                <w:rFonts w:hint="eastAsia"/>
              </w:rPr>
              <w:t>日发布），</w:t>
            </w:r>
            <w:r>
              <w:t>2023</w:t>
            </w:r>
            <w:r>
              <w:rPr>
                <w:rFonts w:hint="eastAsia"/>
              </w:rPr>
              <w:t>年</w:t>
            </w:r>
            <w:r>
              <w:t>3</w:t>
            </w:r>
            <w:r>
              <w:rPr>
                <w:rFonts w:hint="eastAsia"/>
              </w:rPr>
              <w:t>月，主要流域共监测</w:t>
            </w:r>
            <w:r>
              <w:t>55</w:t>
            </w:r>
            <w:r>
              <w:rPr>
                <w:rFonts w:hint="eastAsia"/>
              </w:rPr>
              <w:t>个国（省）控断面，水质达标率为</w:t>
            </w:r>
            <w:r>
              <w:t>98.1%</w:t>
            </w:r>
            <w:r>
              <w:rPr>
                <w:rFonts w:hint="eastAsia"/>
              </w:rPr>
              <w:t>，水质状况为</w:t>
            </w:r>
            <w:r>
              <w:t>“</w:t>
            </w:r>
            <w:r>
              <w:rPr>
                <w:rFonts w:hint="eastAsia"/>
              </w:rPr>
              <w:t>优</w:t>
            </w:r>
            <w:r>
              <w:t>”</w:t>
            </w:r>
            <w:r>
              <w:rPr>
                <w:rFonts w:hint="eastAsia"/>
              </w:rPr>
              <w:t>（</w:t>
            </w:r>
            <w:r>
              <w:t>http://shb.sm.gov.cn/hjzl0902/202304/t20230421_1898117.htm</w:t>
            </w:r>
            <w:r>
              <w:rPr>
                <w:rFonts w:hint="eastAsia"/>
              </w:rPr>
              <w:t>）。本项目所在水域为沙溪，按照公报中永安贡川桥断面的水质情况（尼葛污水处理厂与永安贡川桥断面位置见附图</w:t>
            </w:r>
            <w:r>
              <w:t>8</w:t>
            </w:r>
            <w:r>
              <w:rPr>
                <w:rFonts w:hint="eastAsia"/>
              </w:rPr>
              <w:t>），本项目所在区域地表水满足《地表水环境质量标准》（</w:t>
            </w:r>
            <w:r>
              <w:t>GB3838-2002</w:t>
            </w:r>
            <w:r>
              <w:rPr>
                <w:rFonts w:hint="eastAsia"/>
              </w:rPr>
              <w:t>）中</w:t>
            </w:r>
            <w:r>
              <w:t>III</w:t>
            </w:r>
            <w:r>
              <w:rPr>
                <w:rFonts w:hint="eastAsia"/>
              </w:rPr>
              <w:t>类水质标准，水质现状良好，能满足水环境功能区划要求。</w:t>
            </w:r>
          </w:p>
          <w:p>
            <w:pPr>
              <w:pStyle w:val="106"/>
              <w:ind w:firstLine="31680"/>
            </w:pPr>
          </w:p>
          <w:p>
            <w:pPr>
              <w:pStyle w:val="106"/>
              <w:ind w:firstLine="31680"/>
            </w:pPr>
          </w:p>
          <w:p>
            <w:pPr>
              <w:pStyle w:val="106"/>
              <w:ind w:firstLine="0" w:firstLineChars="0"/>
            </w:pPr>
            <w:r>
              <mc:AlternateContent>
                <mc:Choice Requires="wps">
                  <w:drawing>
                    <wp:anchor distT="0" distB="0" distL="114300" distR="114300" simplePos="0" relativeHeight="251663360" behindDoc="0" locked="0" layoutInCell="1" allowOverlap="1">
                      <wp:simplePos x="0" y="0"/>
                      <wp:positionH relativeFrom="column">
                        <wp:posOffset>377190</wp:posOffset>
                      </wp:positionH>
                      <wp:positionV relativeFrom="paragraph">
                        <wp:posOffset>4220210</wp:posOffset>
                      </wp:positionV>
                      <wp:extent cx="4347210" cy="242570"/>
                      <wp:effectExtent l="13970" t="13970" r="20320" b="29210"/>
                      <wp:wrapNone/>
                      <wp:docPr id="12" name="矩形 3"/>
                      <wp:cNvGraphicFramePr/>
                      <a:graphic xmlns:a="http://schemas.openxmlformats.org/drawingml/2006/main">
                        <a:graphicData uri="http://schemas.microsoft.com/office/word/2010/wordprocessingShape">
                          <wps:wsp>
                            <wps:cNvSpPr/>
                            <wps:spPr>
                              <a:xfrm>
                                <a:off x="0" y="0"/>
                                <a:ext cx="4347210" cy="242570"/>
                              </a:xfrm>
                              <a:prstGeom prst="rect">
                                <a:avLst/>
                              </a:prstGeom>
                              <a:noFill/>
                              <a:ln w="28575" cap="flat" cmpd="sng">
                                <a:solidFill>
                                  <a:srgbClr val="FF0000"/>
                                </a:solidFill>
                                <a:prstDash val="solid"/>
                                <a:round/>
                                <a:headEnd type="none" w="med" len="med"/>
                                <a:tailEnd type="none" w="med" len="med"/>
                              </a:ln>
                            </wps:spPr>
                            <wps:bodyPr anchor="ctr" anchorCtr="0" upright="1"/>
                          </wps:wsp>
                        </a:graphicData>
                      </a:graphic>
                    </wp:anchor>
                  </w:drawing>
                </mc:Choice>
                <mc:Fallback>
                  <w:pict>
                    <v:rect id="矩形 3" o:spid="_x0000_s1026" o:spt="1" style="position:absolute;left:0pt;margin-left:29.7pt;margin-top:332.3pt;height:19.1pt;width:342.3pt;z-index:251663360;v-text-anchor:middle;mso-width-relative:page;mso-height-relative:page;" filled="f" stroked="t" coordsize="21600,21600" o:gfxdata="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3zL/dgAAAAKAQAADwAAAAAAAAABACAAAAAiAAAA&#10;ZHJzL2Rvd25yZXYueG1sUEsBAhQAFAAAAAgAh07iQI9BVeAHAgAAEgQAAA4AAAAAAAAAAQAgAAAA&#10;JwEAAGRycy9lMm9Eb2MueG1sUEsFBgAAAAAGAAYAWQEAAKAFAAAAAA==&#10;">
                      <v:fill on="f" focussize="0,0"/>
                      <v:stroke weight="2.25pt" color="#FF0000" joinstyle="round"/>
                      <v:imagedata o:title=""/>
                      <o:lock v:ext="edit" aspectratio="f"/>
                    </v:rect>
                  </w:pict>
                </mc:Fallback>
              </mc:AlternateContent>
            </w:r>
            <w:r>
              <w:drawing>
                <wp:inline distT="0" distB="0" distL="114300" distR="114300">
                  <wp:extent cx="5324475" cy="5438775"/>
                  <wp:effectExtent l="0" t="0" r="9525" b="9525"/>
                  <wp:docPr id="4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2"/>
                          <pic:cNvPicPr>
                            <a:picLocks noChangeAspect="1"/>
                          </pic:cNvPicPr>
                        </pic:nvPicPr>
                        <pic:blipFill>
                          <a:blip r:embed="rId32"/>
                          <a:stretch>
                            <a:fillRect/>
                          </a:stretch>
                        </pic:blipFill>
                        <pic:spPr>
                          <a:xfrm>
                            <a:off x="0" y="0"/>
                            <a:ext cx="5324475" cy="5438775"/>
                          </a:xfrm>
                          <a:prstGeom prst="rect">
                            <a:avLst/>
                          </a:prstGeom>
                          <a:noFill/>
                          <a:ln>
                            <a:noFill/>
                          </a:ln>
                        </pic:spPr>
                      </pic:pic>
                    </a:graphicData>
                  </a:graphic>
                </wp:inline>
              </w:drawing>
            </w:r>
          </w:p>
          <w:p>
            <w:pPr>
              <w:spacing w:afterLines="50"/>
              <w:jc w:val="center"/>
              <w:rPr>
                <w:rFonts w:eastAsia="黑体"/>
                <w:sz w:val="24"/>
              </w:rPr>
            </w:pPr>
            <w:r>
              <w:rPr>
                <w:rFonts w:hint="eastAsia" w:eastAsia="黑体"/>
                <w:sz w:val="24"/>
              </w:rPr>
              <w:t>图</w:t>
            </w:r>
            <w:r>
              <w:rPr>
                <w:rFonts w:eastAsia="黑体"/>
                <w:sz w:val="24"/>
              </w:rPr>
              <w:t xml:space="preserve">3.1-1  </w:t>
            </w:r>
            <w:r>
              <w:rPr>
                <w:rFonts w:hint="eastAsia" w:eastAsia="黑体"/>
                <w:sz w:val="24"/>
              </w:rPr>
              <w:t>三明市水环境质量月报截图</w:t>
            </w:r>
          </w:p>
          <w:p>
            <w:pPr>
              <w:pStyle w:val="83"/>
              <w:adjustRightInd/>
              <w:snapToGrid/>
              <w:rPr>
                <w:color w:val="auto"/>
                <w:sz w:val="28"/>
              </w:rPr>
            </w:pPr>
            <w:r>
              <w:rPr>
                <w:color w:val="auto"/>
                <w:sz w:val="28"/>
              </w:rPr>
              <w:t>3.1.2</w:t>
            </w:r>
            <w:r>
              <w:rPr>
                <w:rFonts w:hint="eastAsia"/>
                <w:color w:val="auto"/>
                <w:sz w:val="28"/>
              </w:rPr>
              <w:t>大气环境质量现状</w:t>
            </w:r>
          </w:p>
          <w:p>
            <w:pPr>
              <w:pStyle w:val="106"/>
              <w:ind w:firstLine="31680"/>
            </w:pPr>
            <w:r>
              <w:rPr>
                <w:rFonts w:hint="eastAsia"/>
              </w:rPr>
              <w:t>（</w:t>
            </w:r>
            <w:r>
              <w:t>1</w:t>
            </w:r>
            <w:r>
              <w:rPr>
                <w:rFonts w:hint="eastAsia"/>
              </w:rPr>
              <w:t>）常规污染物</w:t>
            </w:r>
          </w:p>
          <w:p>
            <w:pPr>
              <w:pStyle w:val="106"/>
              <w:ind w:firstLine="31680"/>
            </w:pPr>
            <w:r>
              <w:rPr>
                <w:rFonts w:hint="eastAsia"/>
              </w:rPr>
              <w:t>项目所在区域大气环境功能区为二类区，环境空气执行《环境空气质量标准》（</w:t>
            </w:r>
            <w:r>
              <w:t>GB3095-2012</w:t>
            </w:r>
            <w:r>
              <w:rPr>
                <w:rFonts w:hint="eastAsia"/>
              </w:rPr>
              <w:t>）及其修改单中的二级浓度限值，具体限值见表</w:t>
            </w:r>
            <w:r>
              <w:t>3.1-2</w:t>
            </w:r>
            <w:r>
              <w:rPr>
                <w:rFonts w:hint="eastAsia"/>
              </w:rPr>
              <w:t>。</w:t>
            </w:r>
          </w:p>
          <w:p>
            <w:pPr>
              <w:spacing w:beforeLines="50"/>
              <w:jc w:val="center"/>
              <w:rPr>
                <w:rFonts w:eastAsia="黑体"/>
                <w:sz w:val="24"/>
              </w:rPr>
            </w:pPr>
            <w:r>
              <w:rPr>
                <w:rFonts w:hint="eastAsia" w:eastAsia="黑体"/>
                <w:sz w:val="24"/>
              </w:rPr>
              <w:t>表</w:t>
            </w:r>
            <w:r>
              <w:rPr>
                <w:rFonts w:eastAsia="黑体"/>
                <w:sz w:val="24"/>
              </w:rPr>
              <w:t xml:space="preserve">3.1-2  </w:t>
            </w:r>
            <w:r>
              <w:rPr>
                <w:rFonts w:hint="eastAsia" w:eastAsia="黑体"/>
                <w:sz w:val="24"/>
              </w:rPr>
              <w:t>环境空气质量标准</w:t>
            </w:r>
          </w:p>
          <w:tbl>
            <w:tblPr>
              <w:tblStyle w:val="27"/>
              <w:tblW w:w="850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1478"/>
              <w:gridCol w:w="1479"/>
              <w:gridCol w:w="1479"/>
              <w:gridCol w:w="25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478" w:type="dxa"/>
                  <w:tcBorders>
                    <w:top w:val="single" w:color="auto" w:sz="12"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污染物名称</w:t>
                  </w:r>
                </w:p>
              </w:tc>
              <w:tc>
                <w:tcPr>
                  <w:tcW w:w="1478" w:type="dxa"/>
                  <w:tcBorders>
                    <w:top w:val="single" w:color="auto" w:sz="12"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取值时间</w:t>
                  </w:r>
                </w:p>
              </w:tc>
              <w:tc>
                <w:tcPr>
                  <w:tcW w:w="1479" w:type="dxa"/>
                  <w:tcBorders>
                    <w:top w:val="single" w:color="auto" w:sz="12"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单位</w:t>
                  </w:r>
                </w:p>
              </w:tc>
              <w:tc>
                <w:tcPr>
                  <w:tcW w:w="1479" w:type="dxa"/>
                  <w:tcBorders>
                    <w:top w:val="single" w:color="auto" w:sz="12"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浓度限值</w:t>
                  </w:r>
                </w:p>
              </w:tc>
              <w:tc>
                <w:tcPr>
                  <w:tcW w:w="2591" w:type="dxa"/>
                  <w:tcBorders>
                    <w:top w:val="single" w:color="auto" w:sz="12" w:space="0"/>
                    <w:left w:val="single" w:color="auto" w:sz="4" w:space="0"/>
                    <w:bottom w:val="single" w:color="auto" w:sz="4" w:space="0"/>
                  </w:tcBorders>
                  <w:vAlign w:val="center"/>
                </w:tcPr>
                <w:p>
                  <w:pPr>
                    <w:pStyle w:val="181"/>
                    <w:spacing w:line="240" w:lineRule="auto"/>
                    <w:rPr>
                      <w:rFonts w:cs="宋体"/>
                      <w:bCs/>
                      <w:color w:val="auto"/>
                      <w:szCs w:val="21"/>
                    </w:rPr>
                  </w:pPr>
                  <w:r>
                    <w:rPr>
                      <w:rFonts w:hint="eastAsia" w:cs="宋体"/>
                      <w:bCs/>
                      <w:color w:val="auto"/>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restart"/>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PM</w:t>
                  </w:r>
                  <w:r>
                    <w:rPr>
                      <w:rFonts w:cs="宋体"/>
                      <w:bCs/>
                      <w:color w:val="auto"/>
                      <w:szCs w:val="21"/>
                      <w:vertAlign w:val="subscript"/>
                    </w:rPr>
                    <w:t>10</w:t>
                  </w: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年平均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70</w:t>
                  </w:r>
                </w:p>
              </w:tc>
              <w:tc>
                <w:tcPr>
                  <w:tcW w:w="2591" w:type="dxa"/>
                  <w:vMerge w:val="restart"/>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r>
                    <w:rPr>
                      <w:rFonts w:hint="eastAsia" w:cs="宋体"/>
                      <w:bCs/>
                      <w:color w:val="auto"/>
                      <w:szCs w:val="21"/>
                    </w:rPr>
                    <w:t>《环境空气质量标准》（</w:t>
                  </w:r>
                  <w:r>
                    <w:rPr>
                      <w:rFonts w:cs="宋体"/>
                      <w:bCs/>
                      <w:color w:val="auto"/>
                      <w:szCs w:val="21"/>
                    </w:rPr>
                    <w:t>GB3095-2012</w:t>
                  </w:r>
                  <w:r>
                    <w:rPr>
                      <w:rFonts w:hint="eastAsia" w:cs="宋体"/>
                      <w:bCs/>
                      <w:color w:val="auto"/>
                      <w:szCs w:val="21"/>
                    </w:rPr>
                    <w:t>）及其修改单中的二级浓度限值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continue"/>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24</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150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restart"/>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PM</w:t>
                  </w:r>
                  <w:r>
                    <w:rPr>
                      <w:rFonts w:cs="宋体"/>
                      <w:bCs/>
                      <w:color w:val="auto"/>
                      <w:szCs w:val="21"/>
                      <w:vertAlign w:val="subscript"/>
                    </w:rPr>
                    <w:t>2.5</w:t>
                  </w: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年平均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35</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continue"/>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24</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75</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restart"/>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SO</w:t>
                  </w:r>
                  <w:r>
                    <w:rPr>
                      <w:rFonts w:cs="宋体"/>
                      <w:bCs/>
                      <w:color w:val="auto"/>
                      <w:szCs w:val="21"/>
                      <w:vertAlign w:val="subscript"/>
                    </w:rPr>
                    <w:t>2</w:t>
                  </w: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年平均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60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continue"/>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24</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150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8" w:type="dxa"/>
                  <w:vMerge w:val="continue"/>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1</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500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restart"/>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NO</w:t>
                  </w:r>
                  <w:r>
                    <w:rPr>
                      <w:rFonts w:cs="宋体"/>
                      <w:bCs/>
                      <w:color w:val="auto"/>
                      <w:szCs w:val="21"/>
                      <w:vertAlign w:val="subscript"/>
                    </w:rPr>
                    <w:t>2</w:t>
                  </w: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年平均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40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continue"/>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24</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80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continue"/>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1</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200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restart"/>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CO</w:t>
                  </w: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24</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mg/m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4</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continue"/>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1</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mg/m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10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restart"/>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O</w:t>
                  </w:r>
                  <w:r>
                    <w:rPr>
                      <w:rFonts w:cs="宋体"/>
                      <w:bCs/>
                      <w:color w:val="auto"/>
                      <w:szCs w:val="21"/>
                      <w:vertAlign w:val="subscript"/>
                    </w:rPr>
                    <w:t>3</w:t>
                  </w: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8</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160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continue"/>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1</w:t>
                  </w:r>
                  <w:r>
                    <w:rPr>
                      <w:rFonts w:hint="eastAsia" w:cs="宋体"/>
                      <w:bCs/>
                      <w:color w:val="auto"/>
                      <w:szCs w:val="21"/>
                    </w:rPr>
                    <w:t>小时平均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200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restart"/>
                  <w:tcBorders>
                    <w:top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TSP</w:t>
                  </w:r>
                </w:p>
              </w:tc>
              <w:tc>
                <w:tcPr>
                  <w:tcW w:w="1478"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hint="eastAsia" w:cs="宋体"/>
                      <w:bCs/>
                      <w:color w:val="auto"/>
                      <w:szCs w:val="21"/>
                    </w:rPr>
                    <w:t>年平均</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4" w:space="0"/>
                    <w:right w:val="single" w:color="auto" w:sz="4" w:space="0"/>
                  </w:tcBorders>
                  <w:vAlign w:val="center"/>
                </w:tcPr>
                <w:p>
                  <w:pPr>
                    <w:pStyle w:val="181"/>
                    <w:spacing w:line="240" w:lineRule="auto"/>
                    <w:rPr>
                      <w:rFonts w:cs="宋体"/>
                      <w:bCs/>
                      <w:color w:val="auto"/>
                      <w:szCs w:val="21"/>
                    </w:rPr>
                  </w:pPr>
                  <w:r>
                    <w:rPr>
                      <w:rFonts w:cs="宋体"/>
                      <w:bCs/>
                      <w:color w:val="auto"/>
                      <w:szCs w:val="21"/>
                    </w:rPr>
                    <w:t>200</w:t>
                  </w:r>
                </w:p>
              </w:tc>
              <w:tc>
                <w:tcPr>
                  <w:tcW w:w="2591" w:type="dxa"/>
                  <w:vMerge w:val="continue"/>
                  <w:tcBorders>
                    <w:top w:val="single" w:color="auto" w:sz="4" w:space="0"/>
                    <w:left w:val="single" w:color="auto" w:sz="4" w:space="0"/>
                    <w:bottom w:val="single" w:color="auto" w:sz="4" w:space="0"/>
                  </w:tcBorders>
                  <w:vAlign w:val="center"/>
                </w:tcPr>
                <w:p>
                  <w:pPr>
                    <w:pStyle w:val="181"/>
                    <w:spacing w:line="240" w:lineRule="auto"/>
                    <w:rPr>
                      <w:rFonts w:cs="宋体"/>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8" w:type="dxa"/>
                  <w:vMerge w:val="continue"/>
                  <w:tcBorders>
                    <w:top w:val="single" w:color="auto" w:sz="4" w:space="0"/>
                    <w:bottom w:val="single" w:color="auto" w:sz="12" w:space="0"/>
                    <w:right w:val="single" w:color="auto" w:sz="4" w:space="0"/>
                  </w:tcBorders>
                  <w:vAlign w:val="center"/>
                </w:tcPr>
                <w:p>
                  <w:pPr>
                    <w:pStyle w:val="181"/>
                    <w:spacing w:line="240" w:lineRule="auto"/>
                    <w:rPr>
                      <w:rFonts w:cs="宋体"/>
                      <w:bCs/>
                      <w:color w:val="auto"/>
                      <w:szCs w:val="21"/>
                    </w:rPr>
                  </w:pPr>
                </w:p>
              </w:tc>
              <w:tc>
                <w:tcPr>
                  <w:tcW w:w="1478" w:type="dxa"/>
                  <w:tcBorders>
                    <w:top w:val="single" w:color="auto" w:sz="4" w:space="0"/>
                    <w:left w:val="single" w:color="auto" w:sz="4" w:space="0"/>
                    <w:bottom w:val="single" w:color="auto" w:sz="12" w:space="0"/>
                    <w:right w:val="single" w:color="auto" w:sz="4" w:space="0"/>
                  </w:tcBorders>
                  <w:vAlign w:val="center"/>
                </w:tcPr>
                <w:p>
                  <w:pPr>
                    <w:pStyle w:val="181"/>
                    <w:spacing w:line="240" w:lineRule="auto"/>
                    <w:rPr>
                      <w:rFonts w:cs="宋体"/>
                      <w:bCs/>
                      <w:color w:val="auto"/>
                      <w:szCs w:val="21"/>
                    </w:rPr>
                  </w:pPr>
                  <w:r>
                    <w:rPr>
                      <w:rFonts w:cs="宋体"/>
                      <w:bCs/>
                      <w:color w:val="auto"/>
                      <w:szCs w:val="21"/>
                    </w:rPr>
                    <w:t>24</w:t>
                  </w:r>
                  <w:r>
                    <w:rPr>
                      <w:rFonts w:hint="eastAsia" w:cs="宋体"/>
                      <w:bCs/>
                      <w:color w:val="auto"/>
                      <w:szCs w:val="21"/>
                    </w:rPr>
                    <w:t>小时平均</w:t>
                  </w:r>
                </w:p>
              </w:tc>
              <w:tc>
                <w:tcPr>
                  <w:tcW w:w="1479" w:type="dxa"/>
                  <w:tcBorders>
                    <w:top w:val="single" w:color="auto" w:sz="4" w:space="0"/>
                    <w:left w:val="single" w:color="auto" w:sz="4" w:space="0"/>
                    <w:bottom w:val="single" w:color="auto" w:sz="12" w:space="0"/>
                    <w:right w:val="single" w:color="auto" w:sz="4" w:space="0"/>
                  </w:tcBorders>
                  <w:vAlign w:val="center"/>
                </w:tcPr>
                <w:p>
                  <w:pPr>
                    <w:pStyle w:val="181"/>
                    <w:spacing w:line="240" w:lineRule="auto"/>
                    <w:rPr>
                      <w:rFonts w:cs="宋体"/>
                      <w:bCs/>
                      <w:color w:val="auto"/>
                      <w:szCs w:val="21"/>
                    </w:rPr>
                  </w:pPr>
                  <w:r>
                    <w:rPr>
                      <w:rFonts w:cs="宋体"/>
                      <w:bCs/>
                      <w:color w:val="auto"/>
                      <w:szCs w:val="21"/>
                    </w:rPr>
                    <w:t>μg/m</w:t>
                  </w:r>
                  <w:r>
                    <w:rPr>
                      <w:rFonts w:cs="宋体"/>
                      <w:bCs/>
                      <w:color w:val="auto"/>
                      <w:szCs w:val="21"/>
                      <w:vertAlign w:val="superscript"/>
                    </w:rPr>
                    <w:t>3</w:t>
                  </w:r>
                </w:p>
              </w:tc>
              <w:tc>
                <w:tcPr>
                  <w:tcW w:w="1479" w:type="dxa"/>
                  <w:tcBorders>
                    <w:top w:val="single" w:color="auto" w:sz="4" w:space="0"/>
                    <w:left w:val="single" w:color="auto" w:sz="4" w:space="0"/>
                    <w:bottom w:val="single" w:color="auto" w:sz="12" w:space="0"/>
                    <w:right w:val="single" w:color="auto" w:sz="4" w:space="0"/>
                  </w:tcBorders>
                  <w:vAlign w:val="center"/>
                </w:tcPr>
                <w:p>
                  <w:pPr>
                    <w:pStyle w:val="181"/>
                    <w:spacing w:line="240" w:lineRule="auto"/>
                    <w:rPr>
                      <w:rFonts w:cs="宋体"/>
                      <w:bCs/>
                      <w:color w:val="auto"/>
                      <w:szCs w:val="21"/>
                    </w:rPr>
                  </w:pPr>
                  <w:r>
                    <w:rPr>
                      <w:rFonts w:cs="宋体"/>
                      <w:bCs/>
                      <w:color w:val="auto"/>
                      <w:szCs w:val="21"/>
                    </w:rPr>
                    <w:t>300</w:t>
                  </w:r>
                </w:p>
              </w:tc>
              <w:tc>
                <w:tcPr>
                  <w:tcW w:w="2591" w:type="dxa"/>
                  <w:vMerge w:val="continue"/>
                  <w:tcBorders>
                    <w:top w:val="single" w:color="auto" w:sz="4" w:space="0"/>
                    <w:left w:val="single" w:color="auto" w:sz="4" w:space="0"/>
                    <w:bottom w:val="single" w:color="auto" w:sz="12" w:space="0"/>
                  </w:tcBorders>
                  <w:vAlign w:val="center"/>
                </w:tcPr>
                <w:p>
                  <w:pPr>
                    <w:pStyle w:val="181"/>
                    <w:spacing w:line="240" w:lineRule="auto"/>
                    <w:rPr>
                      <w:rFonts w:cs="宋体"/>
                      <w:bCs/>
                      <w:color w:val="auto"/>
                      <w:szCs w:val="21"/>
                    </w:rPr>
                  </w:pPr>
                </w:p>
              </w:tc>
            </w:tr>
          </w:tbl>
          <w:p>
            <w:pPr>
              <w:pStyle w:val="106"/>
              <w:ind w:firstLine="31680"/>
            </w:pPr>
            <w:r>
              <w:rPr>
                <w:rFonts w:hint="eastAsia"/>
              </w:rPr>
              <w:t>根据三明市生态环境局公布的</w:t>
            </w:r>
            <w:r>
              <w:t>2022</w:t>
            </w:r>
            <w:r>
              <w:rPr>
                <w:rFonts w:hint="eastAsia"/>
              </w:rPr>
              <w:t>年各月的《三明市环境空气质量月报》，</w:t>
            </w:r>
            <w:r>
              <w:t>2022</w:t>
            </w:r>
            <w:r>
              <w:rPr>
                <w:rFonts w:hint="eastAsia"/>
              </w:rPr>
              <w:t>年永安市全年的基本污染物的年均浓度详见表</w:t>
            </w:r>
            <w:r>
              <w:t>3.1-3</w:t>
            </w:r>
            <w:r>
              <w:rPr>
                <w:rFonts w:hint="eastAsia"/>
              </w:rPr>
              <w:t>。</w:t>
            </w:r>
          </w:p>
          <w:p>
            <w:pPr>
              <w:spacing w:beforeLines="50"/>
              <w:jc w:val="center"/>
              <w:rPr>
                <w:rFonts w:eastAsia="黑体"/>
                <w:sz w:val="24"/>
              </w:rPr>
            </w:pPr>
            <w:r>
              <w:rPr>
                <w:rFonts w:hint="eastAsia" w:eastAsia="黑体"/>
                <w:sz w:val="24"/>
              </w:rPr>
              <w:t>表</w:t>
            </w:r>
            <w:r>
              <w:rPr>
                <w:rFonts w:eastAsia="黑体"/>
                <w:sz w:val="24"/>
              </w:rPr>
              <w:t>3.1-3  2022</w:t>
            </w:r>
            <w:r>
              <w:rPr>
                <w:rFonts w:hint="eastAsia" w:eastAsia="黑体"/>
                <w:sz w:val="24"/>
              </w:rPr>
              <w:t>年永安市区域空气质量现状评价表</w:t>
            </w:r>
            <w:r>
              <w:rPr>
                <w:rFonts w:eastAsia="黑体"/>
                <w:sz w:val="24"/>
              </w:rPr>
              <w:t xml:space="preserve"> (</w:t>
            </w:r>
            <w:r>
              <w:rPr>
                <w:rFonts w:hint="eastAsia" w:eastAsia="黑体"/>
                <w:sz w:val="24"/>
              </w:rPr>
              <w:t>μ</w:t>
            </w:r>
            <w:r>
              <w:rPr>
                <w:rFonts w:eastAsia="黑体"/>
                <w:sz w:val="24"/>
              </w:rPr>
              <w:t>g/m</w:t>
            </w:r>
            <w:r>
              <w:rPr>
                <w:rFonts w:eastAsia="黑体"/>
                <w:sz w:val="24"/>
                <w:vertAlign w:val="superscript"/>
              </w:rPr>
              <w:t>3</w:t>
            </w:r>
            <w:r>
              <w:rPr>
                <w:rFonts w:eastAsia="黑体"/>
                <w:sz w:val="24"/>
              </w:rPr>
              <w:t>)</w:t>
            </w:r>
          </w:p>
          <w:tbl>
            <w:tblPr>
              <w:tblStyle w:val="27"/>
              <w:tblW w:w="844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4"/>
              <w:gridCol w:w="1182"/>
              <w:gridCol w:w="1156"/>
              <w:gridCol w:w="1129"/>
              <w:gridCol w:w="1133"/>
              <w:gridCol w:w="1300"/>
              <w:gridCol w:w="14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6" w:hRule="atLeast"/>
              </w:trPr>
              <w:tc>
                <w:tcPr>
                  <w:tcW w:w="1064" w:type="dxa"/>
                  <w:tcBorders>
                    <w:top w:val="single" w:color="auto" w:sz="12"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污染物</w:t>
                  </w:r>
                </w:p>
              </w:tc>
              <w:tc>
                <w:tcPr>
                  <w:tcW w:w="1182" w:type="dxa"/>
                  <w:tcBorders>
                    <w:top w:val="single" w:color="auto" w:sz="12"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SO</w:t>
                  </w:r>
                  <w:r>
                    <w:rPr>
                      <w:rStyle w:val="210"/>
                      <w:color w:val="auto"/>
                    </w:rPr>
                    <w:t>2</w:t>
                  </w:r>
                </w:p>
              </w:tc>
              <w:tc>
                <w:tcPr>
                  <w:tcW w:w="1156" w:type="dxa"/>
                  <w:tcBorders>
                    <w:top w:val="single" w:color="auto" w:sz="12"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NO</w:t>
                  </w:r>
                  <w:r>
                    <w:rPr>
                      <w:rStyle w:val="210"/>
                      <w:color w:val="auto"/>
                    </w:rPr>
                    <w:t>2</w:t>
                  </w:r>
                </w:p>
              </w:tc>
              <w:tc>
                <w:tcPr>
                  <w:tcW w:w="1129" w:type="dxa"/>
                  <w:tcBorders>
                    <w:top w:val="single" w:color="auto" w:sz="12"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PM</w:t>
                  </w:r>
                  <w:r>
                    <w:rPr>
                      <w:rStyle w:val="210"/>
                      <w:color w:val="auto"/>
                    </w:rPr>
                    <w:t>10</w:t>
                  </w:r>
                </w:p>
              </w:tc>
              <w:tc>
                <w:tcPr>
                  <w:tcW w:w="1133" w:type="dxa"/>
                  <w:tcBorders>
                    <w:top w:val="single" w:color="auto" w:sz="12"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PM</w:t>
                  </w:r>
                  <w:r>
                    <w:rPr>
                      <w:rStyle w:val="210"/>
                      <w:color w:val="auto"/>
                    </w:rPr>
                    <w:t>2.5</w:t>
                  </w:r>
                </w:p>
              </w:tc>
              <w:tc>
                <w:tcPr>
                  <w:tcW w:w="1300" w:type="dxa"/>
                  <w:tcBorders>
                    <w:top w:val="single" w:color="auto" w:sz="12"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CO</w:t>
                  </w:r>
                </w:p>
              </w:tc>
              <w:tc>
                <w:tcPr>
                  <w:tcW w:w="1483" w:type="dxa"/>
                  <w:tcBorders>
                    <w:top w:val="single" w:color="auto" w:sz="12" w:space="0"/>
                    <w:left w:val="single" w:color="auto" w:sz="6" w:space="0"/>
                    <w:bottom w:val="single" w:color="auto" w:sz="6" w:space="0"/>
                  </w:tcBorders>
                  <w:vAlign w:val="center"/>
                </w:tcPr>
                <w:p>
                  <w:pPr>
                    <w:widowControl/>
                    <w:jc w:val="center"/>
                    <w:textAlignment w:val="center"/>
                    <w:rPr>
                      <w:szCs w:val="21"/>
                    </w:rPr>
                  </w:pPr>
                  <w:r>
                    <w:rPr>
                      <w:kern w:val="0"/>
                      <w:szCs w:val="21"/>
                    </w:rPr>
                    <w:t>O</w:t>
                  </w:r>
                  <w:r>
                    <w:rPr>
                      <w:rStyle w:val="210"/>
                      <w:color w:val="auto"/>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年评价指标</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年均质量浓度</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年均质量浓度</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年均质量浓度</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年均质量浓度</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日均质量浓度</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rFonts w:hint="eastAsia"/>
                      <w:kern w:val="0"/>
                      <w:szCs w:val="21"/>
                    </w:rPr>
                    <w:t>日最大</w:t>
                  </w:r>
                  <w:r>
                    <w:rPr>
                      <w:rStyle w:val="172"/>
                      <w:rFonts w:ascii="Times New Roman" w:hAnsi="Times New Roman" w:cs="Times New Roman"/>
                      <w:color w:val="auto"/>
                      <w:sz w:val="21"/>
                      <w:szCs w:val="21"/>
                    </w:rPr>
                    <w:t>8</w:t>
                  </w:r>
                  <w:r>
                    <w:rPr>
                      <w:rStyle w:val="211"/>
                      <w:rFonts w:hint="eastAsia" w:ascii="Times New Roman" w:hAnsi="Times New Roman" w:cs="Times New Roman"/>
                      <w:color w:val="auto"/>
                    </w:rPr>
                    <w:t>小时平均质量浓度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一月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9</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15</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42</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27</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1.2mg/m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二月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9</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20</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30</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21</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1.1mg/m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三月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11</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19</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37</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19</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1.4mg/m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123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四月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10</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20</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38</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21</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1.2mg/m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158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五月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6</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10</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16</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9</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0.7mg/m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118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六月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7</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14</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30</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8</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0.8mg/m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101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七月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6</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8</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15</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8</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1.1mg/m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八月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6</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16</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28</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16</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1.4mg/m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128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九月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9</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17</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41</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22</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1.2mg/m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139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十月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9</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19</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41</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26</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1.1mg/m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109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十一月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6</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11</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25</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19</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1.2mg/m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十二月</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8</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19</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43</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31</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1.6mg/m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kern w:val="0"/>
                      <w:szCs w:val="21"/>
                    </w:rPr>
                  </w:pPr>
                  <w:r>
                    <w:rPr>
                      <w:rFonts w:hint="eastAsia"/>
                    </w:rPr>
                    <w:t>平均值</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8</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15.67</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32.17</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18.92</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1.17mg/m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kern w:val="0"/>
                      <w:szCs w:val="21"/>
                    </w:rPr>
                  </w:pPr>
                  <w:r>
                    <w:rPr>
                      <w:kern w:val="0"/>
                      <w:szCs w:val="21"/>
                    </w:rPr>
                    <w:t>102.5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pPr>
                  <w:r>
                    <w:rPr>
                      <w:rFonts w:hint="eastAsia"/>
                    </w:rPr>
                    <w:t>占标率</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0.13</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0.39667</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0.46</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0.54</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kern w:val="0"/>
                      <w:szCs w:val="21"/>
                    </w:rPr>
                  </w:pPr>
                  <w:r>
                    <w:rPr>
                      <w:kern w:val="0"/>
                      <w:szCs w:val="21"/>
                    </w:rPr>
                    <w:t>0.29</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kern w:val="0"/>
                      <w:szCs w:val="21"/>
                    </w:rPr>
                  </w:pPr>
                  <w:r>
                    <w:rPr>
                      <w:kern w:val="0"/>
                      <w:szCs w:val="21"/>
                    </w:rPr>
                    <w:t>0.64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6" w:space="0"/>
                    <w:right w:val="single" w:color="auto" w:sz="6" w:space="0"/>
                  </w:tcBorders>
                  <w:vAlign w:val="center"/>
                </w:tcPr>
                <w:p>
                  <w:pPr>
                    <w:widowControl/>
                    <w:jc w:val="center"/>
                    <w:textAlignment w:val="center"/>
                    <w:rPr>
                      <w:szCs w:val="21"/>
                    </w:rPr>
                  </w:pPr>
                  <w:r>
                    <w:rPr>
                      <w:rFonts w:hint="eastAsia"/>
                      <w:kern w:val="0"/>
                      <w:szCs w:val="21"/>
                    </w:rPr>
                    <w:t>标准值</w:t>
                  </w:r>
                </w:p>
              </w:tc>
              <w:tc>
                <w:tcPr>
                  <w:tcW w:w="1182"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60</w:t>
                  </w:r>
                </w:p>
              </w:tc>
              <w:tc>
                <w:tcPr>
                  <w:tcW w:w="1156"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40</w:t>
                  </w:r>
                </w:p>
              </w:tc>
              <w:tc>
                <w:tcPr>
                  <w:tcW w:w="1129"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70</w:t>
                  </w:r>
                </w:p>
              </w:tc>
              <w:tc>
                <w:tcPr>
                  <w:tcW w:w="1133"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35</w:t>
                  </w:r>
                </w:p>
              </w:tc>
              <w:tc>
                <w:tcPr>
                  <w:tcW w:w="1300" w:type="dxa"/>
                  <w:tcBorders>
                    <w:top w:val="single" w:color="auto" w:sz="6" w:space="0"/>
                    <w:left w:val="single" w:color="auto" w:sz="6" w:space="0"/>
                    <w:bottom w:val="single" w:color="auto" w:sz="6" w:space="0"/>
                    <w:right w:val="single" w:color="auto" w:sz="6" w:space="0"/>
                  </w:tcBorders>
                  <w:vAlign w:val="center"/>
                </w:tcPr>
                <w:p>
                  <w:pPr>
                    <w:widowControl/>
                    <w:jc w:val="center"/>
                    <w:textAlignment w:val="center"/>
                    <w:rPr>
                      <w:szCs w:val="21"/>
                    </w:rPr>
                  </w:pPr>
                  <w:r>
                    <w:rPr>
                      <w:kern w:val="0"/>
                      <w:szCs w:val="21"/>
                    </w:rPr>
                    <w:t>4mg/m</w:t>
                  </w:r>
                  <w:r>
                    <w:rPr>
                      <w:rStyle w:val="212"/>
                      <w:color w:val="auto"/>
                    </w:rPr>
                    <w:t>3</w:t>
                  </w:r>
                </w:p>
              </w:tc>
              <w:tc>
                <w:tcPr>
                  <w:tcW w:w="1483" w:type="dxa"/>
                  <w:tcBorders>
                    <w:top w:val="single" w:color="auto" w:sz="6" w:space="0"/>
                    <w:left w:val="single" w:color="auto" w:sz="6" w:space="0"/>
                    <w:bottom w:val="single" w:color="auto" w:sz="6" w:space="0"/>
                  </w:tcBorders>
                  <w:vAlign w:val="center"/>
                </w:tcPr>
                <w:p>
                  <w:pPr>
                    <w:widowControl/>
                    <w:jc w:val="center"/>
                    <w:textAlignment w:val="center"/>
                    <w:rPr>
                      <w:szCs w:val="21"/>
                    </w:rPr>
                  </w:pPr>
                  <w:r>
                    <w:rPr>
                      <w:kern w:val="0"/>
                      <w:szCs w:val="21"/>
                    </w:rP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1" w:hRule="exact"/>
              </w:trPr>
              <w:tc>
                <w:tcPr>
                  <w:tcW w:w="1064" w:type="dxa"/>
                  <w:tcBorders>
                    <w:top w:val="single" w:color="auto" w:sz="6" w:space="0"/>
                    <w:bottom w:val="single" w:color="auto" w:sz="12" w:space="0"/>
                    <w:right w:val="single" w:color="auto" w:sz="6" w:space="0"/>
                  </w:tcBorders>
                  <w:vAlign w:val="center"/>
                </w:tcPr>
                <w:p>
                  <w:pPr>
                    <w:widowControl/>
                    <w:jc w:val="center"/>
                    <w:textAlignment w:val="center"/>
                    <w:rPr>
                      <w:szCs w:val="21"/>
                    </w:rPr>
                  </w:pPr>
                  <w:r>
                    <w:rPr>
                      <w:rFonts w:hint="eastAsia"/>
                      <w:kern w:val="0"/>
                      <w:szCs w:val="21"/>
                    </w:rPr>
                    <w:t>达标情况</w:t>
                  </w:r>
                </w:p>
              </w:tc>
              <w:tc>
                <w:tcPr>
                  <w:tcW w:w="1182" w:type="dxa"/>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szCs w:val="21"/>
                    </w:rPr>
                  </w:pPr>
                  <w:r>
                    <w:rPr>
                      <w:rFonts w:hint="eastAsia"/>
                      <w:kern w:val="0"/>
                      <w:szCs w:val="21"/>
                    </w:rPr>
                    <w:t>达标</w:t>
                  </w:r>
                </w:p>
              </w:tc>
              <w:tc>
                <w:tcPr>
                  <w:tcW w:w="1156" w:type="dxa"/>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szCs w:val="21"/>
                    </w:rPr>
                  </w:pPr>
                  <w:r>
                    <w:rPr>
                      <w:rFonts w:hint="eastAsia"/>
                      <w:kern w:val="0"/>
                      <w:szCs w:val="21"/>
                    </w:rPr>
                    <w:t>达标</w:t>
                  </w:r>
                </w:p>
              </w:tc>
              <w:tc>
                <w:tcPr>
                  <w:tcW w:w="1129" w:type="dxa"/>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szCs w:val="21"/>
                    </w:rPr>
                  </w:pPr>
                  <w:r>
                    <w:rPr>
                      <w:rFonts w:hint="eastAsia"/>
                      <w:kern w:val="0"/>
                      <w:szCs w:val="21"/>
                    </w:rPr>
                    <w:t>达标</w:t>
                  </w:r>
                </w:p>
              </w:tc>
              <w:tc>
                <w:tcPr>
                  <w:tcW w:w="1133" w:type="dxa"/>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szCs w:val="21"/>
                    </w:rPr>
                  </w:pPr>
                  <w:r>
                    <w:rPr>
                      <w:rFonts w:hint="eastAsia"/>
                      <w:kern w:val="0"/>
                      <w:szCs w:val="21"/>
                    </w:rPr>
                    <w:t>达标</w:t>
                  </w:r>
                </w:p>
              </w:tc>
              <w:tc>
                <w:tcPr>
                  <w:tcW w:w="1300" w:type="dxa"/>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szCs w:val="21"/>
                    </w:rPr>
                  </w:pPr>
                  <w:r>
                    <w:rPr>
                      <w:rFonts w:hint="eastAsia"/>
                      <w:kern w:val="0"/>
                      <w:szCs w:val="21"/>
                    </w:rPr>
                    <w:t>达标</w:t>
                  </w:r>
                </w:p>
              </w:tc>
              <w:tc>
                <w:tcPr>
                  <w:tcW w:w="1483" w:type="dxa"/>
                  <w:tcBorders>
                    <w:top w:val="single" w:color="auto" w:sz="6" w:space="0"/>
                    <w:left w:val="single" w:color="auto" w:sz="6" w:space="0"/>
                    <w:bottom w:val="single" w:color="auto" w:sz="12" w:space="0"/>
                  </w:tcBorders>
                  <w:vAlign w:val="center"/>
                </w:tcPr>
                <w:p>
                  <w:pPr>
                    <w:widowControl/>
                    <w:jc w:val="center"/>
                    <w:textAlignment w:val="center"/>
                    <w:rPr>
                      <w:szCs w:val="21"/>
                    </w:rPr>
                  </w:pPr>
                  <w:r>
                    <w:rPr>
                      <w:rFonts w:hint="eastAsia"/>
                      <w:kern w:val="0"/>
                      <w:szCs w:val="21"/>
                    </w:rPr>
                    <w:t>达标</w:t>
                  </w:r>
                </w:p>
              </w:tc>
            </w:tr>
          </w:tbl>
          <w:p>
            <w:pPr>
              <w:pStyle w:val="204"/>
              <w:ind w:left="-67" w:leftChars="-32" w:firstLine="600" w:firstLineChars="250"/>
              <w:rPr>
                <w:snapToGrid w:val="0"/>
                <w:kern w:val="0"/>
                <w:szCs w:val="20"/>
              </w:rPr>
            </w:pPr>
            <w:r>
              <w:rPr>
                <w:rFonts w:hint="eastAsia"/>
                <w:snapToGrid w:val="0"/>
                <w:kern w:val="0"/>
                <w:szCs w:val="20"/>
              </w:rPr>
              <w:t>由上表永安市区域空气质量现状评价表的达标评价可知，</w:t>
            </w:r>
            <w:r>
              <w:rPr>
                <w:snapToGrid w:val="0"/>
                <w:kern w:val="0"/>
                <w:szCs w:val="20"/>
              </w:rPr>
              <w:t>SO</w:t>
            </w:r>
            <w:r>
              <w:rPr>
                <w:snapToGrid w:val="0"/>
                <w:kern w:val="0"/>
                <w:szCs w:val="20"/>
                <w:vertAlign w:val="subscript"/>
              </w:rPr>
              <w:t>2</w:t>
            </w:r>
            <w:r>
              <w:rPr>
                <w:rFonts w:hint="eastAsia"/>
                <w:snapToGrid w:val="0"/>
                <w:kern w:val="0"/>
                <w:szCs w:val="20"/>
              </w:rPr>
              <w:t>、</w:t>
            </w:r>
            <w:r>
              <w:rPr>
                <w:snapToGrid w:val="0"/>
                <w:kern w:val="0"/>
                <w:szCs w:val="20"/>
              </w:rPr>
              <w:t>NO</w:t>
            </w:r>
            <w:r>
              <w:rPr>
                <w:snapToGrid w:val="0"/>
                <w:kern w:val="0"/>
                <w:szCs w:val="20"/>
                <w:vertAlign w:val="subscript"/>
              </w:rPr>
              <w:t>2</w:t>
            </w:r>
            <w:r>
              <w:rPr>
                <w:rFonts w:hint="eastAsia"/>
                <w:snapToGrid w:val="0"/>
                <w:kern w:val="0"/>
                <w:szCs w:val="20"/>
              </w:rPr>
              <w:t>、</w:t>
            </w:r>
            <w:r>
              <w:rPr>
                <w:snapToGrid w:val="0"/>
                <w:kern w:val="0"/>
                <w:szCs w:val="20"/>
              </w:rPr>
              <w:t>PM</w:t>
            </w:r>
            <w:r>
              <w:rPr>
                <w:snapToGrid w:val="0"/>
                <w:kern w:val="0"/>
                <w:szCs w:val="20"/>
                <w:vertAlign w:val="subscript"/>
              </w:rPr>
              <w:t>10</w:t>
            </w:r>
            <w:r>
              <w:rPr>
                <w:rFonts w:hint="eastAsia"/>
                <w:snapToGrid w:val="0"/>
                <w:kern w:val="0"/>
                <w:szCs w:val="20"/>
              </w:rPr>
              <w:t>、</w:t>
            </w:r>
            <w:r>
              <w:rPr>
                <w:snapToGrid w:val="0"/>
                <w:kern w:val="0"/>
                <w:szCs w:val="20"/>
              </w:rPr>
              <w:t>PM</w:t>
            </w:r>
            <w:r>
              <w:rPr>
                <w:snapToGrid w:val="0"/>
                <w:kern w:val="0"/>
                <w:szCs w:val="20"/>
                <w:vertAlign w:val="subscript"/>
              </w:rPr>
              <w:t>2.5</w:t>
            </w:r>
            <w:r>
              <w:rPr>
                <w:rFonts w:hint="eastAsia"/>
                <w:snapToGrid w:val="0"/>
                <w:kern w:val="0"/>
                <w:szCs w:val="20"/>
              </w:rPr>
              <w:t>、</w:t>
            </w:r>
            <w:r>
              <w:rPr>
                <w:snapToGrid w:val="0"/>
                <w:kern w:val="0"/>
                <w:szCs w:val="20"/>
              </w:rPr>
              <w:t>CO</w:t>
            </w:r>
            <w:r>
              <w:rPr>
                <w:rFonts w:hint="eastAsia"/>
                <w:snapToGrid w:val="0"/>
                <w:kern w:val="0"/>
                <w:szCs w:val="20"/>
              </w:rPr>
              <w:t>、</w:t>
            </w:r>
            <w:r>
              <w:rPr>
                <w:snapToGrid w:val="0"/>
                <w:kern w:val="0"/>
                <w:szCs w:val="20"/>
              </w:rPr>
              <w:t>O</w:t>
            </w:r>
            <w:r>
              <w:rPr>
                <w:snapToGrid w:val="0"/>
                <w:kern w:val="0"/>
                <w:szCs w:val="20"/>
                <w:vertAlign w:val="subscript"/>
              </w:rPr>
              <w:t>3</w:t>
            </w:r>
            <w:r>
              <w:rPr>
                <w:rFonts w:hint="eastAsia"/>
                <w:snapToGrid w:val="0"/>
                <w:kern w:val="0"/>
                <w:szCs w:val="20"/>
              </w:rPr>
              <w:t>六项污染物全部符合《环境空气质量标准》（</w:t>
            </w:r>
            <w:r>
              <w:rPr>
                <w:snapToGrid w:val="0"/>
                <w:kern w:val="0"/>
                <w:szCs w:val="20"/>
              </w:rPr>
              <w:t>GB3095-2012</w:t>
            </w:r>
            <w:r>
              <w:rPr>
                <w:rFonts w:hint="eastAsia"/>
                <w:snapToGrid w:val="0"/>
                <w:kern w:val="0"/>
                <w:szCs w:val="20"/>
              </w:rPr>
              <w:t>）及修改单中的二级标准要求，项目所在区域永安市属于环境空气质量达标区。</w:t>
            </w:r>
          </w:p>
          <w:p>
            <w:pPr>
              <w:pStyle w:val="81"/>
              <w:ind w:firstLine="31680"/>
            </w:pPr>
            <w:r>
              <w:rPr>
                <w:rFonts w:hint="eastAsia"/>
              </w:rPr>
              <w:t>（</w:t>
            </w:r>
            <w:r>
              <w:t>2</w:t>
            </w:r>
            <w:r>
              <w:rPr>
                <w:rFonts w:hint="eastAsia"/>
              </w:rPr>
              <w:t>）特征污染物</w:t>
            </w:r>
          </w:p>
          <w:p>
            <w:pPr>
              <w:pStyle w:val="194"/>
              <w:ind w:firstLine="31680"/>
              <w:rPr>
                <w:color w:val="auto"/>
              </w:rPr>
            </w:pPr>
            <w:r>
              <w:rPr>
                <w:rFonts w:hint="eastAsia"/>
                <w:color w:val="auto"/>
              </w:rPr>
              <w:t>本项目特征污染物主要为投料、破碎、筛分生产过程中产生的粉尘，污染因子为颗粒物，为了解项目周边</w:t>
            </w:r>
            <w:r>
              <w:rPr>
                <w:color w:val="auto"/>
              </w:rPr>
              <w:t>TSP</w:t>
            </w:r>
            <w:r>
              <w:rPr>
                <w:rFonts w:hint="eastAsia"/>
                <w:color w:val="auto"/>
              </w:rPr>
              <w:t>现状，本次委托</w:t>
            </w:r>
            <w:r>
              <w:rPr>
                <w:rFonts w:hint="eastAsia" w:cs="Times New Roman"/>
                <w:color w:val="auto"/>
              </w:rPr>
              <w:t>福建省海博检测技术有限公司于</w:t>
            </w:r>
            <w:r>
              <w:rPr>
                <w:rFonts w:cs="Times New Roman"/>
                <w:color w:val="auto"/>
              </w:rPr>
              <w:t>2023</w:t>
            </w:r>
            <w:r>
              <w:rPr>
                <w:rFonts w:hint="eastAsia" w:cs="Times New Roman"/>
                <w:color w:val="auto"/>
              </w:rPr>
              <w:t>年</w:t>
            </w:r>
            <w:r>
              <w:rPr>
                <w:rFonts w:cs="Times New Roman"/>
                <w:color w:val="auto"/>
              </w:rPr>
              <w:t>6</w:t>
            </w:r>
            <w:r>
              <w:rPr>
                <w:rFonts w:hint="eastAsia" w:cs="Times New Roman"/>
                <w:color w:val="auto"/>
              </w:rPr>
              <w:t>月</w:t>
            </w:r>
            <w:r>
              <w:rPr>
                <w:rFonts w:cs="Times New Roman"/>
                <w:color w:val="auto"/>
              </w:rPr>
              <w:t>1</w:t>
            </w:r>
            <w:r>
              <w:rPr>
                <w:rFonts w:hint="eastAsia" w:cs="Times New Roman"/>
                <w:color w:val="auto"/>
              </w:rPr>
              <w:t>日～</w:t>
            </w:r>
            <w:r>
              <w:rPr>
                <w:rFonts w:cs="Times New Roman"/>
                <w:color w:val="auto"/>
              </w:rPr>
              <w:t>2023</w:t>
            </w:r>
            <w:r>
              <w:rPr>
                <w:rFonts w:hint="eastAsia" w:cs="Times New Roman"/>
                <w:color w:val="auto"/>
              </w:rPr>
              <w:t>年</w:t>
            </w:r>
            <w:r>
              <w:rPr>
                <w:rFonts w:cs="Times New Roman"/>
                <w:color w:val="auto"/>
              </w:rPr>
              <w:t>6</w:t>
            </w:r>
            <w:r>
              <w:rPr>
                <w:rFonts w:hint="eastAsia" w:cs="Times New Roman"/>
                <w:color w:val="auto"/>
              </w:rPr>
              <w:t>月</w:t>
            </w:r>
            <w:r>
              <w:rPr>
                <w:rFonts w:cs="Times New Roman"/>
                <w:color w:val="auto"/>
              </w:rPr>
              <w:t>3</w:t>
            </w:r>
            <w:r>
              <w:rPr>
                <w:rFonts w:hint="eastAsia" w:cs="Times New Roman"/>
                <w:color w:val="auto"/>
              </w:rPr>
              <w:t>日</w:t>
            </w:r>
            <w:r>
              <w:rPr>
                <w:rFonts w:hint="eastAsia"/>
                <w:color w:val="auto"/>
              </w:rPr>
              <w:t>对该项目所在地的</w:t>
            </w:r>
            <w:r>
              <w:rPr>
                <w:color w:val="auto"/>
              </w:rPr>
              <w:t>TSP</w:t>
            </w:r>
            <w:r>
              <w:rPr>
                <w:rFonts w:hint="eastAsia"/>
                <w:color w:val="auto"/>
              </w:rPr>
              <w:t>环境质量现状监测。</w:t>
            </w:r>
          </w:p>
          <w:p>
            <w:pPr>
              <w:tabs>
                <w:tab w:val="right" w:pos="7554"/>
              </w:tabs>
              <w:adjustRightInd w:val="0"/>
              <w:snapToGrid w:val="0"/>
              <w:spacing w:line="360" w:lineRule="auto"/>
              <w:ind w:firstLine="480" w:firstLineChars="200"/>
              <w:jc w:val="left"/>
              <w:rPr>
                <w:sz w:val="24"/>
                <w:szCs w:val="32"/>
              </w:rPr>
            </w:pPr>
            <w:r>
              <w:rPr>
                <w:rFonts w:hint="eastAsia"/>
                <w:sz w:val="24"/>
                <w:szCs w:val="32"/>
              </w:rPr>
              <w:t>①监测点位：厂区内；</w:t>
            </w:r>
          </w:p>
          <w:p>
            <w:pPr>
              <w:tabs>
                <w:tab w:val="right" w:pos="7554"/>
              </w:tabs>
              <w:adjustRightInd w:val="0"/>
              <w:snapToGrid w:val="0"/>
              <w:spacing w:line="360" w:lineRule="auto"/>
              <w:ind w:firstLine="480" w:firstLineChars="200"/>
              <w:jc w:val="left"/>
              <w:rPr>
                <w:sz w:val="24"/>
                <w:szCs w:val="32"/>
              </w:rPr>
            </w:pPr>
            <w:r>
              <w:rPr>
                <w:rFonts w:hint="eastAsia"/>
                <w:sz w:val="24"/>
                <w:szCs w:val="32"/>
              </w:rPr>
              <w:t>②监测项目：</w:t>
            </w:r>
            <w:r>
              <w:rPr>
                <w:sz w:val="24"/>
                <w:szCs w:val="32"/>
              </w:rPr>
              <w:t>TSP</w:t>
            </w:r>
            <w:r>
              <w:rPr>
                <w:rFonts w:hint="eastAsia"/>
                <w:sz w:val="24"/>
                <w:szCs w:val="32"/>
              </w:rPr>
              <w:t>；</w:t>
            </w:r>
          </w:p>
          <w:p>
            <w:pPr>
              <w:tabs>
                <w:tab w:val="right" w:pos="7554"/>
              </w:tabs>
              <w:adjustRightInd w:val="0"/>
              <w:snapToGrid w:val="0"/>
              <w:spacing w:line="360" w:lineRule="auto"/>
              <w:ind w:firstLine="480" w:firstLineChars="200"/>
              <w:jc w:val="left"/>
              <w:rPr>
                <w:sz w:val="24"/>
                <w:szCs w:val="32"/>
              </w:rPr>
            </w:pPr>
            <w:r>
              <w:rPr>
                <w:rFonts w:hint="eastAsia"/>
                <w:sz w:val="24"/>
                <w:szCs w:val="32"/>
              </w:rPr>
              <w:t>③监测时间及频率：连续采样</w:t>
            </w:r>
            <w:r>
              <w:rPr>
                <w:sz w:val="24"/>
                <w:szCs w:val="32"/>
              </w:rPr>
              <w:t>3</w:t>
            </w:r>
            <w:r>
              <w:rPr>
                <w:rFonts w:hint="eastAsia"/>
                <w:sz w:val="24"/>
                <w:szCs w:val="32"/>
              </w:rPr>
              <w:t>天。</w:t>
            </w:r>
          </w:p>
          <w:p>
            <w:pPr>
              <w:tabs>
                <w:tab w:val="right" w:pos="7554"/>
              </w:tabs>
              <w:adjustRightInd w:val="0"/>
              <w:snapToGrid w:val="0"/>
              <w:spacing w:line="360" w:lineRule="auto"/>
              <w:ind w:firstLine="480" w:firstLineChars="200"/>
              <w:jc w:val="left"/>
              <w:rPr>
                <w:sz w:val="24"/>
                <w:szCs w:val="32"/>
              </w:rPr>
            </w:pPr>
            <w:r>
              <w:rPr>
                <w:rFonts w:hint="eastAsia"/>
                <w:sz w:val="24"/>
                <w:szCs w:val="32"/>
              </w:rPr>
              <w:t>采样时均观测并记录当时的风向、风速、气温、气压等气象条件。本项目监测点位见附图</w:t>
            </w:r>
            <w:r>
              <w:rPr>
                <w:sz w:val="24"/>
                <w:szCs w:val="32"/>
              </w:rPr>
              <w:t>3</w:t>
            </w:r>
            <w:r>
              <w:rPr>
                <w:rFonts w:hint="eastAsia"/>
                <w:sz w:val="24"/>
                <w:szCs w:val="32"/>
              </w:rPr>
              <w:t>。评价区域内环境空气质量现状详见表</w:t>
            </w:r>
            <w:r>
              <w:rPr>
                <w:sz w:val="24"/>
                <w:szCs w:val="32"/>
              </w:rPr>
              <w:t>3.1-1</w:t>
            </w:r>
            <w:r>
              <w:rPr>
                <w:rFonts w:hint="eastAsia"/>
                <w:sz w:val="24"/>
                <w:szCs w:val="32"/>
              </w:rPr>
              <w:t>。</w:t>
            </w:r>
          </w:p>
          <w:p>
            <w:pPr>
              <w:ind w:firstLine="360"/>
              <w:jc w:val="center"/>
              <w:rPr>
                <w:b/>
                <w:bCs/>
                <w:sz w:val="24"/>
              </w:rPr>
            </w:pPr>
            <w:r>
              <w:rPr>
                <w:rFonts w:hint="eastAsia"/>
                <w:b/>
                <w:bCs/>
                <w:sz w:val="24"/>
              </w:rPr>
              <w:t>表</w:t>
            </w:r>
            <w:r>
              <w:rPr>
                <w:b/>
                <w:bCs/>
                <w:sz w:val="24"/>
              </w:rPr>
              <w:t xml:space="preserve">3.1-1 </w:t>
            </w:r>
            <w:r>
              <w:rPr>
                <w:rFonts w:hint="eastAsia"/>
                <w:b/>
                <w:bCs/>
                <w:sz w:val="24"/>
              </w:rPr>
              <w:t>项目所在区域特征因子检测结果</w:t>
            </w:r>
          </w:p>
          <w:tbl>
            <w:tblPr>
              <w:tblStyle w:val="27"/>
              <w:tblW w:w="84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1"/>
              <w:gridCol w:w="1248"/>
              <w:gridCol w:w="1957"/>
              <w:gridCol w:w="1783"/>
              <w:gridCol w:w="1275"/>
              <w:gridCol w:w="1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081" w:type="dxa"/>
                  <w:vMerge w:val="restart"/>
                  <w:tcBorders>
                    <w:top w:val="single" w:color="auto" w:sz="12"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监测点</w:t>
                  </w:r>
                </w:p>
              </w:tc>
              <w:tc>
                <w:tcPr>
                  <w:tcW w:w="1248" w:type="dxa"/>
                  <w:tcBorders>
                    <w:top w:val="single" w:color="auto" w:sz="12"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监测项目</w:t>
                  </w:r>
                </w:p>
              </w:tc>
              <w:tc>
                <w:tcPr>
                  <w:tcW w:w="1957" w:type="dxa"/>
                  <w:tcBorders>
                    <w:top w:val="single" w:color="auto" w:sz="12"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浓度范围</w:t>
                  </w:r>
                  <w:r>
                    <w:rPr>
                      <w:szCs w:val="21"/>
                    </w:rPr>
                    <w:t>mg/m</w:t>
                  </w:r>
                  <w:r>
                    <w:rPr>
                      <w:szCs w:val="21"/>
                      <w:vertAlign w:val="superscript"/>
                    </w:rPr>
                    <w:t>3</w:t>
                  </w:r>
                </w:p>
              </w:tc>
              <w:tc>
                <w:tcPr>
                  <w:tcW w:w="1783" w:type="dxa"/>
                  <w:tcBorders>
                    <w:top w:val="single" w:color="auto" w:sz="12"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最大浓度</w:t>
                  </w:r>
                  <w:r>
                    <w:rPr>
                      <w:szCs w:val="21"/>
                    </w:rPr>
                    <w:t>mg/m</w:t>
                  </w:r>
                  <w:r>
                    <w:rPr>
                      <w:szCs w:val="21"/>
                      <w:vertAlign w:val="superscript"/>
                    </w:rPr>
                    <w:t>3</w:t>
                  </w:r>
                </w:p>
              </w:tc>
              <w:tc>
                <w:tcPr>
                  <w:tcW w:w="1275" w:type="dxa"/>
                  <w:tcBorders>
                    <w:top w:val="single" w:color="auto" w:sz="12" w:space="0"/>
                    <w:left w:val="single" w:color="auto" w:sz="4" w:space="0"/>
                    <w:bottom w:val="single" w:color="auto" w:sz="4" w:space="0"/>
                    <w:right w:val="single" w:color="auto" w:sz="4" w:space="0"/>
                  </w:tcBorders>
                  <w:vAlign w:val="center"/>
                </w:tcPr>
                <w:p>
                  <w:pPr>
                    <w:widowControl/>
                    <w:adjustRightInd w:val="0"/>
                    <w:snapToGrid w:val="0"/>
                    <w:jc w:val="center"/>
                    <w:rPr>
                      <w:szCs w:val="21"/>
                    </w:rPr>
                  </w:pPr>
                  <w:r>
                    <w:rPr>
                      <w:rFonts w:hint="eastAsia"/>
                      <w:szCs w:val="21"/>
                    </w:rPr>
                    <w:t>超标率（</w:t>
                  </w:r>
                  <w:r>
                    <w:rPr>
                      <w:szCs w:val="21"/>
                    </w:rPr>
                    <w:t>%</w:t>
                  </w:r>
                  <w:r>
                    <w:rPr>
                      <w:rFonts w:hint="eastAsia"/>
                      <w:szCs w:val="21"/>
                    </w:rPr>
                    <w:t>）</w:t>
                  </w:r>
                </w:p>
              </w:tc>
              <w:tc>
                <w:tcPr>
                  <w:tcW w:w="1105" w:type="dxa"/>
                  <w:tcBorders>
                    <w:top w:val="single" w:color="auto" w:sz="12" w:space="0"/>
                    <w:left w:val="single" w:color="auto" w:sz="4" w:space="0"/>
                    <w:bottom w:val="single" w:color="auto" w:sz="4" w:space="0"/>
                  </w:tcBorders>
                  <w:vAlign w:val="center"/>
                </w:tcPr>
                <w:p>
                  <w:pPr>
                    <w:widowControl/>
                    <w:adjustRightInd w:val="0"/>
                    <w:snapToGrid w:val="0"/>
                    <w:jc w:val="center"/>
                    <w:rPr>
                      <w:szCs w:val="21"/>
                    </w:rPr>
                  </w:pPr>
                  <w:r>
                    <w:rPr>
                      <w:rFonts w:hint="eastAsia"/>
                      <w:szCs w:val="21"/>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081" w:type="dxa"/>
                  <w:tcBorders>
                    <w:top w:val="single" w:color="auto" w:sz="4" w:space="0"/>
                    <w:bottom w:val="single" w:color="auto" w:sz="12" w:space="0"/>
                    <w:right w:val="single" w:color="auto" w:sz="4" w:space="0"/>
                  </w:tcBorders>
                  <w:vAlign w:val="center"/>
                </w:tcPr>
                <w:p>
                  <w:pPr>
                    <w:widowControl/>
                    <w:adjustRightInd w:val="0"/>
                    <w:snapToGrid w:val="0"/>
                    <w:jc w:val="center"/>
                    <w:rPr>
                      <w:szCs w:val="21"/>
                    </w:rPr>
                  </w:pPr>
                  <w:r>
                    <w:rPr>
                      <w:szCs w:val="21"/>
                    </w:rPr>
                    <w:t>G1</w:t>
                  </w:r>
                </w:p>
              </w:tc>
              <w:tc>
                <w:tcPr>
                  <w:tcW w:w="124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szCs w:val="21"/>
                    </w:rPr>
                  </w:pPr>
                  <w:r>
                    <w:rPr>
                      <w:szCs w:val="21"/>
                    </w:rPr>
                    <w:t>TSP</w:t>
                  </w:r>
                </w:p>
              </w:tc>
              <w:tc>
                <w:tcPr>
                  <w:tcW w:w="1957" w:type="dxa"/>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rPr>
                      <w:szCs w:val="21"/>
                    </w:rPr>
                  </w:pPr>
                  <w:bookmarkStart w:id="38" w:name="_GoBack"/>
                  <w:bookmarkEnd w:id="38"/>
                </w:p>
              </w:tc>
              <w:tc>
                <w:tcPr>
                  <w:tcW w:w="1783" w:type="dxa"/>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rPr>
                      <w:szCs w:val="21"/>
                    </w:rPr>
                  </w:pPr>
                </w:p>
              </w:tc>
              <w:tc>
                <w:tcPr>
                  <w:tcW w:w="1275" w:type="dxa"/>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rPr>
                      <w:szCs w:val="21"/>
                    </w:rPr>
                  </w:pPr>
                </w:p>
              </w:tc>
              <w:tc>
                <w:tcPr>
                  <w:tcW w:w="1105" w:type="dxa"/>
                  <w:tcBorders>
                    <w:top w:val="single" w:color="auto" w:sz="4" w:space="0"/>
                    <w:left w:val="single" w:color="auto" w:sz="4" w:space="0"/>
                    <w:bottom w:val="single" w:color="auto" w:sz="12" w:space="0"/>
                  </w:tcBorders>
                  <w:vAlign w:val="center"/>
                </w:tcPr>
                <w:p>
                  <w:pPr>
                    <w:widowControl/>
                    <w:adjustRightInd w:val="0"/>
                    <w:snapToGrid w:val="0"/>
                    <w:jc w:val="center"/>
                    <w:rPr>
                      <w:szCs w:val="21"/>
                    </w:rPr>
                  </w:pPr>
                  <w:r>
                    <w:rPr>
                      <w:rFonts w:hint="eastAsia"/>
                      <w:szCs w:val="21"/>
                    </w:rPr>
                    <w:t>达标</w:t>
                  </w:r>
                </w:p>
              </w:tc>
            </w:tr>
          </w:tbl>
          <w:p>
            <w:pPr>
              <w:tabs>
                <w:tab w:val="right" w:pos="7554"/>
              </w:tabs>
              <w:adjustRightInd w:val="0"/>
              <w:snapToGrid w:val="0"/>
              <w:spacing w:beforeLines="50" w:line="360" w:lineRule="auto"/>
              <w:jc w:val="center"/>
              <w:rPr>
                <w:sz w:val="24"/>
                <w:szCs w:val="32"/>
              </w:rPr>
            </w:pPr>
            <w:r>
              <w:drawing>
                <wp:anchor distT="0" distB="0" distL="114300" distR="114300" simplePos="0" relativeHeight="251664384" behindDoc="0" locked="0" layoutInCell="1" allowOverlap="1">
                  <wp:simplePos x="0" y="0"/>
                  <wp:positionH relativeFrom="column">
                    <wp:posOffset>4663440</wp:posOffset>
                  </wp:positionH>
                  <wp:positionV relativeFrom="paragraph">
                    <wp:posOffset>95885</wp:posOffset>
                  </wp:positionV>
                  <wp:extent cx="584835" cy="895985"/>
                  <wp:effectExtent l="0" t="0" r="5715" b="18415"/>
                  <wp:wrapNone/>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33"/>
                          <a:stretch>
                            <a:fillRect/>
                          </a:stretch>
                        </pic:blipFill>
                        <pic:spPr>
                          <a:xfrm>
                            <a:off x="0" y="0"/>
                            <a:ext cx="584835" cy="895985"/>
                          </a:xfrm>
                          <a:prstGeom prst="rect">
                            <a:avLst/>
                          </a:prstGeom>
                          <a:noFill/>
                          <a:ln>
                            <a:noFill/>
                          </a:ln>
                        </pic:spPr>
                      </pic:pic>
                    </a:graphicData>
                  </a:graphic>
                </wp:anchor>
              </w:drawing>
            </w:r>
            <w:r>
              <w:object>
                <v:shape id="_x0000_i1036" o:spt="75" type="#_x0000_t75" style="height:249.75pt;width:407.25pt;" o:ole="t" filled="f" o:preferrelative="t" stroked="f" coordsize="21600,21600">
                  <v:path/>
                  <v:fill on="f" focussize="0,0"/>
                  <v:stroke on="f" joinstyle="miter"/>
                  <v:imagedata r:id="rId35" o:title=""/>
                  <o:lock v:ext="edit" aspectratio="f"/>
                  <w10:wrap type="none"/>
                  <w10:anchorlock/>
                </v:shape>
                <o:OLEObject Type="Embed" ProgID="Visio.Drawing.11" ShapeID="_x0000_i1036" DrawAspect="Content" ObjectID="_1468075736" r:id="rId34">
                  <o:LockedField>false</o:LockedField>
                </o:OLEObject>
              </w:object>
            </w:r>
          </w:p>
          <w:p>
            <w:pPr>
              <w:spacing w:afterLines="50"/>
              <w:jc w:val="center"/>
              <w:rPr>
                <w:rFonts w:eastAsia="黑体"/>
                <w:sz w:val="24"/>
              </w:rPr>
            </w:pPr>
            <w:r>
              <w:rPr>
                <w:rFonts w:hint="eastAsia" w:eastAsia="黑体"/>
                <w:sz w:val="24"/>
              </w:rPr>
              <w:t>图</w:t>
            </w:r>
            <w:r>
              <w:rPr>
                <w:rFonts w:eastAsia="黑体"/>
                <w:sz w:val="24"/>
              </w:rPr>
              <w:t xml:space="preserve">3.1-2  </w:t>
            </w:r>
            <w:r>
              <w:rPr>
                <w:rFonts w:hint="eastAsia" w:eastAsia="黑体"/>
                <w:sz w:val="24"/>
              </w:rPr>
              <w:t>项目大气监测点位图</w:t>
            </w:r>
          </w:p>
          <w:p>
            <w:pPr>
              <w:tabs>
                <w:tab w:val="right" w:pos="7554"/>
              </w:tabs>
              <w:adjustRightInd w:val="0"/>
              <w:snapToGrid w:val="0"/>
              <w:spacing w:line="360" w:lineRule="auto"/>
              <w:ind w:firstLine="480" w:firstLineChars="200"/>
              <w:jc w:val="left"/>
              <w:rPr>
                <w:sz w:val="24"/>
                <w:szCs w:val="32"/>
              </w:rPr>
            </w:pPr>
            <w:r>
              <w:rPr>
                <w:rFonts w:hint="eastAsia"/>
                <w:sz w:val="24"/>
                <w:szCs w:val="32"/>
              </w:rPr>
              <w:t>由上表可知，项目所在区域特征因子</w:t>
            </w:r>
            <w:r>
              <w:rPr>
                <w:sz w:val="24"/>
                <w:szCs w:val="32"/>
              </w:rPr>
              <w:t>TSP</w:t>
            </w:r>
            <w:r>
              <w:rPr>
                <w:rFonts w:hint="eastAsia"/>
                <w:sz w:val="24"/>
                <w:szCs w:val="32"/>
              </w:rPr>
              <w:t>符合《环境空气质量标准》（</w:t>
            </w:r>
            <w:r>
              <w:rPr>
                <w:sz w:val="24"/>
                <w:szCs w:val="32"/>
              </w:rPr>
              <w:t>GB3095-2012</w:t>
            </w:r>
            <w:r>
              <w:rPr>
                <w:rFonts w:hint="eastAsia"/>
                <w:sz w:val="24"/>
                <w:szCs w:val="32"/>
              </w:rPr>
              <w:t>）中的二级标准要求。</w:t>
            </w:r>
          </w:p>
          <w:p>
            <w:pPr>
              <w:pStyle w:val="83"/>
              <w:adjustRightInd/>
              <w:snapToGrid/>
              <w:rPr>
                <w:color w:val="auto"/>
                <w:sz w:val="28"/>
              </w:rPr>
            </w:pPr>
            <w:r>
              <w:rPr>
                <w:color w:val="auto"/>
                <w:sz w:val="28"/>
              </w:rPr>
              <w:t>3.1.3</w:t>
            </w:r>
            <w:r>
              <w:rPr>
                <w:rFonts w:hint="eastAsia"/>
                <w:color w:val="auto"/>
                <w:sz w:val="28"/>
              </w:rPr>
              <w:t>声环境质量现状</w:t>
            </w:r>
          </w:p>
          <w:p>
            <w:pPr>
              <w:pStyle w:val="99"/>
              <w:adjustRightInd/>
              <w:snapToGrid/>
              <w:ind w:firstLine="31680"/>
              <w:rPr>
                <w:color w:val="auto"/>
                <w:kern w:val="0"/>
              </w:rPr>
            </w:pPr>
            <w:r>
              <w:rPr>
                <w:rFonts w:hint="eastAsia"/>
                <w:color w:val="auto"/>
                <w:kern w:val="0"/>
              </w:rPr>
              <w:t>根据《建设项目环境影响报告表编制技术指南（污染影响类）》（试行）中表明：厂界外周边</w:t>
            </w:r>
            <w:r>
              <w:rPr>
                <w:color w:val="auto"/>
                <w:kern w:val="0"/>
              </w:rPr>
              <w:t>50</w:t>
            </w:r>
            <w:r>
              <w:rPr>
                <w:rFonts w:hint="eastAsia"/>
                <w:color w:val="auto"/>
                <w:kern w:val="0"/>
              </w:rPr>
              <w:t>米范围内存在声环境保护目标的建设项目，应监测保护目标声环境质量现状并评价达标情况。各点位应监测昼夜间噪声，监测时间不少于</w:t>
            </w:r>
            <w:r>
              <w:rPr>
                <w:color w:val="auto"/>
                <w:kern w:val="0"/>
              </w:rPr>
              <w:t>1</w:t>
            </w:r>
            <w:r>
              <w:rPr>
                <w:rFonts w:hint="eastAsia"/>
                <w:color w:val="auto"/>
                <w:kern w:val="0"/>
              </w:rPr>
              <w:t>天，项目夜间不生产则仅监测昼间噪声。本项目</w:t>
            </w:r>
            <w:r>
              <w:rPr>
                <w:color w:val="auto"/>
                <w:kern w:val="0"/>
              </w:rPr>
              <w:t>50m</w:t>
            </w:r>
            <w:r>
              <w:rPr>
                <w:rFonts w:hint="eastAsia"/>
                <w:color w:val="auto"/>
                <w:kern w:val="0"/>
              </w:rPr>
              <w:t>范围内无声环境保护目标，故本评价不进行声环境质量现状调查。</w:t>
            </w:r>
          </w:p>
          <w:p>
            <w:pPr>
              <w:pStyle w:val="83"/>
              <w:adjustRightInd/>
              <w:snapToGrid/>
              <w:rPr>
                <w:color w:val="auto"/>
                <w:sz w:val="28"/>
              </w:rPr>
            </w:pPr>
            <w:r>
              <w:rPr>
                <w:color w:val="auto"/>
                <w:sz w:val="28"/>
              </w:rPr>
              <w:t>3.1.4</w:t>
            </w:r>
            <w:r>
              <w:rPr>
                <w:rFonts w:hint="eastAsia"/>
                <w:color w:val="auto"/>
                <w:sz w:val="28"/>
              </w:rPr>
              <w:t>地下水、土壤现状评价说明</w:t>
            </w:r>
          </w:p>
          <w:p>
            <w:pPr>
              <w:pStyle w:val="195"/>
              <w:ind w:firstLine="31680"/>
              <w:rPr>
                <w:color w:val="auto"/>
              </w:rPr>
            </w:pPr>
            <w:r>
              <w:rPr>
                <w:rFonts w:hint="eastAsia"/>
                <w:color w:val="auto"/>
              </w:rPr>
              <w:t>根据《建设项目环境影响报告表编制技术指南（污染影响类）》（试行）中表明：原则上不开展地下水、土壤环境质量现状调查。</w:t>
            </w:r>
            <w:r>
              <w:rPr>
                <w:rFonts w:hint="eastAsia" w:cs="宋体"/>
                <w:color w:val="auto"/>
              </w:rPr>
              <w:t>本项</w:t>
            </w:r>
            <w:r>
              <w:rPr>
                <w:rFonts w:hint="eastAsia"/>
                <w:color w:val="auto"/>
              </w:rPr>
              <w:t>目位于永安市曹远镇坑边路（北部工业新城鑫华港饲料东侧），</w:t>
            </w:r>
            <w:r>
              <w:rPr>
                <w:rFonts w:hint="eastAsia"/>
                <w:color w:val="auto"/>
                <w:szCs w:val="24"/>
              </w:rPr>
              <w:t>项目建成后雨污分流，生产区域地面水泥硬化，洗车池污水处理设施采取防渗措施。项目生产过程</w:t>
            </w:r>
            <w:r>
              <w:rPr>
                <w:rFonts w:hint="eastAsia" w:cs="宋体"/>
                <w:color w:val="auto"/>
              </w:rPr>
              <w:t>未使用危险化学品，</w:t>
            </w:r>
            <w:r>
              <w:rPr>
                <w:rFonts w:hint="eastAsia"/>
                <w:color w:val="auto"/>
                <w:szCs w:val="24"/>
              </w:rPr>
              <w:t>不存在地下水、土壤污染途径</w:t>
            </w:r>
            <w:r>
              <w:rPr>
                <w:rFonts w:hint="eastAsia" w:cs="宋体"/>
                <w:color w:val="auto"/>
              </w:rPr>
              <w:t>，</w:t>
            </w:r>
            <w:r>
              <w:rPr>
                <w:rFonts w:hint="eastAsia"/>
                <w:color w:val="auto"/>
              </w:rPr>
              <w:t>且项目厂界外</w:t>
            </w:r>
            <w:r>
              <w:rPr>
                <w:color w:val="auto"/>
              </w:rPr>
              <w:t>500m</w:t>
            </w:r>
            <w:r>
              <w:rPr>
                <w:rFonts w:hint="eastAsia"/>
                <w:color w:val="auto"/>
              </w:rPr>
              <w:t>范围内无地下水集中式饮用水水源和热水、矿泉水、泉水等特殊地下水资源</w:t>
            </w:r>
            <w:r>
              <w:rPr>
                <w:rFonts w:hint="eastAsia" w:cs="宋体"/>
                <w:color w:val="auto"/>
              </w:rPr>
              <w:t>，因此可不开展环境质量现状调查。</w:t>
            </w:r>
          </w:p>
          <w:p>
            <w:pPr>
              <w:pStyle w:val="83"/>
              <w:adjustRightInd/>
              <w:snapToGrid/>
              <w:rPr>
                <w:color w:val="auto"/>
                <w:sz w:val="28"/>
              </w:rPr>
            </w:pPr>
            <w:r>
              <w:rPr>
                <w:color w:val="auto"/>
                <w:sz w:val="28"/>
              </w:rPr>
              <w:t>3.1.5</w:t>
            </w:r>
            <w:r>
              <w:rPr>
                <w:rFonts w:hint="eastAsia"/>
                <w:color w:val="auto"/>
                <w:sz w:val="28"/>
              </w:rPr>
              <w:t>生态环境质量现状</w:t>
            </w:r>
          </w:p>
          <w:p>
            <w:pPr>
              <w:pStyle w:val="195"/>
              <w:ind w:firstLine="31680"/>
              <w:rPr>
                <w:color w:val="auto"/>
              </w:rPr>
            </w:pPr>
            <w:r>
              <w:rPr>
                <w:rFonts w:hint="eastAsia"/>
                <w:color w:val="auto"/>
              </w:rPr>
              <w:t>项目位于福建省三明市永安市曹远镇坑边路（北部工业新城鑫华港饲料东侧）（</w:t>
            </w:r>
            <w:r>
              <w:rPr>
                <w:rFonts w:hint="eastAsia"/>
                <w:color w:val="auto"/>
                <w:spacing w:val="-3"/>
                <w:szCs w:val="24"/>
              </w:rPr>
              <w:t>永安北部工业新城（三期）</w:t>
            </w:r>
            <w:r>
              <w:rPr>
                <w:rFonts w:hint="eastAsia"/>
                <w:color w:val="auto"/>
              </w:rPr>
              <w:t>），项目周边没有生态保护目标，因此项目不对生态现状进行评价。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6" w:type="dxa"/>
            <w:vAlign w:val="center"/>
          </w:tcPr>
          <w:p>
            <w:pPr>
              <w:jc w:val="center"/>
              <w:rPr>
                <w:kern w:val="0"/>
                <w:szCs w:val="21"/>
              </w:rPr>
            </w:pPr>
            <w:r>
              <w:rPr>
                <w:rFonts w:hint="eastAsia"/>
                <w:kern w:val="0"/>
                <w:szCs w:val="21"/>
              </w:rPr>
              <w:t>环境</w:t>
            </w:r>
          </w:p>
          <w:p>
            <w:pPr>
              <w:jc w:val="center"/>
              <w:rPr>
                <w:kern w:val="0"/>
                <w:szCs w:val="21"/>
              </w:rPr>
            </w:pPr>
            <w:r>
              <w:rPr>
                <w:rFonts w:hint="eastAsia"/>
                <w:kern w:val="0"/>
                <w:szCs w:val="21"/>
              </w:rPr>
              <w:t>保护</w:t>
            </w:r>
          </w:p>
          <w:p>
            <w:pPr>
              <w:jc w:val="center"/>
              <w:rPr>
                <w:kern w:val="0"/>
                <w:szCs w:val="21"/>
              </w:rPr>
            </w:pPr>
            <w:r>
              <w:rPr>
                <w:rFonts w:hint="eastAsia"/>
                <w:kern w:val="0"/>
                <w:szCs w:val="21"/>
              </w:rPr>
              <w:t>目标</w:t>
            </w:r>
          </w:p>
        </w:tc>
        <w:tc>
          <w:tcPr>
            <w:tcW w:w="8665" w:type="dxa"/>
            <w:vAlign w:val="center"/>
          </w:tcPr>
          <w:p>
            <w:pPr>
              <w:pStyle w:val="83"/>
              <w:adjustRightInd/>
              <w:snapToGrid/>
              <w:rPr>
                <w:color w:val="auto"/>
              </w:rPr>
            </w:pPr>
            <w:r>
              <w:rPr>
                <w:color w:val="auto"/>
              </w:rPr>
              <w:t>3.2</w:t>
            </w:r>
            <w:r>
              <w:rPr>
                <w:rFonts w:hint="eastAsia"/>
                <w:color w:val="auto"/>
              </w:rPr>
              <w:t>环境保护目标</w:t>
            </w:r>
          </w:p>
          <w:p>
            <w:pPr>
              <w:pStyle w:val="85"/>
              <w:adjustRightInd/>
              <w:snapToGrid/>
              <w:rPr>
                <w:color w:val="auto"/>
              </w:rPr>
            </w:pPr>
            <w:r>
              <w:rPr>
                <w:rFonts w:hint="eastAsia"/>
                <w:color w:val="auto"/>
              </w:rPr>
              <w:t>表</w:t>
            </w:r>
            <w:r>
              <w:rPr>
                <w:color w:val="auto"/>
              </w:rPr>
              <w:t xml:space="preserve">3.2-1  </w:t>
            </w:r>
            <w:r>
              <w:rPr>
                <w:rFonts w:hint="eastAsia"/>
                <w:color w:val="auto"/>
              </w:rPr>
              <w:t>环境保护目标一览表</w:t>
            </w:r>
          </w:p>
          <w:tbl>
            <w:tblPr>
              <w:tblStyle w:val="27"/>
              <w:tblW w:w="85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1080"/>
              <w:gridCol w:w="1226"/>
              <w:gridCol w:w="832"/>
              <w:gridCol w:w="1913"/>
              <w:gridCol w:w="21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1330" w:type="dxa"/>
                  <w:tcBorders>
                    <w:top w:val="single" w:color="auto" w:sz="12" w:space="0"/>
                    <w:bottom w:val="single" w:color="auto" w:sz="4" w:space="0"/>
                    <w:right w:val="single" w:color="auto" w:sz="4" w:space="0"/>
                  </w:tcBorders>
                  <w:vAlign w:val="center"/>
                </w:tcPr>
                <w:p>
                  <w:pPr>
                    <w:pStyle w:val="103"/>
                    <w:adjustRightInd/>
                    <w:snapToGrid/>
                  </w:pPr>
                  <w:r>
                    <w:rPr>
                      <w:rFonts w:hint="eastAsia"/>
                    </w:rPr>
                    <w:t>环境要素</w:t>
                  </w:r>
                </w:p>
              </w:tc>
              <w:tc>
                <w:tcPr>
                  <w:tcW w:w="1080" w:type="dxa"/>
                  <w:tcBorders>
                    <w:top w:val="single" w:color="auto" w:sz="12" w:space="0"/>
                    <w:left w:val="single" w:color="auto" w:sz="4" w:space="0"/>
                    <w:bottom w:val="single" w:color="auto" w:sz="4" w:space="0"/>
                    <w:right w:val="single" w:color="auto" w:sz="4" w:space="0"/>
                  </w:tcBorders>
                  <w:vAlign w:val="center"/>
                </w:tcPr>
                <w:p>
                  <w:pPr>
                    <w:pStyle w:val="103"/>
                    <w:adjustRightInd/>
                    <w:snapToGrid/>
                  </w:pPr>
                  <w:r>
                    <w:rPr>
                      <w:rFonts w:hint="eastAsia"/>
                    </w:rPr>
                    <w:t>保护目标</w:t>
                  </w:r>
                </w:p>
              </w:tc>
              <w:tc>
                <w:tcPr>
                  <w:tcW w:w="1226" w:type="dxa"/>
                  <w:tcBorders>
                    <w:top w:val="single" w:color="auto" w:sz="12" w:space="0"/>
                    <w:left w:val="single" w:color="auto" w:sz="4" w:space="0"/>
                    <w:bottom w:val="single" w:color="auto" w:sz="4" w:space="0"/>
                    <w:right w:val="single" w:color="auto" w:sz="4" w:space="0"/>
                  </w:tcBorders>
                  <w:vAlign w:val="center"/>
                </w:tcPr>
                <w:p>
                  <w:pPr>
                    <w:pStyle w:val="103"/>
                    <w:adjustRightInd/>
                    <w:snapToGrid/>
                  </w:pPr>
                  <w:r>
                    <w:rPr>
                      <w:rFonts w:hint="eastAsia"/>
                    </w:rPr>
                    <w:t>方位</w:t>
                  </w:r>
                </w:p>
              </w:tc>
              <w:tc>
                <w:tcPr>
                  <w:tcW w:w="832" w:type="dxa"/>
                  <w:tcBorders>
                    <w:top w:val="single" w:color="auto" w:sz="12" w:space="0"/>
                    <w:left w:val="single" w:color="auto" w:sz="4" w:space="0"/>
                    <w:bottom w:val="single" w:color="auto" w:sz="4" w:space="0"/>
                    <w:right w:val="single" w:color="auto" w:sz="4" w:space="0"/>
                  </w:tcBorders>
                  <w:vAlign w:val="center"/>
                </w:tcPr>
                <w:p>
                  <w:pPr>
                    <w:pStyle w:val="103"/>
                    <w:adjustRightInd/>
                    <w:snapToGrid/>
                  </w:pPr>
                  <w:r>
                    <w:rPr>
                      <w:rFonts w:hint="eastAsia"/>
                    </w:rPr>
                    <w:t>距离</w:t>
                  </w:r>
                </w:p>
              </w:tc>
              <w:tc>
                <w:tcPr>
                  <w:tcW w:w="1913" w:type="dxa"/>
                  <w:tcBorders>
                    <w:top w:val="single" w:color="auto" w:sz="12" w:space="0"/>
                    <w:left w:val="single" w:color="auto" w:sz="4" w:space="0"/>
                    <w:bottom w:val="single" w:color="auto" w:sz="4" w:space="0"/>
                    <w:right w:val="single" w:color="auto" w:sz="4" w:space="0"/>
                  </w:tcBorders>
                  <w:vAlign w:val="center"/>
                </w:tcPr>
                <w:p>
                  <w:pPr>
                    <w:pStyle w:val="103"/>
                    <w:adjustRightInd/>
                    <w:snapToGrid/>
                  </w:pPr>
                  <w:r>
                    <w:rPr>
                      <w:rFonts w:hint="eastAsia"/>
                    </w:rPr>
                    <w:t>功能及规模</w:t>
                  </w:r>
                </w:p>
              </w:tc>
              <w:tc>
                <w:tcPr>
                  <w:tcW w:w="2141" w:type="dxa"/>
                  <w:tcBorders>
                    <w:top w:val="single" w:color="auto" w:sz="12" w:space="0"/>
                    <w:left w:val="single" w:color="auto" w:sz="4" w:space="0"/>
                    <w:bottom w:val="single" w:color="auto" w:sz="4" w:space="0"/>
                  </w:tcBorders>
                  <w:vAlign w:val="center"/>
                </w:tcPr>
                <w:p>
                  <w:pPr>
                    <w:pStyle w:val="103"/>
                    <w:adjustRightInd/>
                    <w:snapToGrid/>
                  </w:pPr>
                  <w:r>
                    <w:rPr>
                      <w:rFonts w:hint="eastAsia"/>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1330" w:type="dxa"/>
                  <w:tcBorders>
                    <w:top w:val="single" w:color="auto" w:sz="4" w:space="0"/>
                    <w:bottom w:val="single" w:color="auto" w:sz="4" w:space="0"/>
                    <w:right w:val="single" w:color="auto" w:sz="4" w:space="0"/>
                  </w:tcBorders>
                  <w:vAlign w:val="center"/>
                </w:tcPr>
                <w:p>
                  <w:pPr>
                    <w:pStyle w:val="103"/>
                    <w:adjustRightInd/>
                    <w:snapToGrid/>
                  </w:pPr>
                  <w:r>
                    <w:rPr>
                      <w:rFonts w:hint="eastAsia"/>
                    </w:rPr>
                    <w:t>大气环境</w:t>
                  </w:r>
                </w:p>
              </w:tc>
              <w:tc>
                <w:tcPr>
                  <w:tcW w:w="5051" w:type="dxa"/>
                  <w:gridSpan w:val="4"/>
                  <w:tcBorders>
                    <w:top w:val="single" w:color="auto" w:sz="4" w:space="0"/>
                    <w:left w:val="single" w:color="auto" w:sz="4" w:space="0"/>
                    <w:bottom w:val="single" w:color="auto" w:sz="4" w:space="0"/>
                    <w:right w:val="single" w:color="auto" w:sz="4" w:space="0"/>
                  </w:tcBorders>
                  <w:vAlign w:val="center"/>
                </w:tcPr>
                <w:p>
                  <w:pPr>
                    <w:pStyle w:val="103"/>
                    <w:adjustRightInd/>
                    <w:snapToGrid/>
                  </w:pPr>
                  <w:r>
                    <w:rPr>
                      <w:rFonts w:hint="eastAsia"/>
                    </w:rPr>
                    <w:t>厂界外</w:t>
                  </w:r>
                  <w:r>
                    <w:t>500</w:t>
                  </w:r>
                  <w:r>
                    <w:rPr>
                      <w:rFonts w:hint="eastAsia"/>
                    </w:rPr>
                    <w:t>米范围内无自然保护区、风景名胜区、居住区、文化区和农村地区中人群较集中的区域等保护目标</w:t>
                  </w:r>
                </w:p>
              </w:tc>
              <w:tc>
                <w:tcPr>
                  <w:tcW w:w="2141" w:type="dxa"/>
                  <w:tcBorders>
                    <w:top w:val="single" w:color="auto" w:sz="4" w:space="0"/>
                    <w:left w:val="single" w:color="auto" w:sz="4" w:space="0"/>
                    <w:bottom w:val="single" w:color="auto" w:sz="4" w:space="0"/>
                  </w:tcBorders>
                  <w:vAlign w:val="center"/>
                </w:tcPr>
                <w:p>
                  <w:pPr>
                    <w:pStyle w:val="103"/>
                    <w:adjustRightInd/>
                    <w:snapToGrid/>
                  </w:pPr>
                  <w:r>
                    <w:rPr>
                      <w:rFonts w:hint="eastAsia"/>
                    </w:rPr>
                    <w:t>《环境空气质量标准》（</w:t>
                  </w:r>
                  <w:r>
                    <w:t>GB3095-2012</w:t>
                  </w:r>
                  <w:r>
                    <w:rPr>
                      <w:rFonts w:hint="eastAsia"/>
                    </w:rPr>
                    <w:t>）二级标准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330" w:type="dxa"/>
                  <w:tcBorders>
                    <w:top w:val="single" w:color="auto" w:sz="4" w:space="0"/>
                    <w:bottom w:val="single" w:color="auto" w:sz="4" w:space="0"/>
                    <w:right w:val="single" w:color="auto" w:sz="4" w:space="0"/>
                  </w:tcBorders>
                  <w:vAlign w:val="center"/>
                </w:tcPr>
                <w:p>
                  <w:pPr>
                    <w:pStyle w:val="103"/>
                    <w:adjustRightInd/>
                    <w:snapToGrid/>
                  </w:pPr>
                  <w:r>
                    <w:rPr>
                      <w:rFonts w:hint="eastAsia"/>
                    </w:rPr>
                    <w:t>声环境</w:t>
                  </w:r>
                </w:p>
              </w:tc>
              <w:tc>
                <w:tcPr>
                  <w:tcW w:w="5051" w:type="dxa"/>
                  <w:gridSpan w:val="4"/>
                  <w:tcBorders>
                    <w:top w:val="single" w:color="auto" w:sz="4" w:space="0"/>
                    <w:left w:val="single" w:color="auto" w:sz="4" w:space="0"/>
                    <w:bottom w:val="single" w:color="auto" w:sz="4" w:space="0"/>
                    <w:right w:val="single" w:color="auto" w:sz="4" w:space="0"/>
                  </w:tcBorders>
                  <w:vAlign w:val="center"/>
                </w:tcPr>
                <w:p>
                  <w:pPr>
                    <w:pStyle w:val="103"/>
                    <w:adjustRightInd/>
                    <w:snapToGrid/>
                  </w:pPr>
                  <w:r>
                    <w:rPr>
                      <w:rFonts w:hint="eastAsia"/>
                    </w:rPr>
                    <w:t>厂界外</w:t>
                  </w:r>
                  <w:r>
                    <w:t>50</w:t>
                  </w:r>
                  <w:r>
                    <w:rPr>
                      <w:rFonts w:hint="eastAsia"/>
                    </w:rPr>
                    <w:t>米范围内无声环境保护目标</w:t>
                  </w:r>
                </w:p>
              </w:tc>
              <w:tc>
                <w:tcPr>
                  <w:tcW w:w="2141" w:type="dxa"/>
                  <w:tcBorders>
                    <w:top w:val="single" w:color="auto" w:sz="4" w:space="0"/>
                    <w:left w:val="single" w:color="auto" w:sz="4" w:space="0"/>
                    <w:bottom w:val="single" w:color="auto" w:sz="4" w:space="0"/>
                  </w:tcBorders>
                  <w:vAlign w:val="center"/>
                </w:tcPr>
                <w:p>
                  <w:pPr>
                    <w:pStyle w:val="103"/>
                    <w:adjustRightInd/>
                    <w:snapToGrid/>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330" w:type="dxa"/>
                  <w:tcBorders>
                    <w:top w:val="single" w:color="auto" w:sz="4" w:space="0"/>
                    <w:bottom w:val="single" w:color="auto" w:sz="4" w:space="0"/>
                    <w:right w:val="single" w:color="auto" w:sz="4" w:space="0"/>
                  </w:tcBorders>
                  <w:vAlign w:val="center"/>
                </w:tcPr>
                <w:p>
                  <w:pPr>
                    <w:pStyle w:val="103"/>
                    <w:adjustRightInd/>
                    <w:snapToGrid/>
                  </w:pPr>
                  <w:r>
                    <w:rPr>
                      <w:rFonts w:hint="eastAsia"/>
                    </w:rPr>
                    <w:t>地表水环境</w:t>
                  </w:r>
                </w:p>
              </w:tc>
              <w:tc>
                <w:tcPr>
                  <w:tcW w:w="5051" w:type="dxa"/>
                  <w:gridSpan w:val="4"/>
                  <w:tcBorders>
                    <w:top w:val="single" w:color="auto" w:sz="4" w:space="0"/>
                    <w:left w:val="single" w:color="auto" w:sz="4" w:space="0"/>
                    <w:bottom w:val="single" w:color="auto" w:sz="4" w:space="0"/>
                    <w:right w:val="single" w:color="auto" w:sz="4" w:space="0"/>
                  </w:tcBorders>
                  <w:vAlign w:val="center"/>
                </w:tcPr>
                <w:p>
                  <w:pPr>
                    <w:pStyle w:val="103"/>
                    <w:adjustRightInd/>
                    <w:snapToGrid/>
                  </w:pPr>
                  <w:r>
                    <w:rPr>
                      <w:rFonts w:hint="eastAsia"/>
                    </w:rPr>
                    <w:t>无生产废水，生活污水进入尼葛污水处理厂后排入沙溪</w:t>
                  </w:r>
                </w:p>
              </w:tc>
              <w:tc>
                <w:tcPr>
                  <w:tcW w:w="2141" w:type="dxa"/>
                  <w:tcBorders>
                    <w:top w:val="single" w:color="auto" w:sz="4" w:space="0"/>
                    <w:left w:val="single" w:color="auto" w:sz="4" w:space="0"/>
                    <w:bottom w:val="single" w:color="auto" w:sz="4" w:space="0"/>
                  </w:tcBorders>
                  <w:vAlign w:val="center"/>
                </w:tcPr>
                <w:p>
                  <w:pPr>
                    <w:pStyle w:val="103"/>
                    <w:adjustRightInd/>
                    <w:snapToGrid/>
                  </w:pPr>
                  <w:r>
                    <w:rPr>
                      <w:rFonts w:hint="eastAsia"/>
                    </w:rPr>
                    <w:t>《地表水环境质量标准》（</w:t>
                  </w:r>
                  <w:r>
                    <w:t>GB3838-2002</w:t>
                  </w:r>
                  <w:r>
                    <w:rPr>
                      <w:rFonts w:hint="eastAsia"/>
                    </w:rPr>
                    <w:t>）中</w:t>
                  </w:r>
                  <w:r>
                    <w:t>III</w:t>
                  </w:r>
                  <w:r>
                    <w:rPr>
                      <w:rFonts w:hint="eastAsia"/>
                    </w:rPr>
                    <w:t>类水质标准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330" w:type="dxa"/>
                  <w:tcBorders>
                    <w:top w:val="single" w:color="auto" w:sz="4" w:space="0"/>
                    <w:bottom w:val="single" w:color="auto" w:sz="4" w:space="0"/>
                    <w:right w:val="single" w:color="auto" w:sz="4" w:space="0"/>
                  </w:tcBorders>
                  <w:vAlign w:val="center"/>
                </w:tcPr>
                <w:p>
                  <w:pPr>
                    <w:pStyle w:val="103"/>
                    <w:adjustRightInd/>
                    <w:snapToGrid/>
                  </w:pPr>
                  <w:r>
                    <w:rPr>
                      <w:rFonts w:hint="eastAsia"/>
                    </w:rPr>
                    <w:t>地下水环境</w:t>
                  </w:r>
                </w:p>
              </w:tc>
              <w:tc>
                <w:tcPr>
                  <w:tcW w:w="5051" w:type="dxa"/>
                  <w:gridSpan w:val="4"/>
                  <w:tcBorders>
                    <w:top w:val="single" w:color="auto" w:sz="4" w:space="0"/>
                    <w:left w:val="single" w:color="auto" w:sz="4" w:space="0"/>
                    <w:bottom w:val="single" w:color="auto" w:sz="4" w:space="0"/>
                    <w:right w:val="single" w:color="auto" w:sz="4" w:space="0"/>
                  </w:tcBorders>
                  <w:vAlign w:val="center"/>
                </w:tcPr>
                <w:p>
                  <w:pPr>
                    <w:pStyle w:val="103"/>
                    <w:adjustRightInd/>
                    <w:snapToGrid/>
                  </w:pPr>
                  <w:r>
                    <w:rPr>
                      <w:rFonts w:hint="eastAsia"/>
                    </w:rPr>
                    <w:t>厂界外</w:t>
                  </w:r>
                  <w:r>
                    <w:t>500</w:t>
                  </w:r>
                  <w:r>
                    <w:rPr>
                      <w:rFonts w:hint="eastAsia"/>
                    </w:rPr>
                    <w:t>米范围内无地下水集中式饮用水水源和热水、矿泉水、泉水等特殊地下水资源</w:t>
                  </w:r>
                </w:p>
              </w:tc>
              <w:tc>
                <w:tcPr>
                  <w:tcW w:w="2141" w:type="dxa"/>
                  <w:tcBorders>
                    <w:top w:val="single" w:color="auto" w:sz="4" w:space="0"/>
                    <w:left w:val="single" w:color="auto" w:sz="4" w:space="0"/>
                    <w:bottom w:val="single" w:color="auto" w:sz="4" w:space="0"/>
                  </w:tcBorders>
                  <w:vAlign w:val="center"/>
                </w:tcPr>
                <w:p>
                  <w:pPr>
                    <w:pStyle w:val="103"/>
                    <w:adjustRightInd/>
                    <w:snapToGrid/>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6" w:hRule="atLeast"/>
                <w:jc w:val="center"/>
              </w:trPr>
              <w:tc>
                <w:tcPr>
                  <w:tcW w:w="1330" w:type="dxa"/>
                  <w:tcBorders>
                    <w:top w:val="single" w:color="auto" w:sz="4" w:space="0"/>
                    <w:bottom w:val="single" w:color="auto" w:sz="12" w:space="0"/>
                    <w:right w:val="single" w:color="auto" w:sz="4" w:space="0"/>
                  </w:tcBorders>
                  <w:vAlign w:val="center"/>
                </w:tcPr>
                <w:p>
                  <w:pPr>
                    <w:pStyle w:val="103"/>
                    <w:adjustRightInd/>
                    <w:snapToGrid/>
                  </w:pPr>
                  <w:r>
                    <w:rPr>
                      <w:rFonts w:hint="eastAsia"/>
                    </w:rPr>
                    <w:t>生态环境</w:t>
                  </w:r>
                </w:p>
              </w:tc>
              <w:tc>
                <w:tcPr>
                  <w:tcW w:w="5051" w:type="dxa"/>
                  <w:gridSpan w:val="4"/>
                  <w:tcBorders>
                    <w:top w:val="single" w:color="auto" w:sz="4" w:space="0"/>
                    <w:left w:val="single" w:color="auto" w:sz="4" w:space="0"/>
                    <w:bottom w:val="single" w:color="auto" w:sz="12" w:space="0"/>
                    <w:right w:val="single" w:color="auto" w:sz="4" w:space="0"/>
                  </w:tcBorders>
                  <w:vAlign w:val="center"/>
                </w:tcPr>
                <w:p>
                  <w:pPr>
                    <w:pStyle w:val="103"/>
                    <w:adjustRightInd/>
                    <w:snapToGrid/>
                  </w:pPr>
                  <w:r>
                    <w:rPr>
                      <w:rFonts w:hint="eastAsia"/>
                    </w:rPr>
                    <w:t>项目位于工业园区内，且项目周边无生态环境保护目标</w:t>
                  </w:r>
                </w:p>
              </w:tc>
              <w:tc>
                <w:tcPr>
                  <w:tcW w:w="2141" w:type="dxa"/>
                  <w:tcBorders>
                    <w:top w:val="single" w:color="auto" w:sz="4" w:space="0"/>
                    <w:left w:val="single" w:color="auto" w:sz="4" w:space="0"/>
                    <w:bottom w:val="single" w:color="auto" w:sz="12" w:space="0"/>
                  </w:tcBorders>
                  <w:vAlign w:val="center"/>
                </w:tcPr>
                <w:p>
                  <w:pPr>
                    <w:pStyle w:val="103"/>
                    <w:adjustRightInd/>
                    <w:snapToGrid/>
                  </w:pPr>
                  <w:r>
                    <w:t>/</w:t>
                  </w:r>
                </w:p>
              </w:tc>
            </w:tr>
          </w:tbl>
          <w:p>
            <w:pPr>
              <w:pStyle w:val="106"/>
              <w:ind w:firstLine="31680"/>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7" w:hRule="atLeast"/>
          <w:jc w:val="center"/>
        </w:trPr>
        <w:tc>
          <w:tcPr>
            <w:tcW w:w="396" w:type="dxa"/>
            <w:tcMar>
              <w:left w:w="28" w:type="dxa"/>
              <w:right w:w="28" w:type="dxa"/>
            </w:tcMar>
            <w:vAlign w:val="center"/>
          </w:tcPr>
          <w:p>
            <w:pPr>
              <w:jc w:val="center"/>
              <w:rPr>
                <w:kern w:val="0"/>
                <w:szCs w:val="21"/>
              </w:rPr>
            </w:pPr>
            <w:r>
              <w:rPr>
                <w:rFonts w:hint="eastAsia"/>
                <w:kern w:val="0"/>
                <w:szCs w:val="21"/>
              </w:rPr>
              <w:t>污染</w:t>
            </w:r>
          </w:p>
          <w:p>
            <w:pPr>
              <w:jc w:val="center"/>
              <w:rPr>
                <w:kern w:val="0"/>
                <w:szCs w:val="21"/>
              </w:rPr>
            </w:pPr>
            <w:r>
              <w:rPr>
                <w:rFonts w:hint="eastAsia"/>
                <w:kern w:val="0"/>
                <w:szCs w:val="21"/>
              </w:rPr>
              <w:t>物排</w:t>
            </w:r>
          </w:p>
          <w:p>
            <w:pPr>
              <w:jc w:val="center"/>
              <w:rPr>
                <w:kern w:val="0"/>
                <w:szCs w:val="21"/>
              </w:rPr>
            </w:pPr>
            <w:r>
              <w:rPr>
                <w:rFonts w:hint="eastAsia"/>
                <w:kern w:val="0"/>
                <w:szCs w:val="21"/>
              </w:rPr>
              <w:t>放控</w:t>
            </w:r>
          </w:p>
          <w:p>
            <w:pPr>
              <w:jc w:val="center"/>
              <w:rPr>
                <w:kern w:val="0"/>
                <w:szCs w:val="21"/>
              </w:rPr>
            </w:pPr>
            <w:r>
              <w:rPr>
                <w:rFonts w:hint="eastAsia"/>
                <w:kern w:val="0"/>
                <w:szCs w:val="21"/>
              </w:rPr>
              <w:t>制标</w:t>
            </w:r>
          </w:p>
          <w:p>
            <w:pPr>
              <w:jc w:val="center"/>
              <w:rPr>
                <w:kern w:val="0"/>
                <w:szCs w:val="21"/>
              </w:rPr>
            </w:pPr>
            <w:r>
              <w:rPr>
                <w:rFonts w:hint="eastAsia"/>
                <w:kern w:val="0"/>
                <w:szCs w:val="21"/>
              </w:rPr>
              <w:t>准</w:t>
            </w:r>
          </w:p>
        </w:tc>
        <w:tc>
          <w:tcPr>
            <w:tcW w:w="8665" w:type="dxa"/>
            <w:vAlign w:val="center"/>
          </w:tcPr>
          <w:p>
            <w:pPr>
              <w:pStyle w:val="83"/>
              <w:adjustRightInd/>
              <w:snapToGrid/>
              <w:rPr>
                <w:color w:val="auto"/>
              </w:rPr>
            </w:pPr>
            <w:r>
              <w:rPr>
                <w:color w:val="auto"/>
              </w:rPr>
              <w:t>3.3</w:t>
            </w:r>
            <w:r>
              <w:rPr>
                <w:rFonts w:hint="eastAsia"/>
                <w:color w:val="auto"/>
              </w:rPr>
              <w:t>污染物排放控制标准</w:t>
            </w:r>
          </w:p>
          <w:p>
            <w:pPr>
              <w:pStyle w:val="83"/>
              <w:adjustRightInd/>
              <w:snapToGrid/>
              <w:rPr>
                <w:color w:val="auto"/>
                <w:sz w:val="28"/>
              </w:rPr>
            </w:pPr>
            <w:r>
              <w:rPr>
                <w:color w:val="auto"/>
                <w:sz w:val="28"/>
              </w:rPr>
              <w:t>3.3.1</w:t>
            </w:r>
            <w:r>
              <w:rPr>
                <w:rFonts w:hint="eastAsia"/>
                <w:color w:val="auto"/>
                <w:sz w:val="28"/>
              </w:rPr>
              <w:t>水污染物排放标准</w:t>
            </w:r>
          </w:p>
          <w:p>
            <w:pPr>
              <w:pStyle w:val="99"/>
              <w:adjustRightInd/>
              <w:snapToGrid/>
              <w:ind w:firstLine="31680"/>
              <w:rPr>
                <w:color w:val="auto"/>
              </w:rPr>
            </w:pPr>
            <w:r>
              <w:rPr>
                <w:rFonts w:hint="eastAsia"/>
                <w:color w:val="auto"/>
              </w:rPr>
              <w:t>本项目施工期废水主要为施工废水和施工人员生活污水，施工废水经过隔油、沉淀池处理后回用施工。运营期无生产废水外排，运营期废水主要为职工生活污水，生活污水经化粪池处理后排入园区污水管网纳入尼葛污水处理厂，排放执行《污水综合排放标准》（</w:t>
            </w:r>
            <w:r>
              <w:rPr>
                <w:color w:val="auto"/>
              </w:rPr>
              <w:t>GB8978-1996</w:t>
            </w:r>
            <w:r>
              <w:rPr>
                <w:rFonts w:hint="eastAsia"/>
                <w:color w:val="auto"/>
              </w:rPr>
              <w:t>）表</w:t>
            </w:r>
            <w:r>
              <w:rPr>
                <w:color w:val="auto"/>
              </w:rPr>
              <w:t>4</w:t>
            </w:r>
            <w:r>
              <w:rPr>
                <w:rFonts w:hint="eastAsia"/>
                <w:color w:val="auto"/>
              </w:rPr>
              <w:t>中三级标准要求（其中</w:t>
            </w:r>
            <w:r>
              <w:rPr>
                <w:color w:val="auto"/>
              </w:rPr>
              <w:t>NH</w:t>
            </w:r>
            <w:r>
              <w:rPr>
                <w:color w:val="auto"/>
                <w:vertAlign w:val="subscript"/>
              </w:rPr>
              <w:t>3</w:t>
            </w:r>
            <w:r>
              <w:rPr>
                <w:color w:val="auto"/>
              </w:rPr>
              <w:t>-N</w:t>
            </w:r>
            <w:r>
              <w:rPr>
                <w:rFonts w:hint="eastAsia"/>
                <w:color w:val="auto"/>
              </w:rPr>
              <w:t>参照执行《污水排入城镇下水道水质标准》（</w:t>
            </w:r>
            <w:r>
              <w:rPr>
                <w:color w:val="auto"/>
              </w:rPr>
              <w:t>GB/T 31962-2015</w:t>
            </w:r>
            <w:r>
              <w:rPr>
                <w:rFonts w:hint="eastAsia"/>
                <w:color w:val="auto"/>
              </w:rPr>
              <w:t>）表</w:t>
            </w:r>
            <w:r>
              <w:rPr>
                <w:color w:val="auto"/>
              </w:rPr>
              <w:t>1</w:t>
            </w:r>
            <w:r>
              <w:rPr>
                <w:rFonts w:hint="eastAsia"/>
                <w:color w:val="auto"/>
              </w:rPr>
              <w:t>中的</w:t>
            </w:r>
            <w:r>
              <w:rPr>
                <w:color w:val="auto"/>
              </w:rPr>
              <w:t>B</w:t>
            </w:r>
            <w:r>
              <w:rPr>
                <w:rFonts w:hint="eastAsia"/>
                <w:color w:val="auto"/>
              </w:rPr>
              <w:t>级标准）。标准值详见表</w:t>
            </w:r>
            <w:r>
              <w:rPr>
                <w:color w:val="auto"/>
              </w:rPr>
              <w:t>3.3-1</w:t>
            </w:r>
            <w:r>
              <w:rPr>
                <w:rFonts w:hint="eastAsia"/>
                <w:color w:val="auto"/>
              </w:rPr>
              <w:t>。</w:t>
            </w:r>
          </w:p>
          <w:p>
            <w:pPr>
              <w:pStyle w:val="85"/>
              <w:adjustRightInd/>
              <w:snapToGrid/>
              <w:rPr>
                <w:color w:val="auto"/>
              </w:rPr>
            </w:pPr>
            <w:r>
              <w:rPr>
                <w:rFonts w:hint="eastAsia"/>
                <w:color w:val="auto"/>
              </w:rPr>
              <w:t>表</w:t>
            </w:r>
            <w:r>
              <w:rPr>
                <w:color w:val="auto"/>
              </w:rPr>
              <w:t xml:space="preserve">3.3-1 </w:t>
            </w:r>
            <w:r>
              <w:rPr>
                <w:rFonts w:hint="eastAsia"/>
                <w:color w:val="auto"/>
              </w:rPr>
              <w:t>项目污水排放执行的标准</w:t>
            </w:r>
            <w:r>
              <w:rPr>
                <w:color w:val="auto"/>
              </w:rPr>
              <w:t xml:space="preserve"> </w:t>
            </w:r>
            <w:r>
              <w:rPr>
                <w:rFonts w:hint="eastAsia"/>
                <w:color w:val="auto"/>
              </w:rPr>
              <w:t>（单位：除</w:t>
            </w:r>
            <w:r>
              <w:rPr>
                <w:color w:val="auto"/>
              </w:rPr>
              <w:t>pH</w:t>
            </w:r>
            <w:r>
              <w:rPr>
                <w:rFonts w:hint="eastAsia"/>
                <w:color w:val="auto"/>
              </w:rPr>
              <w:t>外，其余项为</w:t>
            </w:r>
            <w:r>
              <w:rPr>
                <w:color w:val="auto"/>
              </w:rPr>
              <w:t>mg/L</w:t>
            </w:r>
            <w:r>
              <w:rPr>
                <w:rFonts w:hint="eastAsia"/>
                <w:color w:val="auto"/>
              </w:rPr>
              <w:t>）</w:t>
            </w:r>
          </w:p>
          <w:tbl>
            <w:tblPr>
              <w:tblStyle w:val="27"/>
              <w:tblW w:w="84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699"/>
              <w:gridCol w:w="980"/>
              <w:gridCol w:w="923"/>
              <w:gridCol w:w="1065"/>
              <w:gridCol w:w="886"/>
              <w:gridCol w:w="8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97" w:hRule="atLeast"/>
                <w:jc w:val="center"/>
              </w:trPr>
              <w:tc>
                <w:tcPr>
                  <w:tcW w:w="3699" w:type="dxa"/>
                  <w:vMerge w:val="restart"/>
                  <w:tcBorders>
                    <w:top w:val="single" w:color="auto" w:sz="12" w:space="0"/>
                    <w:bottom w:val="single" w:color="auto" w:sz="6" w:space="0"/>
                    <w:right w:val="single" w:color="auto" w:sz="6" w:space="0"/>
                  </w:tcBorders>
                  <w:vAlign w:val="center"/>
                </w:tcPr>
                <w:p>
                  <w:pPr>
                    <w:pStyle w:val="122"/>
                    <w:adjustRightInd/>
                    <w:snapToGrid/>
                  </w:pPr>
                  <w:r>
                    <w:t>GB8978-1996</w:t>
                  </w:r>
                  <w:r>
                    <w:rPr>
                      <w:rFonts w:hint="eastAsia"/>
                    </w:rPr>
                    <w:t>《污水综合排放标准》中三级标准，</w:t>
                  </w:r>
                  <w:r>
                    <w:t>NH</w:t>
                  </w:r>
                  <w:r>
                    <w:rPr>
                      <w:vertAlign w:val="subscript"/>
                    </w:rPr>
                    <w:t>3</w:t>
                  </w:r>
                  <w:r>
                    <w:t>-N</w:t>
                  </w:r>
                  <w:r>
                    <w:rPr>
                      <w:rFonts w:hint="eastAsia"/>
                    </w:rPr>
                    <w:t>执行</w:t>
                  </w:r>
                  <w:r>
                    <w:rPr>
                      <w:rFonts w:eastAsia="Times New Roman"/>
                    </w:rPr>
                    <w:t>GB/T31962-2015</w:t>
                  </w:r>
                  <w:r>
                    <w:rPr>
                      <w:rFonts w:hint="eastAsia"/>
                    </w:rPr>
                    <w:t>《污水排入城镇下水道水质标准》</w:t>
                  </w:r>
                  <w:r>
                    <w:t>B</w:t>
                  </w:r>
                  <w:r>
                    <w:rPr>
                      <w:rFonts w:hint="eastAsia"/>
                    </w:rPr>
                    <w:t>等级</w:t>
                  </w:r>
                </w:p>
              </w:tc>
              <w:tc>
                <w:tcPr>
                  <w:tcW w:w="980" w:type="dxa"/>
                  <w:tcBorders>
                    <w:top w:val="single" w:color="auto" w:sz="12" w:space="0"/>
                    <w:left w:val="single" w:color="auto" w:sz="6" w:space="0"/>
                    <w:bottom w:val="single" w:color="auto" w:sz="6" w:space="0"/>
                    <w:right w:val="single" w:color="auto" w:sz="6" w:space="0"/>
                  </w:tcBorders>
                  <w:vAlign w:val="center"/>
                </w:tcPr>
                <w:p>
                  <w:pPr>
                    <w:pStyle w:val="122"/>
                    <w:adjustRightInd/>
                    <w:snapToGrid/>
                  </w:pPr>
                  <w:r>
                    <w:t>pH</w:t>
                  </w:r>
                </w:p>
              </w:tc>
              <w:tc>
                <w:tcPr>
                  <w:tcW w:w="923" w:type="dxa"/>
                  <w:tcBorders>
                    <w:top w:val="single" w:color="auto" w:sz="12" w:space="0"/>
                    <w:left w:val="single" w:color="auto" w:sz="6" w:space="0"/>
                    <w:bottom w:val="single" w:color="auto" w:sz="6" w:space="0"/>
                    <w:right w:val="single" w:color="auto" w:sz="6" w:space="0"/>
                  </w:tcBorders>
                  <w:vAlign w:val="center"/>
                </w:tcPr>
                <w:p>
                  <w:pPr>
                    <w:pStyle w:val="122"/>
                    <w:adjustRightInd/>
                    <w:snapToGrid/>
                  </w:pPr>
                  <w:r>
                    <w:t>COD</w:t>
                  </w:r>
                </w:p>
              </w:tc>
              <w:tc>
                <w:tcPr>
                  <w:tcW w:w="1065" w:type="dxa"/>
                  <w:tcBorders>
                    <w:top w:val="single" w:color="auto" w:sz="12" w:space="0"/>
                    <w:left w:val="single" w:color="auto" w:sz="6" w:space="0"/>
                    <w:bottom w:val="single" w:color="auto" w:sz="6" w:space="0"/>
                    <w:right w:val="single" w:color="auto" w:sz="6" w:space="0"/>
                  </w:tcBorders>
                  <w:vAlign w:val="center"/>
                </w:tcPr>
                <w:p>
                  <w:pPr>
                    <w:pStyle w:val="122"/>
                    <w:adjustRightInd/>
                    <w:snapToGrid/>
                  </w:pPr>
                  <w:r>
                    <w:t>BOD</w:t>
                  </w:r>
                  <w:r>
                    <w:rPr>
                      <w:vertAlign w:val="subscript"/>
                    </w:rPr>
                    <w:t>5</w:t>
                  </w:r>
                </w:p>
              </w:tc>
              <w:tc>
                <w:tcPr>
                  <w:tcW w:w="886" w:type="dxa"/>
                  <w:tcBorders>
                    <w:top w:val="single" w:color="auto" w:sz="12" w:space="0"/>
                    <w:left w:val="single" w:color="auto" w:sz="6" w:space="0"/>
                    <w:bottom w:val="single" w:color="auto" w:sz="6" w:space="0"/>
                    <w:right w:val="single" w:color="auto" w:sz="6" w:space="0"/>
                  </w:tcBorders>
                  <w:vAlign w:val="center"/>
                </w:tcPr>
                <w:p>
                  <w:pPr>
                    <w:pStyle w:val="122"/>
                    <w:adjustRightInd/>
                    <w:snapToGrid/>
                  </w:pPr>
                  <w:r>
                    <w:t>SS</w:t>
                  </w:r>
                </w:p>
              </w:tc>
              <w:tc>
                <w:tcPr>
                  <w:tcW w:w="896" w:type="dxa"/>
                  <w:tcBorders>
                    <w:top w:val="single" w:color="auto" w:sz="12" w:space="0"/>
                    <w:left w:val="single" w:color="auto" w:sz="6" w:space="0"/>
                    <w:bottom w:val="single" w:color="auto" w:sz="6" w:space="0"/>
                  </w:tcBorders>
                  <w:vAlign w:val="center"/>
                </w:tcPr>
                <w:p>
                  <w:pPr>
                    <w:pStyle w:val="122"/>
                    <w:adjustRightInd/>
                    <w:snapToGrid/>
                  </w:pPr>
                  <w:r>
                    <w:t>NH</w:t>
                  </w:r>
                  <w:r>
                    <w:rPr>
                      <w:vertAlign w:val="subscript"/>
                    </w:rPr>
                    <w:t>3</w:t>
                  </w:r>
                  <w: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608" w:hRule="atLeast"/>
                <w:jc w:val="center"/>
              </w:trPr>
              <w:tc>
                <w:tcPr>
                  <w:tcW w:w="3699" w:type="dxa"/>
                  <w:vMerge w:val="continue"/>
                  <w:tcBorders>
                    <w:top w:val="single" w:color="auto" w:sz="6" w:space="0"/>
                    <w:bottom w:val="single" w:color="auto" w:sz="12" w:space="0"/>
                    <w:right w:val="single" w:color="auto" w:sz="6" w:space="0"/>
                  </w:tcBorders>
                  <w:vAlign w:val="center"/>
                </w:tcPr>
                <w:p>
                  <w:pPr>
                    <w:pStyle w:val="122"/>
                    <w:adjustRightInd/>
                    <w:snapToGrid/>
                  </w:pPr>
                </w:p>
              </w:tc>
              <w:tc>
                <w:tcPr>
                  <w:tcW w:w="980" w:type="dxa"/>
                  <w:tcBorders>
                    <w:top w:val="single" w:color="auto" w:sz="6" w:space="0"/>
                    <w:left w:val="single" w:color="auto" w:sz="6" w:space="0"/>
                    <w:bottom w:val="single" w:color="auto" w:sz="12" w:space="0"/>
                    <w:right w:val="single" w:color="auto" w:sz="6" w:space="0"/>
                  </w:tcBorders>
                  <w:vAlign w:val="center"/>
                </w:tcPr>
                <w:p>
                  <w:pPr>
                    <w:pStyle w:val="122"/>
                    <w:adjustRightInd/>
                    <w:snapToGrid/>
                  </w:pPr>
                  <w:r>
                    <w:t>6~9</w:t>
                  </w:r>
                </w:p>
              </w:tc>
              <w:tc>
                <w:tcPr>
                  <w:tcW w:w="923" w:type="dxa"/>
                  <w:tcBorders>
                    <w:top w:val="single" w:color="auto" w:sz="6" w:space="0"/>
                    <w:left w:val="single" w:color="auto" w:sz="6" w:space="0"/>
                    <w:bottom w:val="single" w:color="auto" w:sz="12" w:space="0"/>
                    <w:right w:val="single" w:color="auto" w:sz="6" w:space="0"/>
                  </w:tcBorders>
                  <w:vAlign w:val="center"/>
                </w:tcPr>
                <w:p>
                  <w:pPr>
                    <w:pStyle w:val="122"/>
                    <w:adjustRightInd/>
                    <w:snapToGrid/>
                  </w:pPr>
                  <w:r>
                    <w:t>≤500</w:t>
                  </w:r>
                </w:p>
              </w:tc>
              <w:tc>
                <w:tcPr>
                  <w:tcW w:w="1065" w:type="dxa"/>
                  <w:tcBorders>
                    <w:top w:val="single" w:color="auto" w:sz="6" w:space="0"/>
                    <w:left w:val="single" w:color="auto" w:sz="6" w:space="0"/>
                    <w:bottom w:val="single" w:color="auto" w:sz="12" w:space="0"/>
                    <w:right w:val="single" w:color="auto" w:sz="6" w:space="0"/>
                  </w:tcBorders>
                  <w:vAlign w:val="center"/>
                </w:tcPr>
                <w:p>
                  <w:pPr>
                    <w:pStyle w:val="122"/>
                    <w:adjustRightInd/>
                    <w:snapToGrid/>
                  </w:pPr>
                  <w:r>
                    <w:t>≤300</w:t>
                  </w:r>
                </w:p>
              </w:tc>
              <w:tc>
                <w:tcPr>
                  <w:tcW w:w="886" w:type="dxa"/>
                  <w:tcBorders>
                    <w:top w:val="single" w:color="auto" w:sz="6" w:space="0"/>
                    <w:left w:val="single" w:color="auto" w:sz="6" w:space="0"/>
                    <w:bottom w:val="single" w:color="auto" w:sz="12" w:space="0"/>
                    <w:right w:val="single" w:color="auto" w:sz="6" w:space="0"/>
                  </w:tcBorders>
                  <w:vAlign w:val="center"/>
                </w:tcPr>
                <w:p>
                  <w:pPr>
                    <w:pStyle w:val="122"/>
                    <w:adjustRightInd/>
                    <w:snapToGrid/>
                  </w:pPr>
                  <w:r>
                    <w:t>≤400</w:t>
                  </w:r>
                </w:p>
              </w:tc>
              <w:tc>
                <w:tcPr>
                  <w:tcW w:w="896" w:type="dxa"/>
                  <w:tcBorders>
                    <w:top w:val="single" w:color="auto" w:sz="6" w:space="0"/>
                    <w:left w:val="single" w:color="auto" w:sz="6" w:space="0"/>
                    <w:bottom w:val="single" w:color="auto" w:sz="12" w:space="0"/>
                  </w:tcBorders>
                  <w:vAlign w:val="center"/>
                </w:tcPr>
                <w:p>
                  <w:pPr>
                    <w:pStyle w:val="122"/>
                    <w:adjustRightInd/>
                    <w:snapToGrid/>
                  </w:pPr>
                  <w:r>
                    <w:t>≤45</w:t>
                  </w:r>
                </w:p>
              </w:tc>
            </w:tr>
          </w:tbl>
          <w:p>
            <w:pPr>
              <w:pStyle w:val="83"/>
              <w:adjustRightInd/>
              <w:snapToGrid/>
              <w:rPr>
                <w:color w:val="auto"/>
                <w:sz w:val="28"/>
              </w:rPr>
            </w:pPr>
            <w:r>
              <w:rPr>
                <w:color w:val="auto"/>
                <w:sz w:val="28"/>
              </w:rPr>
              <w:t>3.3.2</w:t>
            </w:r>
            <w:r>
              <w:rPr>
                <w:rFonts w:hint="eastAsia"/>
                <w:color w:val="auto"/>
                <w:sz w:val="28"/>
              </w:rPr>
              <w:t>大气污染物排放标准</w:t>
            </w:r>
          </w:p>
          <w:p>
            <w:pPr>
              <w:pStyle w:val="99"/>
              <w:adjustRightInd/>
              <w:snapToGrid/>
              <w:ind w:firstLine="31680"/>
              <w:rPr>
                <w:color w:val="auto"/>
              </w:rPr>
            </w:pPr>
            <w:r>
              <w:rPr>
                <w:rFonts w:hint="eastAsia"/>
                <w:color w:val="auto"/>
              </w:rPr>
              <w:t>本项目施工期的施工扬尘，其主要污染物为颗粒物，排放执行《大气污染物综合排放标准》（</w:t>
            </w:r>
            <w:r>
              <w:rPr>
                <w:color w:val="auto"/>
              </w:rPr>
              <w:t>GB16297-1996</w:t>
            </w:r>
            <w:r>
              <w:rPr>
                <w:rFonts w:hint="eastAsia"/>
                <w:color w:val="auto"/>
              </w:rPr>
              <w:t>）表</w:t>
            </w:r>
            <w:r>
              <w:rPr>
                <w:color w:val="auto"/>
              </w:rPr>
              <w:t>2</w:t>
            </w:r>
            <w:r>
              <w:rPr>
                <w:rFonts w:hint="eastAsia"/>
                <w:color w:val="auto"/>
              </w:rPr>
              <w:t>中无组织监控浓度限值；运营期废气主要为石料投料、破碎、筛分，散装水泥罐装，硅酸钙板磨边时产生的粉尘，污染物为颗粒物。硅酸钙板作为水泥制品有组织废气</w:t>
            </w:r>
            <w:r>
              <w:rPr>
                <w:rFonts w:hint="eastAsia"/>
                <w:color w:val="008080"/>
              </w:rPr>
              <w:t>参照</w:t>
            </w:r>
            <w:r>
              <w:rPr>
                <w:rFonts w:hint="eastAsia"/>
                <w:color w:val="auto"/>
              </w:rPr>
              <w:t>执行《水泥工业大气污染物排放标准》（</w:t>
            </w:r>
            <w:r>
              <w:rPr>
                <w:color w:val="auto"/>
              </w:rPr>
              <w:t>GB 4915-2013</w:t>
            </w:r>
            <w:r>
              <w:rPr>
                <w:rFonts w:hint="eastAsia"/>
                <w:color w:val="auto"/>
              </w:rPr>
              <w:t>）表</w:t>
            </w:r>
            <w:r>
              <w:rPr>
                <w:color w:val="auto"/>
              </w:rPr>
              <w:t>2</w:t>
            </w:r>
            <w:r>
              <w:rPr>
                <w:rFonts w:hint="eastAsia"/>
                <w:color w:val="auto"/>
              </w:rPr>
              <w:t>中散装水泥中转站及水泥制品生产特别排放标准；无组织废气</w:t>
            </w:r>
            <w:r>
              <w:rPr>
                <w:rFonts w:hint="eastAsia"/>
                <w:color w:val="008080"/>
              </w:rPr>
              <w:t>参照</w:t>
            </w:r>
            <w:r>
              <w:rPr>
                <w:rFonts w:hint="eastAsia"/>
                <w:color w:val="auto"/>
              </w:rPr>
              <w:t>执行《水泥工业大气污染物排放标准》（</w:t>
            </w:r>
            <w:r>
              <w:rPr>
                <w:color w:val="auto"/>
              </w:rPr>
              <w:t>GB 4915-2013</w:t>
            </w:r>
            <w:r>
              <w:rPr>
                <w:rFonts w:hint="eastAsia"/>
                <w:color w:val="auto"/>
              </w:rPr>
              <w:t>）表</w:t>
            </w:r>
            <w:r>
              <w:rPr>
                <w:color w:val="auto"/>
              </w:rPr>
              <w:t>3</w:t>
            </w:r>
            <w:r>
              <w:rPr>
                <w:rFonts w:hint="eastAsia"/>
                <w:color w:val="auto"/>
              </w:rPr>
              <w:t>监控浓度限值，详见表</w:t>
            </w:r>
            <w:r>
              <w:rPr>
                <w:color w:val="auto"/>
              </w:rPr>
              <w:t>3.3-2</w:t>
            </w:r>
            <w:r>
              <w:rPr>
                <w:rFonts w:hint="eastAsia"/>
                <w:color w:val="auto"/>
              </w:rPr>
              <w:t>与表</w:t>
            </w:r>
            <w:r>
              <w:rPr>
                <w:color w:val="auto"/>
              </w:rPr>
              <w:t>3.3-3</w:t>
            </w:r>
            <w:r>
              <w:rPr>
                <w:rFonts w:hint="eastAsia"/>
                <w:color w:val="auto"/>
              </w:rPr>
              <w:t>。</w:t>
            </w:r>
          </w:p>
          <w:p>
            <w:pPr>
              <w:spacing w:beforeLines="50"/>
              <w:jc w:val="center"/>
              <w:rPr>
                <w:b/>
                <w:bCs/>
                <w:sz w:val="24"/>
              </w:rPr>
            </w:pPr>
            <w:r>
              <w:rPr>
                <w:rFonts w:hint="eastAsia" w:eastAsia="黑体"/>
                <w:sz w:val="24"/>
              </w:rPr>
              <w:t>表</w:t>
            </w:r>
            <w:r>
              <w:rPr>
                <w:rFonts w:eastAsia="黑体"/>
                <w:sz w:val="24"/>
              </w:rPr>
              <w:t xml:space="preserve">3.3-2 </w:t>
            </w:r>
            <w:r>
              <w:rPr>
                <w:rFonts w:hint="eastAsia" w:eastAsia="黑体"/>
                <w:sz w:val="24"/>
              </w:rPr>
              <w:t>《水泥工业大气污染物排放标准》（</w:t>
            </w:r>
            <w:r>
              <w:rPr>
                <w:rFonts w:eastAsia="黑体"/>
                <w:sz w:val="24"/>
              </w:rPr>
              <w:t>GB 4915-2013</w:t>
            </w:r>
            <w:r>
              <w:rPr>
                <w:rFonts w:hint="eastAsia" w:eastAsia="黑体"/>
                <w:sz w:val="24"/>
              </w:rPr>
              <w:t>）（表</w:t>
            </w:r>
            <w:r>
              <w:rPr>
                <w:rFonts w:eastAsia="黑体"/>
                <w:sz w:val="24"/>
              </w:rPr>
              <w:t>2</w:t>
            </w:r>
            <w:r>
              <w:rPr>
                <w:rFonts w:hint="eastAsia" w:eastAsia="黑体"/>
                <w:sz w:val="24"/>
              </w:rPr>
              <w:t>摘录）</w:t>
            </w:r>
          </w:p>
          <w:tbl>
            <w:tblPr>
              <w:tblStyle w:val="27"/>
              <w:tblW w:w="84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746"/>
              <w:gridCol w:w="2988"/>
              <w:gridCol w:w="27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3" w:hRule="atLeast"/>
                <w:jc w:val="center"/>
              </w:trPr>
              <w:tc>
                <w:tcPr>
                  <w:tcW w:w="2746" w:type="dxa"/>
                  <w:tcBorders>
                    <w:top w:val="single" w:color="auto" w:sz="12" w:space="0"/>
                    <w:bottom w:val="single" w:color="auto" w:sz="6" w:space="0"/>
                    <w:right w:val="single" w:color="auto" w:sz="6" w:space="0"/>
                  </w:tcBorders>
                  <w:vAlign w:val="center"/>
                </w:tcPr>
                <w:p>
                  <w:pPr>
                    <w:adjustRightInd w:val="0"/>
                    <w:spacing w:line="320" w:lineRule="exact"/>
                    <w:jc w:val="center"/>
                    <w:textAlignment w:val="center"/>
                    <w:rPr>
                      <w:szCs w:val="21"/>
                    </w:rPr>
                  </w:pPr>
                  <w:r>
                    <w:rPr>
                      <w:rFonts w:hint="eastAsia"/>
                      <w:szCs w:val="21"/>
                    </w:rPr>
                    <w:t>生产过程</w:t>
                  </w:r>
                </w:p>
              </w:tc>
              <w:tc>
                <w:tcPr>
                  <w:tcW w:w="2988" w:type="dxa"/>
                  <w:tcBorders>
                    <w:top w:val="single" w:color="auto" w:sz="12" w:space="0"/>
                    <w:left w:val="single" w:color="auto" w:sz="6" w:space="0"/>
                    <w:bottom w:val="single" w:color="auto" w:sz="6" w:space="0"/>
                    <w:right w:val="single" w:color="auto" w:sz="6" w:space="0"/>
                  </w:tcBorders>
                  <w:vAlign w:val="center"/>
                </w:tcPr>
                <w:p>
                  <w:pPr>
                    <w:adjustRightInd w:val="0"/>
                    <w:spacing w:line="320" w:lineRule="exact"/>
                    <w:jc w:val="center"/>
                    <w:textAlignment w:val="center"/>
                    <w:rPr>
                      <w:szCs w:val="21"/>
                    </w:rPr>
                  </w:pPr>
                  <w:r>
                    <w:rPr>
                      <w:rFonts w:hint="eastAsia"/>
                      <w:szCs w:val="21"/>
                    </w:rPr>
                    <w:t>生产设备</w:t>
                  </w:r>
                </w:p>
              </w:tc>
              <w:tc>
                <w:tcPr>
                  <w:tcW w:w="2715" w:type="dxa"/>
                  <w:tcBorders>
                    <w:top w:val="single" w:color="auto" w:sz="12" w:space="0"/>
                    <w:left w:val="single" w:color="auto" w:sz="6" w:space="0"/>
                    <w:bottom w:val="single" w:color="auto" w:sz="6" w:space="0"/>
                  </w:tcBorders>
                  <w:vAlign w:val="center"/>
                </w:tcPr>
                <w:p>
                  <w:pPr>
                    <w:adjustRightInd w:val="0"/>
                    <w:spacing w:line="320" w:lineRule="exact"/>
                    <w:jc w:val="center"/>
                    <w:textAlignment w:val="center"/>
                    <w:rPr>
                      <w:szCs w:val="21"/>
                    </w:rPr>
                  </w:pPr>
                  <w:r>
                    <w:rPr>
                      <w:rFonts w:hint="eastAsia"/>
                      <w:szCs w:val="21"/>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746" w:type="dxa"/>
                  <w:tcBorders>
                    <w:top w:val="single" w:color="auto" w:sz="6" w:space="0"/>
                    <w:bottom w:val="single" w:color="auto" w:sz="12" w:space="0"/>
                    <w:right w:val="single" w:color="auto" w:sz="6" w:space="0"/>
                  </w:tcBorders>
                  <w:vAlign w:val="center"/>
                </w:tcPr>
                <w:p>
                  <w:pPr>
                    <w:adjustRightInd w:val="0"/>
                    <w:spacing w:line="320" w:lineRule="exact"/>
                    <w:jc w:val="center"/>
                    <w:textAlignment w:val="center"/>
                    <w:rPr>
                      <w:szCs w:val="21"/>
                    </w:rPr>
                  </w:pPr>
                  <w:r>
                    <w:rPr>
                      <w:rFonts w:hint="eastAsia"/>
                      <w:szCs w:val="21"/>
                    </w:rPr>
                    <w:t>散装水泥中转站及水泥制品生产</w:t>
                  </w:r>
                </w:p>
              </w:tc>
              <w:tc>
                <w:tcPr>
                  <w:tcW w:w="2988" w:type="dxa"/>
                  <w:tcBorders>
                    <w:top w:val="single" w:color="auto" w:sz="6" w:space="0"/>
                    <w:left w:val="single" w:color="auto" w:sz="6" w:space="0"/>
                    <w:bottom w:val="single" w:color="auto" w:sz="12" w:space="0"/>
                    <w:right w:val="single" w:color="auto" w:sz="6" w:space="0"/>
                  </w:tcBorders>
                  <w:vAlign w:val="center"/>
                </w:tcPr>
                <w:p>
                  <w:pPr>
                    <w:adjustRightInd w:val="0"/>
                    <w:spacing w:line="320" w:lineRule="exact"/>
                    <w:jc w:val="center"/>
                    <w:textAlignment w:val="center"/>
                    <w:rPr>
                      <w:szCs w:val="21"/>
                    </w:rPr>
                  </w:pPr>
                  <w:r>
                    <w:rPr>
                      <w:rFonts w:hint="eastAsia"/>
                      <w:szCs w:val="21"/>
                    </w:rPr>
                    <w:t>水泥仓及其他通风生产设备</w:t>
                  </w:r>
                </w:p>
              </w:tc>
              <w:tc>
                <w:tcPr>
                  <w:tcW w:w="2715" w:type="dxa"/>
                  <w:tcBorders>
                    <w:top w:val="single" w:color="auto" w:sz="6" w:space="0"/>
                    <w:left w:val="single" w:color="auto" w:sz="6" w:space="0"/>
                    <w:bottom w:val="single" w:color="auto" w:sz="12" w:space="0"/>
                  </w:tcBorders>
                  <w:vAlign w:val="center"/>
                </w:tcPr>
                <w:p>
                  <w:pPr>
                    <w:adjustRightInd w:val="0"/>
                    <w:spacing w:line="320" w:lineRule="exact"/>
                    <w:jc w:val="center"/>
                    <w:textAlignment w:val="center"/>
                    <w:rPr>
                      <w:szCs w:val="21"/>
                    </w:rPr>
                  </w:pPr>
                  <w:r>
                    <w:rPr>
                      <w:rFonts w:ascii="TimesNewRomanPSMT" w:hAnsi="TimesNewRomanPSMT" w:cs="TimesNewRomanPSMT"/>
                      <w:sz w:val="18"/>
                      <w:szCs w:val="18"/>
                    </w:rPr>
                    <w:t>1</w:t>
                  </w:r>
                  <w:r>
                    <w:rPr>
                      <w:rFonts w:ascii="TimesNewRomanPSMT" w:hAnsi="TimesNewRomanPSMT" w:eastAsia="Times New Roman" w:cs="TimesNewRomanPSMT"/>
                      <w:sz w:val="18"/>
                      <w:szCs w:val="18"/>
                    </w:rPr>
                    <w:t>0</w:t>
                  </w:r>
                  <w:r>
                    <w:rPr>
                      <w:szCs w:val="21"/>
                    </w:rPr>
                    <w:t>mg/m</w:t>
                  </w:r>
                  <w:r>
                    <w:rPr>
                      <w:szCs w:val="21"/>
                      <w:vertAlign w:val="superscript"/>
                    </w:rPr>
                    <w:t>3</w:t>
                  </w:r>
                </w:p>
              </w:tc>
            </w:tr>
          </w:tbl>
          <w:p>
            <w:pPr>
              <w:spacing w:beforeLines="50"/>
              <w:jc w:val="center"/>
              <w:rPr>
                <w:rFonts w:hint="eastAsia" w:eastAsia="黑体"/>
                <w:sz w:val="24"/>
              </w:rPr>
            </w:pPr>
          </w:p>
          <w:p>
            <w:pPr>
              <w:spacing w:beforeLines="50"/>
              <w:jc w:val="center"/>
              <w:rPr>
                <w:rFonts w:hint="eastAsia" w:eastAsia="黑体"/>
                <w:sz w:val="24"/>
              </w:rPr>
            </w:pPr>
          </w:p>
          <w:p>
            <w:pPr>
              <w:spacing w:beforeLines="50"/>
              <w:jc w:val="center"/>
              <w:rPr>
                <w:b/>
                <w:bCs/>
                <w:sz w:val="24"/>
              </w:rPr>
            </w:pPr>
            <w:r>
              <w:rPr>
                <w:rFonts w:hint="eastAsia" w:eastAsia="黑体"/>
                <w:sz w:val="24"/>
              </w:rPr>
              <w:t>表</w:t>
            </w:r>
            <w:r>
              <w:rPr>
                <w:rFonts w:eastAsia="黑体"/>
                <w:sz w:val="24"/>
              </w:rPr>
              <w:t xml:space="preserve">3.3-3 </w:t>
            </w:r>
            <w:r>
              <w:rPr>
                <w:rFonts w:hint="eastAsia" w:eastAsia="黑体"/>
                <w:sz w:val="24"/>
              </w:rPr>
              <w:t>《水泥工业大气污染物排放标准》（</w:t>
            </w:r>
            <w:r>
              <w:rPr>
                <w:rFonts w:eastAsia="黑体"/>
                <w:sz w:val="24"/>
              </w:rPr>
              <w:t>GB 4915-2013</w:t>
            </w:r>
            <w:r>
              <w:rPr>
                <w:rFonts w:hint="eastAsia" w:eastAsia="黑体"/>
                <w:sz w:val="24"/>
              </w:rPr>
              <w:t>）（表</w:t>
            </w:r>
            <w:r>
              <w:rPr>
                <w:rFonts w:eastAsia="黑体"/>
                <w:sz w:val="24"/>
              </w:rPr>
              <w:t>3</w:t>
            </w:r>
            <w:r>
              <w:rPr>
                <w:rFonts w:hint="eastAsia" w:eastAsia="黑体"/>
                <w:sz w:val="24"/>
              </w:rPr>
              <w:t>摘录）</w:t>
            </w:r>
          </w:p>
          <w:tbl>
            <w:tblPr>
              <w:tblStyle w:val="27"/>
              <w:tblW w:w="844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1939"/>
              <w:gridCol w:w="2950"/>
              <w:gridCol w:w="24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84" w:type="dxa"/>
                  <w:tcBorders>
                    <w:top w:val="single" w:color="auto" w:sz="12" w:space="0"/>
                    <w:bottom w:val="single" w:color="auto" w:sz="6" w:space="0"/>
                    <w:right w:val="single" w:color="auto" w:sz="6" w:space="0"/>
                  </w:tcBorders>
                  <w:vAlign w:val="center"/>
                </w:tcPr>
                <w:p>
                  <w:pPr>
                    <w:adjustRightInd w:val="0"/>
                    <w:spacing w:line="320" w:lineRule="exact"/>
                    <w:jc w:val="center"/>
                    <w:textAlignment w:val="center"/>
                    <w:rPr>
                      <w:szCs w:val="21"/>
                    </w:rPr>
                  </w:pPr>
                  <w:r>
                    <w:rPr>
                      <w:rFonts w:hint="eastAsia"/>
                      <w:szCs w:val="21"/>
                    </w:rPr>
                    <w:t>污染物</w:t>
                  </w:r>
                </w:p>
              </w:tc>
              <w:tc>
                <w:tcPr>
                  <w:tcW w:w="1939" w:type="dxa"/>
                  <w:tcBorders>
                    <w:top w:val="single" w:color="auto" w:sz="12" w:space="0"/>
                    <w:left w:val="single" w:color="auto" w:sz="6" w:space="0"/>
                    <w:bottom w:val="single" w:color="auto" w:sz="6" w:space="0"/>
                    <w:right w:val="single" w:color="auto" w:sz="6" w:space="0"/>
                  </w:tcBorders>
                  <w:vAlign w:val="center"/>
                </w:tcPr>
                <w:p>
                  <w:pPr>
                    <w:adjustRightInd w:val="0"/>
                    <w:spacing w:line="320" w:lineRule="exact"/>
                    <w:jc w:val="center"/>
                    <w:textAlignment w:val="center"/>
                    <w:rPr>
                      <w:szCs w:val="21"/>
                    </w:rPr>
                  </w:pPr>
                  <w:r>
                    <w:rPr>
                      <w:rFonts w:hint="eastAsia"/>
                      <w:szCs w:val="21"/>
                    </w:rPr>
                    <w:t>限值（</w:t>
                  </w:r>
                  <w:r>
                    <w:rPr>
                      <w:szCs w:val="21"/>
                    </w:rPr>
                    <w:t>mg/m</w:t>
                  </w:r>
                  <w:r>
                    <w:rPr>
                      <w:szCs w:val="21"/>
                      <w:vertAlign w:val="superscript"/>
                    </w:rPr>
                    <w:t>3</w:t>
                  </w:r>
                  <w:r>
                    <w:rPr>
                      <w:rFonts w:hint="eastAsia"/>
                      <w:szCs w:val="21"/>
                    </w:rPr>
                    <w:t>）</w:t>
                  </w:r>
                </w:p>
              </w:tc>
              <w:tc>
                <w:tcPr>
                  <w:tcW w:w="2950" w:type="dxa"/>
                  <w:tcBorders>
                    <w:top w:val="single" w:color="auto" w:sz="12" w:space="0"/>
                    <w:left w:val="single" w:color="auto" w:sz="6" w:space="0"/>
                    <w:bottom w:val="single" w:color="auto" w:sz="6" w:space="0"/>
                    <w:right w:val="single" w:color="auto" w:sz="6" w:space="0"/>
                  </w:tcBorders>
                  <w:vAlign w:val="center"/>
                </w:tcPr>
                <w:p>
                  <w:pPr>
                    <w:adjustRightInd w:val="0"/>
                    <w:spacing w:line="320" w:lineRule="exact"/>
                    <w:jc w:val="center"/>
                    <w:textAlignment w:val="center"/>
                    <w:rPr>
                      <w:szCs w:val="21"/>
                    </w:rPr>
                  </w:pPr>
                  <w:r>
                    <w:rPr>
                      <w:rFonts w:hint="eastAsia" w:ascii="宋体" w:hAnsi="宋体" w:cs="宋体"/>
                      <w:szCs w:val="21"/>
                    </w:rPr>
                    <w:t>限值含义</w:t>
                  </w:r>
                </w:p>
              </w:tc>
              <w:tc>
                <w:tcPr>
                  <w:tcW w:w="2476" w:type="dxa"/>
                  <w:tcBorders>
                    <w:top w:val="single" w:color="auto" w:sz="12" w:space="0"/>
                    <w:left w:val="single" w:color="auto" w:sz="6" w:space="0"/>
                    <w:bottom w:val="single" w:color="auto" w:sz="6" w:space="0"/>
                  </w:tcBorders>
                  <w:vAlign w:val="center"/>
                </w:tcPr>
                <w:p>
                  <w:pPr>
                    <w:adjustRightInd w:val="0"/>
                    <w:spacing w:line="320" w:lineRule="exact"/>
                    <w:jc w:val="center"/>
                    <w:textAlignment w:val="center"/>
                    <w:rPr>
                      <w:szCs w:val="21"/>
                    </w:rPr>
                  </w:pPr>
                  <w:r>
                    <w:rPr>
                      <w:rFonts w:hint="eastAsia" w:ascii="宋体" w:hAnsi="宋体" w:cs="宋体"/>
                      <w:szCs w:val="21"/>
                    </w:rPr>
                    <w:t>无组织排放监控位置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2" w:hRule="atLeast"/>
                <w:jc w:val="center"/>
              </w:trPr>
              <w:tc>
                <w:tcPr>
                  <w:tcW w:w="1084" w:type="dxa"/>
                  <w:tcBorders>
                    <w:top w:val="single" w:color="auto" w:sz="6" w:space="0"/>
                    <w:bottom w:val="single" w:color="auto" w:sz="12" w:space="0"/>
                    <w:right w:val="single" w:color="auto" w:sz="6" w:space="0"/>
                  </w:tcBorders>
                  <w:vAlign w:val="center"/>
                </w:tcPr>
                <w:p>
                  <w:pPr>
                    <w:adjustRightInd w:val="0"/>
                    <w:spacing w:line="320" w:lineRule="exact"/>
                    <w:jc w:val="center"/>
                    <w:textAlignment w:val="center"/>
                    <w:rPr>
                      <w:szCs w:val="21"/>
                    </w:rPr>
                  </w:pPr>
                  <w:r>
                    <w:rPr>
                      <w:rFonts w:hint="eastAsia"/>
                      <w:szCs w:val="21"/>
                    </w:rPr>
                    <w:t>颗粒物</w:t>
                  </w:r>
                </w:p>
              </w:tc>
              <w:tc>
                <w:tcPr>
                  <w:tcW w:w="1939" w:type="dxa"/>
                  <w:tcBorders>
                    <w:top w:val="single" w:color="auto" w:sz="6" w:space="0"/>
                    <w:left w:val="single" w:color="auto" w:sz="6" w:space="0"/>
                    <w:bottom w:val="single" w:color="auto" w:sz="12" w:space="0"/>
                    <w:right w:val="single" w:color="auto" w:sz="6" w:space="0"/>
                  </w:tcBorders>
                  <w:vAlign w:val="center"/>
                </w:tcPr>
                <w:p>
                  <w:pPr>
                    <w:adjustRightInd w:val="0"/>
                    <w:spacing w:line="320" w:lineRule="exact"/>
                    <w:jc w:val="center"/>
                    <w:textAlignment w:val="center"/>
                    <w:rPr>
                      <w:szCs w:val="21"/>
                    </w:rPr>
                  </w:pPr>
                  <w:r>
                    <w:rPr>
                      <w:szCs w:val="21"/>
                    </w:rPr>
                    <w:t>0.5</w:t>
                  </w:r>
                </w:p>
              </w:tc>
              <w:tc>
                <w:tcPr>
                  <w:tcW w:w="2950" w:type="dxa"/>
                  <w:tcBorders>
                    <w:top w:val="single" w:color="auto" w:sz="6" w:space="0"/>
                    <w:left w:val="single" w:color="auto" w:sz="6" w:space="0"/>
                    <w:bottom w:val="single" w:color="auto" w:sz="12" w:space="0"/>
                    <w:right w:val="single" w:color="auto" w:sz="6" w:space="0"/>
                  </w:tcBorders>
                  <w:vAlign w:val="center"/>
                </w:tcPr>
                <w:p>
                  <w:pPr>
                    <w:adjustRightInd w:val="0"/>
                    <w:spacing w:line="320" w:lineRule="exact"/>
                    <w:jc w:val="center"/>
                    <w:textAlignment w:val="center"/>
                    <w:rPr>
                      <w:szCs w:val="21"/>
                    </w:rPr>
                  </w:pPr>
                  <w:r>
                    <w:rPr>
                      <w:rFonts w:hint="eastAsia"/>
                      <w:szCs w:val="21"/>
                    </w:rPr>
                    <w:t>监控点与参照点总悬浮颗粒物（</w:t>
                  </w:r>
                  <w:r>
                    <w:rPr>
                      <w:szCs w:val="21"/>
                    </w:rPr>
                    <w:t>TSP</w:t>
                  </w:r>
                  <w:r>
                    <w:rPr>
                      <w:rFonts w:hint="eastAsia"/>
                      <w:szCs w:val="21"/>
                    </w:rPr>
                    <w:t>）</w:t>
                  </w:r>
                  <w:r>
                    <w:rPr>
                      <w:szCs w:val="21"/>
                    </w:rPr>
                    <w:t>1</w:t>
                  </w:r>
                  <w:r>
                    <w:rPr>
                      <w:rFonts w:hint="eastAsia"/>
                      <w:szCs w:val="21"/>
                    </w:rPr>
                    <w:t>小时浓度值的差值</w:t>
                  </w:r>
                </w:p>
              </w:tc>
              <w:tc>
                <w:tcPr>
                  <w:tcW w:w="2476" w:type="dxa"/>
                  <w:tcBorders>
                    <w:top w:val="single" w:color="auto" w:sz="6" w:space="0"/>
                    <w:left w:val="single" w:color="auto" w:sz="6" w:space="0"/>
                    <w:bottom w:val="single" w:color="auto" w:sz="12" w:space="0"/>
                  </w:tcBorders>
                  <w:vAlign w:val="center"/>
                </w:tcPr>
                <w:p>
                  <w:pPr>
                    <w:adjustRightInd w:val="0"/>
                    <w:spacing w:line="320" w:lineRule="exact"/>
                    <w:jc w:val="center"/>
                    <w:textAlignment w:val="center"/>
                    <w:rPr>
                      <w:szCs w:val="21"/>
                    </w:rPr>
                  </w:pPr>
                  <w:r>
                    <w:rPr>
                      <w:rFonts w:hint="eastAsia"/>
                      <w:szCs w:val="21"/>
                    </w:rPr>
                    <w:t>厂界外</w:t>
                  </w:r>
                  <w:r>
                    <w:rPr>
                      <w:szCs w:val="21"/>
                    </w:rPr>
                    <w:t>20m</w:t>
                  </w:r>
                  <w:r>
                    <w:rPr>
                      <w:rFonts w:hint="eastAsia"/>
                      <w:szCs w:val="21"/>
                    </w:rPr>
                    <w:t>处上风向设参照点，下风向设监控点</w:t>
                  </w:r>
                  <w:r>
                    <w:rPr>
                      <w:szCs w:val="21"/>
                    </w:rPr>
                    <w:t xml:space="preserve"> </w:t>
                  </w:r>
                </w:p>
              </w:tc>
            </w:tr>
          </w:tbl>
          <w:p>
            <w:pPr>
              <w:pStyle w:val="83"/>
              <w:adjustRightInd/>
              <w:snapToGrid/>
              <w:rPr>
                <w:color w:val="auto"/>
                <w:sz w:val="28"/>
              </w:rPr>
            </w:pPr>
            <w:r>
              <w:rPr>
                <w:color w:val="auto"/>
                <w:sz w:val="28"/>
              </w:rPr>
              <w:t>3.3.3</w:t>
            </w:r>
            <w:r>
              <w:rPr>
                <w:rFonts w:hint="eastAsia"/>
                <w:color w:val="auto"/>
                <w:sz w:val="28"/>
              </w:rPr>
              <w:t>噪声污染物排放标准</w:t>
            </w:r>
          </w:p>
          <w:p>
            <w:pPr>
              <w:spacing w:line="360" w:lineRule="auto"/>
              <w:ind w:firstLine="480" w:firstLineChars="200"/>
              <w:rPr>
                <w:sz w:val="24"/>
              </w:rPr>
            </w:pPr>
            <w:r>
              <w:rPr>
                <w:rFonts w:hint="eastAsia"/>
                <w:sz w:val="24"/>
              </w:rPr>
              <w:t>项目施工期厂界噪声执行《建筑施工场界环境噪声排放标准》（</w:t>
            </w:r>
            <w:r>
              <w:rPr>
                <w:sz w:val="24"/>
              </w:rPr>
              <w:t>GB12523-2011</w:t>
            </w:r>
            <w:r>
              <w:rPr>
                <w:rFonts w:hint="eastAsia"/>
                <w:sz w:val="24"/>
              </w:rPr>
              <w:t>），</w:t>
            </w:r>
            <w:r>
              <w:rPr>
                <w:rFonts w:hint="eastAsia"/>
                <w:sz w:val="24"/>
                <w:lang w:val="zh-TW" w:eastAsia="zh-TW"/>
              </w:rPr>
              <w:t>见表</w:t>
            </w:r>
            <w:r>
              <w:rPr>
                <w:sz w:val="24"/>
              </w:rPr>
              <w:t>3.3-4</w:t>
            </w:r>
            <w:r>
              <w:rPr>
                <w:rFonts w:hint="eastAsia"/>
                <w:sz w:val="24"/>
                <w:lang w:val="zh-TW" w:eastAsia="zh-TW"/>
              </w:rPr>
              <w:t>。</w:t>
            </w:r>
          </w:p>
          <w:p>
            <w:pPr>
              <w:jc w:val="center"/>
              <w:rPr>
                <w:rFonts w:eastAsia="黑体"/>
                <w:sz w:val="24"/>
              </w:rPr>
            </w:pPr>
            <w:r>
              <w:rPr>
                <w:rFonts w:hint="eastAsia" w:eastAsia="黑体"/>
                <w:sz w:val="24"/>
              </w:rPr>
              <w:t>表</w:t>
            </w:r>
            <w:r>
              <w:rPr>
                <w:rFonts w:eastAsia="黑体"/>
                <w:sz w:val="24"/>
              </w:rPr>
              <w:t xml:space="preserve">3.3-4  </w:t>
            </w:r>
            <w:r>
              <w:rPr>
                <w:rFonts w:hint="eastAsia" w:eastAsia="黑体"/>
                <w:sz w:val="24"/>
              </w:rPr>
              <w:t>《建筑施工场界环境噪声排放标准》</w:t>
            </w:r>
            <w:r>
              <w:rPr>
                <w:rFonts w:eastAsia="黑体"/>
                <w:sz w:val="24"/>
              </w:rPr>
              <w:t>(GB12523-2011)</w:t>
            </w:r>
            <w:r>
              <w:rPr>
                <w:rFonts w:hint="eastAsia" w:eastAsia="黑体"/>
                <w:sz w:val="24"/>
              </w:rPr>
              <w:t>摘录</w:t>
            </w:r>
          </w:p>
          <w:tbl>
            <w:tblPr>
              <w:tblStyle w:val="27"/>
              <w:tblW w:w="84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2813"/>
              <w:gridCol w:w="2814"/>
              <w:gridCol w:w="28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337" w:hRule="atLeast"/>
                <w:jc w:val="center"/>
              </w:trPr>
              <w:tc>
                <w:tcPr>
                  <w:tcW w:w="2813" w:type="dxa"/>
                  <w:tcBorders>
                    <w:top w:val="single" w:color="auto" w:sz="12" w:space="0"/>
                    <w:bottom w:val="single" w:color="auto" w:sz="4" w:space="0"/>
                    <w:right w:val="single" w:color="auto" w:sz="4" w:space="0"/>
                  </w:tcBorders>
                  <w:shd w:val="clear" w:color="auto" w:fill="FFFFFF"/>
                  <w:vAlign w:val="center"/>
                </w:tcPr>
                <w:p>
                  <w:pPr>
                    <w:adjustRightInd w:val="0"/>
                    <w:snapToGrid w:val="0"/>
                    <w:jc w:val="center"/>
                    <w:rPr>
                      <w:szCs w:val="21"/>
                    </w:rPr>
                  </w:pPr>
                  <w:r>
                    <w:rPr>
                      <w:rFonts w:hint="eastAsia"/>
                      <w:szCs w:val="21"/>
                    </w:rPr>
                    <w:t>时段</w:t>
                  </w:r>
                </w:p>
              </w:tc>
              <w:tc>
                <w:tcPr>
                  <w:tcW w:w="2814"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jc w:val="center"/>
                    <w:rPr>
                      <w:szCs w:val="21"/>
                    </w:rPr>
                  </w:pPr>
                  <w:r>
                    <w:rPr>
                      <w:rFonts w:hint="eastAsia"/>
                      <w:szCs w:val="21"/>
                    </w:rPr>
                    <w:t>昼间，</w:t>
                  </w:r>
                  <w:r>
                    <w:rPr>
                      <w:szCs w:val="21"/>
                    </w:rPr>
                    <w:t>dB(A)</w:t>
                  </w:r>
                </w:p>
              </w:tc>
              <w:tc>
                <w:tcPr>
                  <w:tcW w:w="2820" w:type="dxa"/>
                  <w:tcBorders>
                    <w:top w:val="single" w:color="auto" w:sz="12" w:space="0"/>
                    <w:left w:val="single" w:color="auto" w:sz="4" w:space="0"/>
                    <w:bottom w:val="single" w:color="auto" w:sz="4" w:space="0"/>
                  </w:tcBorders>
                  <w:shd w:val="clear" w:color="auto" w:fill="FFFFFF"/>
                  <w:vAlign w:val="center"/>
                </w:tcPr>
                <w:p>
                  <w:pPr>
                    <w:adjustRightInd w:val="0"/>
                    <w:snapToGrid w:val="0"/>
                    <w:jc w:val="center"/>
                    <w:rPr>
                      <w:szCs w:val="21"/>
                    </w:rPr>
                  </w:pPr>
                  <w:r>
                    <w:rPr>
                      <w:rFonts w:hint="eastAsia"/>
                      <w:szCs w:val="21"/>
                    </w:rPr>
                    <w:t>夜间，</w:t>
                  </w:r>
                  <w:r>
                    <w:rPr>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46" w:hRule="atLeast"/>
                <w:jc w:val="center"/>
              </w:trPr>
              <w:tc>
                <w:tcPr>
                  <w:tcW w:w="2813" w:type="dxa"/>
                  <w:tcBorders>
                    <w:top w:val="single" w:color="auto" w:sz="4" w:space="0"/>
                    <w:bottom w:val="single" w:color="auto" w:sz="12" w:space="0"/>
                    <w:right w:val="single" w:color="auto" w:sz="4" w:space="0"/>
                  </w:tcBorders>
                  <w:shd w:val="clear" w:color="auto" w:fill="FFFFFF"/>
                  <w:vAlign w:val="center"/>
                </w:tcPr>
                <w:p>
                  <w:pPr>
                    <w:pStyle w:val="207"/>
                    <w:spacing w:after="0" w:line="240" w:lineRule="auto"/>
                    <w:ind w:firstLine="0"/>
                    <w:jc w:val="center"/>
                    <w:rPr>
                      <w:rFonts w:ascii="Times New Roman" w:hAnsi="Times New Roman" w:cs="Times New Roman"/>
                      <w:sz w:val="21"/>
                      <w:szCs w:val="21"/>
                      <w:lang w:eastAsia="zh-CN"/>
                    </w:rPr>
                  </w:pPr>
                  <w:r>
                    <w:rPr>
                      <w:rFonts w:hint="eastAsia" w:ascii="Times New Roman" w:hAnsi="Times New Roman" w:cs="Times New Roman"/>
                      <w:sz w:val="21"/>
                      <w:szCs w:val="21"/>
                      <w:lang w:eastAsia="zh-CN"/>
                    </w:rPr>
                    <w:t>噪声限值</w:t>
                  </w:r>
                </w:p>
              </w:tc>
              <w:tc>
                <w:tcPr>
                  <w:tcW w:w="2814" w:type="dxa"/>
                  <w:tcBorders>
                    <w:top w:val="single" w:color="auto" w:sz="4" w:space="0"/>
                    <w:left w:val="single" w:color="auto" w:sz="4" w:space="0"/>
                    <w:bottom w:val="single" w:color="auto" w:sz="12" w:space="0"/>
                    <w:right w:val="single" w:color="auto" w:sz="4" w:space="0"/>
                  </w:tcBorders>
                  <w:shd w:val="clear" w:color="auto" w:fill="FFFFFF"/>
                  <w:vAlign w:val="center"/>
                </w:tcPr>
                <w:p>
                  <w:pPr>
                    <w:pStyle w:val="207"/>
                    <w:spacing w:after="0" w:line="240" w:lineRule="auto"/>
                    <w:ind w:firstLine="0"/>
                    <w:jc w:val="center"/>
                    <w:rPr>
                      <w:rFonts w:ascii="Times New Roman" w:hAnsi="Times New Roman" w:cs="Times New Roman"/>
                      <w:sz w:val="21"/>
                      <w:szCs w:val="21"/>
                    </w:rPr>
                  </w:pPr>
                  <w:r>
                    <w:rPr>
                      <w:rFonts w:ascii="Times New Roman" w:hAnsi="Times New Roman" w:cs="Times New Roman"/>
                      <w:sz w:val="21"/>
                      <w:szCs w:val="21"/>
                    </w:rPr>
                    <w:t>70</w:t>
                  </w:r>
                </w:p>
              </w:tc>
              <w:tc>
                <w:tcPr>
                  <w:tcW w:w="2820" w:type="dxa"/>
                  <w:tcBorders>
                    <w:top w:val="single" w:color="auto" w:sz="4" w:space="0"/>
                    <w:left w:val="single" w:color="auto" w:sz="4" w:space="0"/>
                    <w:bottom w:val="single" w:color="auto" w:sz="12" w:space="0"/>
                  </w:tcBorders>
                  <w:shd w:val="clear" w:color="auto" w:fill="FFFFFF"/>
                  <w:vAlign w:val="center"/>
                </w:tcPr>
                <w:p>
                  <w:pPr>
                    <w:pStyle w:val="207"/>
                    <w:spacing w:after="0" w:line="240" w:lineRule="auto"/>
                    <w:ind w:firstLine="0"/>
                    <w:jc w:val="center"/>
                    <w:rPr>
                      <w:rFonts w:ascii="Times New Roman" w:hAnsi="Times New Roman" w:cs="Times New Roman"/>
                      <w:sz w:val="21"/>
                      <w:szCs w:val="21"/>
                    </w:rPr>
                  </w:pPr>
                  <w:r>
                    <w:rPr>
                      <w:rFonts w:ascii="Times New Roman" w:hAnsi="Times New Roman" w:cs="Times New Roman"/>
                      <w:sz w:val="21"/>
                      <w:szCs w:val="21"/>
                    </w:rPr>
                    <w:t>55</w:t>
                  </w:r>
                </w:p>
              </w:tc>
            </w:tr>
          </w:tbl>
          <w:p>
            <w:pPr>
              <w:pStyle w:val="67"/>
              <w:ind w:firstLine="31680"/>
            </w:pPr>
            <w:r>
              <w:rPr>
                <w:rFonts w:hint="eastAsia"/>
              </w:rPr>
              <w:t>运营期厂界噪声执行《工业企业厂界环境噪声排放标准》（</w:t>
            </w:r>
            <w:r>
              <w:t>GB12348-2008</w:t>
            </w:r>
            <w:r>
              <w:rPr>
                <w:rFonts w:hint="eastAsia"/>
              </w:rPr>
              <w:t>）中的</w:t>
            </w:r>
            <w:r>
              <w:t>3</w:t>
            </w:r>
            <w:r>
              <w:rPr>
                <w:rFonts w:hint="eastAsia"/>
              </w:rPr>
              <w:t>类标准，详见表</w:t>
            </w:r>
            <w:r>
              <w:t>3.3-5</w:t>
            </w:r>
            <w:r>
              <w:rPr>
                <w:rFonts w:hint="eastAsia"/>
              </w:rPr>
              <w:t>。</w:t>
            </w:r>
          </w:p>
          <w:p>
            <w:pPr>
              <w:jc w:val="center"/>
              <w:rPr>
                <w:rFonts w:eastAsia="黑体"/>
                <w:sz w:val="24"/>
              </w:rPr>
            </w:pPr>
            <w:r>
              <w:rPr>
                <w:rFonts w:hint="eastAsia" w:eastAsia="黑体"/>
                <w:sz w:val="24"/>
              </w:rPr>
              <w:t>表</w:t>
            </w:r>
            <w:r>
              <w:rPr>
                <w:rFonts w:eastAsia="黑体"/>
                <w:sz w:val="24"/>
              </w:rPr>
              <w:t xml:space="preserve">3.3-5 </w:t>
            </w:r>
            <w:r>
              <w:rPr>
                <w:rFonts w:hint="eastAsia" w:eastAsia="黑体"/>
                <w:sz w:val="24"/>
              </w:rPr>
              <w:t>《工业企业厂界环境噪声排放标准》（</w:t>
            </w:r>
            <w:r>
              <w:rPr>
                <w:rFonts w:eastAsia="黑体"/>
                <w:sz w:val="24"/>
              </w:rPr>
              <w:t>GB12348-2008</w:t>
            </w:r>
            <w:r>
              <w:rPr>
                <w:rFonts w:hint="eastAsia" w:eastAsia="黑体"/>
                <w:sz w:val="24"/>
              </w:rPr>
              <w:t>）（摘录）</w:t>
            </w:r>
          </w:p>
          <w:tbl>
            <w:tblPr>
              <w:tblStyle w:val="27"/>
              <w:tblW w:w="844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19"/>
              <w:gridCol w:w="2837"/>
              <w:gridCol w:w="27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2819" w:type="dxa"/>
                  <w:tcBorders>
                    <w:top w:val="single" w:color="auto" w:sz="12" w:space="0"/>
                    <w:bottom w:val="single" w:color="auto" w:sz="6" w:space="0"/>
                    <w:right w:val="single" w:color="auto" w:sz="6" w:space="0"/>
                  </w:tcBorders>
                  <w:vAlign w:val="center"/>
                </w:tcPr>
                <w:p>
                  <w:pPr>
                    <w:pStyle w:val="103"/>
                    <w:adjustRightInd/>
                    <w:snapToGrid/>
                  </w:pPr>
                  <w:r>
                    <w:rPr>
                      <w:rFonts w:hint="eastAsia"/>
                    </w:rPr>
                    <w:t>类别</w:t>
                  </w:r>
                </w:p>
              </w:tc>
              <w:tc>
                <w:tcPr>
                  <w:tcW w:w="2837" w:type="dxa"/>
                  <w:tcBorders>
                    <w:top w:val="single" w:color="auto" w:sz="12" w:space="0"/>
                    <w:left w:val="single" w:color="auto" w:sz="6" w:space="0"/>
                    <w:bottom w:val="single" w:color="auto" w:sz="6" w:space="0"/>
                    <w:right w:val="single" w:color="auto" w:sz="6" w:space="0"/>
                  </w:tcBorders>
                  <w:vAlign w:val="center"/>
                </w:tcPr>
                <w:p>
                  <w:pPr>
                    <w:pStyle w:val="103"/>
                    <w:adjustRightInd/>
                    <w:snapToGrid/>
                  </w:pPr>
                  <w:r>
                    <w:rPr>
                      <w:rFonts w:hint="eastAsia"/>
                    </w:rPr>
                    <w:t>昼间（</w:t>
                  </w:r>
                  <w:r>
                    <w:t>dB</w:t>
                  </w:r>
                  <w:r>
                    <w:rPr>
                      <w:rFonts w:hint="eastAsia"/>
                    </w:rPr>
                    <w:t>）</w:t>
                  </w:r>
                </w:p>
              </w:tc>
              <w:tc>
                <w:tcPr>
                  <w:tcW w:w="2788" w:type="dxa"/>
                  <w:tcBorders>
                    <w:top w:val="single" w:color="auto" w:sz="12" w:space="0"/>
                    <w:left w:val="single" w:color="auto" w:sz="6" w:space="0"/>
                    <w:bottom w:val="single" w:color="auto" w:sz="6" w:space="0"/>
                  </w:tcBorders>
                  <w:vAlign w:val="center"/>
                </w:tcPr>
                <w:p>
                  <w:pPr>
                    <w:pStyle w:val="103"/>
                    <w:adjustRightInd/>
                    <w:snapToGrid/>
                  </w:pPr>
                  <w:r>
                    <w:rPr>
                      <w:rFonts w:hint="eastAsia"/>
                    </w:rPr>
                    <w:t>夜间（</w:t>
                  </w:r>
                  <w:r>
                    <w:t>dB</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2" w:hRule="atLeast"/>
                <w:jc w:val="center"/>
              </w:trPr>
              <w:tc>
                <w:tcPr>
                  <w:tcW w:w="2819" w:type="dxa"/>
                  <w:tcBorders>
                    <w:top w:val="single" w:color="auto" w:sz="6" w:space="0"/>
                    <w:bottom w:val="single" w:color="auto" w:sz="12" w:space="0"/>
                    <w:right w:val="single" w:color="auto" w:sz="6" w:space="0"/>
                  </w:tcBorders>
                  <w:vAlign w:val="center"/>
                </w:tcPr>
                <w:p>
                  <w:pPr>
                    <w:pStyle w:val="103"/>
                    <w:adjustRightInd/>
                    <w:snapToGrid/>
                  </w:pPr>
                  <w:r>
                    <w:t>3</w:t>
                  </w:r>
                  <w:r>
                    <w:rPr>
                      <w:rFonts w:hint="eastAsia"/>
                    </w:rPr>
                    <w:t>类</w:t>
                  </w:r>
                </w:p>
              </w:tc>
              <w:tc>
                <w:tcPr>
                  <w:tcW w:w="2837" w:type="dxa"/>
                  <w:tcBorders>
                    <w:top w:val="single" w:color="auto" w:sz="6" w:space="0"/>
                    <w:left w:val="single" w:color="auto" w:sz="6" w:space="0"/>
                    <w:bottom w:val="single" w:color="auto" w:sz="12" w:space="0"/>
                    <w:right w:val="single" w:color="auto" w:sz="6" w:space="0"/>
                  </w:tcBorders>
                  <w:vAlign w:val="center"/>
                </w:tcPr>
                <w:p>
                  <w:pPr>
                    <w:pStyle w:val="103"/>
                    <w:adjustRightInd/>
                    <w:snapToGrid/>
                  </w:pPr>
                  <w:r>
                    <w:t>65</w:t>
                  </w:r>
                </w:p>
              </w:tc>
              <w:tc>
                <w:tcPr>
                  <w:tcW w:w="2788" w:type="dxa"/>
                  <w:tcBorders>
                    <w:top w:val="single" w:color="auto" w:sz="6" w:space="0"/>
                    <w:left w:val="single" w:color="auto" w:sz="6" w:space="0"/>
                    <w:bottom w:val="single" w:color="auto" w:sz="12" w:space="0"/>
                  </w:tcBorders>
                  <w:vAlign w:val="center"/>
                </w:tcPr>
                <w:p>
                  <w:pPr>
                    <w:pStyle w:val="103"/>
                    <w:adjustRightInd/>
                    <w:snapToGrid/>
                  </w:pPr>
                  <w:r>
                    <w:t>55</w:t>
                  </w:r>
                </w:p>
              </w:tc>
            </w:tr>
          </w:tbl>
          <w:p>
            <w:pPr>
              <w:pStyle w:val="83"/>
              <w:adjustRightInd/>
              <w:snapToGrid/>
              <w:rPr>
                <w:color w:val="auto"/>
                <w:sz w:val="28"/>
              </w:rPr>
            </w:pPr>
            <w:r>
              <w:rPr>
                <w:color w:val="auto"/>
                <w:sz w:val="28"/>
              </w:rPr>
              <w:t>3.3.4</w:t>
            </w:r>
            <w:r>
              <w:rPr>
                <w:rFonts w:hint="eastAsia"/>
                <w:color w:val="auto"/>
                <w:sz w:val="28"/>
              </w:rPr>
              <w:t>固体废物污染物排放标准</w:t>
            </w:r>
          </w:p>
          <w:p>
            <w:pPr>
              <w:pStyle w:val="99"/>
              <w:adjustRightInd/>
              <w:snapToGrid/>
              <w:ind w:firstLine="31680"/>
              <w:rPr>
                <w:color w:val="auto"/>
              </w:rPr>
            </w:pPr>
            <w:r>
              <w:rPr>
                <w:rFonts w:hint="eastAsia"/>
                <w:color w:val="auto"/>
              </w:rPr>
              <w:t>一般工业固体废物贮存、处置执行《一般工业固体废物贮存和填埋污染控制标准》（</w:t>
            </w:r>
            <w:r>
              <w:rPr>
                <w:color w:val="auto"/>
              </w:rPr>
              <w:t>GB18599-2020</w:t>
            </w:r>
            <w:r>
              <w:rPr>
                <w:rFonts w:hint="eastAsia"/>
                <w:color w:val="auto"/>
              </w:rPr>
              <w:t>）（生态环境部公告</w:t>
            </w:r>
            <w:r>
              <w:rPr>
                <w:color w:val="auto"/>
              </w:rPr>
              <w:t>2020</w:t>
            </w:r>
            <w:r>
              <w:rPr>
                <w:rFonts w:hint="eastAsia"/>
                <w:color w:val="auto"/>
              </w:rPr>
              <w:t>年第</w:t>
            </w:r>
            <w:r>
              <w:rPr>
                <w:color w:val="auto"/>
              </w:rPr>
              <w:t>65</w:t>
            </w:r>
            <w:r>
              <w:rPr>
                <w:rFonts w:hint="eastAsia"/>
                <w:color w:val="auto"/>
              </w:rPr>
              <w:t>号）；危险废物的贮存、处置执行《危险废物贮存污染控制标准》（</w:t>
            </w:r>
            <w:r>
              <w:rPr>
                <w:color w:val="auto"/>
              </w:rPr>
              <w:t>GB18597-2023</w:t>
            </w:r>
            <w:r>
              <w:rPr>
                <w:rFonts w:hint="eastAsia"/>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396" w:type="dxa"/>
            <w:tcBorders>
              <w:bottom w:val="single" w:color="auto" w:sz="8" w:space="0"/>
            </w:tcBorders>
            <w:vAlign w:val="center"/>
          </w:tcPr>
          <w:p>
            <w:pPr>
              <w:jc w:val="center"/>
              <w:rPr>
                <w:kern w:val="0"/>
                <w:szCs w:val="21"/>
              </w:rPr>
            </w:pPr>
            <w:r>
              <w:rPr>
                <w:rFonts w:hint="eastAsia"/>
                <w:kern w:val="0"/>
                <w:szCs w:val="21"/>
              </w:rPr>
              <w:t>总量</w:t>
            </w:r>
          </w:p>
          <w:p>
            <w:pPr>
              <w:jc w:val="center"/>
              <w:rPr>
                <w:kern w:val="0"/>
                <w:szCs w:val="21"/>
              </w:rPr>
            </w:pPr>
            <w:r>
              <w:rPr>
                <w:rFonts w:hint="eastAsia"/>
                <w:kern w:val="0"/>
                <w:szCs w:val="21"/>
              </w:rPr>
              <w:t>控制</w:t>
            </w:r>
          </w:p>
          <w:p>
            <w:pPr>
              <w:jc w:val="center"/>
              <w:rPr>
                <w:kern w:val="0"/>
                <w:szCs w:val="21"/>
              </w:rPr>
            </w:pPr>
            <w:r>
              <w:rPr>
                <w:rFonts w:hint="eastAsia"/>
                <w:kern w:val="0"/>
                <w:szCs w:val="21"/>
              </w:rPr>
              <w:t>指标</w:t>
            </w:r>
          </w:p>
        </w:tc>
        <w:tc>
          <w:tcPr>
            <w:tcW w:w="8665" w:type="dxa"/>
            <w:tcBorders>
              <w:bottom w:val="single" w:color="auto" w:sz="8" w:space="0"/>
            </w:tcBorders>
            <w:vAlign w:val="center"/>
          </w:tcPr>
          <w:p>
            <w:pPr>
              <w:pStyle w:val="83"/>
              <w:adjustRightInd/>
              <w:snapToGrid/>
              <w:rPr>
                <w:color w:val="auto"/>
              </w:rPr>
            </w:pPr>
            <w:r>
              <w:rPr>
                <w:color w:val="auto"/>
              </w:rPr>
              <w:t>3.4</w:t>
            </w:r>
            <w:r>
              <w:rPr>
                <w:rFonts w:hint="eastAsia"/>
                <w:color w:val="auto"/>
              </w:rPr>
              <w:t>总量控制分析</w:t>
            </w:r>
          </w:p>
          <w:p>
            <w:pPr>
              <w:pStyle w:val="83"/>
              <w:adjustRightInd/>
              <w:snapToGrid/>
              <w:rPr>
                <w:color w:val="auto"/>
                <w:sz w:val="28"/>
              </w:rPr>
            </w:pPr>
            <w:r>
              <w:rPr>
                <w:color w:val="auto"/>
                <w:sz w:val="28"/>
              </w:rPr>
              <w:t>3.4.1</w:t>
            </w:r>
            <w:r>
              <w:rPr>
                <w:rFonts w:hint="eastAsia"/>
                <w:color w:val="auto"/>
                <w:sz w:val="28"/>
              </w:rPr>
              <w:t>总量控制因子</w:t>
            </w:r>
          </w:p>
          <w:p>
            <w:pPr>
              <w:pStyle w:val="67"/>
              <w:ind w:firstLine="31680"/>
            </w:pPr>
            <w:r>
              <w:rPr>
                <w:rFonts w:hint="eastAsia"/>
              </w:rPr>
              <w:t>根据《福建省人民政府办公厅关于印发福建省“十四五”生态环境保护专项规划的通知》（闽政办〔</w:t>
            </w:r>
            <w:r>
              <w:t>2021</w:t>
            </w:r>
            <w:r>
              <w:rPr>
                <w:rFonts w:hint="eastAsia"/>
              </w:rPr>
              <w:t>〕</w:t>
            </w:r>
            <w:r>
              <w:t>59</w:t>
            </w:r>
            <w:r>
              <w:rPr>
                <w:rFonts w:hint="eastAsia"/>
              </w:rPr>
              <w:t>号）的要求，福建省“十四五”规划主要控制污染物质指标为</w:t>
            </w:r>
            <w:r>
              <w:t>COD</w:t>
            </w:r>
            <w:r>
              <w:rPr>
                <w:vertAlign w:val="subscript"/>
              </w:rPr>
              <w:t>cr</w:t>
            </w:r>
            <w:r>
              <w:rPr>
                <w:rFonts w:hint="eastAsia"/>
              </w:rPr>
              <w:t>、</w:t>
            </w:r>
            <w:r>
              <w:t>NH</w:t>
            </w:r>
            <w:r>
              <w:rPr>
                <w:vertAlign w:val="subscript"/>
              </w:rPr>
              <w:t>3</w:t>
            </w:r>
            <w:r>
              <w:t>-N</w:t>
            </w:r>
            <w:r>
              <w:rPr>
                <w:rFonts w:hint="eastAsia"/>
              </w:rPr>
              <w:t>、</w:t>
            </w:r>
            <w:r>
              <w:t>SO</w:t>
            </w:r>
            <w:r>
              <w:rPr>
                <w:vertAlign w:val="subscript"/>
              </w:rPr>
              <w:t>2</w:t>
            </w:r>
            <w:r>
              <w:rPr>
                <w:rFonts w:hint="eastAsia"/>
              </w:rPr>
              <w:t>、</w:t>
            </w:r>
            <w:r>
              <w:t>NO</w:t>
            </w:r>
            <w:r>
              <w:rPr>
                <w:vertAlign w:val="subscript"/>
              </w:rPr>
              <w:t>x</w:t>
            </w:r>
            <w:r>
              <w:rPr>
                <w:rFonts w:hint="eastAsia"/>
              </w:rPr>
              <w:t>。</w:t>
            </w:r>
          </w:p>
          <w:p>
            <w:pPr>
              <w:pStyle w:val="83"/>
              <w:adjustRightInd/>
              <w:snapToGrid/>
              <w:rPr>
                <w:color w:val="auto"/>
                <w:sz w:val="28"/>
              </w:rPr>
            </w:pPr>
            <w:r>
              <w:rPr>
                <w:color w:val="auto"/>
                <w:sz w:val="28"/>
              </w:rPr>
              <w:t>3.4.2</w:t>
            </w:r>
            <w:r>
              <w:rPr>
                <w:rFonts w:hint="eastAsia"/>
                <w:color w:val="auto"/>
                <w:sz w:val="28"/>
              </w:rPr>
              <w:t>污染物总量控制指标</w:t>
            </w:r>
          </w:p>
          <w:p>
            <w:pPr>
              <w:pStyle w:val="115"/>
              <w:adjustRightInd/>
              <w:snapToGrid/>
              <w:ind w:firstLine="31680"/>
              <w:rPr>
                <w:color w:val="auto"/>
                <w:szCs w:val="24"/>
              </w:rPr>
            </w:pPr>
            <w:r>
              <w:rPr>
                <w:rFonts w:hint="eastAsia"/>
                <w:color w:val="auto"/>
                <w:szCs w:val="24"/>
              </w:rPr>
              <w:t>本项目无生产废水外排。生活污水经化粪池处理后进入</w:t>
            </w:r>
            <w:r>
              <w:rPr>
                <w:rFonts w:hint="eastAsia"/>
                <w:color w:val="auto"/>
              </w:rPr>
              <w:t>尼葛污水处理厂</w:t>
            </w:r>
            <w:r>
              <w:rPr>
                <w:rFonts w:hint="eastAsia"/>
                <w:color w:val="auto"/>
                <w:szCs w:val="24"/>
              </w:rPr>
              <w:t>集中处理。本项目主要污染物为生产过程中石英粉生产线投料、破碎、筛分</w:t>
            </w:r>
            <w:r>
              <w:rPr>
                <w:rFonts w:hint="eastAsia"/>
                <w:color w:val="auto"/>
              </w:rPr>
              <w:t>及硅酸钙板磨边</w:t>
            </w:r>
            <w:r>
              <w:rPr>
                <w:rFonts w:hint="eastAsia"/>
                <w:color w:val="auto"/>
                <w:szCs w:val="24"/>
              </w:rPr>
              <w:t>产生的粉尘（颗粒物），建议将颗粒物纳入本项目污染物排放总量指标，本项目颗粒物排放量为</w:t>
            </w:r>
            <w:r>
              <w:rPr>
                <w:color w:val="auto"/>
                <w:szCs w:val="24"/>
              </w:rPr>
              <w:t>2.148t/a</w:t>
            </w:r>
            <w:r>
              <w:rPr>
                <w:rFonts w:hint="eastAsia"/>
                <w:color w:val="auto"/>
                <w:szCs w:val="24"/>
              </w:rPr>
              <w:t>，其中有组织排放量</w:t>
            </w:r>
            <w:r>
              <w:rPr>
                <w:color w:val="auto"/>
                <w:szCs w:val="24"/>
              </w:rPr>
              <w:t>0.588t/a</w:t>
            </w:r>
            <w:r>
              <w:rPr>
                <w:rFonts w:hint="eastAsia"/>
                <w:color w:val="auto"/>
                <w:szCs w:val="24"/>
              </w:rPr>
              <w:t>，无组织排放量</w:t>
            </w:r>
            <w:r>
              <w:rPr>
                <w:color w:val="auto"/>
                <w:szCs w:val="24"/>
              </w:rPr>
              <w:t>1.56t/a</w:t>
            </w:r>
            <w:r>
              <w:rPr>
                <w:rFonts w:hint="eastAsia"/>
                <w:color w:val="auto"/>
                <w:szCs w:val="24"/>
              </w:rPr>
              <w:t>。</w:t>
            </w:r>
          </w:p>
          <w:p>
            <w:pPr>
              <w:pStyle w:val="115"/>
              <w:adjustRightInd/>
              <w:snapToGrid/>
              <w:ind w:firstLine="31680"/>
              <w:rPr>
                <w:color w:val="auto"/>
                <w:szCs w:val="21"/>
              </w:rPr>
            </w:pPr>
          </w:p>
        </w:tc>
      </w:tr>
    </w:tbl>
    <w:p>
      <w:pPr>
        <w:pStyle w:val="65"/>
        <w:adjustRightInd/>
        <w:snapToGrid/>
      </w:pPr>
      <w:r>
        <w:rPr>
          <w:sz w:val="36"/>
          <w:szCs w:val="36"/>
        </w:rPr>
        <w:br w:type="page"/>
      </w:r>
      <w:r>
        <w:rPr>
          <w:rFonts w:hint="eastAsia"/>
        </w:rPr>
        <w:t>四、主要环境影响和保护措施</w:t>
      </w: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5"/>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35" w:hRule="atLeast"/>
          <w:jc w:val="center"/>
        </w:trPr>
        <w:tc>
          <w:tcPr>
            <w:tcW w:w="345" w:type="dxa"/>
            <w:tcBorders>
              <w:top w:val="single" w:color="auto" w:sz="8" w:space="0"/>
            </w:tcBorders>
            <w:tcMar>
              <w:left w:w="28" w:type="dxa"/>
              <w:right w:w="28" w:type="dxa"/>
            </w:tcMar>
            <w:vAlign w:val="center"/>
          </w:tcPr>
          <w:p>
            <w:pPr>
              <w:pStyle w:val="25"/>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施工</w:t>
            </w:r>
          </w:p>
          <w:p>
            <w:pPr>
              <w:pStyle w:val="25"/>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期环</w:t>
            </w:r>
          </w:p>
          <w:p>
            <w:pPr>
              <w:pStyle w:val="25"/>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境保</w:t>
            </w:r>
          </w:p>
          <w:p>
            <w:pPr>
              <w:pStyle w:val="25"/>
              <w:spacing w:before="0" w:beforeAutospacing="0" w:after="0" w:afterAutospacing="0"/>
              <w:jc w:val="center"/>
              <w:rPr>
                <w:rFonts w:ascii="Times New Roman" w:hAnsi="Times New Roman"/>
                <w:color w:val="auto"/>
                <w:kern w:val="2"/>
                <w:sz w:val="21"/>
                <w:szCs w:val="21"/>
              </w:rPr>
            </w:pPr>
            <w:r>
              <w:rPr>
                <w:rFonts w:hint="eastAsia" w:ascii="Times New Roman" w:hAnsi="Times New Roman"/>
                <w:color w:val="auto"/>
                <w:kern w:val="2"/>
                <w:sz w:val="21"/>
                <w:szCs w:val="21"/>
              </w:rPr>
              <w:t>护措</w:t>
            </w:r>
          </w:p>
          <w:p>
            <w:pPr>
              <w:pStyle w:val="25"/>
              <w:spacing w:before="0" w:beforeAutospacing="0" w:after="0" w:afterAutospacing="0"/>
              <w:jc w:val="center"/>
              <w:rPr>
                <w:rFonts w:ascii="Times New Roman" w:hAnsi="Times New Roman"/>
                <w:bCs/>
                <w:color w:val="auto"/>
                <w:kern w:val="2"/>
                <w:sz w:val="21"/>
                <w:szCs w:val="21"/>
              </w:rPr>
            </w:pPr>
            <w:r>
              <w:rPr>
                <w:rFonts w:hint="eastAsia" w:ascii="Times New Roman" w:hAnsi="Times New Roman"/>
                <w:color w:val="auto"/>
                <w:kern w:val="2"/>
                <w:sz w:val="21"/>
                <w:szCs w:val="21"/>
              </w:rPr>
              <w:t>施</w:t>
            </w:r>
          </w:p>
        </w:tc>
        <w:tc>
          <w:tcPr>
            <w:tcW w:w="8636" w:type="dxa"/>
            <w:tcBorders>
              <w:top w:val="single" w:color="auto" w:sz="8" w:space="0"/>
            </w:tcBorders>
            <w:vAlign w:val="center"/>
          </w:tcPr>
          <w:p>
            <w:pPr>
              <w:pStyle w:val="83"/>
              <w:adjustRightInd/>
              <w:snapToGrid/>
              <w:ind w:firstLine="480" w:firstLineChars="200"/>
              <w:rPr>
                <w:rFonts w:eastAsia="宋体"/>
                <w:color w:val="auto"/>
                <w:sz w:val="24"/>
                <w:szCs w:val="24"/>
              </w:rPr>
            </w:pPr>
            <w:bookmarkStart w:id="9" w:name="_Toc127724399"/>
            <w:r>
              <w:rPr>
                <w:rFonts w:hint="eastAsia" w:eastAsia="宋体"/>
                <w:color w:val="auto"/>
                <w:sz w:val="24"/>
                <w:szCs w:val="24"/>
              </w:rPr>
              <w:t>本项目施工内容主要包括厂房及原料库建设、设备安装、地面硬化、厂区道路建设以及配套环保设施安装等。</w:t>
            </w:r>
          </w:p>
          <w:p>
            <w:pPr>
              <w:pStyle w:val="83"/>
              <w:adjustRightInd/>
              <w:snapToGrid/>
              <w:rPr>
                <w:color w:val="auto"/>
              </w:rPr>
            </w:pPr>
            <w:r>
              <w:rPr>
                <w:color w:val="auto"/>
              </w:rPr>
              <w:t>4.1</w:t>
            </w:r>
            <w:r>
              <w:rPr>
                <w:rFonts w:hint="eastAsia"/>
                <w:color w:val="auto"/>
              </w:rPr>
              <w:t>施工期环境保护措施</w:t>
            </w:r>
            <w:bookmarkEnd w:id="9"/>
          </w:p>
          <w:p>
            <w:pPr>
              <w:pStyle w:val="83"/>
              <w:adjustRightInd/>
              <w:snapToGrid/>
              <w:rPr>
                <w:color w:val="auto"/>
                <w:sz w:val="28"/>
              </w:rPr>
            </w:pPr>
            <w:bookmarkStart w:id="10" w:name="_Toc127724400"/>
            <w:r>
              <w:rPr>
                <w:color w:val="auto"/>
                <w:sz w:val="28"/>
              </w:rPr>
              <w:t>4.1.1</w:t>
            </w:r>
            <w:r>
              <w:rPr>
                <w:rFonts w:hint="eastAsia"/>
                <w:color w:val="auto"/>
                <w:sz w:val="28"/>
              </w:rPr>
              <w:t>施工扬尘、设备废气防治措施</w:t>
            </w:r>
            <w:bookmarkEnd w:id="10"/>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1</w:t>
            </w:r>
            <w:r>
              <w:rPr>
                <w:rFonts w:hint="eastAsia" w:ascii="Times New Roman" w:cs="Times New Roman"/>
                <w:color w:val="auto"/>
              </w:rPr>
              <w:t>）严格控制车辆超载，尽量避免沙土撒漏，对运送可能产生扬尘的建材，车辆应实行密闭运输，减少二次扬尘产生的来源；</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2</w:t>
            </w:r>
            <w:r>
              <w:rPr>
                <w:rFonts w:hint="eastAsia" w:ascii="Times New Roman" w:cs="Times New Roman"/>
                <w:color w:val="auto"/>
              </w:rPr>
              <w:t>）场地应经常洒水，增强尘土的黏结能力，防止二次扬尘的产生。另外，通过对场地内汽车行驶路面勤洒水，可使空气中粉尘量减少</w:t>
            </w:r>
            <w:r>
              <w:rPr>
                <w:rFonts w:ascii="Times New Roman" w:cs="Times New Roman"/>
                <w:color w:val="auto"/>
              </w:rPr>
              <w:t>70</w:t>
            </w:r>
            <w:r>
              <w:rPr>
                <w:rFonts w:hint="eastAsia" w:ascii="Times New Roman" w:cs="Times New Roman"/>
                <w:color w:val="auto"/>
              </w:rPr>
              <w:t>％左右，起到很好的降尘效果。施工现场周边应设置符合建设部等部委规定的围栏设施，实行封闭或者隔离施工，防止粉尘污染；施工车辆出入口应设有水枪及沉沙池，施工、运输车辆驶出工地前应当冲洗，防止粉尘飘扬，出行车辆必须清洗干净方可上路；</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3</w:t>
            </w:r>
            <w:r>
              <w:rPr>
                <w:rFonts w:hint="eastAsia" w:ascii="Times New Roman" w:cs="Times New Roman"/>
                <w:color w:val="auto"/>
              </w:rPr>
              <w:t>）建筑材料临时仓库应设在距离周边企业较远的场地，以减轻物料运输、装卸、利用时对周边环境的影响；</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4</w:t>
            </w:r>
            <w:r>
              <w:rPr>
                <w:rFonts w:hint="eastAsia" w:ascii="Times New Roman" w:cs="Times New Roman"/>
                <w:color w:val="auto"/>
              </w:rPr>
              <w:t>）施工应使用商品混凝土，禁止在施工现场搅拌，以防产生扬尘，建筑弃土存放时应当采取封闭、覆盖及其他有效防尘措施；</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5</w:t>
            </w:r>
            <w:r>
              <w:rPr>
                <w:rFonts w:hint="eastAsia" w:ascii="Times New Roman" w:cs="Times New Roman"/>
                <w:color w:val="auto"/>
              </w:rPr>
              <w:t>）建设单位在工程概算中应包括用于施工过程扬尘污染控制的专项资金，施工单位必须保证此项资金专款专用；</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6</w:t>
            </w:r>
            <w:r>
              <w:rPr>
                <w:rFonts w:hint="eastAsia" w:ascii="Times New Roman" w:cs="Times New Roman"/>
                <w:color w:val="auto"/>
              </w:rPr>
              <w:t>）装卸作业、清理施工弃土、清扫施工场地以及其他可能产生粉尘污染的施工，施工单位应当采取洒水、喷淋、覆盖、隔离等有效的防尘措施；</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7</w:t>
            </w:r>
            <w:r>
              <w:rPr>
                <w:rFonts w:hint="eastAsia" w:ascii="Times New Roman" w:cs="Times New Roman"/>
                <w:color w:val="auto"/>
              </w:rPr>
              <w:t>）施工中的机械等由于燃油产生的</w:t>
            </w:r>
            <w:r>
              <w:rPr>
                <w:rFonts w:ascii="Times New Roman" w:cs="Times New Roman"/>
                <w:color w:val="auto"/>
              </w:rPr>
              <w:t>SO</w:t>
            </w:r>
            <w:r>
              <w:rPr>
                <w:rFonts w:ascii="Times New Roman" w:cs="Times New Roman"/>
                <w:color w:val="auto"/>
                <w:vertAlign w:val="subscript"/>
              </w:rPr>
              <w:t>2</w:t>
            </w:r>
            <w:r>
              <w:rPr>
                <w:rFonts w:hint="eastAsia" w:ascii="Times New Roman" w:cs="Times New Roman"/>
                <w:color w:val="auto"/>
              </w:rPr>
              <w:t>、</w:t>
            </w:r>
            <w:r>
              <w:rPr>
                <w:rFonts w:ascii="Times New Roman" w:cs="Times New Roman"/>
                <w:color w:val="auto"/>
              </w:rPr>
              <w:t>NO</w:t>
            </w:r>
            <w:r>
              <w:rPr>
                <w:rFonts w:ascii="Times New Roman" w:cs="Times New Roman"/>
                <w:color w:val="auto"/>
                <w:vertAlign w:val="subscript"/>
              </w:rPr>
              <w:t>2</w:t>
            </w:r>
            <w:r>
              <w:rPr>
                <w:rFonts w:hint="eastAsia" w:ascii="Times New Roman" w:cs="Times New Roman"/>
                <w:color w:val="auto"/>
              </w:rPr>
              <w:t>等废气的排放对大气环境也将有一定的影响，但这些污染物的源强不大，影响时间也较短，对周围敏感目标的污染影响较小。</w:t>
            </w:r>
          </w:p>
          <w:p>
            <w:pPr>
              <w:pStyle w:val="83"/>
              <w:adjustRightInd/>
              <w:snapToGrid/>
              <w:rPr>
                <w:color w:val="auto"/>
                <w:sz w:val="28"/>
              </w:rPr>
            </w:pPr>
            <w:bookmarkStart w:id="11" w:name="_Toc127724401"/>
            <w:r>
              <w:rPr>
                <w:color w:val="auto"/>
                <w:sz w:val="28"/>
              </w:rPr>
              <w:t>4.1.2</w:t>
            </w:r>
            <w:r>
              <w:rPr>
                <w:rFonts w:hint="eastAsia"/>
                <w:color w:val="auto"/>
                <w:sz w:val="28"/>
              </w:rPr>
              <w:t>施工废水防治措施</w:t>
            </w:r>
            <w:bookmarkEnd w:id="11"/>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1</w:t>
            </w:r>
            <w:r>
              <w:rPr>
                <w:rFonts w:hint="eastAsia" w:ascii="Times New Roman" w:cs="Times New Roman"/>
                <w:color w:val="auto"/>
              </w:rPr>
              <w:t>）施工现场应设临时雨污分流排水设施，修建临时隔油池、沉淀池。施工设备、运输车辆冲洗集中设置沉淀池，产生的冲洗废水和施工产生的泥浆及含有废油的泥浆的污水经隔油池、沉淀池处理后可用于场内降尘、车辆冲洗等用水。施工单位定期对临时隔油池浮油进行收集，按照危险废物进行管理处置。临时隔油池、沉淀池在施工结束后改造成车辆清洗池，具体见附图</w:t>
            </w:r>
            <w:r>
              <w:rPr>
                <w:rFonts w:ascii="Times New Roman" w:cs="Times New Roman"/>
                <w:color w:val="auto"/>
              </w:rPr>
              <w:t>2</w:t>
            </w:r>
            <w:r>
              <w:rPr>
                <w:rFonts w:hint="eastAsia" w:ascii="Times New Roman" w:cs="Times New Roman"/>
                <w:color w:val="auto"/>
              </w:rPr>
              <w:t>。</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2</w:t>
            </w:r>
            <w:r>
              <w:rPr>
                <w:rFonts w:hint="eastAsia" w:ascii="Times New Roman" w:cs="Times New Roman"/>
                <w:color w:val="auto"/>
              </w:rPr>
              <w:t>）施工人员生活污水由厂区化粪池处理后经市政污水管网进入尼葛污水处理厂处理。</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3</w:t>
            </w:r>
            <w:r>
              <w:rPr>
                <w:rFonts w:hint="eastAsia" w:ascii="Times New Roman" w:cs="Times New Roman"/>
                <w:color w:val="auto"/>
              </w:rPr>
              <w:t>）水泥、砂、石灰类的建筑材料需集中堆放，尽量减少物料流失、散落和溢流现象，并采取一定的防雨措施，及时清扫施工运输过程中抛洒的上述建筑材料，以免这些物质随雨水冲刷污染附近水体。</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4</w:t>
            </w:r>
            <w:r>
              <w:rPr>
                <w:rFonts w:hint="eastAsia" w:ascii="Times New Roman" w:cs="Times New Roman"/>
                <w:color w:val="auto"/>
              </w:rPr>
              <w:t>）合理安排施工时间，挖填土方应尽量避开雨天，开挖的泥沙应及时回填压实，避免沙土因雨水冲刷造成水土流失对周边市政污水管网堵塞。</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5</w:t>
            </w:r>
            <w:r>
              <w:rPr>
                <w:rFonts w:hint="eastAsia" w:ascii="Times New Roman" w:cs="Times New Roman"/>
                <w:color w:val="auto"/>
              </w:rPr>
              <w:t>）严格施工管理、文明施工，加强对机器设备的维护和保养，防止发生漏油现象。</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6</w:t>
            </w:r>
            <w:r>
              <w:rPr>
                <w:rFonts w:hint="eastAsia" w:ascii="Times New Roman" w:cs="Times New Roman"/>
                <w:color w:val="auto"/>
              </w:rPr>
              <w:t>）施工现场的建筑材料应尽量采用仓库或封闭式原料库贮存，避免暴雨时因雨水冲刷而造成对周边市政污水管网堵塞。</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7</w:t>
            </w:r>
            <w:r>
              <w:rPr>
                <w:rFonts w:hint="eastAsia" w:ascii="Times New Roman" w:cs="Times New Roman"/>
                <w:color w:val="auto"/>
              </w:rPr>
              <w:t>）施工期在雨季可能遇到暴雨天气，施工场地的地面径流雨水将含有大量悬浮物，施工单位应在施工场地周边做好防护措施，收集的雨水经沉淀池沉淀后方可溢流。</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8</w:t>
            </w:r>
            <w:r>
              <w:rPr>
                <w:rFonts w:hint="eastAsia" w:ascii="Times New Roman" w:cs="Times New Roman"/>
                <w:color w:val="auto"/>
              </w:rPr>
              <w:t>）加强现场管理，及时疏通排水沟，避免工地污水随地漫流，影响周边环境。</w:t>
            </w:r>
          </w:p>
          <w:p>
            <w:pPr>
              <w:pStyle w:val="83"/>
              <w:adjustRightInd/>
              <w:snapToGrid/>
              <w:rPr>
                <w:color w:val="auto"/>
                <w:sz w:val="28"/>
              </w:rPr>
            </w:pPr>
            <w:bookmarkStart w:id="12" w:name="_Toc127724402"/>
            <w:r>
              <w:rPr>
                <w:color w:val="auto"/>
                <w:sz w:val="28"/>
              </w:rPr>
              <w:t>4.1.3</w:t>
            </w:r>
            <w:r>
              <w:rPr>
                <w:rFonts w:hint="eastAsia"/>
                <w:color w:val="auto"/>
                <w:sz w:val="28"/>
              </w:rPr>
              <w:t>施工噪声防治措施</w:t>
            </w:r>
            <w:bookmarkEnd w:id="12"/>
          </w:p>
          <w:p>
            <w:pPr>
              <w:pStyle w:val="124"/>
              <w:spacing w:line="360" w:lineRule="auto"/>
              <w:ind w:firstLine="480" w:firstLineChars="200"/>
              <w:rPr>
                <w:rFonts w:ascii="Times New Roman" w:cs="Times New Roman"/>
                <w:color w:val="auto"/>
              </w:rPr>
            </w:pPr>
            <w:r>
              <w:rPr>
                <w:rFonts w:hint="eastAsia" w:ascii="Times New Roman" w:cs="Times New Roman"/>
                <w:color w:val="auto"/>
              </w:rPr>
              <w:t>施工噪声尤其是夜间的施工噪声对周边环境影响较大，建议施工方采取以下措施以避免或减缓施工噪声对周围环境产生的不利影响：</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1</w:t>
            </w:r>
            <w:r>
              <w:rPr>
                <w:rFonts w:hint="eastAsia" w:ascii="Times New Roman" w:cs="Times New Roman"/>
                <w:color w:val="auto"/>
              </w:rPr>
              <w:t>）施工现场施工单位必须执行《建筑施工场界环境噪声排放标准》</w:t>
            </w:r>
            <w:r>
              <w:rPr>
                <w:rFonts w:ascii="Times New Roman" w:cs="Times New Roman"/>
                <w:color w:val="auto"/>
              </w:rPr>
              <w:t>(GB12523-2011)</w:t>
            </w:r>
            <w:r>
              <w:rPr>
                <w:rFonts w:hint="eastAsia" w:ascii="Times New Roman" w:cs="Times New Roman"/>
                <w:color w:val="auto"/>
              </w:rPr>
              <w:t>中的各项规定，及时了解施工噪声排放强度。</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2</w:t>
            </w:r>
            <w:r>
              <w:rPr>
                <w:rFonts w:hint="eastAsia" w:ascii="Times New Roman" w:cs="Times New Roman"/>
                <w:color w:val="auto"/>
              </w:rPr>
              <w:t>）采用较先进、噪声较低的施工设备，限制高噪声设备的施工时段，必要时高噪声的施工机械应采取隔声、降噪措施，减轻对周围环境的影响。</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3</w:t>
            </w:r>
            <w:r>
              <w:rPr>
                <w:rFonts w:hint="eastAsia" w:ascii="Times New Roman" w:cs="Times New Roman"/>
                <w:color w:val="auto"/>
              </w:rPr>
              <w:t>）合理的安排施工时间，将噪声级大的工作尽量安排昼间非休息时段，高噪声源设备禁止在</w:t>
            </w:r>
            <w:r>
              <w:rPr>
                <w:rFonts w:ascii="Times New Roman" w:cs="Times New Roman"/>
                <w:color w:val="auto"/>
              </w:rPr>
              <w:t>22</w:t>
            </w:r>
            <w:r>
              <w:rPr>
                <w:rFonts w:hint="eastAsia" w:ascii="Times New Roman" w:cs="Times New Roman"/>
                <w:color w:val="auto"/>
              </w:rPr>
              <w:t>：</w:t>
            </w:r>
            <w:r>
              <w:rPr>
                <w:rFonts w:ascii="Times New Roman" w:cs="Times New Roman"/>
                <w:color w:val="auto"/>
              </w:rPr>
              <w:t>00-6</w:t>
            </w:r>
            <w:r>
              <w:rPr>
                <w:rFonts w:hint="eastAsia" w:ascii="Times New Roman" w:cs="Times New Roman"/>
                <w:color w:val="auto"/>
              </w:rPr>
              <w:t>：</w:t>
            </w:r>
            <w:r>
              <w:rPr>
                <w:rFonts w:ascii="Times New Roman" w:cs="Times New Roman"/>
                <w:color w:val="auto"/>
              </w:rPr>
              <w:t>00</w:t>
            </w:r>
            <w:r>
              <w:rPr>
                <w:rFonts w:hint="eastAsia" w:ascii="Times New Roman" w:cs="Times New Roman"/>
                <w:color w:val="auto"/>
              </w:rPr>
              <w:t>及</w:t>
            </w:r>
            <w:r>
              <w:rPr>
                <w:rFonts w:ascii="Times New Roman" w:cs="Times New Roman"/>
                <w:color w:val="auto"/>
              </w:rPr>
              <w:t>12</w:t>
            </w:r>
            <w:r>
              <w:rPr>
                <w:rFonts w:hint="eastAsia" w:ascii="Times New Roman" w:cs="Times New Roman"/>
                <w:color w:val="auto"/>
              </w:rPr>
              <w:t>：</w:t>
            </w:r>
            <w:r>
              <w:rPr>
                <w:rFonts w:ascii="Times New Roman" w:cs="Times New Roman"/>
                <w:color w:val="auto"/>
              </w:rPr>
              <w:t>00-14</w:t>
            </w:r>
            <w:r>
              <w:rPr>
                <w:rFonts w:hint="eastAsia" w:ascii="Times New Roman" w:cs="Times New Roman"/>
                <w:color w:val="auto"/>
              </w:rPr>
              <w:t>：</w:t>
            </w:r>
            <w:r>
              <w:rPr>
                <w:rFonts w:ascii="Times New Roman" w:cs="Times New Roman"/>
                <w:color w:val="auto"/>
              </w:rPr>
              <w:t>30</w:t>
            </w:r>
            <w:r>
              <w:rPr>
                <w:rFonts w:hint="eastAsia" w:ascii="Times New Roman" w:cs="Times New Roman"/>
                <w:color w:val="auto"/>
              </w:rPr>
              <w:t>施工；对因特殊需要在夜间进行超过噪声限值施工的，施工前建设单位应向有关部门提出申请，经批准后方可进行夜间施工。项目开工前，施工单位应向环保执法部门门提出申请。</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4</w:t>
            </w:r>
            <w:r>
              <w:rPr>
                <w:rFonts w:hint="eastAsia" w:ascii="Times New Roman" w:cs="Times New Roman"/>
                <w:color w:val="auto"/>
              </w:rPr>
              <w:t>）运输材料的车辆进入施工现场，严禁鸣笛，装卸材料应做到轻拿轻放，并防止人为噪声影响周围安静环境。</w:t>
            </w:r>
          </w:p>
          <w:p>
            <w:pPr>
              <w:pStyle w:val="124"/>
              <w:spacing w:line="360" w:lineRule="auto"/>
              <w:ind w:firstLine="480" w:firstLineChars="200"/>
              <w:rPr>
                <w:rFonts w:ascii="Times New Roman" w:cs="Times New Roman"/>
                <w:color w:val="auto"/>
              </w:rPr>
            </w:pPr>
            <w:r>
              <w:rPr>
                <w:rFonts w:hint="eastAsia" w:ascii="Times New Roman" w:cs="Times New Roman"/>
                <w:color w:val="auto"/>
              </w:rPr>
              <w:t>（</w:t>
            </w:r>
            <w:r>
              <w:rPr>
                <w:rFonts w:ascii="Times New Roman" w:cs="Times New Roman"/>
                <w:color w:val="auto"/>
              </w:rPr>
              <w:t>5</w:t>
            </w:r>
            <w:r>
              <w:rPr>
                <w:rFonts w:hint="eastAsia" w:ascii="Times New Roman" w:cs="Times New Roman"/>
                <w:color w:val="auto"/>
              </w:rPr>
              <w:t>）提高工作效率，加快施工进度，尽可能缩短施工建设对周围环境的影响。</w:t>
            </w:r>
          </w:p>
          <w:p>
            <w:pPr>
              <w:pStyle w:val="83"/>
              <w:adjustRightInd/>
              <w:snapToGrid/>
              <w:rPr>
                <w:color w:val="auto"/>
                <w:sz w:val="28"/>
              </w:rPr>
            </w:pPr>
            <w:bookmarkStart w:id="13" w:name="_Toc127724403"/>
            <w:r>
              <w:rPr>
                <w:color w:val="auto"/>
                <w:sz w:val="28"/>
              </w:rPr>
              <w:t>4.1.4</w:t>
            </w:r>
            <w:r>
              <w:rPr>
                <w:rFonts w:hint="eastAsia"/>
                <w:color w:val="auto"/>
                <w:sz w:val="28"/>
              </w:rPr>
              <w:t>固废处置措施</w:t>
            </w:r>
            <w:bookmarkEnd w:id="13"/>
          </w:p>
          <w:p>
            <w:pPr>
              <w:pStyle w:val="124"/>
              <w:spacing w:line="360" w:lineRule="auto"/>
              <w:ind w:firstLine="480" w:firstLineChars="200"/>
              <w:rPr>
                <w:rFonts w:ascii="Times New Roman" w:cs="Times New Roman"/>
                <w:color w:val="auto"/>
              </w:rPr>
            </w:pPr>
            <w:r>
              <w:rPr>
                <w:rFonts w:hint="eastAsia" w:ascii="Times New Roman" w:cs="Times New Roman"/>
                <w:color w:val="auto"/>
              </w:rPr>
              <w:t>施工现场的建筑垃圾及时清理，落实定点堆放，及时清除，定期运出，净化施工环境，减少二次扬尘产生。</w:t>
            </w:r>
          </w:p>
          <w:p>
            <w:pPr>
              <w:pStyle w:val="99"/>
              <w:adjustRightInd/>
              <w:snapToGrid/>
              <w:ind w:firstLine="31680"/>
              <w:rPr>
                <w:color w:val="auto"/>
              </w:rPr>
            </w:pPr>
            <w:r>
              <w:rPr>
                <w:rFonts w:hint="eastAsia"/>
                <w:color w:val="auto"/>
              </w:rPr>
              <w:t>施工人员的生活垃圾及时清理，由环卫部门清运。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45" w:type="dxa"/>
            <w:tcBorders>
              <w:bottom w:val="single" w:color="auto" w:sz="8" w:space="0"/>
            </w:tcBorders>
            <w:tcMar>
              <w:left w:w="28" w:type="dxa"/>
              <w:right w:w="28" w:type="dxa"/>
            </w:tcMar>
            <w:vAlign w:val="center"/>
          </w:tcPr>
          <w:p>
            <w:pPr>
              <w:jc w:val="center"/>
              <w:rPr>
                <w:bCs/>
                <w:color w:val="auto"/>
                <w:szCs w:val="21"/>
              </w:rPr>
            </w:pPr>
            <w:r>
              <w:rPr>
                <w:rFonts w:hint="eastAsia"/>
                <w:bCs/>
                <w:color w:val="auto"/>
                <w:szCs w:val="21"/>
              </w:rPr>
              <w:t>运营</w:t>
            </w:r>
          </w:p>
          <w:p>
            <w:pPr>
              <w:jc w:val="center"/>
              <w:rPr>
                <w:bCs/>
                <w:color w:val="auto"/>
                <w:szCs w:val="21"/>
              </w:rPr>
            </w:pPr>
            <w:r>
              <w:rPr>
                <w:rFonts w:hint="eastAsia"/>
                <w:bCs/>
                <w:color w:val="auto"/>
                <w:szCs w:val="21"/>
              </w:rPr>
              <w:t>期环</w:t>
            </w:r>
          </w:p>
          <w:p>
            <w:pPr>
              <w:jc w:val="center"/>
              <w:rPr>
                <w:bCs/>
                <w:color w:val="auto"/>
                <w:szCs w:val="21"/>
              </w:rPr>
            </w:pPr>
            <w:r>
              <w:rPr>
                <w:rFonts w:hint="eastAsia"/>
                <w:bCs/>
                <w:color w:val="auto"/>
                <w:szCs w:val="21"/>
              </w:rPr>
              <w:t>境影</w:t>
            </w:r>
          </w:p>
          <w:p>
            <w:pPr>
              <w:jc w:val="center"/>
              <w:rPr>
                <w:bCs/>
                <w:color w:val="auto"/>
                <w:szCs w:val="21"/>
              </w:rPr>
            </w:pPr>
            <w:r>
              <w:rPr>
                <w:rFonts w:hint="eastAsia"/>
                <w:bCs/>
                <w:color w:val="auto"/>
                <w:szCs w:val="21"/>
              </w:rPr>
              <w:t>响和</w:t>
            </w:r>
          </w:p>
          <w:p>
            <w:pPr>
              <w:jc w:val="center"/>
              <w:rPr>
                <w:bCs/>
                <w:color w:val="auto"/>
                <w:szCs w:val="21"/>
              </w:rPr>
            </w:pPr>
            <w:r>
              <w:rPr>
                <w:rFonts w:hint="eastAsia"/>
                <w:bCs/>
                <w:color w:val="auto"/>
                <w:szCs w:val="21"/>
              </w:rPr>
              <w:t>保护</w:t>
            </w:r>
          </w:p>
          <w:p>
            <w:pPr>
              <w:jc w:val="center"/>
              <w:rPr>
                <w:bCs/>
                <w:color w:val="auto"/>
                <w:szCs w:val="21"/>
              </w:rPr>
            </w:pPr>
            <w:r>
              <w:rPr>
                <w:rFonts w:hint="eastAsia"/>
                <w:bCs/>
                <w:color w:val="auto"/>
                <w:szCs w:val="21"/>
              </w:rPr>
              <w:t>措施</w:t>
            </w:r>
          </w:p>
        </w:tc>
        <w:tc>
          <w:tcPr>
            <w:tcW w:w="8636" w:type="dxa"/>
            <w:tcBorders>
              <w:bottom w:val="single" w:color="auto" w:sz="8" w:space="0"/>
            </w:tcBorders>
            <w:vAlign w:val="center"/>
          </w:tcPr>
          <w:p>
            <w:pPr>
              <w:pStyle w:val="83"/>
              <w:adjustRightInd/>
              <w:snapToGrid/>
              <w:rPr>
                <w:color w:val="auto"/>
              </w:rPr>
            </w:pPr>
            <w:r>
              <w:rPr>
                <w:color w:val="auto"/>
              </w:rPr>
              <w:t>4.2</w:t>
            </w:r>
            <w:r>
              <w:rPr>
                <w:rFonts w:hint="eastAsia"/>
                <w:color w:val="auto"/>
              </w:rPr>
              <w:t>运营期环境影响分析及保护措施</w:t>
            </w:r>
          </w:p>
          <w:p>
            <w:pPr>
              <w:pStyle w:val="116"/>
              <w:adjustRightInd/>
              <w:snapToGrid/>
              <w:rPr>
                <w:color w:val="auto"/>
              </w:rPr>
            </w:pPr>
            <w:r>
              <w:rPr>
                <w:color w:val="auto"/>
              </w:rPr>
              <w:t>4.2.1</w:t>
            </w:r>
            <w:r>
              <w:rPr>
                <w:rFonts w:hint="eastAsia"/>
                <w:color w:val="auto"/>
              </w:rPr>
              <w:t>运营期水环境影响分析及保护措施</w:t>
            </w:r>
          </w:p>
          <w:p>
            <w:pPr>
              <w:pStyle w:val="124"/>
              <w:numPr>
                <w:ilvl w:val="0"/>
                <w:numId w:val="3"/>
              </w:numPr>
              <w:spacing w:line="360" w:lineRule="auto"/>
              <w:ind w:firstLine="241" w:firstLineChars="100"/>
              <w:rPr>
                <w:rFonts w:ascii="Times New Roman"/>
                <w:color w:val="auto"/>
              </w:rPr>
            </w:pPr>
            <w:r>
              <w:rPr>
                <w:rFonts w:hint="eastAsia" w:ascii="Times New Roman"/>
                <w:b/>
                <w:bCs/>
                <w:color w:val="auto"/>
              </w:rPr>
              <w:t>废水污染源</w:t>
            </w:r>
          </w:p>
          <w:p>
            <w:pPr>
              <w:pStyle w:val="67"/>
              <w:ind w:firstLine="31680"/>
              <w:rPr>
                <w:color w:val="auto"/>
              </w:rPr>
            </w:pPr>
            <w:r>
              <w:rPr>
                <w:rFonts w:hint="eastAsia"/>
                <w:color w:val="auto"/>
              </w:rPr>
              <w:t>本项目废水主要有</w:t>
            </w:r>
            <w:r>
              <w:rPr>
                <w:rFonts w:hint="eastAsia"/>
                <w:color w:val="auto"/>
                <w:szCs w:val="21"/>
              </w:rPr>
              <w:t>网箱抄取</w:t>
            </w:r>
            <w:r>
              <w:rPr>
                <w:rFonts w:hint="eastAsia"/>
                <w:color w:val="auto"/>
              </w:rPr>
              <w:t>废水、车辆冲洗废水、生活污水和初期雨水，废水污染源情况如下表所示。</w:t>
            </w:r>
          </w:p>
          <w:p>
            <w:pPr>
              <w:jc w:val="center"/>
              <w:rPr>
                <w:rFonts w:eastAsia="黑体"/>
                <w:color w:val="auto"/>
                <w:sz w:val="24"/>
              </w:rPr>
            </w:pPr>
            <w:r>
              <w:rPr>
                <w:rFonts w:hint="eastAsia" w:eastAsia="黑体"/>
                <w:color w:val="auto"/>
                <w:sz w:val="24"/>
              </w:rPr>
              <w:t>表</w:t>
            </w:r>
            <w:r>
              <w:rPr>
                <w:rFonts w:eastAsia="黑体"/>
                <w:color w:val="auto"/>
                <w:sz w:val="24"/>
              </w:rPr>
              <w:t xml:space="preserve">4.2-1  </w:t>
            </w:r>
            <w:r>
              <w:rPr>
                <w:rFonts w:hint="eastAsia" w:eastAsia="黑体"/>
                <w:color w:val="auto"/>
                <w:sz w:val="24"/>
              </w:rPr>
              <w:t>项目废水治理设施一览表</w:t>
            </w:r>
          </w:p>
          <w:tbl>
            <w:tblPr>
              <w:tblStyle w:val="27"/>
              <w:tblW w:w="829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11"/>
              <w:gridCol w:w="990"/>
              <w:gridCol w:w="1330"/>
              <w:gridCol w:w="1276"/>
              <w:gridCol w:w="979"/>
              <w:gridCol w:w="935"/>
              <w:gridCol w:w="989"/>
              <w:gridCol w:w="8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911" w:type="dxa"/>
                  <w:vMerge w:val="restart"/>
                  <w:tcBorders>
                    <w:top w:val="single" w:color="auto" w:sz="12"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类别</w:t>
                  </w:r>
                </w:p>
              </w:tc>
              <w:tc>
                <w:tcPr>
                  <w:tcW w:w="990" w:type="dxa"/>
                  <w:vMerge w:val="restart"/>
                  <w:tcBorders>
                    <w:top w:val="single" w:color="auto" w:sz="12"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产污环节</w:t>
                  </w:r>
                </w:p>
              </w:tc>
              <w:tc>
                <w:tcPr>
                  <w:tcW w:w="1330" w:type="dxa"/>
                  <w:vMerge w:val="restart"/>
                  <w:tcBorders>
                    <w:top w:val="single" w:color="auto" w:sz="12"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废水产生量（</w:t>
                  </w:r>
                  <w:r>
                    <w:rPr>
                      <w:rFonts w:ascii="Times New Roman" w:hAnsi="Times New Roman" w:cs="Times New Roman"/>
                      <w:color w:val="auto"/>
                      <w:sz w:val="21"/>
                    </w:rPr>
                    <w:t>t/a</w:t>
                  </w:r>
                  <w:r>
                    <w:rPr>
                      <w:rFonts w:hint="eastAsia" w:ascii="Times New Roman" w:hAnsi="Times New Roman" w:cs="Times New Roman"/>
                      <w:color w:val="auto"/>
                      <w:sz w:val="21"/>
                    </w:rPr>
                    <w:t>）</w:t>
                  </w:r>
                </w:p>
              </w:tc>
              <w:tc>
                <w:tcPr>
                  <w:tcW w:w="1276" w:type="dxa"/>
                  <w:vMerge w:val="restart"/>
                  <w:tcBorders>
                    <w:top w:val="single" w:color="auto" w:sz="12"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污染物种类</w:t>
                  </w:r>
                </w:p>
              </w:tc>
              <w:tc>
                <w:tcPr>
                  <w:tcW w:w="2903" w:type="dxa"/>
                  <w:gridSpan w:val="3"/>
                  <w:tcBorders>
                    <w:top w:val="single" w:color="auto" w:sz="12"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治理措施</w:t>
                  </w:r>
                </w:p>
              </w:tc>
              <w:tc>
                <w:tcPr>
                  <w:tcW w:w="885" w:type="dxa"/>
                  <w:vMerge w:val="restart"/>
                  <w:tcBorders>
                    <w:top w:val="single" w:color="auto" w:sz="12" w:space="0"/>
                    <w:left w:val="single" w:color="auto" w:sz="4" w:space="0"/>
                    <w:bottom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排放口信息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80" w:hRule="atLeast"/>
                <w:tblHeader/>
                <w:jc w:val="center"/>
              </w:trPr>
              <w:tc>
                <w:tcPr>
                  <w:tcW w:w="911" w:type="dxa"/>
                  <w:vMerge w:val="continue"/>
                  <w:tcBorders>
                    <w:top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p>
              </w:tc>
              <w:tc>
                <w:tcPr>
                  <w:tcW w:w="990" w:type="dxa"/>
                  <w:vMerge w:val="continue"/>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p>
              </w:tc>
              <w:tc>
                <w:tcPr>
                  <w:tcW w:w="1330" w:type="dxa"/>
                  <w:vMerge w:val="continue"/>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p>
              </w:tc>
              <w:tc>
                <w:tcPr>
                  <w:tcW w:w="979"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处理工艺</w:t>
                  </w:r>
                </w:p>
              </w:tc>
              <w:tc>
                <w:tcPr>
                  <w:tcW w:w="93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排放量</w:t>
                  </w:r>
                </w:p>
              </w:tc>
              <w:tc>
                <w:tcPr>
                  <w:tcW w:w="989"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去向</w:t>
                  </w:r>
                </w:p>
              </w:tc>
              <w:tc>
                <w:tcPr>
                  <w:tcW w:w="885" w:type="dxa"/>
                  <w:vMerge w:val="continue"/>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911" w:type="dxa"/>
                  <w:tcBorders>
                    <w:top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网箱抄取废水</w:t>
                  </w:r>
                </w:p>
              </w:tc>
              <w:tc>
                <w:tcPr>
                  <w:tcW w:w="99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制板</w:t>
                  </w:r>
                </w:p>
              </w:tc>
              <w:tc>
                <w:tcPr>
                  <w:tcW w:w="133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360000</w:t>
                  </w:r>
                </w:p>
              </w:tc>
              <w:tc>
                <w:tcPr>
                  <w:tcW w:w="1276"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w:t>
                  </w:r>
                </w:p>
              </w:tc>
              <w:tc>
                <w:tcPr>
                  <w:tcW w:w="979"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沉淀</w:t>
                  </w:r>
                </w:p>
              </w:tc>
              <w:tc>
                <w:tcPr>
                  <w:tcW w:w="93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0</w:t>
                  </w:r>
                </w:p>
              </w:tc>
              <w:tc>
                <w:tcPr>
                  <w:tcW w:w="9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snapToGrid w:val="0"/>
                      <w:color w:val="auto"/>
                      <w:spacing w:val="4"/>
                      <w:kern w:val="0"/>
                      <w:szCs w:val="21"/>
                    </w:rPr>
                  </w:pPr>
                  <w:r>
                    <w:rPr>
                      <w:rFonts w:hint="eastAsia"/>
                      <w:snapToGrid w:val="0"/>
                      <w:color w:val="auto"/>
                      <w:spacing w:val="4"/>
                      <w:kern w:val="0"/>
                      <w:szCs w:val="21"/>
                    </w:rPr>
                    <w:t>回用碎浆，制浆</w:t>
                  </w:r>
                </w:p>
              </w:tc>
              <w:tc>
                <w:tcPr>
                  <w:tcW w:w="885" w:type="dxa"/>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911" w:type="dxa"/>
                  <w:tcBorders>
                    <w:top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冷凝水</w:t>
                  </w:r>
                </w:p>
              </w:tc>
              <w:tc>
                <w:tcPr>
                  <w:tcW w:w="99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养护、烘干</w:t>
                  </w:r>
                </w:p>
              </w:tc>
              <w:tc>
                <w:tcPr>
                  <w:tcW w:w="133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11250</w:t>
                  </w:r>
                </w:p>
              </w:tc>
              <w:tc>
                <w:tcPr>
                  <w:tcW w:w="1276"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w:t>
                  </w:r>
                </w:p>
              </w:tc>
              <w:tc>
                <w:tcPr>
                  <w:tcW w:w="979"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w:t>
                  </w:r>
                </w:p>
              </w:tc>
              <w:tc>
                <w:tcPr>
                  <w:tcW w:w="93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0</w:t>
                  </w:r>
                </w:p>
              </w:tc>
              <w:tc>
                <w:tcPr>
                  <w:tcW w:w="9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snapToGrid w:val="0"/>
                      <w:color w:val="auto"/>
                      <w:spacing w:val="4"/>
                      <w:kern w:val="0"/>
                      <w:szCs w:val="21"/>
                    </w:rPr>
                  </w:pPr>
                  <w:r>
                    <w:rPr>
                      <w:rFonts w:hint="eastAsia"/>
                      <w:snapToGrid w:val="0"/>
                      <w:color w:val="auto"/>
                      <w:spacing w:val="4"/>
                      <w:kern w:val="0"/>
                      <w:szCs w:val="21"/>
                    </w:rPr>
                    <w:t>回用碎浆，制浆</w:t>
                  </w:r>
                </w:p>
              </w:tc>
              <w:tc>
                <w:tcPr>
                  <w:tcW w:w="885" w:type="dxa"/>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90" w:hRule="atLeast"/>
                <w:jc w:val="center"/>
              </w:trPr>
              <w:tc>
                <w:tcPr>
                  <w:tcW w:w="911" w:type="dxa"/>
                  <w:tcBorders>
                    <w:top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车辆冲洗废水</w:t>
                  </w:r>
                </w:p>
              </w:tc>
              <w:tc>
                <w:tcPr>
                  <w:tcW w:w="99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车辆清洗</w:t>
                  </w:r>
                </w:p>
              </w:tc>
              <w:tc>
                <w:tcPr>
                  <w:tcW w:w="133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7500</w:t>
                  </w:r>
                </w:p>
              </w:tc>
              <w:tc>
                <w:tcPr>
                  <w:tcW w:w="1276"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SS</w:t>
                  </w:r>
                  <w:r>
                    <w:rPr>
                      <w:rFonts w:hint="eastAsia" w:ascii="Times New Roman" w:hAnsi="Times New Roman" w:cs="Times New Roman"/>
                      <w:color w:val="auto"/>
                      <w:sz w:val="21"/>
                    </w:rPr>
                    <w:t>、石油类</w:t>
                  </w:r>
                </w:p>
              </w:tc>
              <w:tc>
                <w:tcPr>
                  <w:tcW w:w="979"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沉淀</w:t>
                  </w:r>
                </w:p>
              </w:tc>
              <w:tc>
                <w:tcPr>
                  <w:tcW w:w="93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0</w:t>
                  </w:r>
                </w:p>
              </w:tc>
              <w:tc>
                <w:tcPr>
                  <w:tcW w:w="9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snapToGrid w:val="0"/>
                      <w:color w:val="auto"/>
                      <w:spacing w:val="4"/>
                      <w:kern w:val="0"/>
                      <w:szCs w:val="21"/>
                    </w:rPr>
                  </w:pPr>
                  <w:r>
                    <w:rPr>
                      <w:rFonts w:hint="eastAsia"/>
                      <w:snapToGrid w:val="0"/>
                      <w:color w:val="auto"/>
                      <w:spacing w:val="4"/>
                      <w:kern w:val="0"/>
                      <w:szCs w:val="21"/>
                    </w:rPr>
                    <w:t>循环车辆冲洗</w:t>
                  </w:r>
                </w:p>
              </w:tc>
              <w:tc>
                <w:tcPr>
                  <w:tcW w:w="885" w:type="dxa"/>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cs="Times New Roman"/>
                      <w:color w:val="auto"/>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40" w:hRule="atLeast"/>
                <w:jc w:val="center"/>
              </w:trPr>
              <w:tc>
                <w:tcPr>
                  <w:tcW w:w="911" w:type="dxa"/>
                  <w:tcBorders>
                    <w:top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初期雨水</w:t>
                  </w:r>
                </w:p>
              </w:tc>
              <w:tc>
                <w:tcPr>
                  <w:tcW w:w="99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降雨</w:t>
                  </w:r>
                </w:p>
              </w:tc>
              <w:tc>
                <w:tcPr>
                  <w:tcW w:w="133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szCs w:val="18"/>
                    </w:rPr>
                    <w:t>1447.05</w:t>
                  </w:r>
                </w:p>
              </w:tc>
              <w:tc>
                <w:tcPr>
                  <w:tcW w:w="1276"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SS</w:t>
                  </w:r>
                </w:p>
              </w:tc>
              <w:tc>
                <w:tcPr>
                  <w:tcW w:w="979"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沉淀</w:t>
                  </w:r>
                </w:p>
              </w:tc>
              <w:tc>
                <w:tcPr>
                  <w:tcW w:w="93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szCs w:val="18"/>
                    </w:rPr>
                    <w:t>0</w:t>
                  </w:r>
                </w:p>
              </w:tc>
              <w:tc>
                <w:tcPr>
                  <w:tcW w:w="989"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jc w:val="center"/>
                    <w:textAlignment w:val="center"/>
                    <w:rPr>
                      <w:snapToGrid w:val="0"/>
                      <w:color w:val="auto"/>
                      <w:spacing w:val="4"/>
                      <w:kern w:val="0"/>
                      <w:szCs w:val="21"/>
                    </w:rPr>
                  </w:pPr>
                  <w:r>
                    <w:rPr>
                      <w:rFonts w:hint="eastAsia"/>
                      <w:snapToGrid w:val="0"/>
                      <w:color w:val="auto"/>
                      <w:spacing w:val="4"/>
                      <w:kern w:val="0"/>
                      <w:szCs w:val="21"/>
                    </w:rPr>
                    <w:t>用于车辆冲洗</w:t>
                  </w:r>
                </w:p>
              </w:tc>
              <w:tc>
                <w:tcPr>
                  <w:tcW w:w="885" w:type="dxa"/>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20" w:hRule="atLeast"/>
                <w:jc w:val="center"/>
              </w:trPr>
              <w:tc>
                <w:tcPr>
                  <w:tcW w:w="911" w:type="dxa"/>
                  <w:tcBorders>
                    <w:top w:val="single" w:color="auto" w:sz="4" w:space="0"/>
                    <w:bottom w:val="single" w:color="auto" w:sz="12"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生活污水</w:t>
                  </w:r>
                </w:p>
              </w:tc>
              <w:tc>
                <w:tcPr>
                  <w:tcW w:w="990" w:type="dxa"/>
                  <w:tcBorders>
                    <w:top w:val="single" w:color="auto" w:sz="4" w:space="0"/>
                    <w:left w:val="single" w:color="auto" w:sz="4" w:space="0"/>
                    <w:bottom w:val="single" w:color="auto" w:sz="12"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员工生活</w:t>
                  </w:r>
                </w:p>
              </w:tc>
              <w:tc>
                <w:tcPr>
                  <w:tcW w:w="1330" w:type="dxa"/>
                  <w:tcBorders>
                    <w:top w:val="single" w:color="auto" w:sz="4" w:space="0"/>
                    <w:left w:val="single" w:color="auto" w:sz="4" w:space="0"/>
                    <w:bottom w:val="single" w:color="auto" w:sz="12"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szCs w:val="18"/>
                    </w:rPr>
                    <w:t>461.25</w:t>
                  </w:r>
                </w:p>
              </w:tc>
              <w:tc>
                <w:tcPr>
                  <w:tcW w:w="1276" w:type="dxa"/>
                  <w:tcBorders>
                    <w:top w:val="single" w:color="auto" w:sz="4" w:space="0"/>
                    <w:left w:val="single" w:color="auto" w:sz="4" w:space="0"/>
                    <w:bottom w:val="single" w:color="auto" w:sz="12"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pH</w:t>
                  </w:r>
                  <w:r>
                    <w:rPr>
                      <w:rFonts w:hint="eastAsia" w:ascii="Times New Roman" w:hAnsi="Times New Roman" w:cs="Times New Roman"/>
                      <w:color w:val="auto"/>
                      <w:sz w:val="21"/>
                    </w:rPr>
                    <w:t>、</w:t>
                  </w:r>
                  <w:r>
                    <w:rPr>
                      <w:rFonts w:ascii="Times New Roman" w:hAnsi="Times New Roman" w:cs="Times New Roman"/>
                      <w:color w:val="auto"/>
                      <w:sz w:val="21"/>
                    </w:rPr>
                    <w:t>SS</w:t>
                  </w:r>
                  <w:r>
                    <w:rPr>
                      <w:rFonts w:hint="eastAsia" w:ascii="Times New Roman" w:hAnsi="Times New Roman" w:cs="Times New Roman"/>
                      <w:color w:val="auto"/>
                      <w:sz w:val="21"/>
                    </w:rPr>
                    <w:t>、</w:t>
                  </w:r>
                  <w:r>
                    <w:rPr>
                      <w:rFonts w:ascii="Times New Roman" w:hAnsi="Times New Roman" w:cs="Times New Roman"/>
                      <w:color w:val="auto"/>
                      <w:sz w:val="21"/>
                    </w:rPr>
                    <w:t>COD</w:t>
                  </w:r>
                  <w:r>
                    <w:rPr>
                      <w:rFonts w:hint="eastAsia" w:ascii="Times New Roman" w:hAnsi="Times New Roman" w:cs="Times New Roman"/>
                      <w:color w:val="auto"/>
                      <w:sz w:val="21"/>
                    </w:rPr>
                    <w:t>、</w:t>
                  </w:r>
                  <w:r>
                    <w:rPr>
                      <w:rFonts w:ascii="Times New Roman" w:hAnsi="Times New Roman" w:cs="Times New Roman"/>
                      <w:color w:val="auto"/>
                      <w:sz w:val="21"/>
                    </w:rPr>
                    <w:t>BOD</w:t>
                  </w:r>
                  <w:r>
                    <w:rPr>
                      <w:rFonts w:ascii="Times New Roman" w:hAnsi="Times New Roman" w:cs="Times New Roman"/>
                      <w:color w:val="auto"/>
                      <w:sz w:val="21"/>
                      <w:vertAlign w:val="subscript"/>
                    </w:rPr>
                    <w:t>5</w:t>
                  </w:r>
                  <w:r>
                    <w:rPr>
                      <w:rFonts w:hint="eastAsia" w:ascii="Times New Roman" w:hAnsi="Times New Roman" w:cs="Times New Roman"/>
                      <w:color w:val="auto"/>
                      <w:sz w:val="21"/>
                    </w:rPr>
                    <w:t>、氨氮</w:t>
                  </w:r>
                </w:p>
              </w:tc>
              <w:tc>
                <w:tcPr>
                  <w:tcW w:w="979" w:type="dxa"/>
                  <w:tcBorders>
                    <w:top w:val="single" w:color="auto" w:sz="4" w:space="0"/>
                    <w:left w:val="single" w:color="auto" w:sz="4" w:space="0"/>
                    <w:bottom w:val="single" w:color="auto" w:sz="12"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化粪池</w:t>
                  </w:r>
                </w:p>
              </w:tc>
              <w:tc>
                <w:tcPr>
                  <w:tcW w:w="935" w:type="dxa"/>
                  <w:tcBorders>
                    <w:top w:val="single" w:color="auto" w:sz="4" w:space="0"/>
                    <w:left w:val="single" w:color="auto" w:sz="4" w:space="0"/>
                    <w:bottom w:val="single" w:color="auto" w:sz="12"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szCs w:val="18"/>
                    </w:rPr>
                    <w:t>461.25</w:t>
                  </w:r>
                </w:p>
              </w:tc>
              <w:tc>
                <w:tcPr>
                  <w:tcW w:w="989" w:type="dxa"/>
                  <w:tcBorders>
                    <w:top w:val="single" w:color="auto" w:sz="4" w:space="0"/>
                    <w:left w:val="single" w:color="auto" w:sz="4" w:space="0"/>
                    <w:bottom w:val="single" w:color="auto" w:sz="12"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尼葛污水处理厂</w:t>
                  </w:r>
                </w:p>
              </w:tc>
              <w:tc>
                <w:tcPr>
                  <w:tcW w:w="885" w:type="dxa"/>
                  <w:tcBorders>
                    <w:top w:val="single" w:color="auto" w:sz="4" w:space="0"/>
                    <w:left w:val="single" w:color="auto" w:sz="4" w:space="0"/>
                    <w:bottom w:val="single" w:color="auto" w:sz="12" w:space="0"/>
                  </w:tcBorders>
                  <w:vAlign w:val="center"/>
                </w:tcPr>
                <w:p>
                  <w:pPr>
                    <w:pStyle w:val="193"/>
                    <w:spacing w:line="240" w:lineRule="auto"/>
                    <w:jc w:val="center"/>
                    <w:rPr>
                      <w:rFonts w:ascii="Times New Roman" w:hAnsi="Times New Roman" w:cs="Times New Roman"/>
                      <w:color w:val="auto"/>
                      <w:sz w:val="21"/>
                    </w:rPr>
                  </w:pPr>
                  <w:r>
                    <w:rPr>
                      <w:rFonts w:ascii="Times New Roman" w:hAnsi="Times New Roman" w:cs="Times New Roman"/>
                      <w:color w:val="auto"/>
                      <w:sz w:val="21"/>
                    </w:rPr>
                    <w:t>DW001</w:t>
                  </w:r>
                </w:p>
              </w:tc>
            </w:tr>
          </w:tbl>
          <w:p>
            <w:pPr>
              <w:pStyle w:val="7"/>
              <w:ind w:left="0"/>
              <w:rPr>
                <w:rFonts w:ascii="Times New Roman" w:hAnsi="Times New Roman"/>
                <w:color w:val="auto"/>
              </w:rPr>
            </w:pPr>
          </w:p>
          <w:p>
            <w:pPr>
              <w:pStyle w:val="67"/>
              <w:ind w:firstLine="31680"/>
              <w:rPr>
                <w:color w:val="auto"/>
              </w:rPr>
            </w:pPr>
            <w:r>
              <w:rPr>
                <w:rFonts w:hint="eastAsia"/>
                <w:color w:val="auto"/>
              </w:rPr>
              <w:t>本项目运营期产生的废水为</w:t>
            </w:r>
            <w:r>
              <w:rPr>
                <w:rFonts w:hint="eastAsia"/>
                <w:color w:val="auto"/>
                <w:szCs w:val="21"/>
              </w:rPr>
              <w:t>网箱抄取</w:t>
            </w:r>
            <w:r>
              <w:rPr>
                <w:rFonts w:hint="eastAsia"/>
                <w:color w:val="auto"/>
              </w:rPr>
              <w:t>废水、车辆冲洗废水和生活污水。车辆冲洗废水经隔油沉淀池处理后循环使用，不外排。</w:t>
            </w:r>
          </w:p>
          <w:p>
            <w:pPr>
              <w:pStyle w:val="67"/>
              <w:ind w:firstLine="31680"/>
              <w:jc w:val="both"/>
              <w:rPr>
                <w:color w:val="auto"/>
              </w:rPr>
            </w:pPr>
            <w:r>
              <w:rPr>
                <w:rFonts w:hint="eastAsia"/>
                <w:color w:val="auto"/>
              </w:rPr>
              <w:t>①网箱抄取废水</w:t>
            </w:r>
          </w:p>
          <w:p>
            <w:pPr>
              <w:pStyle w:val="67"/>
              <w:ind w:firstLine="31680"/>
              <w:jc w:val="both"/>
              <w:rPr>
                <w:color w:val="auto"/>
              </w:rPr>
            </w:pPr>
            <w:r>
              <w:rPr>
                <w:rFonts w:hint="eastAsia"/>
                <w:color w:val="auto"/>
              </w:rPr>
              <w:t>本项目网箱抄取废水水量</w:t>
            </w:r>
            <w:r>
              <w:rPr>
                <w:color w:val="auto"/>
              </w:rPr>
              <w:t>1200t/d(36</w:t>
            </w:r>
            <w:r>
              <w:rPr>
                <w:rFonts w:hint="eastAsia"/>
                <w:color w:val="auto"/>
              </w:rPr>
              <w:t>万</w:t>
            </w:r>
            <w:r>
              <w:rPr>
                <w:color w:val="auto"/>
              </w:rPr>
              <w:t>t/a)</w:t>
            </w:r>
            <w:r>
              <w:rPr>
                <w:rFonts w:hint="eastAsia"/>
                <w:color w:val="auto"/>
              </w:rPr>
              <w:t>，网箱抄取后产生的废水输送至混水罐澄清后，上层清液回用于碎浆，底层的混浊液用于制浆，循环使用，不外排。网箱抄取制板过程中日用水损耗量约</w:t>
            </w:r>
            <w:r>
              <w:rPr>
                <w:color w:val="auto"/>
              </w:rPr>
              <w:t>24t/d</w:t>
            </w:r>
            <w:r>
              <w:rPr>
                <w:rFonts w:hint="eastAsia"/>
                <w:color w:val="auto"/>
              </w:rPr>
              <w:t>，制版完成后约</w:t>
            </w:r>
            <w:r>
              <w:rPr>
                <w:color w:val="auto"/>
              </w:rPr>
              <w:t>36t/d</w:t>
            </w:r>
            <w:r>
              <w:rPr>
                <w:rFonts w:hint="eastAsia"/>
                <w:color w:val="auto"/>
              </w:rPr>
              <w:t>水量进入蒸压釜、烘干机中高温损耗。</w:t>
            </w:r>
          </w:p>
          <w:p>
            <w:pPr>
              <w:pStyle w:val="67"/>
              <w:ind w:firstLine="31680"/>
              <w:jc w:val="both"/>
              <w:rPr>
                <w:color w:val="auto"/>
              </w:rPr>
            </w:pPr>
            <w:r>
              <w:rPr>
                <w:rFonts w:hint="eastAsia"/>
                <w:color w:val="auto"/>
              </w:rPr>
              <w:t>②冷凝水</w:t>
            </w:r>
          </w:p>
          <w:p>
            <w:pPr>
              <w:pStyle w:val="67"/>
              <w:ind w:firstLine="31680"/>
              <w:rPr>
                <w:color w:val="auto"/>
              </w:rPr>
            </w:pPr>
            <w:r>
              <w:rPr>
                <w:rFonts w:hint="eastAsia"/>
                <w:color w:val="auto"/>
              </w:rPr>
              <w:t>本项目蒸养、烘干工序冷凝水产生量约为</w:t>
            </w:r>
            <w:r>
              <w:rPr>
                <w:color w:val="auto"/>
              </w:rPr>
              <w:t>11250t/a</w:t>
            </w:r>
            <w:r>
              <w:rPr>
                <w:rFonts w:hint="eastAsia"/>
                <w:color w:val="auto"/>
              </w:rPr>
              <w:t>，冷凝水经清水罐收集后回用于碎浆，制浆。</w:t>
            </w:r>
          </w:p>
          <w:p>
            <w:pPr>
              <w:pStyle w:val="67"/>
              <w:ind w:firstLine="31680"/>
              <w:jc w:val="both"/>
              <w:rPr>
                <w:color w:val="auto"/>
              </w:rPr>
            </w:pPr>
            <w:r>
              <w:rPr>
                <w:rFonts w:hint="eastAsia"/>
                <w:color w:val="auto"/>
              </w:rPr>
              <w:t>③车辆冲洗废水</w:t>
            </w:r>
          </w:p>
          <w:p>
            <w:pPr>
              <w:pStyle w:val="67"/>
              <w:ind w:firstLine="31680"/>
              <w:rPr>
                <w:color w:val="auto"/>
              </w:rPr>
            </w:pPr>
            <w:r>
              <w:rPr>
                <w:rFonts w:hint="eastAsia"/>
                <w:color w:val="auto"/>
              </w:rPr>
              <w:t>本项目车辆清洗水水量</w:t>
            </w:r>
            <w:r>
              <w:rPr>
                <w:color w:val="auto"/>
              </w:rPr>
              <w:t>50t/d(15000t/a)</w:t>
            </w:r>
            <w:r>
              <w:rPr>
                <w:rFonts w:hint="eastAsia"/>
                <w:color w:val="auto"/>
              </w:rPr>
              <w:t>，车辆用水消耗量为</w:t>
            </w:r>
            <w:r>
              <w:rPr>
                <w:color w:val="auto"/>
              </w:rPr>
              <w:t>5t/d(1500t/a)</w:t>
            </w:r>
            <w:r>
              <w:rPr>
                <w:rFonts w:hint="eastAsia"/>
                <w:color w:val="auto"/>
              </w:rPr>
              <w:t>。该冲洗水循环使用，不外排。</w:t>
            </w:r>
          </w:p>
          <w:p>
            <w:pPr>
              <w:pStyle w:val="67"/>
              <w:ind w:firstLine="31680"/>
              <w:jc w:val="both"/>
              <w:rPr>
                <w:color w:val="auto"/>
              </w:rPr>
            </w:pPr>
            <w:r>
              <w:rPr>
                <w:rFonts w:hint="eastAsia"/>
                <w:color w:val="auto"/>
              </w:rPr>
              <w:t>④生活污水</w:t>
            </w:r>
          </w:p>
          <w:p>
            <w:pPr>
              <w:pStyle w:val="67"/>
              <w:ind w:firstLine="31680"/>
              <w:rPr>
                <w:color w:val="auto"/>
              </w:rPr>
            </w:pPr>
            <w:r>
              <w:rPr>
                <w:rFonts w:hint="eastAsia"/>
                <w:color w:val="auto"/>
              </w:rPr>
              <w:t>项目职工</w:t>
            </w:r>
            <w:r>
              <w:rPr>
                <w:color w:val="auto"/>
              </w:rPr>
              <w:t>20</w:t>
            </w:r>
            <w:r>
              <w:rPr>
                <w:rFonts w:hint="eastAsia"/>
                <w:color w:val="auto"/>
              </w:rPr>
              <w:t>人，其中</w:t>
            </w:r>
            <w:r>
              <w:rPr>
                <w:color w:val="auto"/>
              </w:rPr>
              <w:t>5</w:t>
            </w:r>
            <w:r>
              <w:rPr>
                <w:rFonts w:hint="eastAsia"/>
                <w:color w:val="auto"/>
              </w:rPr>
              <w:t>人住宿，生活用水量为</w:t>
            </w:r>
            <w:r>
              <w:rPr>
                <w:color w:val="auto"/>
              </w:rPr>
              <w:t>1.875m</w:t>
            </w:r>
            <w:r>
              <w:rPr>
                <w:rFonts w:hint="eastAsia"/>
                <w:color w:val="auto"/>
              </w:rPr>
              <w:t>³</w:t>
            </w:r>
            <w:r>
              <w:rPr>
                <w:color w:val="auto"/>
              </w:rPr>
              <w:t>/d</w:t>
            </w:r>
            <w:r>
              <w:rPr>
                <w:rFonts w:hint="eastAsia"/>
                <w:color w:val="auto"/>
              </w:rPr>
              <w:t>（</w:t>
            </w:r>
            <w:r>
              <w:rPr>
                <w:color w:val="auto"/>
              </w:rPr>
              <w:t>562.5m</w:t>
            </w:r>
            <w:r>
              <w:rPr>
                <w:rFonts w:hint="eastAsia"/>
                <w:color w:val="auto"/>
              </w:rPr>
              <w:t>³</w:t>
            </w:r>
            <w:r>
              <w:rPr>
                <w:color w:val="auto"/>
              </w:rPr>
              <w:t>/a</w:t>
            </w:r>
            <w:r>
              <w:rPr>
                <w:rFonts w:hint="eastAsia"/>
                <w:color w:val="auto"/>
              </w:rPr>
              <w:t>），生活污水排放量为</w:t>
            </w:r>
            <w:r>
              <w:rPr>
                <w:color w:val="auto"/>
              </w:rPr>
              <w:t>1.5375m</w:t>
            </w:r>
            <w:r>
              <w:rPr>
                <w:rFonts w:hint="eastAsia"/>
                <w:color w:val="auto"/>
              </w:rPr>
              <w:t>³</w:t>
            </w:r>
            <w:r>
              <w:rPr>
                <w:color w:val="auto"/>
              </w:rPr>
              <w:t>/d</w:t>
            </w:r>
            <w:r>
              <w:rPr>
                <w:rFonts w:hint="eastAsia"/>
                <w:color w:val="auto"/>
              </w:rPr>
              <w:t>（</w:t>
            </w:r>
            <w:r>
              <w:rPr>
                <w:color w:val="auto"/>
              </w:rPr>
              <w:t>461.25m</w:t>
            </w:r>
            <w:r>
              <w:rPr>
                <w:rFonts w:hint="eastAsia"/>
                <w:color w:val="auto"/>
              </w:rPr>
              <w:t>³</w:t>
            </w:r>
            <w:r>
              <w:rPr>
                <w:color w:val="auto"/>
              </w:rPr>
              <w:t>/a</w:t>
            </w:r>
            <w:r>
              <w:rPr>
                <w:rFonts w:hint="eastAsia"/>
                <w:color w:val="auto"/>
              </w:rPr>
              <w:t>）。</w:t>
            </w:r>
          </w:p>
          <w:p>
            <w:pPr>
              <w:pStyle w:val="67"/>
              <w:ind w:firstLine="31680"/>
              <w:rPr>
                <w:color w:val="auto"/>
              </w:rPr>
            </w:pPr>
            <w:r>
              <w:rPr>
                <w:rFonts w:hint="eastAsia"/>
                <w:color w:val="auto"/>
              </w:rPr>
              <w:t>⑤初期雨水</w:t>
            </w:r>
          </w:p>
          <w:p>
            <w:pPr>
              <w:pStyle w:val="67"/>
              <w:ind w:firstLine="31680"/>
              <w:rPr>
                <w:color w:val="auto"/>
              </w:rPr>
            </w:pPr>
            <w:r>
              <w:rPr>
                <w:rFonts w:hint="eastAsia"/>
                <w:color w:val="auto"/>
              </w:rPr>
              <w:t>项目初期雨水量为</w:t>
            </w:r>
            <w:r>
              <w:rPr>
                <w:color w:val="auto"/>
              </w:rPr>
              <w:t>1447.05m</w:t>
            </w:r>
            <w:r>
              <w:rPr>
                <w:rFonts w:hint="eastAsia"/>
                <w:color w:val="auto"/>
              </w:rPr>
              <w:t>³</w:t>
            </w:r>
            <w:r>
              <w:rPr>
                <w:color w:val="auto"/>
              </w:rPr>
              <w:t>/a(4.82m</w:t>
            </w:r>
            <w:r>
              <w:rPr>
                <w:rFonts w:hint="eastAsia"/>
                <w:color w:val="auto"/>
              </w:rPr>
              <w:t>³</w:t>
            </w:r>
            <w:r>
              <w:rPr>
                <w:color w:val="auto"/>
              </w:rPr>
              <w:t>/d)</w:t>
            </w:r>
            <w:r>
              <w:rPr>
                <w:rFonts w:hint="eastAsia"/>
                <w:color w:val="auto"/>
              </w:rPr>
              <w:t>，该部分雨水在初期雨水池沉淀处理后用作厂区车辆冲洗用水使用。定期将沉淀污泥清理，外卖综合处置。</w:t>
            </w:r>
          </w:p>
          <w:p>
            <w:pPr>
              <w:pStyle w:val="124"/>
              <w:spacing w:line="360" w:lineRule="auto"/>
              <w:ind w:firstLine="482" w:firstLineChars="200"/>
              <w:rPr>
                <w:rFonts w:ascii="Times New Roman"/>
                <w:b/>
                <w:bCs/>
                <w:color w:val="auto"/>
              </w:rPr>
            </w:pPr>
            <w:r>
              <w:rPr>
                <w:rFonts w:hint="eastAsia" w:ascii="Times New Roman"/>
                <w:b/>
                <w:bCs/>
                <w:color w:val="auto"/>
              </w:rPr>
              <w:t>（</w:t>
            </w:r>
            <w:r>
              <w:rPr>
                <w:rFonts w:ascii="Times New Roman"/>
                <w:b/>
                <w:bCs/>
                <w:color w:val="auto"/>
              </w:rPr>
              <w:t>2</w:t>
            </w:r>
            <w:r>
              <w:rPr>
                <w:rFonts w:hint="eastAsia" w:ascii="Times New Roman"/>
                <w:b/>
                <w:bCs/>
                <w:color w:val="auto"/>
              </w:rPr>
              <w:t>）达标排放分析</w:t>
            </w:r>
          </w:p>
          <w:p>
            <w:pPr>
              <w:pStyle w:val="67"/>
              <w:ind w:firstLine="31680"/>
              <w:rPr>
                <w:color w:val="auto"/>
              </w:rPr>
            </w:pPr>
            <w:r>
              <w:rPr>
                <w:rFonts w:hint="eastAsia"/>
                <w:color w:val="auto"/>
              </w:rPr>
              <w:t>结合本项目实际情况，生活污水中污染物成分简单、浓度较低，主要污染指标浓度为</w:t>
            </w:r>
            <w:r>
              <w:rPr>
                <w:color w:val="auto"/>
              </w:rPr>
              <w:t>COD</w:t>
            </w:r>
            <w:r>
              <w:rPr>
                <w:rFonts w:hint="eastAsia"/>
                <w:color w:val="auto"/>
              </w:rPr>
              <w:t>：</w:t>
            </w:r>
            <w:r>
              <w:rPr>
                <w:color w:val="auto"/>
              </w:rPr>
              <w:t>400mg/L</w:t>
            </w:r>
            <w:r>
              <w:rPr>
                <w:rFonts w:hint="eastAsia"/>
                <w:color w:val="auto"/>
              </w:rPr>
              <w:t>，</w:t>
            </w:r>
            <w:r>
              <w:rPr>
                <w:color w:val="auto"/>
              </w:rPr>
              <w:t>BOD</w:t>
            </w:r>
            <w:r>
              <w:rPr>
                <w:color w:val="auto"/>
                <w:vertAlign w:val="subscript"/>
              </w:rPr>
              <w:t>5</w:t>
            </w:r>
            <w:r>
              <w:rPr>
                <w:rFonts w:hint="eastAsia"/>
                <w:color w:val="auto"/>
              </w:rPr>
              <w:t>：</w:t>
            </w:r>
            <w:r>
              <w:rPr>
                <w:color w:val="auto"/>
              </w:rPr>
              <w:t>250mg/L</w:t>
            </w:r>
            <w:r>
              <w:rPr>
                <w:rFonts w:hint="eastAsia"/>
                <w:color w:val="auto"/>
              </w:rPr>
              <w:t>，</w:t>
            </w:r>
            <w:r>
              <w:rPr>
                <w:color w:val="auto"/>
              </w:rPr>
              <w:t>SS</w:t>
            </w:r>
            <w:r>
              <w:rPr>
                <w:rFonts w:hint="eastAsia"/>
                <w:color w:val="auto"/>
              </w:rPr>
              <w:t>：</w:t>
            </w:r>
            <w:r>
              <w:rPr>
                <w:color w:val="auto"/>
              </w:rPr>
              <w:t>280mg/L</w:t>
            </w:r>
            <w:r>
              <w:rPr>
                <w:rFonts w:hint="eastAsia"/>
                <w:color w:val="auto"/>
              </w:rPr>
              <w:t>，</w:t>
            </w:r>
            <w:r>
              <w:rPr>
                <w:color w:val="auto"/>
              </w:rPr>
              <w:t>NH</w:t>
            </w:r>
            <w:r>
              <w:rPr>
                <w:color w:val="auto"/>
                <w:vertAlign w:val="subscript"/>
              </w:rPr>
              <w:t>3</w:t>
            </w:r>
            <w:r>
              <w:rPr>
                <w:color w:val="auto"/>
              </w:rPr>
              <w:t>-N</w:t>
            </w:r>
            <w:r>
              <w:rPr>
                <w:rFonts w:hint="eastAsia"/>
                <w:color w:val="auto"/>
              </w:rPr>
              <w:t>：</w:t>
            </w:r>
            <w:r>
              <w:rPr>
                <w:color w:val="auto"/>
              </w:rPr>
              <w:t>35mg/L</w:t>
            </w:r>
            <w:r>
              <w:rPr>
                <w:rFonts w:hint="eastAsia"/>
                <w:color w:val="auto"/>
              </w:rPr>
              <w:t>。参考环评手册中《常用污水处理设备及去除率》，化粪池对污水的处理效率一般为：</w:t>
            </w:r>
            <w:r>
              <w:rPr>
                <w:color w:val="auto"/>
              </w:rPr>
              <w:t>COD15%</w:t>
            </w:r>
            <w:r>
              <w:rPr>
                <w:rFonts w:hint="eastAsia"/>
                <w:color w:val="auto"/>
              </w:rPr>
              <w:t>，</w:t>
            </w:r>
            <w:r>
              <w:rPr>
                <w:color w:val="auto"/>
              </w:rPr>
              <w:t>BOD</w:t>
            </w:r>
            <w:r>
              <w:rPr>
                <w:color w:val="auto"/>
                <w:vertAlign w:val="subscript"/>
              </w:rPr>
              <w:t>5</w:t>
            </w:r>
            <w:r>
              <w:rPr>
                <w:color w:val="auto"/>
              </w:rPr>
              <w:t>9%</w:t>
            </w:r>
            <w:r>
              <w:rPr>
                <w:rFonts w:hint="eastAsia"/>
                <w:color w:val="auto"/>
              </w:rPr>
              <w:t>，</w:t>
            </w:r>
            <w:r>
              <w:rPr>
                <w:color w:val="auto"/>
              </w:rPr>
              <w:t>SS30%</w:t>
            </w:r>
            <w:r>
              <w:rPr>
                <w:rFonts w:hint="eastAsia"/>
                <w:color w:val="auto"/>
              </w:rPr>
              <w:t>，氨氮</w:t>
            </w:r>
            <w:r>
              <w:rPr>
                <w:color w:val="auto"/>
              </w:rPr>
              <w:t>3%</w:t>
            </w:r>
            <w:r>
              <w:rPr>
                <w:rFonts w:hint="eastAsia"/>
                <w:color w:val="auto"/>
              </w:rPr>
              <w:t>。则项目生活污水排放情况详见表</w:t>
            </w:r>
            <w:r>
              <w:rPr>
                <w:color w:val="auto"/>
              </w:rPr>
              <w:t>4.2-2</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4.2-2  </w:t>
            </w:r>
            <w:r>
              <w:rPr>
                <w:rFonts w:hint="eastAsia" w:eastAsia="黑体"/>
                <w:color w:val="auto"/>
                <w:sz w:val="24"/>
              </w:rPr>
              <w:t>项目生活污水主要污染物产生量和排放量一览表</w:t>
            </w:r>
          </w:p>
          <w:tbl>
            <w:tblPr>
              <w:tblStyle w:val="27"/>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091"/>
              <w:gridCol w:w="1050"/>
              <w:gridCol w:w="1742"/>
              <w:gridCol w:w="1518"/>
              <w:gridCol w:w="1038"/>
              <w:gridCol w:w="1036"/>
              <w:gridCol w:w="10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0" w:hRule="exact"/>
                <w:jc w:val="center"/>
              </w:trPr>
              <w:tc>
                <w:tcPr>
                  <w:tcW w:w="1091" w:type="dxa"/>
                  <w:tcBorders>
                    <w:top w:val="single" w:color="auto" w:sz="12" w:space="0"/>
                    <w:bottom w:val="single" w:color="auto" w:sz="6" w:space="0"/>
                    <w:right w:val="single" w:color="auto" w:sz="6" w:space="0"/>
                  </w:tcBorders>
                  <w:vAlign w:val="center"/>
                </w:tcPr>
                <w:p>
                  <w:pPr>
                    <w:pStyle w:val="121"/>
                    <w:rPr>
                      <w:color w:val="auto"/>
                    </w:rPr>
                  </w:pPr>
                  <w:r>
                    <w:rPr>
                      <w:rFonts w:hint="eastAsia"/>
                      <w:color w:val="auto"/>
                    </w:rPr>
                    <w:t>污染物</w:t>
                  </w:r>
                </w:p>
              </w:tc>
              <w:tc>
                <w:tcPr>
                  <w:tcW w:w="1050" w:type="dxa"/>
                  <w:tcBorders>
                    <w:top w:val="single" w:color="auto" w:sz="12" w:space="0"/>
                    <w:left w:val="single" w:color="auto" w:sz="6" w:space="0"/>
                    <w:bottom w:val="single" w:color="auto" w:sz="6" w:space="0"/>
                    <w:right w:val="single" w:color="auto" w:sz="6" w:space="0"/>
                  </w:tcBorders>
                  <w:vAlign w:val="center"/>
                </w:tcPr>
                <w:p>
                  <w:pPr>
                    <w:pStyle w:val="121"/>
                    <w:rPr>
                      <w:color w:val="auto"/>
                    </w:rPr>
                  </w:pPr>
                  <w:r>
                    <w:rPr>
                      <w:rFonts w:hint="eastAsia"/>
                      <w:color w:val="auto"/>
                    </w:rPr>
                    <w:t>废水量</w:t>
                  </w:r>
                </w:p>
              </w:tc>
              <w:tc>
                <w:tcPr>
                  <w:tcW w:w="1742" w:type="dxa"/>
                  <w:tcBorders>
                    <w:top w:val="single" w:color="auto" w:sz="12" w:space="0"/>
                    <w:left w:val="single" w:color="auto" w:sz="6" w:space="0"/>
                    <w:bottom w:val="single" w:color="auto" w:sz="6" w:space="0"/>
                    <w:right w:val="single" w:color="auto" w:sz="6" w:space="0"/>
                  </w:tcBorders>
                  <w:tcMar>
                    <w:left w:w="108" w:type="dxa"/>
                    <w:right w:w="108" w:type="dxa"/>
                  </w:tcMar>
                  <w:vAlign w:val="center"/>
                </w:tcPr>
                <w:p>
                  <w:pPr>
                    <w:pStyle w:val="121"/>
                    <w:rPr>
                      <w:color w:val="auto"/>
                      <w:lang w:val="en-US"/>
                    </w:rPr>
                  </w:pPr>
                  <w:r>
                    <w:rPr>
                      <w:rFonts w:hint="eastAsia"/>
                      <w:color w:val="auto"/>
                      <w:lang w:val="en-US"/>
                    </w:rPr>
                    <w:t>产生量</w:t>
                  </w:r>
                </w:p>
              </w:tc>
              <w:tc>
                <w:tcPr>
                  <w:tcW w:w="1518" w:type="dxa"/>
                  <w:tcBorders>
                    <w:top w:val="single" w:color="auto" w:sz="12"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color w:val="auto"/>
                    </w:rPr>
                    <w:t>COD</w:t>
                  </w:r>
                </w:p>
              </w:tc>
              <w:tc>
                <w:tcPr>
                  <w:tcW w:w="1038" w:type="dxa"/>
                  <w:tcBorders>
                    <w:top w:val="single" w:color="auto" w:sz="12"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color w:val="auto"/>
                    </w:rPr>
                    <w:t>BOD</w:t>
                  </w:r>
                  <w:r>
                    <w:rPr>
                      <w:color w:val="auto"/>
                      <w:vertAlign w:val="subscript"/>
                    </w:rPr>
                    <w:t>5</w:t>
                  </w:r>
                </w:p>
              </w:tc>
              <w:tc>
                <w:tcPr>
                  <w:tcW w:w="1036" w:type="dxa"/>
                  <w:tcBorders>
                    <w:top w:val="single" w:color="auto" w:sz="12"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color w:val="auto"/>
                    </w:rPr>
                    <w:t>SS</w:t>
                  </w:r>
                </w:p>
              </w:tc>
              <w:tc>
                <w:tcPr>
                  <w:tcW w:w="1029" w:type="dxa"/>
                  <w:tcBorders>
                    <w:top w:val="single" w:color="auto" w:sz="12" w:space="0"/>
                    <w:left w:val="single" w:color="auto" w:sz="6" w:space="0"/>
                    <w:bottom w:val="single" w:color="auto" w:sz="6" w:space="0"/>
                  </w:tcBorders>
                  <w:tcMar>
                    <w:left w:w="108" w:type="dxa"/>
                    <w:right w:w="108" w:type="dxa"/>
                  </w:tcMar>
                  <w:vAlign w:val="center"/>
                </w:tcPr>
                <w:p>
                  <w:pPr>
                    <w:pStyle w:val="121"/>
                    <w:rPr>
                      <w:color w:val="auto"/>
                    </w:rPr>
                  </w:pPr>
                  <w:r>
                    <w:rPr>
                      <w:color w:val="auto"/>
                    </w:rPr>
                    <w:t>NH</w:t>
                  </w:r>
                  <w:r>
                    <w:rPr>
                      <w:color w:val="auto"/>
                      <w:vertAlign w:val="subscript"/>
                    </w:rPr>
                    <w:t>3</w:t>
                  </w:r>
                  <w:r>
                    <w:rPr>
                      <w:color w:val="auto"/>
                    </w:rPr>
                    <w:t>-N</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exact"/>
                <w:jc w:val="center"/>
              </w:trPr>
              <w:tc>
                <w:tcPr>
                  <w:tcW w:w="1091" w:type="dxa"/>
                  <w:vMerge w:val="restart"/>
                  <w:tcBorders>
                    <w:top w:val="single" w:color="auto" w:sz="6" w:space="0"/>
                    <w:bottom w:val="single" w:color="auto" w:sz="6" w:space="0"/>
                    <w:right w:val="single" w:color="auto" w:sz="6" w:space="0"/>
                  </w:tcBorders>
                  <w:vAlign w:val="center"/>
                </w:tcPr>
                <w:p>
                  <w:pPr>
                    <w:pStyle w:val="121"/>
                    <w:rPr>
                      <w:color w:val="auto"/>
                    </w:rPr>
                  </w:pPr>
                  <w:r>
                    <w:rPr>
                      <w:rFonts w:hint="eastAsia"/>
                      <w:color w:val="auto"/>
                    </w:rPr>
                    <w:t>处理前</w:t>
                  </w:r>
                </w:p>
              </w:tc>
              <w:tc>
                <w:tcPr>
                  <w:tcW w:w="1050" w:type="dxa"/>
                  <w:vMerge w:val="restart"/>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color w:val="auto"/>
                      <w:lang w:val="en-US"/>
                    </w:rPr>
                    <w:t>461.25</w:t>
                  </w:r>
                  <w:r>
                    <w:rPr>
                      <w:color w:val="auto"/>
                    </w:rPr>
                    <w:t>t/a</w:t>
                  </w:r>
                </w:p>
              </w:tc>
              <w:tc>
                <w:tcPr>
                  <w:tcW w:w="1742"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rFonts w:hint="eastAsia"/>
                      <w:color w:val="auto"/>
                    </w:rPr>
                    <w:t>产生浓度（</w:t>
                  </w:r>
                  <w:r>
                    <w:rPr>
                      <w:color w:val="auto"/>
                    </w:rPr>
                    <w:t>mg/L</w:t>
                  </w:r>
                  <w:r>
                    <w:rPr>
                      <w:rFonts w:hint="eastAsia"/>
                      <w:color w:val="auto"/>
                    </w:rPr>
                    <w:t>）</w:t>
                  </w:r>
                </w:p>
              </w:tc>
              <w:tc>
                <w:tcPr>
                  <w:tcW w:w="151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400</w:t>
                  </w:r>
                </w:p>
              </w:tc>
              <w:tc>
                <w:tcPr>
                  <w:tcW w:w="103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250</w:t>
                  </w:r>
                </w:p>
              </w:tc>
              <w:tc>
                <w:tcPr>
                  <w:tcW w:w="1036"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280</w:t>
                  </w:r>
                </w:p>
              </w:tc>
              <w:tc>
                <w:tcPr>
                  <w:tcW w:w="1029" w:type="dxa"/>
                  <w:tcBorders>
                    <w:top w:val="single" w:color="auto" w:sz="6" w:space="0"/>
                    <w:left w:val="single" w:color="auto" w:sz="6" w:space="0"/>
                    <w:bottom w:val="single" w:color="auto" w:sz="6" w:space="0"/>
                  </w:tcBorders>
                  <w:tcMar>
                    <w:left w:w="108" w:type="dxa"/>
                    <w:right w:w="108" w:type="dxa"/>
                  </w:tcMar>
                  <w:vAlign w:val="center"/>
                </w:tcPr>
                <w:p>
                  <w:pPr>
                    <w:widowControl/>
                    <w:jc w:val="center"/>
                    <w:textAlignment w:val="center"/>
                    <w:rPr>
                      <w:color w:val="auto"/>
                    </w:rPr>
                  </w:pPr>
                  <w:r>
                    <w:rPr>
                      <w:color w:val="auto"/>
                      <w:kern w:val="0"/>
                      <w:szCs w:val="21"/>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exact"/>
                <w:jc w:val="center"/>
              </w:trPr>
              <w:tc>
                <w:tcPr>
                  <w:tcW w:w="1091" w:type="dxa"/>
                  <w:vMerge w:val="continue"/>
                  <w:tcBorders>
                    <w:top w:val="single" w:color="auto" w:sz="6" w:space="0"/>
                    <w:bottom w:val="single" w:color="auto" w:sz="6" w:space="0"/>
                    <w:right w:val="single" w:color="auto" w:sz="6" w:space="0"/>
                  </w:tcBorders>
                  <w:vAlign w:val="center"/>
                </w:tcPr>
                <w:p>
                  <w:pPr>
                    <w:pStyle w:val="121"/>
                    <w:rPr>
                      <w:color w:val="auto"/>
                    </w:rPr>
                  </w:pPr>
                </w:p>
              </w:tc>
              <w:tc>
                <w:tcPr>
                  <w:tcW w:w="1050" w:type="dxa"/>
                  <w:vMerge w:val="continue"/>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p>
              </w:tc>
              <w:tc>
                <w:tcPr>
                  <w:tcW w:w="1742"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rFonts w:hint="eastAsia"/>
                      <w:color w:val="auto"/>
                    </w:rPr>
                    <w:t>年产生量（</w:t>
                  </w:r>
                  <w:r>
                    <w:rPr>
                      <w:color w:val="auto"/>
                    </w:rPr>
                    <w:t>t/a</w:t>
                  </w:r>
                  <w:r>
                    <w:rPr>
                      <w:rFonts w:hint="eastAsia"/>
                      <w:color w:val="auto"/>
                    </w:rPr>
                    <w:t>）</w:t>
                  </w:r>
                </w:p>
              </w:tc>
              <w:tc>
                <w:tcPr>
                  <w:tcW w:w="151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0.185</w:t>
                  </w:r>
                </w:p>
              </w:tc>
              <w:tc>
                <w:tcPr>
                  <w:tcW w:w="103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0.115</w:t>
                  </w:r>
                </w:p>
              </w:tc>
              <w:tc>
                <w:tcPr>
                  <w:tcW w:w="1036"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0.129</w:t>
                  </w:r>
                </w:p>
              </w:tc>
              <w:tc>
                <w:tcPr>
                  <w:tcW w:w="1029" w:type="dxa"/>
                  <w:tcBorders>
                    <w:top w:val="single" w:color="auto" w:sz="6" w:space="0"/>
                    <w:left w:val="single" w:color="auto" w:sz="6" w:space="0"/>
                    <w:bottom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0.0161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exact"/>
                <w:jc w:val="center"/>
              </w:trPr>
              <w:tc>
                <w:tcPr>
                  <w:tcW w:w="1091" w:type="dxa"/>
                  <w:vMerge w:val="restart"/>
                  <w:tcBorders>
                    <w:top w:val="single" w:color="auto" w:sz="6" w:space="0"/>
                    <w:bottom w:val="single" w:color="auto" w:sz="6" w:space="0"/>
                    <w:right w:val="single" w:color="auto" w:sz="6" w:space="0"/>
                  </w:tcBorders>
                  <w:vAlign w:val="center"/>
                </w:tcPr>
                <w:p>
                  <w:pPr>
                    <w:pStyle w:val="121"/>
                    <w:rPr>
                      <w:color w:val="auto"/>
                    </w:rPr>
                  </w:pPr>
                  <w:r>
                    <w:rPr>
                      <w:rFonts w:hint="eastAsia"/>
                      <w:color w:val="auto"/>
                    </w:rPr>
                    <w:t>化粪池</w:t>
                  </w:r>
                </w:p>
                <w:p>
                  <w:pPr>
                    <w:pStyle w:val="121"/>
                    <w:rPr>
                      <w:color w:val="auto"/>
                    </w:rPr>
                  </w:pPr>
                  <w:r>
                    <w:rPr>
                      <w:rFonts w:hint="eastAsia"/>
                      <w:color w:val="auto"/>
                    </w:rPr>
                    <w:t>处理后</w:t>
                  </w:r>
                </w:p>
              </w:tc>
              <w:tc>
                <w:tcPr>
                  <w:tcW w:w="1050" w:type="dxa"/>
                  <w:vMerge w:val="continue"/>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p>
              </w:tc>
              <w:tc>
                <w:tcPr>
                  <w:tcW w:w="1742"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rFonts w:hint="eastAsia"/>
                      <w:color w:val="auto"/>
                    </w:rPr>
                    <w:t>排放浓度（</w:t>
                  </w:r>
                  <w:r>
                    <w:rPr>
                      <w:color w:val="auto"/>
                    </w:rPr>
                    <w:t>mg/L</w:t>
                  </w:r>
                  <w:r>
                    <w:rPr>
                      <w:rFonts w:hint="eastAsia"/>
                      <w:color w:val="auto"/>
                    </w:rPr>
                    <w:t>）</w:t>
                  </w:r>
                </w:p>
              </w:tc>
              <w:tc>
                <w:tcPr>
                  <w:tcW w:w="151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340</w:t>
                  </w:r>
                </w:p>
              </w:tc>
              <w:tc>
                <w:tcPr>
                  <w:tcW w:w="103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228</w:t>
                  </w:r>
                </w:p>
              </w:tc>
              <w:tc>
                <w:tcPr>
                  <w:tcW w:w="1036"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196</w:t>
                  </w:r>
                </w:p>
              </w:tc>
              <w:tc>
                <w:tcPr>
                  <w:tcW w:w="1029" w:type="dxa"/>
                  <w:tcBorders>
                    <w:top w:val="single" w:color="auto" w:sz="6" w:space="0"/>
                    <w:left w:val="single" w:color="auto" w:sz="6" w:space="0"/>
                    <w:bottom w:val="single" w:color="auto" w:sz="6" w:space="0"/>
                  </w:tcBorders>
                  <w:tcMar>
                    <w:left w:w="108" w:type="dxa"/>
                    <w:right w:w="108" w:type="dxa"/>
                  </w:tcMar>
                  <w:vAlign w:val="center"/>
                </w:tcPr>
                <w:p>
                  <w:pPr>
                    <w:widowControl/>
                    <w:jc w:val="center"/>
                    <w:textAlignment w:val="center"/>
                    <w:rPr>
                      <w:color w:val="auto"/>
                    </w:rPr>
                  </w:pPr>
                  <w:r>
                    <w:rPr>
                      <w:color w:val="auto"/>
                      <w:kern w:val="0"/>
                      <w:szCs w:val="21"/>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exact"/>
                <w:jc w:val="center"/>
              </w:trPr>
              <w:tc>
                <w:tcPr>
                  <w:tcW w:w="1091" w:type="dxa"/>
                  <w:vMerge w:val="continue"/>
                  <w:tcBorders>
                    <w:top w:val="single" w:color="auto" w:sz="6" w:space="0"/>
                    <w:bottom w:val="single" w:color="auto" w:sz="6" w:space="0"/>
                    <w:right w:val="single" w:color="auto" w:sz="6" w:space="0"/>
                  </w:tcBorders>
                  <w:vAlign w:val="center"/>
                </w:tcPr>
                <w:p>
                  <w:pPr>
                    <w:pStyle w:val="121"/>
                    <w:rPr>
                      <w:color w:val="auto"/>
                    </w:rPr>
                  </w:pPr>
                </w:p>
              </w:tc>
              <w:tc>
                <w:tcPr>
                  <w:tcW w:w="1050" w:type="dxa"/>
                  <w:vMerge w:val="continue"/>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p>
              </w:tc>
              <w:tc>
                <w:tcPr>
                  <w:tcW w:w="1742"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rFonts w:hint="eastAsia"/>
                      <w:color w:val="auto"/>
                    </w:rPr>
                    <w:t>年排放量（</w:t>
                  </w:r>
                  <w:r>
                    <w:rPr>
                      <w:color w:val="auto"/>
                    </w:rPr>
                    <w:t>t/a</w:t>
                  </w:r>
                  <w:r>
                    <w:rPr>
                      <w:rFonts w:hint="eastAsia"/>
                      <w:color w:val="auto"/>
                    </w:rPr>
                    <w:t>）</w:t>
                  </w:r>
                </w:p>
              </w:tc>
              <w:tc>
                <w:tcPr>
                  <w:tcW w:w="151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0.157</w:t>
                  </w:r>
                </w:p>
              </w:tc>
              <w:tc>
                <w:tcPr>
                  <w:tcW w:w="103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0.105</w:t>
                  </w:r>
                </w:p>
              </w:tc>
              <w:tc>
                <w:tcPr>
                  <w:tcW w:w="1036"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0.090</w:t>
                  </w:r>
                </w:p>
              </w:tc>
              <w:tc>
                <w:tcPr>
                  <w:tcW w:w="1029" w:type="dxa"/>
                  <w:tcBorders>
                    <w:top w:val="single" w:color="auto" w:sz="6" w:space="0"/>
                    <w:left w:val="single" w:color="auto" w:sz="6" w:space="0"/>
                    <w:bottom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0.0157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exact"/>
                <w:jc w:val="center"/>
              </w:trPr>
              <w:tc>
                <w:tcPr>
                  <w:tcW w:w="1091" w:type="dxa"/>
                  <w:vMerge w:val="restart"/>
                  <w:tcBorders>
                    <w:top w:val="single" w:color="auto" w:sz="6" w:space="0"/>
                    <w:bottom w:val="single" w:color="auto" w:sz="6" w:space="0"/>
                    <w:right w:val="single" w:color="auto" w:sz="6" w:space="0"/>
                  </w:tcBorders>
                  <w:vAlign w:val="center"/>
                </w:tcPr>
                <w:p>
                  <w:pPr>
                    <w:pStyle w:val="121"/>
                    <w:rPr>
                      <w:color w:val="auto"/>
                    </w:rPr>
                  </w:pPr>
                  <w:r>
                    <w:rPr>
                      <w:rFonts w:hint="eastAsia"/>
                      <w:color w:val="auto"/>
                    </w:rPr>
                    <w:t>污水处理厂处理后</w:t>
                  </w:r>
                </w:p>
              </w:tc>
              <w:tc>
                <w:tcPr>
                  <w:tcW w:w="1050" w:type="dxa"/>
                  <w:vMerge w:val="continue"/>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p>
              </w:tc>
              <w:tc>
                <w:tcPr>
                  <w:tcW w:w="1742"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rFonts w:hint="eastAsia"/>
                      <w:color w:val="auto"/>
                    </w:rPr>
                    <w:t>排放浓度（</w:t>
                  </w:r>
                  <w:r>
                    <w:rPr>
                      <w:color w:val="auto"/>
                    </w:rPr>
                    <w:t>mg/L</w:t>
                  </w:r>
                  <w:r>
                    <w:rPr>
                      <w:rFonts w:hint="eastAsia"/>
                      <w:color w:val="auto"/>
                    </w:rPr>
                    <w:t>）</w:t>
                  </w:r>
                </w:p>
              </w:tc>
              <w:tc>
                <w:tcPr>
                  <w:tcW w:w="151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60</w:t>
                  </w:r>
                </w:p>
              </w:tc>
              <w:tc>
                <w:tcPr>
                  <w:tcW w:w="103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20</w:t>
                  </w:r>
                </w:p>
              </w:tc>
              <w:tc>
                <w:tcPr>
                  <w:tcW w:w="1036"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20</w:t>
                  </w:r>
                </w:p>
              </w:tc>
              <w:tc>
                <w:tcPr>
                  <w:tcW w:w="1029" w:type="dxa"/>
                  <w:tcBorders>
                    <w:top w:val="single" w:color="auto" w:sz="6" w:space="0"/>
                    <w:left w:val="single" w:color="auto" w:sz="6" w:space="0"/>
                    <w:bottom w:val="single" w:color="auto" w:sz="6" w:space="0"/>
                  </w:tcBorders>
                  <w:tcMar>
                    <w:left w:w="108" w:type="dxa"/>
                    <w:right w:w="108" w:type="dxa"/>
                  </w:tcMar>
                  <w:vAlign w:val="center"/>
                </w:tcPr>
                <w:p>
                  <w:pPr>
                    <w:widowControl/>
                    <w:jc w:val="center"/>
                    <w:textAlignment w:val="center"/>
                    <w:rPr>
                      <w:color w:val="auto"/>
                    </w:rPr>
                  </w:pPr>
                  <w:r>
                    <w:rPr>
                      <w:color w:val="auto"/>
                      <w:kern w:val="0"/>
                      <w:szCs w:val="21"/>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exact"/>
                <w:jc w:val="center"/>
              </w:trPr>
              <w:tc>
                <w:tcPr>
                  <w:tcW w:w="1091" w:type="dxa"/>
                  <w:vMerge w:val="continue"/>
                  <w:tcBorders>
                    <w:top w:val="single" w:color="auto" w:sz="6" w:space="0"/>
                    <w:bottom w:val="single" w:color="auto" w:sz="6" w:space="0"/>
                    <w:right w:val="single" w:color="auto" w:sz="6" w:space="0"/>
                  </w:tcBorders>
                  <w:vAlign w:val="center"/>
                </w:tcPr>
                <w:p>
                  <w:pPr>
                    <w:pStyle w:val="121"/>
                    <w:rPr>
                      <w:color w:val="auto"/>
                    </w:rPr>
                  </w:pPr>
                </w:p>
              </w:tc>
              <w:tc>
                <w:tcPr>
                  <w:tcW w:w="1050" w:type="dxa"/>
                  <w:vMerge w:val="continue"/>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p>
              </w:tc>
              <w:tc>
                <w:tcPr>
                  <w:tcW w:w="1742"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rFonts w:hint="eastAsia"/>
                      <w:color w:val="auto"/>
                    </w:rPr>
                    <w:t>年排放量（</w:t>
                  </w:r>
                  <w:r>
                    <w:rPr>
                      <w:color w:val="auto"/>
                    </w:rPr>
                    <w:t>t/a</w:t>
                  </w:r>
                  <w:r>
                    <w:rPr>
                      <w:rFonts w:hint="eastAsia"/>
                      <w:color w:val="auto"/>
                    </w:rPr>
                    <w:t>）</w:t>
                  </w:r>
                </w:p>
              </w:tc>
              <w:tc>
                <w:tcPr>
                  <w:tcW w:w="151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0.028</w:t>
                  </w:r>
                </w:p>
              </w:tc>
              <w:tc>
                <w:tcPr>
                  <w:tcW w:w="103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0.009</w:t>
                  </w:r>
                </w:p>
              </w:tc>
              <w:tc>
                <w:tcPr>
                  <w:tcW w:w="1036"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0.009</w:t>
                  </w:r>
                </w:p>
              </w:tc>
              <w:tc>
                <w:tcPr>
                  <w:tcW w:w="1029" w:type="dxa"/>
                  <w:tcBorders>
                    <w:top w:val="single" w:color="auto" w:sz="6" w:space="0"/>
                    <w:left w:val="single" w:color="auto" w:sz="6" w:space="0"/>
                    <w:bottom w:val="single" w:color="auto" w:sz="6" w:space="0"/>
                  </w:tcBorders>
                  <w:tcMar>
                    <w:left w:w="108" w:type="dxa"/>
                    <w:right w:w="108" w:type="dxa"/>
                  </w:tcMar>
                  <w:vAlign w:val="center"/>
                </w:tcPr>
                <w:p>
                  <w:pPr>
                    <w:widowControl/>
                    <w:jc w:val="center"/>
                    <w:textAlignment w:val="center"/>
                    <w:rPr>
                      <w:color w:val="auto"/>
                    </w:rPr>
                  </w:pPr>
                  <w:r>
                    <w:rPr>
                      <w:color w:val="auto"/>
                      <w:kern w:val="0"/>
                      <w:szCs w:val="21"/>
                    </w:rPr>
                    <w:t>0.0037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4" w:hRule="atLeast"/>
                <w:jc w:val="center"/>
              </w:trPr>
              <w:tc>
                <w:tcPr>
                  <w:tcW w:w="3883" w:type="dxa"/>
                  <w:gridSpan w:val="3"/>
                  <w:tcBorders>
                    <w:top w:val="single" w:color="auto" w:sz="6" w:space="0"/>
                    <w:bottom w:val="single" w:color="auto" w:sz="6" w:space="0"/>
                    <w:right w:val="single" w:color="auto" w:sz="6" w:space="0"/>
                  </w:tcBorders>
                  <w:tcMar>
                    <w:left w:w="0" w:type="dxa"/>
                    <w:right w:w="0" w:type="dxa"/>
                  </w:tcMar>
                  <w:vAlign w:val="center"/>
                </w:tcPr>
                <w:p>
                  <w:pPr>
                    <w:pStyle w:val="121"/>
                    <w:rPr>
                      <w:color w:val="auto"/>
                    </w:rPr>
                  </w:pPr>
                  <w:r>
                    <w:rPr>
                      <w:rFonts w:hint="eastAsia"/>
                      <w:color w:val="auto"/>
                    </w:rPr>
                    <w:t>排放去向</w:t>
                  </w:r>
                </w:p>
              </w:tc>
              <w:tc>
                <w:tcPr>
                  <w:tcW w:w="4621" w:type="dxa"/>
                  <w:gridSpan w:val="4"/>
                  <w:tcBorders>
                    <w:top w:val="single" w:color="auto" w:sz="6" w:space="0"/>
                    <w:left w:val="single" w:color="auto" w:sz="6" w:space="0"/>
                    <w:bottom w:val="single" w:color="auto" w:sz="6" w:space="0"/>
                  </w:tcBorders>
                  <w:tcMar>
                    <w:left w:w="0" w:type="dxa"/>
                    <w:right w:w="0" w:type="dxa"/>
                  </w:tcMar>
                  <w:vAlign w:val="center"/>
                </w:tcPr>
                <w:p>
                  <w:pPr>
                    <w:pStyle w:val="121"/>
                    <w:rPr>
                      <w:color w:val="auto"/>
                    </w:rPr>
                  </w:pPr>
                  <w:r>
                    <w:rPr>
                      <w:rFonts w:hint="eastAsia"/>
                      <w:color w:val="auto"/>
                    </w:rPr>
                    <w:t>通过市政管网最终排入尼葛污水处理厂集中处理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atLeast"/>
                <w:jc w:val="center"/>
              </w:trPr>
              <w:tc>
                <w:tcPr>
                  <w:tcW w:w="3883" w:type="dxa"/>
                  <w:gridSpan w:val="3"/>
                  <w:tcBorders>
                    <w:top w:val="single" w:color="auto" w:sz="6" w:space="0"/>
                    <w:bottom w:val="single" w:color="auto" w:sz="6" w:space="0"/>
                    <w:right w:val="single" w:color="auto" w:sz="6" w:space="0"/>
                  </w:tcBorders>
                  <w:vAlign w:val="center"/>
                </w:tcPr>
                <w:p>
                  <w:pPr>
                    <w:pStyle w:val="121"/>
                    <w:rPr>
                      <w:color w:val="auto"/>
                    </w:rPr>
                  </w:pPr>
                  <w:r>
                    <w:rPr>
                      <w:rFonts w:hint="eastAsia"/>
                      <w:color w:val="auto"/>
                    </w:rPr>
                    <w:t>允许排放标准（</w:t>
                  </w:r>
                  <w:r>
                    <w:rPr>
                      <w:color w:val="auto"/>
                    </w:rPr>
                    <w:t>GB8978-1996</w:t>
                  </w:r>
                  <w:r>
                    <w:rPr>
                      <w:rFonts w:hint="eastAsia"/>
                      <w:color w:val="auto"/>
                    </w:rPr>
                    <w:t>中三级标准）</w:t>
                  </w:r>
                </w:p>
              </w:tc>
              <w:tc>
                <w:tcPr>
                  <w:tcW w:w="151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color w:val="auto"/>
                    </w:rPr>
                    <w:t>500</w:t>
                  </w:r>
                </w:p>
              </w:tc>
              <w:tc>
                <w:tcPr>
                  <w:tcW w:w="1038"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color w:val="auto"/>
                    </w:rPr>
                    <w:t>300</w:t>
                  </w:r>
                </w:p>
              </w:tc>
              <w:tc>
                <w:tcPr>
                  <w:tcW w:w="1036" w:type="dxa"/>
                  <w:tcBorders>
                    <w:top w:val="single" w:color="auto" w:sz="6" w:space="0"/>
                    <w:left w:val="single" w:color="auto" w:sz="6" w:space="0"/>
                    <w:bottom w:val="single" w:color="auto" w:sz="6" w:space="0"/>
                    <w:right w:val="single" w:color="auto" w:sz="6" w:space="0"/>
                  </w:tcBorders>
                  <w:tcMar>
                    <w:left w:w="108" w:type="dxa"/>
                    <w:right w:w="108" w:type="dxa"/>
                  </w:tcMar>
                  <w:vAlign w:val="center"/>
                </w:tcPr>
                <w:p>
                  <w:pPr>
                    <w:pStyle w:val="121"/>
                    <w:rPr>
                      <w:color w:val="auto"/>
                    </w:rPr>
                  </w:pPr>
                  <w:r>
                    <w:rPr>
                      <w:color w:val="auto"/>
                    </w:rPr>
                    <w:t>400</w:t>
                  </w:r>
                </w:p>
              </w:tc>
              <w:tc>
                <w:tcPr>
                  <w:tcW w:w="1029" w:type="dxa"/>
                  <w:tcBorders>
                    <w:top w:val="single" w:color="auto" w:sz="6" w:space="0"/>
                    <w:left w:val="single" w:color="auto" w:sz="6" w:space="0"/>
                    <w:bottom w:val="single" w:color="auto" w:sz="6" w:space="0"/>
                  </w:tcBorders>
                  <w:tcMar>
                    <w:left w:w="108" w:type="dxa"/>
                    <w:right w:w="108" w:type="dxa"/>
                  </w:tcMar>
                  <w:vAlign w:val="center"/>
                </w:tcPr>
                <w:p>
                  <w:pPr>
                    <w:pStyle w:val="121"/>
                    <w:rPr>
                      <w:color w:val="auto"/>
                    </w:rPr>
                  </w:pPr>
                  <w:r>
                    <w:rPr>
                      <w:color w:val="auto"/>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63" w:hRule="atLeast"/>
                <w:jc w:val="center"/>
              </w:trPr>
              <w:tc>
                <w:tcPr>
                  <w:tcW w:w="3883" w:type="dxa"/>
                  <w:gridSpan w:val="3"/>
                  <w:tcBorders>
                    <w:top w:val="single" w:color="auto" w:sz="6" w:space="0"/>
                    <w:bottom w:val="single" w:color="auto" w:sz="12" w:space="0"/>
                    <w:right w:val="single" w:color="auto" w:sz="6" w:space="0"/>
                  </w:tcBorders>
                  <w:vAlign w:val="center"/>
                </w:tcPr>
                <w:p>
                  <w:pPr>
                    <w:pStyle w:val="121"/>
                    <w:rPr>
                      <w:color w:val="auto"/>
                    </w:rPr>
                  </w:pPr>
                  <w:r>
                    <w:rPr>
                      <w:rFonts w:hint="eastAsia"/>
                      <w:color w:val="auto"/>
                    </w:rPr>
                    <w:t>达标性</w:t>
                  </w:r>
                </w:p>
              </w:tc>
              <w:tc>
                <w:tcPr>
                  <w:tcW w:w="1518" w:type="dxa"/>
                  <w:tcBorders>
                    <w:top w:val="single" w:color="auto" w:sz="6" w:space="0"/>
                    <w:left w:val="single" w:color="auto" w:sz="6" w:space="0"/>
                    <w:bottom w:val="single" w:color="auto" w:sz="12" w:space="0"/>
                    <w:right w:val="single" w:color="auto" w:sz="6" w:space="0"/>
                  </w:tcBorders>
                  <w:tcMar>
                    <w:left w:w="108" w:type="dxa"/>
                    <w:right w:w="108" w:type="dxa"/>
                  </w:tcMar>
                  <w:vAlign w:val="center"/>
                </w:tcPr>
                <w:p>
                  <w:pPr>
                    <w:pStyle w:val="121"/>
                    <w:rPr>
                      <w:color w:val="auto"/>
                    </w:rPr>
                  </w:pPr>
                  <w:r>
                    <w:rPr>
                      <w:rFonts w:hint="eastAsia"/>
                      <w:color w:val="auto"/>
                    </w:rPr>
                    <w:t>达标</w:t>
                  </w:r>
                </w:p>
              </w:tc>
              <w:tc>
                <w:tcPr>
                  <w:tcW w:w="1038" w:type="dxa"/>
                  <w:tcBorders>
                    <w:top w:val="single" w:color="auto" w:sz="6" w:space="0"/>
                    <w:left w:val="single" w:color="auto" w:sz="6" w:space="0"/>
                    <w:bottom w:val="single" w:color="auto" w:sz="12" w:space="0"/>
                    <w:right w:val="single" w:color="auto" w:sz="6" w:space="0"/>
                  </w:tcBorders>
                  <w:tcMar>
                    <w:left w:w="108" w:type="dxa"/>
                    <w:right w:w="108" w:type="dxa"/>
                  </w:tcMar>
                  <w:vAlign w:val="center"/>
                </w:tcPr>
                <w:p>
                  <w:pPr>
                    <w:pStyle w:val="121"/>
                    <w:rPr>
                      <w:color w:val="auto"/>
                    </w:rPr>
                  </w:pPr>
                  <w:r>
                    <w:rPr>
                      <w:rFonts w:hint="eastAsia"/>
                      <w:color w:val="auto"/>
                    </w:rPr>
                    <w:t>达标</w:t>
                  </w:r>
                </w:p>
              </w:tc>
              <w:tc>
                <w:tcPr>
                  <w:tcW w:w="1036" w:type="dxa"/>
                  <w:tcBorders>
                    <w:top w:val="single" w:color="auto" w:sz="6" w:space="0"/>
                    <w:left w:val="single" w:color="auto" w:sz="6" w:space="0"/>
                    <w:bottom w:val="single" w:color="auto" w:sz="12" w:space="0"/>
                    <w:right w:val="single" w:color="auto" w:sz="6" w:space="0"/>
                  </w:tcBorders>
                  <w:tcMar>
                    <w:left w:w="108" w:type="dxa"/>
                    <w:right w:w="108" w:type="dxa"/>
                  </w:tcMar>
                  <w:vAlign w:val="center"/>
                </w:tcPr>
                <w:p>
                  <w:pPr>
                    <w:pStyle w:val="121"/>
                    <w:rPr>
                      <w:color w:val="auto"/>
                    </w:rPr>
                  </w:pPr>
                  <w:r>
                    <w:rPr>
                      <w:rFonts w:hint="eastAsia"/>
                      <w:color w:val="auto"/>
                    </w:rPr>
                    <w:t>达标</w:t>
                  </w:r>
                </w:p>
              </w:tc>
              <w:tc>
                <w:tcPr>
                  <w:tcW w:w="1029" w:type="dxa"/>
                  <w:tcBorders>
                    <w:top w:val="single" w:color="auto" w:sz="6" w:space="0"/>
                    <w:left w:val="single" w:color="auto" w:sz="6" w:space="0"/>
                    <w:bottom w:val="single" w:color="auto" w:sz="12" w:space="0"/>
                  </w:tcBorders>
                  <w:tcMar>
                    <w:left w:w="108" w:type="dxa"/>
                    <w:right w:w="108" w:type="dxa"/>
                  </w:tcMar>
                  <w:vAlign w:val="center"/>
                </w:tcPr>
                <w:p>
                  <w:pPr>
                    <w:pStyle w:val="121"/>
                    <w:rPr>
                      <w:color w:val="auto"/>
                    </w:rPr>
                  </w:pPr>
                  <w:r>
                    <w:rPr>
                      <w:rFonts w:hint="eastAsia"/>
                      <w:color w:val="auto"/>
                    </w:rPr>
                    <w:t>达标</w:t>
                  </w:r>
                </w:p>
              </w:tc>
            </w:tr>
          </w:tbl>
          <w:p>
            <w:pPr>
              <w:pStyle w:val="124"/>
              <w:spacing w:line="360" w:lineRule="auto"/>
              <w:ind w:firstLine="482" w:firstLineChars="200"/>
              <w:rPr>
                <w:rFonts w:ascii="Times New Roman"/>
                <w:b/>
                <w:bCs/>
                <w:color w:val="auto"/>
              </w:rPr>
            </w:pPr>
            <w:r>
              <w:rPr>
                <w:rFonts w:hint="eastAsia" w:ascii="Times New Roman"/>
                <w:b/>
                <w:bCs/>
                <w:color w:val="auto"/>
              </w:rPr>
              <w:t>（</w:t>
            </w:r>
            <w:r>
              <w:rPr>
                <w:rFonts w:ascii="Times New Roman"/>
                <w:b/>
                <w:bCs/>
                <w:color w:val="auto"/>
              </w:rPr>
              <w:t>3</w:t>
            </w:r>
            <w:r>
              <w:rPr>
                <w:rFonts w:hint="eastAsia" w:ascii="Times New Roman"/>
                <w:b/>
                <w:bCs/>
                <w:color w:val="auto"/>
              </w:rPr>
              <w:t>）依托集中污水处理厂的可行性分析</w:t>
            </w:r>
          </w:p>
          <w:p>
            <w:pPr>
              <w:pStyle w:val="81"/>
              <w:ind w:firstLine="31680"/>
              <w:rPr>
                <w:color w:val="auto"/>
              </w:rPr>
            </w:pPr>
            <w:r>
              <w:rPr>
                <w:color w:val="auto"/>
              </w:rPr>
              <w:t>1</w:t>
            </w:r>
            <w:r>
              <w:rPr>
                <w:rFonts w:hint="eastAsia"/>
                <w:color w:val="auto"/>
              </w:rPr>
              <w:t>）尼葛污水处理厂概况</w:t>
            </w:r>
          </w:p>
          <w:p>
            <w:pPr>
              <w:pStyle w:val="81"/>
              <w:ind w:firstLine="31680"/>
              <w:rPr>
                <w:color w:val="auto"/>
                <w:spacing w:val="2"/>
              </w:rPr>
            </w:pPr>
            <w:r>
              <w:rPr>
                <w:rFonts w:hint="eastAsia"/>
                <w:color w:val="auto"/>
                <w:spacing w:val="2"/>
              </w:rPr>
              <w:t>尼葛污水处理厂位于二期规划用地的Ⅱ区的东北端，污水处理厂分两期建设，一期日处理规模</w:t>
            </w:r>
            <w:r>
              <w:rPr>
                <w:color w:val="auto"/>
                <w:spacing w:val="2"/>
              </w:rPr>
              <w:t>1000</w:t>
            </w:r>
            <w:r>
              <w:rPr>
                <w:rFonts w:hint="eastAsia"/>
                <w:color w:val="auto"/>
                <w:spacing w:val="2"/>
              </w:rPr>
              <w:t>吨，已于</w:t>
            </w:r>
            <w:r>
              <w:rPr>
                <w:color w:val="auto"/>
                <w:spacing w:val="2"/>
              </w:rPr>
              <w:t>2012</w:t>
            </w:r>
            <w:r>
              <w:rPr>
                <w:rFonts w:hint="eastAsia"/>
                <w:color w:val="auto"/>
                <w:spacing w:val="2"/>
              </w:rPr>
              <w:t>年</w:t>
            </w:r>
            <w:r>
              <w:rPr>
                <w:color w:val="auto"/>
                <w:spacing w:val="2"/>
              </w:rPr>
              <w:t>6</w:t>
            </w:r>
            <w:r>
              <w:rPr>
                <w:rFonts w:hint="eastAsia"/>
                <w:color w:val="auto"/>
                <w:spacing w:val="2"/>
              </w:rPr>
              <w:t>月运营，二期扩建规模为</w:t>
            </w:r>
            <w:r>
              <w:rPr>
                <w:color w:val="auto"/>
                <w:spacing w:val="2"/>
              </w:rPr>
              <w:t>10000m</w:t>
            </w:r>
            <w:r>
              <w:rPr>
                <w:color w:val="auto"/>
                <w:spacing w:val="2"/>
                <w:vertAlign w:val="superscript"/>
              </w:rPr>
              <w:t>3</w:t>
            </w:r>
            <w:r>
              <w:rPr>
                <w:color w:val="auto"/>
                <w:spacing w:val="2"/>
              </w:rPr>
              <w:t>/d</w:t>
            </w:r>
            <w:r>
              <w:rPr>
                <w:rFonts w:hint="eastAsia"/>
                <w:color w:val="auto"/>
                <w:spacing w:val="2"/>
              </w:rPr>
              <w:t>（已投入运行），并预留远期扩建用地。</w:t>
            </w:r>
          </w:p>
          <w:p>
            <w:pPr>
              <w:pStyle w:val="81"/>
              <w:ind w:firstLine="31680"/>
              <w:rPr>
                <w:color w:val="auto"/>
                <w:spacing w:val="2"/>
              </w:rPr>
            </w:pPr>
            <w:r>
              <w:rPr>
                <w:rFonts w:hint="eastAsia"/>
                <w:color w:val="auto"/>
                <w:spacing w:val="2"/>
              </w:rPr>
              <w:t>服务范围为永安市北部工业新城（一期）规划面积</w:t>
            </w:r>
            <w:r>
              <w:rPr>
                <w:color w:val="auto"/>
                <w:spacing w:val="2"/>
              </w:rPr>
              <w:t>6.16km</w:t>
            </w:r>
            <w:r>
              <w:rPr>
                <w:color w:val="auto"/>
                <w:spacing w:val="2"/>
                <w:vertAlign w:val="superscript"/>
              </w:rPr>
              <w:t>2</w:t>
            </w:r>
            <w:r>
              <w:rPr>
                <w:rFonts w:hint="eastAsia"/>
                <w:color w:val="auto"/>
                <w:spacing w:val="2"/>
              </w:rPr>
              <w:t>、尼葛开发区北部片区规划总用地</w:t>
            </w:r>
            <w:r>
              <w:rPr>
                <w:color w:val="auto"/>
                <w:spacing w:val="2"/>
              </w:rPr>
              <w:t>2km</w:t>
            </w:r>
            <w:r>
              <w:rPr>
                <w:color w:val="auto"/>
                <w:spacing w:val="2"/>
                <w:vertAlign w:val="superscript"/>
              </w:rPr>
              <w:t>2</w:t>
            </w:r>
            <w:r>
              <w:rPr>
                <w:rFonts w:hint="eastAsia"/>
                <w:color w:val="auto"/>
                <w:spacing w:val="2"/>
              </w:rPr>
              <w:t>，工程服务面积</w:t>
            </w:r>
            <w:r>
              <w:rPr>
                <w:color w:val="auto"/>
                <w:spacing w:val="2"/>
              </w:rPr>
              <w:t>8.16km</w:t>
            </w:r>
            <w:r>
              <w:rPr>
                <w:color w:val="auto"/>
                <w:spacing w:val="2"/>
                <w:vertAlign w:val="superscript"/>
              </w:rPr>
              <w:t>2</w:t>
            </w:r>
            <w:r>
              <w:rPr>
                <w:rFonts w:hint="eastAsia"/>
                <w:color w:val="auto"/>
                <w:spacing w:val="2"/>
              </w:rPr>
              <w:t>。本项目在其接纳围内，见图</w:t>
            </w:r>
            <w:r>
              <w:rPr>
                <w:color w:val="auto"/>
                <w:spacing w:val="2"/>
              </w:rPr>
              <w:t>4.2-1</w:t>
            </w:r>
            <w:r>
              <w:rPr>
                <w:rFonts w:hint="eastAsia"/>
                <w:color w:val="auto"/>
                <w:spacing w:val="2"/>
              </w:rPr>
              <w:t>。</w:t>
            </w:r>
          </w:p>
          <w:p>
            <w:pPr>
              <w:pStyle w:val="81"/>
              <w:ind w:firstLine="0" w:firstLineChars="0"/>
              <w:rPr>
                <w:color w:val="auto"/>
              </w:rPr>
            </w:pPr>
            <w:r>
              <w:rPr>
                <w:color w:val="auto"/>
              </w:rPr>
              <w:drawing>
                <wp:inline distT="0" distB="0" distL="114300" distR="114300">
                  <wp:extent cx="5295900" cy="4533900"/>
                  <wp:effectExtent l="0" t="0" r="0" b="0"/>
                  <wp:docPr id="41"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2"/>
                          <pic:cNvPicPr>
                            <a:picLocks noChangeAspect="1"/>
                          </pic:cNvPicPr>
                        </pic:nvPicPr>
                        <pic:blipFill>
                          <a:blip r:embed="rId36"/>
                          <a:stretch>
                            <a:fillRect/>
                          </a:stretch>
                        </pic:blipFill>
                        <pic:spPr>
                          <a:xfrm>
                            <a:off x="0" y="0"/>
                            <a:ext cx="5295900" cy="4533900"/>
                          </a:xfrm>
                          <a:prstGeom prst="rect">
                            <a:avLst/>
                          </a:prstGeom>
                          <a:noFill/>
                          <a:ln>
                            <a:noFill/>
                          </a:ln>
                        </pic:spPr>
                      </pic:pic>
                    </a:graphicData>
                  </a:graphic>
                </wp:inline>
              </w:drawing>
            </w:r>
            <w:r>
              <w:rPr>
                <w:color w:val="auto"/>
              </w:rPr>
              <mc:AlternateContent>
                <mc:Choice Requires="wps">
                  <w:drawing>
                    <wp:anchor distT="0" distB="0" distL="114300" distR="114300" simplePos="0" relativeHeight="251662336" behindDoc="0" locked="0" layoutInCell="1" allowOverlap="1">
                      <wp:simplePos x="0" y="0"/>
                      <wp:positionH relativeFrom="column">
                        <wp:posOffset>730885</wp:posOffset>
                      </wp:positionH>
                      <wp:positionV relativeFrom="paragraph">
                        <wp:posOffset>2779395</wp:posOffset>
                      </wp:positionV>
                      <wp:extent cx="769620" cy="253365"/>
                      <wp:effectExtent l="4445" t="4445" r="6985" b="8890"/>
                      <wp:wrapNone/>
                      <wp:docPr id="10" name="文本框 5"/>
                      <wp:cNvGraphicFramePr/>
                      <a:graphic xmlns:a="http://schemas.openxmlformats.org/drawingml/2006/main">
                        <a:graphicData uri="http://schemas.microsoft.com/office/word/2010/wordprocessingShape">
                          <wps:wsp>
                            <wps:cNvSpPr txBox="1"/>
                            <wps:spPr>
                              <a:xfrm>
                                <a:off x="0" y="0"/>
                                <a:ext cx="769620" cy="253365"/>
                              </a:xfrm>
                              <a:prstGeom prst="rect">
                                <a:avLst/>
                              </a:prstGeom>
                              <a:solidFill>
                                <a:srgbClr val="FFFFFF"/>
                              </a:solidFill>
                              <a:ln w="6350" cap="flat" cmpd="sng">
                                <a:solidFill>
                                  <a:srgbClr val="000000"/>
                                </a:solidFill>
                                <a:prstDash val="solid"/>
                                <a:round/>
                                <a:headEnd type="none" w="med" len="med"/>
                                <a:tailEnd type="none" w="med" len="med"/>
                              </a:ln>
                            </wps:spPr>
                            <wps:txbx>
                              <w:txbxContent>
                                <w:p>
                                  <w:pPr>
                                    <w:rPr>
                                      <w:color w:val="FF0000"/>
                                      <w:sz w:val="18"/>
                                      <w:szCs w:val="21"/>
                                    </w:rPr>
                                  </w:pPr>
                                  <w:r>
                                    <w:rPr>
                                      <w:rFonts w:hint="eastAsia"/>
                                      <w:sz w:val="18"/>
                                      <w:szCs w:val="21"/>
                                    </w:rPr>
                                    <w:t>本项目位置</w:t>
                                  </w:r>
                                </w:p>
                              </w:txbxContent>
                            </wps:txbx>
                            <wps:bodyPr upright="1"/>
                          </wps:wsp>
                        </a:graphicData>
                      </a:graphic>
                    </wp:anchor>
                  </w:drawing>
                </mc:Choice>
                <mc:Fallback>
                  <w:pict>
                    <v:shape id="文本框 5" o:spid="_x0000_s1026" o:spt="202" type="#_x0000_t202" style="position:absolute;left:0pt;margin-left:57.55pt;margin-top:218.85pt;height:19.95pt;width:60.6pt;z-index:251662336;mso-width-relative:page;mso-height-relative:page;" fillcolor="#FFFFFF" filled="t" stroked="t" coordsize="21600,21600" o:gfxdata="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n8sI1wAAAAsBAAAPAAAAAAAAAAEAIAAAACIA&#10;AABkcnMvZG93bnJldi54bWxQSwECFAAUAAAACACHTuJAfOpougoCAAA2BAAADgAAAAAAAAABACAA&#10;AAAmAQAAZHJzL2Uyb0RvYy54bWxQSwUGAAAAAAYABgBZAQAAogUAAAAA&#10;">
                      <v:fill on="t" focussize="0,0"/>
                      <v:stroke weight="0.5pt" color="#000000" joinstyle="round"/>
                      <v:imagedata o:title=""/>
                      <o:lock v:ext="edit" aspectratio="f"/>
                      <v:textbox>
                        <w:txbxContent>
                          <w:p>
                            <w:pPr>
                              <w:rPr>
                                <w:color w:val="FF0000"/>
                                <w:sz w:val="18"/>
                                <w:szCs w:val="21"/>
                              </w:rPr>
                            </w:pPr>
                            <w:r>
                              <w:rPr>
                                <w:rFonts w:hint="eastAsia"/>
                                <w:sz w:val="18"/>
                                <w:szCs w:val="21"/>
                              </w:rPr>
                              <w:t>本项目位置</w:t>
                            </w:r>
                          </w:p>
                        </w:txbxContent>
                      </v:textbox>
                    </v:shape>
                  </w:pict>
                </mc:Fallback>
              </mc:AlternateContent>
            </w:r>
            <w:r>
              <w:rPr>
                <w:color w:val="auto"/>
              </w:rPr>
              <mc:AlternateContent>
                <mc:Choice Requires="wps">
                  <w:drawing>
                    <wp:anchor distT="0" distB="0" distL="114300" distR="114300" simplePos="0" relativeHeight="251661312" behindDoc="0" locked="0" layoutInCell="1" allowOverlap="1">
                      <wp:simplePos x="0" y="0"/>
                      <wp:positionH relativeFrom="column">
                        <wp:posOffset>1345565</wp:posOffset>
                      </wp:positionH>
                      <wp:positionV relativeFrom="paragraph">
                        <wp:posOffset>2444750</wp:posOffset>
                      </wp:positionV>
                      <wp:extent cx="409575" cy="323850"/>
                      <wp:effectExtent l="3175" t="0" r="6350" b="19050"/>
                      <wp:wrapNone/>
                      <wp:docPr id="9" name="直接箭头连接符 214"/>
                      <wp:cNvGraphicFramePr/>
                      <a:graphic xmlns:a="http://schemas.openxmlformats.org/drawingml/2006/main">
                        <a:graphicData uri="http://schemas.microsoft.com/office/word/2010/wordprocessingShape">
                          <wps:wsp>
                            <wps:cNvCnPr/>
                            <wps:spPr>
                              <a:xfrm flipV="1">
                                <a:off x="0" y="0"/>
                                <a:ext cx="409575" cy="323850"/>
                              </a:xfrm>
                              <a:prstGeom prst="straightConnector1">
                                <a:avLst/>
                              </a:prstGeom>
                              <a:ln w="9525" cap="flat" cmpd="sng">
                                <a:solidFill>
                                  <a:srgbClr val="FF0000"/>
                                </a:solidFill>
                                <a:prstDash val="solid"/>
                                <a:headEnd type="none" w="med" len="med"/>
                                <a:tailEnd type="arrow" w="med" len="med"/>
                              </a:ln>
                            </wps:spPr>
                            <wps:bodyPr/>
                          </wps:wsp>
                        </a:graphicData>
                      </a:graphic>
                    </wp:anchor>
                  </w:drawing>
                </mc:Choice>
                <mc:Fallback>
                  <w:pict>
                    <v:shape id="直接箭头连接符 214" o:spid="_x0000_s1026" o:spt="32" type="#_x0000_t32" style="position:absolute;left:0pt;flip:y;margin-left:105.95pt;margin-top:192.5pt;height:25.5pt;width:32.25pt;z-index:251661312;mso-width-relative:page;mso-height-relative:page;" filled="f" stroked="t" coordsize="21600,21600" o:gfxdata="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PpKT2gAAAAsBAAAPAAAA&#10;AAAAAAEAIAAAACIAAABkcnMvZG93bnJldi54bWxQSwECFAAUAAAACACHTuJA6AZyPBMCAAD9AwAA&#10;DgAAAAAAAAABACAAAAApAQAAZHJzL2Uyb0RvYy54bWxQSwUGAAAAAAYABgBZAQAArgUAAAAA&#10;">
                      <v:fill on="f" focussize="0,0"/>
                      <v:stroke color="#FF0000" joinstyle="round" endarrow="open"/>
                      <v:imagedata o:title=""/>
                      <o:lock v:ext="edit" aspectratio="f"/>
                    </v:shape>
                  </w:pict>
                </mc:Fallback>
              </mc:AlternateContent>
            </w:r>
            <w:r>
              <w:rPr>
                <w:color w:val="auto"/>
              </w:rPr>
              <mc:AlternateContent>
                <mc:Choice Requires="wps">
                  <w:drawing>
                    <wp:anchor distT="0" distB="0" distL="114300" distR="114300" simplePos="0" relativeHeight="251660288" behindDoc="0" locked="0" layoutInCell="1" allowOverlap="1">
                      <wp:simplePos x="0" y="0"/>
                      <wp:positionH relativeFrom="column">
                        <wp:posOffset>1727200</wp:posOffset>
                      </wp:positionH>
                      <wp:positionV relativeFrom="paragraph">
                        <wp:posOffset>2310130</wp:posOffset>
                      </wp:positionV>
                      <wp:extent cx="175260" cy="175260"/>
                      <wp:effectExtent l="0" t="0" r="15240" b="15240"/>
                      <wp:wrapNone/>
                      <wp:docPr id="8" name="任意多边形 7"/>
                      <wp:cNvGraphicFramePr/>
                      <a:graphic xmlns:a="http://schemas.openxmlformats.org/drawingml/2006/main">
                        <a:graphicData uri="http://schemas.microsoft.com/office/word/2010/wordprocessingShape">
                          <wps:wsp>
                            <wps:cNvSpPr/>
                            <wps:spPr>
                              <a:xfrm>
                                <a:off x="0" y="0"/>
                                <a:ext cx="175260" cy="175260"/>
                              </a:xfrm>
                              <a:custGeom>
                                <a:avLst/>
                                <a:gdLst/>
                                <a:ahLst/>
                                <a:cxnLst>
                                  <a:cxn ang="16187392">
                                    <a:pos x="87630" y="0"/>
                                  </a:cxn>
                                  <a:cxn ang="10747904">
                                    <a:pos x="0" y="66943"/>
                                  </a:cxn>
                                  <a:cxn ang="5373952">
                                    <a:pos x="33471" y="175259"/>
                                  </a:cxn>
                                  <a:cxn ang="5373952">
                                    <a:pos x="141788" y="175259"/>
                                  </a:cxn>
                                  <a:cxn ang="0">
                                    <a:pos x="175259" y="66943"/>
                                  </a:cxn>
                                </a:cxnLst>
                                <a:pathLst>
                                  <a:path w="175260" h="175260">
                                    <a:moveTo>
                                      <a:pt x="0" y="66943"/>
                                    </a:moveTo>
                                    <a:lnTo>
                                      <a:pt x="66943" y="66943"/>
                                    </a:lnTo>
                                    <a:lnTo>
                                      <a:pt x="87630" y="0"/>
                                    </a:lnTo>
                                    <a:lnTo>
                                      <a:pt x="108316" y="66943"/>
                                    </a:lnTo>
                                    <a:lnTo>
                                      <a:pt x="175259" y="66943"/>
                                    </a:lnTo>
                                    <a:lnTo>
                                      <a:pt x="121101" y="108316"/>
                                    </a:lnTo>
                                    <a:lnTo>
                                      <a:pt x="141788" y="175259"/>
                                    </a:lnTo>
                                    <a:lnTo>
                                      <a:pt x="87630" y="133885"/>
                                    </a:lnTo>
                                    <a:lnTo>
                                      <a:pt x="33471" y="175259"/>
                                    </a:lnTo>
                                    <a:lnTo>
                                      <a:pt x="54158" y="108316"/>
                                    </a:lnTo>
                                    <a:close/>
                                  </a:path>
                                </a:pathLst>
                              </a:custGeom>
                              <a:solidFill>
                                <a:srgbClr val="FF0000"/>
                              </a:solidFill>
                              <a:ln w="25400">
                                <a:noFill/>
                              </a:ln>
                            </wps:spPr>
                            <wps:bodyPr anchor="ctr" anchorCtr="0" upright="1"/>
                          </wps:wsp>
                        </a:graphicData>
                      </a:graphic>
                    </wp:anchor>
                  </w:drawing>
                </mc:Choice>
                <mc:Fallback>
                  <w:pict>
                    <v:shape id="任意多边形 7" o:spid="_x0000_s1026" o:spt="100" style="position:absolute;left:0pt;margin-left:136pt;margin-top:181.9pt;height:13.8pt;width:13.8pt;z-index:251660288;v-text-anchor:middle;mso-width-relative:page;mso-height-relative:page;" fillcolor="#FF0000" filled="t" stroked="f" coordsize="175260,175260" o:gfxdata="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BvHOvPaAAAACwEAAA8AAAAAAAAAAQAg&#10;AAAAIgAAAGRycy9kb3ducmV2LnhtbFBLAQIUABQAAAAIAIdO4kAU5IEFtwIAAMMGAAAOAAAAAAAA&#10;AAEAIAAAACkBAABkcnMvZTJvRG9jLnhtbFBLBQYAAAAABgAGAFkBAABSBgAAAAA=&#10;" path="m0,66943l66943,66943,87630,0,108316,66943,175259,66943,121101,108316,141788,175259,87630,133885,33471,175259,54158,108316xe">
                      <v:path o:connectlocs="87630,0;0,66943;33471,175259;141788,175259;175259,66943" o:connectangles="247,164,82,82,0"/>
                      <v:fill on="t" focussize="0,0"/>
                      <v:stroke on="f" weight="2pt"/>
                      <v:imagedata o:title=""/>
                      <o:lock v:ext="edit" aspectratio="f"/>
                    </v:shape>
                  </w:pict>
                </mc:Fallback>
              </mc:AlternateContent>
            </w:r>
          </w:p>
          <w:p>
            <w:pPr>
              <w:pStyle w:val="85"/>
              <w:adjustRightInd/>
              <w:snapToGrid/>
              <w:spacing w:afterLines="50"/>
              <w:rPr>
                <w:rFonts w:eastAsia="宋体"/>
                <w:b/>
                <w:bCs/>
                <w:color w:val="auto"/>
              </w:rPr>
            </w:pPr>
            <w:r>
              <w:rPr>
                <w:rFonts w:hint="eastAsia" w:eastAsia="宋体"/>
                <w:b/>
                <w:bCs/>
                <w:color w:val="auto"/>
              </w:rPr>
              <w:t>图</w:t>
            </w:r>
            <w:r>
              <w:rPr>
                <w:rFonts w:eastAsia="宋体"/>
                <w:b/>
                <w:bCs/>
                <w:color w:val="auto"/>
              </w:rPr>
              <w:t xml:space="preserve">4.2-1  </w:t>
            </w:r>
            <w:r>
              <w:rPr>
                <w:rFonts w:hint="eastAsia" w:eastAsia="宋体"/>
                <w:b/>
                <w:bCs/>
                <w:color w:val="auto"/>
              </w:rPr>
              <w:t>永安北部工业新城（三期）涉及污水处理厂服务范围图</w:t>
            </w:r>
          </w:p>
          <w:p>
            <w:pPr>
              <w:pStyle w:val="81"/>
              <w:ind w:firstLine="31680"/>
              <w:rPr>
                <w:color w:val="auto"/>
                <w:spacing w:val="2"/>
              </w:rPr>
            </w:pPr>
            <w:r>
              <w:rPr>
                <w:color w:val="auto"/>
                <w:spacing w:val="2"/>
              </w:rPr>
              <w:t>2</w:t>
            </w:r>
            <w:r>
              <w:rPr>
                <w:rFonts w:hint="eastAsia"/>
                <w:color w:val="auto"/>
                <w:spacing w:val="2"/>
              </w:rPr>
              <w:t>）接入污水处理厂可行性分析</w:t>
            </w:r>
          </w:p>
          <w:p>
            <w:pPr>
              <w:pStyle w:val="81"/>
              <w:ind w:firstLine="31680"/>
              <w:rPr>
                <w:color w:val="auto"/>
                <w:spacing w:val="2"/>
              </w:rPr>
            </w:pPr>
            <w:r>
              <w:rPr>
                <w:rFonts w:hint="eastAsia"/>
                <w:color w:val="auto"/>
                <w:spacing w:val="2"/>
              </w:rPr>
              <w:t>①废水水量的影响</w:t>
            </w:r>
          </w:p>
          <w:p>
            <w:pPr>
              <w:pStyle w:val="81"/>
              <w:ind w:firstLine="31680"/>
              <w:rPr>
                <w:color w:val="auto"/>
                <w:spacing w:val="2"/>
              </w:rPr>
            </w:pPr>
            <w:r>
              <w:rPr>
                <w:rFonts w:hint="eastAsia"/>
                <w:color w:val="auto"/>
                <w:spacing w:val="2"/>
              </w:rPr>
              <w:t>根据尼葛污水处理厂提供资料，尼葛污水处理厂二期目前接收处理量约为</w:t>
            </w:r>
            <w:r>
              <w:rPr>
                <w:color w:val="auto"/>
              </w:rPr>
              <w:t>2441</w:t>
            </w:r>
            <w:r>
              <w:rPr>
                <w:color w:val="auto"/>
                <w:spacing w:val="2"/>
              </w:rPr>
              <w:t>t/d</w:t>
            </w:r>
            <w:r>
              <w:rPr>
                <w:rFonts w:hint="eastAsia"/>
                <w:color w:val="auto"/>
                <w:spacing w:val="2"/>
              </w:rPr>
              <w:t>，污水处理厂尚有余量</w:t>
            </w:r>
            <w:r>
              <w:rPr>
                <w:color w:val="auto"/>
              </w:rPr>
              <w:t>7559</w:t>
            </w:r>
            <w:r>
              <w:rPr>
                <w:color w:val="auto"/>
                <w:spacing w:val="2"/>
              </w:rPr>
              <w:t>t/d</w:t>
            </w:r>
            <w:r>
              <w:rPr>
                <w:rFonts w:hint="eastAsia"/>
                <w:color w:val="auto"/>
                <w:spacing w:val="2"/>
              </w:rPr>
              <w:t>，本项目生活污水排放量为</w:t>
            </w:r>
            <w:r>
              <w:rPr>
                <w:color w:val="auto"/>
                <w:spacing w:val="2"/>
              </w:rPr>
              <w:t>1.5375m</w:t>
            </w:r>
            <w:r>
              <w:rPr>
                <w:rFonts w:hint="eastAsia"/>
                <w:color w:val="auto"/>
                <w:spacing w:val="2"/>
              </w:rPr>
              <w:t>³</w:t>
            </w:r>
            <w:r>
              <w:rPr>
                <w:color w:val="auto"/>
                <w:spacing w:val="2"/>
              </w:rPr>
              <w:t>/d</w:t>
            </w:r>
            <w:r>
              <w:rPr>
                <w:rFonts w:hint="eastAsia"/>
                <w:color w:val="auto"/>
                <w:spacing w:val="2"/>
              </w:rPr>
              <w:t>（</w:t>
            </w:r>
            <w:r>
              <w:rPr>
                <w:color w:val="auto"/>
                <w:spacing w:val="2"/>
              </w:rPr>
              <w:t>461.25m</w:t>
            </w:r>
            <w:r>
              <w:rPr>
                <w:rFonts w:hint="eastAsia"/>
                <w:color w:val="auto"/>
                <w:spacing w:val="2"/>
              </w:rPr>
              <w:t>³</w:t>
            </w:r>
            <w:r>
              <w:rPr>
                <w:color w:val="auto"/>
                <w:spacing w:val="2"/>
              </w:rPr>
              <w:t>/a</w:t>
            </w:r>
            <w:r>
              <w:rPr>
                <w:rFonts w:hint="eastAsia"/>
                <w:color w:val="auto"/>
                <w:spacing w:val="2"/>
              </w:rPr>
              <w:t>），占污水处理厂剩余处理能力约</w:t>
            </w:r>
            <w:r>
              <w:rPr>
                <w:color w:val="auto"/>
                <w:spacing w:val="2"/>
              </w:rPr>
              <w:t>0.02%</w:t>
            </w:r>
            <w:r>
              <w:rPr>
                <w:rFonts w:hint="eastAsia"/>
                <w:color w:val="auto"/>
                <w:spacing w:val="2"/>
              </w:rPr>
              <w:t>，可接纳处理本项目的污水，不会对尼葛污水处理厂二期造成冲击。</w:t>
            </w:r>
          </w:p>
          <w:p>
            <w:pPr>
              <w:pStyle w:val="81"/>
              <w:ind w:firstLine="31680"/>
              <w:rPr>
                <w:color w:val="auto"/>
                <w:spacing w:val="2"/>
              </w:rPr>
            </w:pPr>
            <w:r>
              <w:rPr>
                <w:rFonts w:hint="eastAsia"/>
                <w:color w:val="auto"/>
                <w:spacing w:val="2"/>
              </w:rPr>
              <w:t>综上所述，本项目废水依托园区污水处理厂处理是可行的。</w:t>
            </w:r>
          </w:p>
          <w:p>
            <w:pPr>
              <w:pStyle w:val="81"/>
              <w:ind w:firstLine="31680"/>
              <w:rPr>
                <w:color w:val="auto"/>
              </w:rPr>
            </w:pPr>
            <w:r>
              <w:rPr>
                <w:rFonts w:hint="eastAsia" w:cs="宋体"/>
                <w:color w:val="auto"/>
              </w:rPr>
              <w:t>②</w:t>
            </w:r>
            <w:r>
              <w:rPr>
                <w:rFonts w:hint="eastAsia"/>
                <w:color w:val="auto"/>
              </w:rPr>
              <w:t>废水水质的影响</w:t>
            </w:r>
          </w:p>
          <w:p>
            <w:pPr>
              <w:pStyle w:val="81"/>
              <w:ind w:firstLine="31680"/>
              <w:rPr>
                <w:color w:val="auto"/>
              </w:rPr>
            </w:pPr>
            <w:r>
              <w:rPr>
                <w:rFonts w:hint="eastAsia"/>
                <w:color w:val="auto"/>
                <w:spacing w:val="2"/>
              </w:rPr>
              <w:t>尼葛污水处理厂</w:t>
            </w:r>
            <w:r>
              <w:rPr>
                <w:rFonts w:hint="eastAsia"/>
                <w:color w:val="auto"/>
              </w:rPr>
              <w:t>二期采用</w:t>
            </w:r>
            <w:r>
              <w:rPr>
                <w:color w:val="auto"/>
              </w:rPr>
              <w:t>CASS</w:t>
            </w:r>
            <w:r>
              <w:rPr>
                <w:rFonts w:hint="eastAsia"/>
                <w:color w:val="auto"/>
              </w:rPr>
              <w:t>工艺作为污水处理厂的主体工艺，工艺流程图见图</w:t>
            </w:r>
            <w:r>
              <w:rPr>
                <w:color w:val="auto"/>
                <w:spacing w:val="2"/>
              </w:rPr>
              <w:t>4.2-2</w:t>
            </w:r>
            <w:r>
              <w:rPr>
                <w:rFonts w:hint="eastAsia"/>
                <w:color w:val="auto"/>
              </w:rPr>
              <w:t>。尾水排放执行《城镇污水处理厂污染物排放标准》（</w:t>
            </w:r>
            <w:r>
              <w:rPr>
                <w:color w:val="auto"/>
              </w:rPr>
              <w:t>GB18918-2002</w:t>
            </w:r>
            <w:r>
              <w:rPr>
                <w:rFonts w:hint="eastAsia"/>
                <w:color w:val="auto"/>
              </w:rPr>
              <w:t>）中一级</w:t>
            </w:r>
            <w:r>
              <w:rPr>
                <w:color w:val="auto"/>
              </w:rPr>
              <w:t>B</w:t>
            </w:r>
            <w:r>
              <w:rPr>
                <w:rFonts w:hint="eastAsia"/>
                <w:color w:val="auto"/>
              </w:rPr>
              <w:t>标准，出水就近排沙溪。</w:t>
            </w:r>
          </w:p>
          <w:p>
            <w:pPr>
              <w:pStyle w:val="197"/>
              <w:ind w:firstLine="31680"/>
              <w:rPr>
                <w:color w:val="auto"/>
              </w:rPr>
            </w:pPr>
            <w:r>
              <w:rPr>
                <w:color w:val="auto"/>
              </w:rPr>
              <w:t>CASS</w:t>
            </w:r>
            <w:r>
              <w:rPr>
                <w:rFonts w:hint="eastAsia"/>
                <w:color w:val="auto"/>
              </w:rPr>
              <w:t>工艺的特点是工艺流程简单，占地面积小，投资较低；生化反应推动力大；沉淀效果好；运行灵活，抗冲击能力强；不易发生污泥膨胀；适用范围广，适合分期建设；剩余污泥量小，性质稳定。</w:t>
            </w:r>
            <w:r>
              <w:rPr>
                <w:rFonts w:hint="eastAsia"/>
                <w:color w:val="auto"/>
                <w:spacing w:val="2"/>
              </w:rPr>
              <w:t>尼葛污水处理厂污水工艺见图</w:t>
            </w:r>
            <w:r>
              <w:rPr>
                <w:color w:val="auto"/>
                <w:spacing w:val="2"/>
              </w:rPr>
              <w:t>4.2-2</w:t>
            </w:r>
            <w:r>
              <w:rPr>
                <w:rFonts w:hint="eastAsia"/>
                <w:color w:val="auto"/>
                <w:spacing w:val="2"/>
              </w:rPr>
              <w:t>。</w:t>
            </w:r>
          </w:p>
          <w:p>
            <w:pPr>
              <w:pStyle w:val="81"/>
              <w:ind w:firstLine="31680"/>
              <w:rPr>
                <w:color w:val="auto"/>
              </w:rPr>
            </w:pPr>
            <w:r>
              <w:rPr>
                <w:rFonts w:hint="eastAsia"/>
                <w:color w:val="auto"/>
              </w:rPr>
              <w:t>本项目生活污水经过化粪池处理后各污染物浓度均可以达到《污水综合排放标准》</w:t>
            </w:r>
            <w:r>
              <w:rPr>
                <w:color w:val="auto"/>
              </w:rPr>
              <w:t>(GB8978-1996</w:t>
            </w:r>
            <w:r>
              <w:rPr>
                <w:rFonts w:hint="eastAsia"/>
                <w:color w:val="auto"/>
              </w:rPr>
              <w:t>）表</w:t>
            </w:r>
            <w:r>
              <w:rPr>
                <w:color w:val="auto"/>
              </w:rPr>
              <w:t>4</w:t>
            </w:r>
            <w:r>
              <w:rPr>
                <w:rFonts w:hint="eastAsia"/>
                <w:color w:val="auto"/>
              </w:rPr>
              <w:t>中三级标准（</w:t>
            </w:r>
            <w:r>
              <w:rPr>
                <w:color w:val="auto"/>
              </w:rPr>
              <w:t>NH</w:t>
            </w:r>
            <w:r>
              <w:rPr>
                <w:color w:val="auto"/>
                <w:vertAlign w:val="subscript"/>
              </w:rPr>
              <w:t>3</w:t>
            </w:r>
            <w:r>
              <w:rPr>
                <w:color w:val="auto"/>
              </w:rPr>
              <w:t>-N</w:t>
            </w:r>
            <w:r>
              <w:rPr>
                <w:rFonts w:hint="eastAsia"/>
                <w:color w:val="auto"/>
              </w:rPr>
              <w:t>执行</w:t>
            </w:r>
            <w:r>
              <w:rPr>
                <w:color w:val="auto"/>
              </w:rPr>
              <w:t>GB/T31962-2015</w:t>
            </w:r>
            <w:r>
              <w:rPr>
                <w:rFonts w:hint="eastAsia"/>
                <w:color w:val="auto"/>
              </w:rPr>
              <w:t>《污水排入城镇下水道水质标准》表</w:t>
            </w:r>
            <w:r>
              <w:rPr>
                <w:color w:val="auto"/>
              </w:rPr>
              <w:t>1</w:t>
            </w:r>
            <w:r>
              <w:rPr>
                <w:rFonts w:hint="eastAsia"/>
                <w:color w:val="auto"/>
              </w:rPr>
              <w:t>中</w:t>
            </w:r>
            <w:r>
              <w:rPr>
                <w:color w:val="auto"/>
              </w:rPr>
              <w:t>B</w:t>
            </w:r>
            <w:r>
              <w:rPr>
                <w:rFonts w:hint="eastAsia"/>
                <w:color w:val="auto"/>
              </w:rPr>
              <w:t>等级）。从水质分析，本项目化粪池处理后的废水优于污水处理厂的进水水质要求，项目生活污水的纳入不会对污水处理厂的正常运行造成影响，本项目生活污水进入尼葛污水处理厂从工艺上是可行的。</w:t>
            </w:r>
          </w:p>
          <w:p>
            <w:pPr>
              <w:pStyle w:val="198"/>
              <w:rPr>
                <w:color w:val="auto"/>
              </w:rPr>
            </w:pPr>
            <w:r>
              <w:rPr>
                <w:color w:val="auto"/>
              </w:rPr>
              <w:drawing>
                <wp:inline distT="0" distB="0" distL="114300" distR="114300">
                  <wp:extent cx="3619500" cy="5229225"/>
                  <wp:effectExtent l="0" t="0" r="0" b="9525"/>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37"/>
                          <a:stretch>
                            <a:fillRect/>
                          </a:stretch>
                        </pic:blipFill>
                        <pic:spPr>
                          <a:xfrm>
                            <a:off x="0" y="0"/>
                            <a:ext cx="3619500" cy="5229225"/>
                          </a:xfrm>
                          <a:prstGeom prst="rect">
                            <a:avLst/>
                          </a:prstGeom>
                          <a:noFill/>
                          <a:ln>
                            <a:noFill/>
                          </a:ln>
                        </pic:spPr>
                      </pic:pic>
                    </a:graphicData>
                  </a:graphic>
                </wp:inline>
              </w:drawing>
            </w:r>
          </w:p>
          <w:p>
            <w:pPr>
              <w:spacing w:afterLines="50"/>
              <w:jc w:val="center"/>
              <w:rPr>
                <w:rFonts w:eastAsia="黑体"/>
                <w:color w:val="auto"/>
                <w:sz w:val="24"/>
              </w:rPr>
            </w:pPr>
            <w:r>
              <w:rPr>
                <w:rFonts w:hint="eastAsia" w:eastAsia="黑体"/>
                <w:color w:val="auto"/>
                <w:sz w:val="24"/>
              </w:rPr>
              <w:t>图</w:t>
            </w:r>
            <w:r>
              <w:rPr>
                <w:rFonts w:eastAsia="黑体"/>
                <w:color w:val="auto"/>
                <w:sz w:val="24"/>
              </w:rPr>
              <w:t xml:space="preserve">4.2-2  </w:t>
            </w:r>
            <w:r>
              <w:rPr>
                <w:rFonts w:hint="eastAsia" w:eastAsia="黑体"/>
                <w:color w:val="auto"/>
                <w:sz w:val="24"/>
              </w:rPr>
              <w:t>尼葛污水处理厂二期工程工艺流程示意图</w:t>
            </w:r>
          </w:p>
          <w:p>
            <w:pPr>
              <w:pStyle w:val="81"/>
              <w:ind w:firstLine="31680"/>
              <w:rPr>
                <w:color w:val="auto"/>
              </w:rPr>
            </w:pPr>
            <w:r>
              <w:rPr>
                <w:rFonts w:hint="eastAsia" w:cs="宋体"/>
                <w:color w:val="auto"/>
              </w:rPr>
              <w:t>③</w:t>
            </w:r>
            <w:r>
              <w:rPr>
                <w:rFonts w:hint="eastAsia"/>
                <w:color w:val="auto"/>
              </w:rPr>
              <w:t>与污水管网建设的衔接关系</w:t>
            </w:r>
          </w:p>
          <w:p>
            <w:pPr>
              <w:pStyle w:val="81"/>
              <w:ind w:firstLine="31680"/>
              <w:rPr>
                <w:color w:val="auto"/>
              </w:rPr>
            </w:pPr>
            <w:r>
              <w:rPr>
                <w:rFonts w:hint="eastAsia"/>
                <w:color w:val="auto"/>
              </w:rPr>
              <w:t>目前，项目所在地已完成衔接尼葛污水处理厂的污水管网的铺设。项目建成投产后，污水可以通过园区污水管网排入尼葛污水处理厂。</w:t>
            </w:r>
          </w:p>
          <w:p>
            <w:pPr>
              <w:pStyle w:val="81"/>
              <w:ind w:firstLine="31680"/>
              <w:rPr>
                <w:color w:val="auto"/>
              </w:rPr>
            </w:pPr>
            <w:r>
              <w:rPr>
                <w:rFonts w:hint="eastAsia"/>
                <w:color w:val="auto"/>
              </w:rPr>
              <w:t>综上所述，本项目建成后生活污水经预处理后可以纳入尼葛污水处理厂，对周边地表水环境影响较小。</w:t>
            </w:r>
          </w:p>
          <w:p>
            <w:pPr>
              <w:pStyle w:val="124"/>
              <w:spacing w:line="360" w:lineRule="auto"/>
              <w:ind w:firstLine="482" w:firstLineChars="200"/>
              <w:rPr>
                <w:rFonts w:ascii="Times New Roman"/>
                <w:b/>
                <w:bCs/>
                <w:color w:val="auto"/>
              </w:rPr>
            </w:pPr>
            <w:r>
              <w:rPr>
                <w:rFonts w:hint="eastAsia" w:ascii="Times New Roman"/>
                <w:b/>
                <w:bCs/>
                <w:color w:val="auto"/>
              </w:rPr>
              <w:t>（</w:t>
            </w:r>
            <w:r>
              <w:rPr>
                <w:rFonts w:ascii="Times New Roman"/>
                <w:b/>
                <w:bCs/>
                <w:color w:val="auto"/>
              </w:rPr>
              <w:t>4</w:t>
            </w:r>
            <w:r>
              <w:rPr>
                <w:rFonts w:hint="eastAsia" w:ascii="Times New Roman"/>
                <w:b/>
                <w:bCs/>
                <w:color w:val="auto"/>
              </w:rPr>
              <w:t>）废水达标性及回用可行性影响分析</w:t>
            </w:r>
          </w:p>
          <w:p>
            <w:pPr>
              <w:pStyle w:val="106"/>
              <w:ind w:firstLine="31680"/>
              <w:rPr>
                <w:color w:val="auto"/>
              </w:rPr>
            </w:pPr>
            <w:r>
              <w:rPr>
                <w:rFonts w:hint="eastAsia"/>
                <w:color w:val="auto"/>
              </w:rPr>
              <w:t>本项目排放的废水主要为生活污水，污染物成分简单，可生化性高，生活污水经化粪池处理后</w:t>
            </w:r>
            <w:r>
              <w:rPr>
                <w:color w:val="auto"/>
              </w:rPr>
              <w:t>COD</w:t>
            </w:r>
            <w:r>
              <w:rPr>
                <w:rFonts w:hint="eastAsia"/>
                <w:color w:val="auto"/>
              </w:rPr>
              <w:t>排放浓度为</w:t>
            </w:r>
            <w:r>
              <w:rPr>
                <w:color w:val="auto"/>
              </w:rPr>
              <w:t>340mg/L</w:t>
            </w:r>
            <w:r>
              <w:rPr>
                <w:rFonts w:hint="eastAsia"/>
                <w:color w:val="auto"/>
              </w:rPr>
              <w:t>、</w:t>
            </w:r>
            <w:r>
              <w:rPr>
                <w:color w:val="auto"/>
              </w:rPr>
              <w:t>BOD</w:t>
            </w:r>
            <w:r>
              <w:rPr>
                <w:color w:val="auto"/>
                <w:vertAlign w:val="subscript"/>
              </w:rPr>
              <w:t>5</w:t>
            </w:r>
            <w:r>
              <w:rPr>
                <w:rFonts w:hint="eastAsia"/>
                <w:color w:val="auto"/>
              </w:rPr>
              <w:t>排放浓度为</w:t>
            </w:r>
            <w:r>
              <w:rPr>
                <w:color w:val="auto"/>
              </w:rPr>
              <w:t>228mg/L</w:t>
            </w:r>
            <w:r>
              <w:rPr>
                <w:rFonts w:hint="eastAsia"/>
                <w:color w:val="auto"/>
              </w:rPr>
              <w:t>、</w:t>
            </w:r>
            <w:r>
              <w:rPr>
                <w:color w:val="auto"/>
              </w:rPr>
              <w:t>SS</w:t>
            </w:r>
            <w:r>
              <w:rPr>
                <w:rFonts w:hint="eastAsia"/>
                <w:color w:val="auto"/>
              </w:rPr>
              <w:t>排放浓度为</w:t>
            </w:r>
            <w:r>
              <w:rPr>
                <w:color w:val="auto"/>
              </w:rPr>
              <w:t>196mg/L</w:t>
            </w:r>
            <w:r>
              <w:rPr>
                <w:rFonts w:hint="eastAsia"/>
                <w:color w:val="auto"/>
              </w:rPr>
              <w:t>、</w:t>
            </w:r>
            <w:r>
              <w:rPr>
                <w:color w:val="auto"/>
              </w:rPr>
              <w:t>NH</w:t>
            </w:r>
            <w:r>
              <w:rPr>
                <w:color w:val="auto"/>
                <w:vertAlign w:val="subscript"/>
              </w:rPr>
              <w:t>3</w:t>
            </w:r>
            <w:r>
              <w:rPr>
                <w:color w:val="auto"/>
              </w:rPr>
              <w:t>-N</w:t>
            </w:r>
            <w:r>
              <w:rPr>
                <w:rFonts w:hint="eastAsia"/>
                <w:color w:val="auto"/>
              </w:rPr>
              <w:t>排放浓度为</w:t>
            </w:r>
            <w:r>
              <w:rPr>
                <w:color w:val="auto"/>
              </w:rPr>
              <w:t>34mg/L</w:t>
            </w:r>
            <w:r>
              <w:rPr>
                <w:rFonts w:hint="eastAsia"/>
                <w:color w:val="auto"/>
              </w:rPr>
              <w:t>，均可达到《污水综合排放标准》（</w:t>
            </w:r>
            <w:r>
              <w:rPr>
                <w:color w:val="auto"/>
              </w:rPr>
              <w:t>GB8978-1996</w:t>
            </w:r>
            <w:r>
              <w:rPr>
                <w:rFonts w:hint="eastAsia"/>
                <w:color w:val="auto"/>
              </w:rPr>
              <w:t>）表</w:t>
            </w:r>
            <w:r>
              <w:rPr>
                <w:color w:val="auto"/>
              </w:rPr>
              <w:t>4</w:t>
            </w:r>
            <w:r>
              <w:rPr>
                <w:rFonts w:hint="eastAsia"/>
                <w:color w:val="auto"/>
              </w:rPr>
              <w:t>三级标准（</w:t>
            </w:r>
            <w:r>
              <w:rPr>
                <w:color w:val="auto"/>
              </w:rPr>
              <w:t>NH</w:t>
            </w:r>
            <w:r>
              <w:rPr>
                <w:color w:val="auto"/>
                <w:vertAlign w:val="subscript"/>
              </w:rPr>
              <w:t>3</w:t>
            </w:r>
            <w:r>
              <w:rPr>
                <w:color w:val="auto"/>
              </w:rPr>
              <w:t>-N</w:t>
            </w:r>
            <w:r>
              <w:rPr>
                <w:rFonts w:hint="eastAsia"/>
                <w:color w:val="auto"/>
              </w:rPr>
              <w:t>参照执行《污水排入城镇下水道水质标准》（</w:t>
            </w:r>
            <w:r>
              <w:rPr>
                <w:color w:val="auto"/>
              </w:rPr>
              <w:t>GB/T31962-2015</w:t>
            </w:r>
            <w:r>
              <w:rPr>
                <w:rFonts w:hint="eastAsia"/>
                <w:color w:val="auto"/>
              </w:rPr>
              <w:t>）表</w:t>
            </w:r>
            <w:r>
              <w:rPr>
                <w:color w:val="auto"/>
              </w:rPr>
              <w:t>1</w:t>
            </w:r>
            <w:r>
              <w:rPr>
                <w:rFonts w:hint="eastAsia"/>
                <w:color w:val="auto"/>
              </w:rPr>
              <w:t>中的</w:t>
            </w:r>
            <w:r>
              <w:rPr>
                <w:color w:val="auto"/>
              </w:rPr>
              <w:t>B</w:t>
            </w:r>
            <w:r>
              <w:rPr>
                <w:rFonts w:hint="eastAsia"/>
                <w:color w:val="auto"/>
              </w:rPr>
              <w:t>级标准），水质能够满足尼葛污水处理厂的接管标准，废水经尼葛污水处理厂集中处理达标后，最终排放沙溪。</w:t>
            </w:r>
          </w:p>
          <w:p>
            <w:pPr>
              <w:pStyle w:val="106"/>
              <w:ind w:firstLine="31680"/>
              <w:rPr>
                <w:color w:val="auto"/>
              </w:rPr>
            </w:pPr>
            <w:r>
              <w:rPr>
                <w:rFonts w:hint="eastAsia"/>
                <w:color w:val="auto"/>
              </w:rPr>
              <w:t>本项目有设计有完善生产废水收集，处理（沉淀），回用系统。网箱抄取废水输送至混水罐澄清，因硅酸钙板主要原料为石英粉、水泥，混合液在混水罐可快速分层，上层清液进入清水罐，硅酸钙板生产对水质要求较低，沉淀后的上清液即可满足生产回用于碎浆，底层的混浊液可作为原料回用于制浆工序；车辆冲洗主要对轮胎和底盘进行冲洗，冲洗主要污染物为油污与泥沙。冲洗废水由洗车平台底部流入专用隔油沉淀池（</w:t>
            </w:r>
            <w:r>
              <w:rPr>
                <w:color w:val="auto"/>
              </w:rPr>
              <w:t>25m</w:t>
            </w:r>
            <w:r>
              <w:rPr>
                <w:color w:val="auto"/>
                <w:vertAlign w:val="superscript"/>
              </w:rPr>
              <w:t>3</w:t>
            </w:r>
            <w:r>
              <w:rPr>
                <w:rFonts w:hint="eastAsia"/>
                <w:color w:val="auto"/>
              </w:rPr>
              <w:t>），经过隔油沉淀分离大部分的油污与泥沙可满足车辆冲洗使用；建设单位设计建造</w:t>
            </w:r>
            <w:r>
              <w:rPr>
                <w:color w:val="auto"/>
              </w:rPr>
              <w:t>100m</w:t>
            </w:r>
            <w:r>
              <w:rPr>
                <w:color w:val="auto"/>
                <w:vertAlign w:val="superscript"/>
              </w:rPr>
              <w:t>3</w:t>
            </w:r>
            <w:r>
              <w:rPr>
                <w:rFonts w:hint="eastAsia"/>
                <w:color w:val="auto"/>
              </w:rPr>
              <w:t>初期雨水池用于初期雨水收集，初期雨水池与厂区雨水管网连接，通过阀门控制雨水收集或拦截，初期雨水主要污染物为</w:t>
            </w:r>
            <w:r>
              <w:rPr>
                <w:rFonts w:hint="eastAsia"/>
                <w:color w:val="auto"/>
                <w:lang w:val="en-US" w:eastAsia="zh-CN"/>
              </w:rPr>
              <w:t>颗粒物</w:t>
            </w:r>
            <w:r>
              <w:rPr>
                <w:rFonts w:hint="eastAsia"/>
                <w:color w:val="auto"/>
              </w:rPr>
              <w:t>，经过沉淀后可作为厂区车辆冲洗用水使用。</w:t>
            </w:r>
          </w:p>
          <w:p>
            <w:pPr>
              <w:pStyle w:val="106"/>
              <w:ind w:firstLine="31680"/>
              <w:rPr>
                <w:color w:val="auto"/>
              </w:rPr>
            </w:pPr>
            <w:r>
              <w:rPr>
                <w:rFonts w:hint="eastAsia"/>
                <w:color w:val="auto"/>
              </w:rPr>
              <w:t>综上本项目生产过程中产生的废水经其环保措施处理后均可回用生产或达标排放，对水环境影响较小。</w:t>
            </w:r>
          </w:p>
          <w:p>
            <w:pPr>
              <w:pStyle w:val="124"/>
              <w:spacing w:line="360" w:lineRule="auto"/>
              <w:ind w:firstLine="482" w:firstLineChars="200"/>
              <w:rPr>
                <w:rFonts w:ascii="Times New Roman"/>
                <w:b/>
                <w:bCs/>
                <w:color w:val="auto"/>
              </w:rPr>
            </w:pPr>
            <w:r>
              <w:rPr>
                <w:rFonts w:hint="eastAsia" w:ascii="Times New Roman"/>
                <w:b/>
                <w:bCs/>
                <w:color w:val="auto"/>
              </w:rPr>
              <w:t>（</w:t>
            </w:r>
            <w:r>
              <w:rPr>
                <w:rFonts w:ascii="Times New Roman"/>
                <w:b/>
                <w:bCs/>
                <w:color w:val="auto"/>
              </w:rPr>
              <w:t>5</w:t>
            </w:r>
            <w:r>
              <w:rPr>
                <w:rFonts w:hint="eastAsia" w:ascii="Times New Roman"/>
                <w:b/>
                <w:bCs/>
                <w:color w:val="auto"/>
              </w:rPr>
              <w:t>）废水污染物排放源及排放口基本情况</w:t>
            </w:r>
          </w:p>
          <w:p>
            <w:pPr>
              <w:pStyle w:val="106"/>
              <w:ind w:firstLine="31680"/>
              <w:rPr>
                <w:color w:val="auto"/>
              </w:rPr>
            </w:pPr>
            <w:r>
              <w:rPr>
                <w:rFonts w:hint="eastAsia"/>
                <w:color w:val="auto"/>
              </w:rPr>
              <w:t>废水污染物排放源详见表</w:t>
            </w:r>
            <w:r>
              <w:rPr>
                <w:color w:val="auto"/>
              </w:rPr>
              <w:t>4.2-3</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4.2-3  </w:t>
            </w:r>
            <w:r>
              <w:rPr>
                <w:rFonts w:hint="eastAsia" w:eastAsia="黑体"/>
                <w:color w:val="auto"/>
                <w:sz w:val="24"/>
              </w:rPr>
              <w:t>废水污染物排放信息表</w:t>
            </w:r>
          </w:p>
          <w:tbl>
            <w:tblPr>
              <w:tblStyle w:val="27"/>
              <w:tblW w:w="8504"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676"/>
              <w:gridCol w:w="1340"/>
              <w:gridCol w:w="1382"/>
              <w:gridCol w:w="1810"/>
              <w:gridCol w:w="1768"/>
              <w:gridCol w:w="1528"/>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440" w:hRule="atLeast"/>
              </w:trPr>
              <w:tc>
                <w:tcPr>
                  <w:tcW w:w="676" w:type="dxa"/>
                  <w:tcBorders>
                    <w:top w:val="single" w:color="auto" w:sz="12" w:space="0"/>
                    <w:bottom w:val="single" w:color="auto" w:sz="4" w:space="0"/>
                    <w:right w:val="single" w:color="auto" w:sz="6" w:space="0"/>
                  </w:tcBorders>
                  <w:vAlign w:val="center"/>
                </w:tcPr>
                <w:p>
                  <w:pPr>
                    <w:pStyle w:val="122"/>
                    <w:adjustRightInd/>
                    <w:snapToGrid/>
                    <w:rPr>
                      <w:color w:val="auto"/>
                    </w:rPr>
                  </w:pPr>
                  <w:r>
                    <w:rPr>
                      <w:rFonts w:hint="eastAsia"/>
                      <w:color w:val="auto"/>
                    </w:rPr>
                    <w:t>序号</w:t>
                  </w:r>
                </w:p>
              </w:tc>
              <w:tc>
                <w:tcPr>
                  <w:tcW w:w="1340" w:type="dxa"/>
                  <w:tcBorders>
                    <w:top w:val="single" w:color="auto" w:sz="12" w:space="0"/>
                    <w:left w:val="single" w:color="auto" w:sz="6" w:space="0"/>
                    <w:bottom w:val="single" w:color="auto" w:sz="4" w:space="0"/>
                    <w:right w:val="single" w:color="auto" w:sz="6" w:space="0"/>
                  </w:tcBorders>
                  <w:vAlign w:val="center"/>
                </w:tcPr>
                <w:p>
                  <w:pPr>
                    <w:pStyle w:val="122"/>
                    <w:adjustRightInd/>
                    <w:snapToGrid/>
                    <w:rPr>
                      <w:color w:val="auto"/>
                    </w:rPr>
                  </w:pPr>
                  <w:r>
                    <w:rPr>
                      <w:rFonts w:hint="eastAsia"/>
                      <w:color w:val="auto"/>
                    </w:rPr>
                    <w:t>排放口编号</w:t>
                  </w:r>
                </w:p>
              </w:tc>
              <w:tc>
                <w:tcPr>
                  <w:tcW w:w="1382" w:type="dxa"/>
                  <w:tcBorders>
                    <w:top w:val="single" w:color="auto" w:sz="12" w:space="0"/>
                    <w:left w:val="single" w:color="auto" w:sz="6" w:space="0"/>
                    <w:bottom w:val="single" w:color="auto" w:sz="4" w:space="0"/>
                    <w:right w:val="single" w:color="auto" w:sz="6" w:space="0"/>
                  </w:tcBorders>
                  <w:vAlign w:val="center"/>
                </w:tcPr>
                <w:p>
                  <w:pPr>
                    <w:pStyle w:val="122"/>
                    <w:adjustRightInd/>
                    <w:snapToGrid/>
                    <w:rPr>
                      <w:color w:val="auto"/>
                    </w:rPr>
                  </w:pPr>
                  <w:r>
                    <w:rPr>
                      <w:rFonts w:hint="eastAsia"/>
                      <w:color w:val="auto"/>
                    </w:rPr>
                    <w:t>污染物种类</w:t>
                  </w:r>
                </w:p>
              </w:tc>
              <w:tc>
                <w:tcPr>
                  <w:tcW w:w="1810" w:type="dxa"/>
                  <w:tcBorders>
                    <w:top w:val="single" w:color="auto" w:sz="12" w:space="0"/>
                    <w:left w:val="single" w:color="auto" w:sz="6" w:space="0"/>
                    <w:bottom w:val="single" w:color="auto" w:sz="4" w:space="0"/>
                    <w:right w:val="single" w:color="auto" w:sz="6" w:space="0"/>
                  </w:tcBorders>
                  <w:vAlign w:val="center"/>
                </w:tcPr>
                <w:p>
                  <w:pPr>
                    <w:pStyle w:val="122"/>
                    <w:adjustRightInd/>
                    <w:snapToGrid/>
                    <w:rPr>
                      <w:color w:val="auto"/>
                    </w:rPr>
                  </w:pPr>
                  <w:r>
                    <w:rPr>
                      <w:rFonts w:hint="eastAsia"/>
                      <w:color w:val="auto"/>
                    </w:rPr>
                    <w:t>排放浓度（</w:t>
                  </w:r>
                  <w:r>
                    <w:rPr>
                      <w:color w:val="auto"/>
                    </w:rPr>
                    <w:t>mg/L</w:t>
                  </w:r>
                  <w:r>
                    <w:rPr>
                      <w:rFonts w:hint="eastAsia"/>
                      <w:color w:val="auto"/>
                    </w:rPr>
                    <w:t>）</w:t>
                  </w:r>
                </w:p>
              </w:tc>
              <w:tc>
                <w:tcPr>
                  <w:tcW w:w="1768" w:type="dxa"/>
                  <w:tcBorders>
                    <w:top w:val="single" w:color="auto" w:sz="12" w:space="0"/>
                    <w:left w:val="single" w:color="auto" w:sz="6" w:space="0"/>
                    <w:bottom w:val="single" w:color="auto" w:sz="4" w:space="0"/>
                    <w:right w:val="single" w:color="auto" w:sz="6" w:space="0"/>
                  </w:tcBorders>
                  <w:vAlign w:val="center"/>
                </w:tcPr>
                <w:p>
                  <w:pPr>
                    <w:pStyle w:val="122"/>
                    <w:adjustRightInd/>
                    <w:snapToGrid/>
                    <w:rPr>
                      <w:color w:val="auto"/>
                    </w:rPr>
                  </w:pPr>
                  <w:r>
                    <w:rPr>
                      <w:rFonts w:hint="eastAsia"/>
                      <w:color w:val="auto"/>
                    </w:rPr>
                    <w:t>日排放量（</w:t>
                  </w:r>
                  <w:r>
                    <w:rPr>
                      <w:color w:val="auto"/>
                    </w:rPr>
                    <w:t>t/d</w:t>
                  </w:r>
                  <w:r>
                    <w:rPr>
                      <w:rFonts w:hint="eastAsia"/>
                      <w:color w:val="auto"/>
                    </w:rPr>
                    <w:t>）</w:t>
                  </w:r>
                </w:p>
              </w:tc>
              <w:tc>
                <w:tcPr>
                  <w:tcW w:w="1528" w:type="dxa"/>
                  <w:tcBorders>
                    <w:top w:val="single" w:color="auto" w:sz="12" w:space="0"/>
                    <w:left w:val="single" w:color="auto" w:sz="6" w:space="0"/>
                    <w:bottom w:val="single" w:color="auto" w:sz="4" w:space="0"/>
                  </w:tcBorders>
                  <w:vAlign w:val="center"/>
                </w:tcPr>
                <w:p>
                  <w:pPr>
                    <w:pStyle w:val="122"/>
                    <w:adjustRightInd/>
                    <w:snapToGrid/>
                    <w:rPr>
                      <w:color w:val="auto"/>
                    </w:rPr>
                  </w:pPr>
                  <w:r>
                    <w:rPr>
                      <w:rFonts w:hint="eastAsia"/>
                      <w:color w:val="auto"/>
                    </w:rPr>
                    <w:t>年排放量（</w:t>
                  </w:r>
                  <w:r>
                    <w:rPr>
                      <w:color w:val="auto"/>
                    </w:rPr>
                    <w:t>t/a</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3" w:hRule="atLeast"/>
              </w:trPr>
              <w:tc>
                <w:tcPr>
                  <w:tcW w:w="676" w:type="dxa"/>
                  <w:vMerge w:val="restart"/>
                  <w:tcBorders>
                    <w:top w:val="single" w:color="auto" w:sz="4" w:space="0"/>
                    <w:bottom w:val="single" w:color="auto" w:sz="4" w:space="0"/>
                    <w:right w:val="single" w:color="auto" w:sz="6" w:space="0"/>
                  </w:tcBorders>
                  <w:vAlign w:val="center"/>
                </w:tcPr>
                <w:p>
                  <w:pPr>
                    <w:pStyle w:val="122"/>
                    <w:adjustRightInd/>
                    <w:snapToGrid/>
                    <w:rPr>
                      <w:color w:val="auto"/>
                    </w:rPr>
                  </w:pPr>
                  <w:r>
                    <w:rPr>
                      <w:color w:val="auto"/>
                    </w:rPr>
                    <w:t>1</w:t>
                  </w:r>
                </w:p>
              </w:tc>
              <w:tc>
                <w:tcPr>
                  <w:tcW w:w="1340" w:type="dxa"/>
                  <w:vMerge w:val="restart"/>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r>
                    <w:rPr>
                      <w:color w:val="auto"/>
                    </w:rPr>
                    <w:t>DW001</w:t>
                  </w:r>
                </w:p>
              </w:tc>
              <w:tc>
                <w:tcPr>
                  <w:tcW w:w="1382" w:type="dxa"/>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r>
                    <w:rPr>
                      <w:color w:val="auto"/>
                    </w:rPr>
                    <w:t>COD</w:t>
                  </w:r>
                </w:p>
              </w:tc>
              <w:tc>
                <w:tcPr>
                  <w:tcW w:w="1810" w:type="dxa"/>
                  <w:tcBorders>
                    <w:top w:val="single" w:color="auto" w:sz="4" w:space="0"/>
                    <w:left w:val="single" w:color="auto" w:sz="6" w:space="0"/>
                    <w:bottom w:val="single" w:color="auto" w:sz="4" w:space="0"/>
                    <w:right w:val="single" w:color="auto" w:sz="6" w:space="0"/>
                  </w:tcBorders>
                  <w:vAlign w:val="center"/>
                </w:tcPr>
                <w:p>
                  <w:pPr>
                    <w:pStyle w:val="121"/>
                    <w:rPr>
                      <w:color w:val="auto"/>
                    </w:rPr>
                  </w:pPr>
                  <w:r>
                    <w:rPr>
                      <w:color w:val="auto"/>
                    </w:rPr>
                    <w:t>60</w:t>
                  </w:r>
                </w:p>
              </w:tc>
              <w:tc>
                <w:tcPr>
                  <w:tcW w:w="1768" w:type="dxa"/>
                  <w:tcBorders>
                    <w:top w:val="single" w:color="auto" w:sz="4" w:space="0"/>
                    <w:left w:val="single" w:color="auto" w:sz="6" w:space="0"/>
                    <w:bottom w:val="single" w:color="auto" w:sz="4" w:space="0"/>
                    <w:right w:val="single" w:color="auto" w:sz="6" w:space="0"/>
                  </w:tcBorders>
                  <w:vAlign w:val="center"/>
                </w:tcPr>
                <w:p>
                  <w:pPr>
                    <w:widowControl/>
                    <w:jc w:val="center"/>
                    <w:textAlignment w:val="center"/>
                    <w:rPr>
                      <w:color w:val="auto"/>
                      <w:kern w:val="0"/>
                      <w:lang w:val="en-GB"/>
                    </w:rPr>
                  </w:pPr>
                  <w:r>
                    <w:rPr>
                      <w:color w:val="auto"/>
                      <w:kern w:val="0"/>
                    </w:rPr>
                    <w:t>0.000092</w:t>
                  </w:r>
                </w:p>
              </w:tc>
              <w:tc>
                <w:tcPr>
                  <w:tcW w:w="1528" w:type="dxa"/>
                  <w:tcBorders>
                    <w:top w:val="single" w:color="auto" w:sz="4" w:space="0"/>
                    <w:left w:val="single" w:color="auto" w:sz="6" w:space="0"/>
                    <w:bottom w:val="single" w:color="auto" w:sz="4" w:space="0"/>
                  </w:tcBorders>
                  <w:vAlign w:val="center"/>
                </w:tcPr>
                <w:p>
                  <w:pPr>
                    <w:widowControl/>
                    <w:jc w:val="center"/>
                    <w:textAlignment w:val="center"/>
                    <w:rPr>
                      <w:color w:val="auto"/>
                      <w:kern w:val="0"/>
                      <w:lang w:val="en-GB"/>
                    </w:rPr>
                  </w:pPr>
                  <w:r>
                    <w:rPr>
                      <w:color w:val="auto"/>
                      <w:kern w:val="0"/>
                    </w:rPr>
                    <w:t>0.0277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3" w:hRule="atLeast"/>
              </w:trPr>
              <w:tc>
                <w:tcPr>
                  <w:tcW w:w="676" w:type="dxa"/>
                  <w:vMerge w:val="continue"/>
                  <w:tcBorders>
                    <w:top w:val="single" w:color="auto" w:sz="4" w:space="0"/>
                    <w:bottom w:val="single" w:color="auto" w:sz="4" w:space="0"/>
                    <w:right w:val="single" w:color="auto" w:sz="6" w:space="0"/>
                  </w:tcBorders>
                  <w:vAlign w:val="center"/>
                </w:tcPr>
                <w:p>
                  <w:pPr>
                    <w:pStyle w:val="122"/>
                    <w:adjustRightInd/>
                    <w:snapToGrid/>
                    <w:rPr>
                      <w:color w:val="auto"/>
                    </w:rPr>
                  </w:pPr>
                </w:p>
              </w:tc>
              <w:tc>
                <w:tcPr>
                  <w:tcW w:w="1340" w:type="dxa"/>
                  <w:vMerge w:val="continue"/>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p>
              </w:tc>
              <w:tc>
                <w:tcPr>
                  <w:tcW w:w="1382" w:type="dxa"/>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r>
                    <w:rPr>
                      <w:color w:val="auto"/>
                    </w:rPr>
                    <w:t>BOD</w:t>
                  </w:r>
                  <w:r>
                    <w:rPr>
                      <w:color w:val="auto"/>
                      <w:vertAlign w:val="subscript"/>
                    </w:rPr>
                    <w:t>5</w:t>
                  </w:r>
                </w:p>
              </w:tc>
              <w:tc>
                <w:tcPr>
                  <w:tcW w:w="1810" w:type="dxa"/>
                  <w:tcBorders>
                    <w:top w:val="single" w:color="auto" w:sz="4" w:space="0"/>
                    <w:left w:val="single" w:color="auto" w:sz="6" w:space="0"/>
                    <w:bottom w:val="single" w:color="auto" w:sz="4" w:space="0"/>
                    <w:right w:val="single" w:color="auto" w:sz="6" w:space="0"/>
                  </w:tcBorders>
                  <w:vAlign w:val="center"/>
                </w:tcPr>
                <w:p>
                  <w:pPr>
                    <w:pStyle w:val="121"/>
                    <w:rPr>
                      <w:color w:val="auto"/>
                    </w:rPr>
                  </w:pPr>
                  <w:r>
                    <w:rPr>
                      <w:color w:val="auto"/>
                    </w:rPr>
                    <w:t>20</w:t>
                  </w:r>
                </w:p>
              </w:tc>
              <w:tc>
                <w:tcPr>
                  <w:tcW w:w="1768" w:type="dxa"/>
                  <w:tcBorders>
                    <w:top w:val="single" w:color="auto" w:sz="4" w:space="0"/>
                    <w:left w:val="single" w:color="auto" w:sz="6" w:space="0"/>
                    <w:bottom w:val="single" w:color="auto" w:sz="4" w:space="0"/>
                    <w:right w:val="single" w:color="auto" w:sz="6" w:space="0"/>
                  </w:tcBorders>
                  <w:vAlign w:val="center"/>
                </w:tcPr>
                <w:p>
                  <w:pPr>
                    <w:widowControl/>
                    <w:jc w:val="center"/>
                    <w:textAlignment w:val="center"/>
                    <w:rPr>
                      <w:color w:val="auto"/>
                      <w:kern w:val="0"/>
                      <w:lang w:val="en-GB"/>
                    </w:rPr>
                  </w:pPr>
                  <w:r>
                    <w:rPr>
                      <w:color w:val="auto"/>
                      <w:kern w:val="0"/>
                    </w:rPr>
                    <w:t>0.000031</w:t>
                  </w:r>
                </w:p>
              </w:tc>
              <w:tc>
                <w:tcPr>
                  <w:tcW w:w="1528" w:type="dxa"/>
                  <w:tcBorders>
                    <w:top w:val="single" w:color="auto" w:sz="4" w:space="0"/>
                    <w:left w:val="single" w:color="auto" w:sz="6" w:space="0"/>
                    <w:bottom w:val="single" w:color="auto" w:sz="4" w:space="0"/>
                  </w:tcBorders>
                  <w:vAlign w:val="center"/>
                </w:tcPr>
                <w:p>
                  <w:pPr>
                    <w:widowControl/>
                    <w:jc w:val="center"/>
                    <w:textAlignment w:val="center"/>
                    <w:rPr>
                      <w:color w:val="auto"/>
                      <w:kern w:val="0"/>
                      <w:lang w:val="en-GB"/>
                    </w:rPr>
                  </w:pPr>
                  <w:r>
                    <w:rPr>
                      <w:color w:val="auto"/>
                      <w:kern w:val="0"/>
                    </w:rPr>
                    <w:t>0.0092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3" w:hRule="atLeast"/>
              </w:trPr>
              <w:tc>
                <w:tcPr>
                  <w:tcW w:w="676" w:type="dxa"/>
                  <w:vMerge w:val="continue"/>
                  <w:tcBorders>
                    <w:top w:val="single" w:color="auto" w:sz="4" w:space="0"/>
                    <w:bottom w:val="single" w:color="auto" w:sz="4" w:space="0"/>
                    <w:right w:val="single" w:color="auto" w:sz="6" w:space="0"/>
                  </w:tcBorders>
                  <w:vAlign w:val="center"/>
                </w:tcPr>
                <w:p>
                  <w:pPr>
                    <w:pStyle w:val="122"/>
                    <w:adjustRightInd/>
                    <w:snapToGrid/>
                    <w:rPr>
                      <w:color w:val="auto"/>
                    </w:rPr>
                  </w:pPr>
                </w:p>
              </w:tc>
              <w:tc>
                <w:tcPr>
                  <w:tcW w:w="1340" w:type="dxa"/>
                  <w:vMerge w:val="continue"/>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p>
              </w:tc>
              <w:tc>
                <w:tcPr>
                  <w:tcW w:w="1382" w:type="dxa"/>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r>
                    <w:rPr>
                      <w:color w:val="auto"/>
                    </w:rPr>
                    <w:t>SS</w:t>
                  </w:r>
                </w:p>
              </w:tc>
              <w:tc>
                <w:tcPr>
                  <w:tcW w:w="1810" w:type="dxa"/>
                  <w:tcBorders>
                    <w:top w:val="single" w:color="auto" w:sz="4" w:space="0"/>
                    <w:left w:val="single" w:color="auto" w:sz="6" w:space="0"/>
                    <w:bottom w:val="single" w:color="auto" w:sz="4" w:space="0"/>
                    <w:right w:val="single" w:color="auto" w:sz="6" w:space="0"/>
                  </w:tcBorders>
                  <w:vAlign w:val="center"/>
                </w:tcPr>
                <w:p>
                  <w:pPr>
                    <w:pStyle w:val="121"/>
                    <w:rPr>
                      <w:color w:val="auto"/>
                    </w:rPr>
                  </w:pPr>
                  <w:r>
                    <w:rPr>
                      <w:color w:val="auto"/>
                    </w:rPr>
                    <w:t>20</w:t>
                  </w:r>
                </w:p>
              </w:tc>
              <w:tc>
                <w:tcPr>
                  <w:tcW w:w="1768" w:type="dxa"/>
                  <w:tcBorders>
                    <w:top w:val="single" w:color="auto" w:sz="4" w:space="0"/>
                    <w:left w:val="single" w:color="auto" w:sz="6" w:space="0"/>
                    <w:bottom w:val="single" w:color="auto" w:sz="4" w:space="0"/>
                    <w:right w:val="single" w:color="auto" w:sz="6" w:space="0"/>
                  </w:tcBorders>
                  <w:vAlign w:val="center"/>
                </w:tcPr>
                <w:p>
                  <w:pPr>
                    <w:widowControl/>
                    <w:jc w:val="center"/>
                    <w:textAlignment w:val="center"/>
                    <w:rPr>
                      <w:color w:val="auto"/>
                      <w:kern w:val="0"/>
                      <w:lang w:val="en-GB"/>
                    </w:rPr>
                  </w:pPr>
                  <w:r>
                    <w:rPr>
                      <w:color w:val="auto"/>
                      <w:kern w:val="0"/>
                    </w:rPr>
                    <w:t>0.000031</w:t>
                  </w:r>
                </w:p>
              </w:tc>
              <w:tc>
                <w:tcPr>
                  <w:tcW w:w="1528" w:type="dxa"/>
                  <w:tcBorders>
                    <w:top w:val="single" w:color="auto" w:sz="4" w:space="0"/>
                    <w:left w:val="single" w:color="auto" w:sz="6" w:space="0"/>
                    <w:bottom w:val="single" w:color="auto" w:sz="4" w:space="0"/>
                  </w:tcBorders>
                  <w:vAlign w:val="center"/>
                </w:tcPr>
                <w:p>
                  <w:pPr>
                    <w:widowControl/>
                    <w:jc w:val="center"/>
                    <w:textAlignment w:val="center"/>
                    <w:rPr>
                      <w:color w:val="auto"/>
                      <w:kern w:val="0"/>
                      <w:lang w:val="en-GB"/>
                    </w:rPr>
                  </w:pPr>
                  <w:r>
                    <w:rPr>
                      <w:color w:val="auto"/>
                      <w:kern w:val="0"/>
                    </w:rPr>
                    <w:t>0.0093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3" w:hRule="atLeast"/>
              </w:trPr>
              <w:tc>
                <w:tcPr>
                  <w:tcW w:w="676" w:type="dxa"/>
                  <w:vMerge w:val="continue"/>
                  <w:tcBorders>
                    <w:top w:val="single" w:color="auto" w:sz="4" w:space="0"/>
                    <w:bottom w:val="single" w:color="auto" w:sz="4" w:space="0"/>
                    <w:right w:val="single" w:color="auto" w:sz="6" w:space="0"/>
                  </w:tcBorders>
                  <w:vAlign w:val="center"/>
                </w:tcPr>
                <w:p>
                  <w:pPr>
                    <w:pStyle w:val="122"/>
                    <w:adjustRightInd/>
                    <w:snapToGrid/>
                    <w:rPr>
                      <w:color w:val="auto"/>
                    </w:rPr>
                  </w:pPr>
                </w:p>
              </w:tc>
              <w:tc>
                <w:tcPr>
                  <w:tcW w:w="1340" w:type="dxa"/>
                  <w:vMerge w:val="continue"/>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p>
              </w:tc>
              <w:tc>
                <w:tcPr>
                  <w:tcW w:w="1382" w:type="dxa"/>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r>
                    <w:rPr>
                      <w:color w:val="auto"/>
                    </w:rPr>
                    <w:t>NH</w:t>
                  </w:r>
                  <w:r>
                    <w:rPr>
                      <w:color w:val="auto"/>
                      <w:vertAlign w:val="subscript"/>
                    </w:rPr>
                    <w:t>3</w:t>
                  </w:r>
                  <w:r>
                    <w:rPr>
                      <w:color w:val="auto"/>
                    </w:rPr>
                    <w:t>-N</w:t>
                  </w:r>
                </w:p>
              </w:tc>
              <w:tc>
                <w:tcPr>
                  <w:tcW w:w="1810" w:type="dxa"/>
                  <w:tcBorders>
                    <w:top w:val="single" w:color="auto" w:sz="4" w:space="0"/>
                    <w:left w:val="single" w:color="auto" w:sz="6" w:space="0"/>
                    <w:bottom w:val="single" w:color="auto" w:sz="4" w:space="0"/>
                    <w:right w:val="single" w:color="auto" w:sz="6" w:space="0"/>
                  </w:tcBorders>
                  <w:vAlign w:val="center"/>
                </w:tcPr>
                <w:p>
                  <w:pPr>
                    <w:pStyle w:val="121"/>
                    <w:rPr>
                      <w:color w:val="auto"/>
                    </w:rPr>
                  </w:pPr>
                  <w:r>
                    <w:rPr>
                      <w:color w:val="auto"/>
                    </w:rPr>
                    <w:t>8</w:t>
                  </w:r>
                </w:p>
              </w:tc>
              <w:tc>
                <w:tcPr>
                  <w:tcW w:w="1768" w:type="dxa"/>
                  <w:tcBorders>
                    <w:top w:val="single" w:color="auto" w:sz="4" w:space="0"/>
                    <w:left w:val="single" w:color="auto" w:sz="6" w:space="0"/>
                    <w:bottom w:val="single" w:color="auto" w:sz="4" w:space="0"/>
                    <w:right w:val="single" w:color="auto" w:sz="6" w:space="0"/>
                  </w:tcBorders>
                  <w:vAlign w:val="center"/>
                </w:tcPr>
                <w:p>
                  <w:pPr>
                    <w:widowControl/>
                    <w:jc w:val="center"/>
                    <w:textAlignment w:val="center"/>
                    <w:rPr>
                      <w:color w:val="auto"/>
                      <w:kern w:val="0"/>
                      <w:lang w:val="en-GB"/>
                    </w:rPr>
                  </w:pPr>
                  <w:r>
                    <w:rPr>
                      <w:color w:val="auto"/>
                      <w:kern w:val="0"/>
                    </w:rPr>
                    <w:t>0.000012</w:t>
                  </w:r>
                </w:p>
              </w:tc>
              <w:tc>
                <w:tcPr>
                  <w:tcW w:w="1528" w:type="dxa"/>
                  <w:tcBorders>
                    <w:top w:val="single" w:color="auto" w:sz="4" w:space="0"/>
                    <w:left w:val="single" w:color="auto" w:sz="6" w:space="0"/>
                    <w:bottom w:val="single" w:color="auto" w:sz="4" w:space="0"/>
                  </w:tcBorders>
                  <w:vAlign w:val="center"/>
                </w:tcPr>
                <w:p>
                  <w:pPr>
                    <w:widowControl/>
                    <w:jc w:val="center"/>
                    <w:textAlignment w:val="center"/>
                    <w:rPr>
                      <w:color w:val="auto"/>
                      <w:kern w:val="0"/>
                      <w:lang w:val="en-GB"/>
                    </w:rPr>
                  </w:pPr>
                  <w:r>
                    <w:rPr>
                      <w:color w:val="auto"/>
                      <w:kern w:val="0"/>
                    </w:rPr>
                    <w:t>0.0037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3" w:hRule="atLeast"/>
              </w:trPr>
              <w:tc>
                <w:tcPr>
                  <w:tcW w:w="2016" w:type="dxa"/>
                  <w:gridSpan w:val="2"/>
                  <w:vMerge w:val="restart"/>
                  <w:tcBorders>
                    <w:top w:val="single" w:color="auto" w:sz="4" w:space="0"/>
                    <w:bottom w:val="single" w:color="auto" w:sz="4" w:space="0"/>
                    <w:right w:val="single" w:color="auto" w:sz="6" w:space="0"/>
                  </w:tcBorders>
                  <w:vAlign w:val="center"/>
                </w:tcPr>
                <w:p>
                  <w:pPr>
                    <w:pStyle w:val="122"/>
                    <w:adjustRightInd/>
                    <w:snapToGrid/>
                    <w:rPr>
                      <w:color w:val="auto"/>
                    </w:rPr>
                  </w:pPr>
                  <w:r>
                    <w:rPr>
                      <w:rFonts w:hint="eastAsia"/>
                      <w:color w:val="auto"/>
                    </w:rPr>
                    <w:t>全厂排放口合计</w:t>
                  </w:r>
                </w:p>
              </w:tc>
              <w:tc>
                <w:tcPr>
                  <w:tcW w:w="4960" w:type="dxa"/>
                  <w:gridSpan w:val="3"/>
                  <w:tcBorders>
                    <w:top w:val="single" w:color="auto" w:sz="4" w:space="0"/>
                    <w:left w:val="single" w:color="auto" w:sz="6" w:space="0"/>
                    <w:bottom w:val="single" w:color="auto" w:sz="4" w:space="0"/>
                    <w:right w:val="single" w:color="auto" w:sz="6" w:space="0"/>
                  </w:tcBorders>
                  <w:vAlign w:val="center"/>
                </w:tcPr>
                <w:p>
                  <w:pPr>
                    <w:pStyle w:val="122"/>
                    <w:adjustRightInd/>
                    <w:snapToGrid/>
                    <w:rPr>
                      <w:color w:val="auto"/>
                    </w:rPr>
                  </w:pPr>
                  <w:r>
                    <w:rPr>
                      <w:color w:val="auto"/>
                    </w:rPr>
                    <w:t>COD</w:t>
                  </w:r>
                </w:p>
              </w:tc>
              <w:tc>
                <w:tcPr>
                  <w:tcW w:w="1528" w:type="dxa"/>
                  <w:tcBorders>
                    <w:top w:val="single" w:color="auto" w:sz="4" w:space="0"/>
                    <w:left w:val="single" w:color="auto" w:sz="6" w:space="0"/>
                    <w:bottom w:val="single" w:color="auto" w:sz="4" w:space="0"/>
                  </w:tcBorders>
                  <w:vAlign w:val="center"/>
                </w:tcPr>
                <w:p>
                  <w:pPr>
                    <w:widowControl/>
                    <w:jc w:val="center"/>
                    <w:textAlignment w:val="center"/>
                    <w:rPr>
                      <w:color w:val="auto"/>
                      <w:kern w:val="0"/>
                    </w:rPr>
                  </w:pPr>
                  <w:r>
                    <w:rPr>
                      <w:color w:val="auto"/>
                      <w:kern w:val="0"/>
                    </w:rPr>
                    <w:t>0.0277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63" w:hRule="atLeast"/>
              </w:trPr>
              <w:tc>
                <w:tcPr>
                  <w:tcW w:w="2016" w:type="dxa"/>
                  <w:gridSpan w:val="2"/>
                  <w:vMerge w:val="continue"/>
                  <w:tcBorders>
                    <w:top w:val="single" w:color="auto" w:sz="4" w:space="0"/>
                    <w:bottom w:val="single" w:color="auto" w:sz="12" w:space="0"/>
                    <w:right w:val="single" w:color="auto" w:sz="6" w:space="0"/>
                  </w:tcBorders>
                  <w:vAlign w:val="center"/>
                </w:tcPr>
                <w:p>
                  <w:pPr>
                    <w:pStyle w:val="122"/>
                    <w:adjustRightInd/>
                    <w:snapToGrid/>
                    <w:rPr>
                      <w:color w:val="auto"/>
                    </w:rPr>
                  </w:pPr>
                </w:p>
              </w:tc>
              <w:tc>
                <w:tcPr>
                  <w:tcW w:w="4960" w:type="dxa"/>
                  <w:gridSpan w:val="3"/>
                  <w:tcBorders>
                    <w:top w:val="single" w:color="auto" w:sz="4" w:space="0"/>
                    <w:left w:val="single" w:color="auto" w:sz="6" w:space="0"/>
                    <w:bottom w:val="single" w:color="auto" w:sz="12" w:space="0"/>
                    <w:right w:val="single" w:color="auto" w:sz="6" w:space="0"/>
                  </w:tcBorders>
                  <w:vAlign w:val="center"/>
                </w:tcPr>
                <w:p>
                  <w:pPr>
                    <w:pStyle w:val="122"/>
                    <w:adjustRightInd/>
                    <w:snapToGrid/>
                    <w:rPr>
                      <w:color w:val="auto"/>
                    </w:rPr>
                  </w:pPr>
                  <w:r>
                    <w:rPr>
                      <w:color w:val="auto"/>
                    </w:rPr>
                    <w:t>NH</w:t>
                  </w:r>
                  <w:r>
                    <w:rPr>
                      <w:color w:val="auto"/>
                      <w:vertAlign w:val="subscript"/>
                    </w:rPr>
                    <w:t>3</w:t>
                  </w:r>
                  <w:r>
                    <w:rPr>
                      <w:color w:val="auto"/>
                    </w:rPr>
                    <w:t>-N</w:t>
                  </w:r>
                </w:p>
              </w:tc>
              <w:tc>
                <w:tcPr>
                  <w:tcW w:w="1528" w:type="dxa"/>
                  <w:tcBorders>
                    <w:top w:val="single" w:color="auto" w:sz="4" w:space="0"/>
                    <w:left w:val="single" w:color="auto" w:sz="6" w:space="0"/>
                    <w:bottom w:val="single" w:color="auto" w:sz="12" w:space="0"/>
                  </w:tcBorders>
                  <w:vAlign w:val="center"/>
                </w:tcPr>
                <w:p>
                  <w:pPr>
                    <w:widowControl/>
                    <w:jc w:val="center"/>
                    <w:textAlignment w:val="center"/>
                    <w:rPr>
                      <w:color w:val="auto"/>
                      <w:kern w:val="0"/>
                    </w:rPr>
                  </w:pPr>
                  <w:r>
                    <w:rPr>
                      <w:color w:val="auto"/>
                      <w:kern w:val="0"/>
                    </w:rPr>
                    <w:t>0.0037</w:t>
                  </w:r>
                </w:p>
              </w:tc>
            </w:tr>
          </w:tbl>
          <w:p>
            <w:pPr>
              <w:pStyle w:val="116"/>
              <w:adjustRightInd/>
              <w:snapToGrid/>
              <w:rPr>
                <w:color w:val="auto"/>
              </w:rPr>
            </w:pPr>
            <w:r>
              <w:rPr>
                <w:color w:val="auto"/>
              </w:rPr>
              <w:t>4.2.2</w:t>
            </w:r>
            <w:r>
              <w:rPr>
                <w:rFonts w:hint="eastAsia"/>
                <w:color w:val="auto"/>
              </w:rPr>
              <w:t>运营期大气环境影响分析及保护措施</w:t>
            </w:r>
          </w:p>
          <w:p>
            <w:pPr>
              <w:pStyle w:val="124"/>
              <w:spacing w:line="360" w:lineRule="auto"/>
              <w:ind w:firstLine="482" w:firstLineChars="2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1</w:t>
            </w:r>
            <w:r>
              <w:rPr>
                <w:rFonts w:hint="eastAsia" w:ascii="Times New Roman" w:cs="Times New Roman"/>
                <w:b/>
                <w:bCs/>
                <w:color w:val="auto"/>
              </w:rPr>
              <w:t>）源强分析</w:t>
            </w:r>
          </w:p>
          <w:p>
            <w:pPr>
              <w:pStyle w:val="67"/>
              <w:ind w:firstLine="31680"/>
              <w:rPr>
                <w:color w:val="auto"/>
              </w:rPr>
            </w:pPr>
            <w:r>
              <w:rPr>
                <w:rFonts w:hint="eastAsia"/>
                <w:color w:val="auto"/>
              </w:rPr>
              <w:t>本项目废气主要为石英粉生产过程产生的卸料粉尘，原料库扬尘，投料、破碎、筛分粉尘，输送带粉尘，进仓粉尘；硅酸钙板生产过程产生的入仓、配料粉尘和磨边粉尘；物料运输时车辆扬尘；以及汽车运输对环境影响。废气污染源情况如下表所示。</w:t>
            </w:r>
          </w:p>
          <w:p>
            <w:pPr>
              <w:jc w:val="center"/>
              <w:rPr>
                <w:rFonts w:eastAsia="黑体"/>
                <w:color w:val="auto"/>
                <w:sz w:val="24"/>
              </w:rPr>
            </w:pPr>
            <w:r>
              <w:rPr>
                <w:rFonts w:hint="eastAsia" w:eastAsia="黑体"/>
                <w:color w:val="auto"/>
                <w:sz w:val="24"/>
              </w:rPr>
              <w:t>表</w:t>
            </w:r>
            <w:r>
              <w:rPr>
                <w:rFonts w:eastAsia="黑体"/>
                <w:color w:val="auto"/>
                <w:sz w:val="24"/>
              </w:rPr>
              <w:t xml:space="preserve">4.2-4  </w:t>
            </w:r>
            <w:r>
              <w:rPr>
                <w:rFonts w:hint="eastAsia" w:eastAsia="黑体"/>
                <w:color w:val="auto"/>
                <w:sz w:val="24"/>
              </w:rPr>
              <w:t>废气污染源排放源汇总</w:t>
            </w:r>
          </w:p>
          <w:tbl>
            <w:tblPr>
              <w:tblStyle w:val="27"/>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9"/>
              <w:gridCol w:w="814"/>
              <w:gridCol w:w="420"/>
              <w:gridCol w:w="570"/>
              <w:gridCol w:w="790"/>
              <w:gridCol w:w="580"/>
              <w:gridCol w:w="1320"/>
              <w:gridCol w:w="860"/>
              <w:gridCol w:w="590"/>
              <w:gridCol w:w="770"/>
              <w:gridCol w:w="730"/>
              <w:gridCol w:w="6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03" w:type="dxa"/>
                  <w:gridSpan w:val="2"/>
                  <w:vMerge w:val="restart"/>
                  <w:tcBorders>
                    <w:top w:val="single" w:color="auto" w:sz="12"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产污环节（编号）</w:t>
                  </w:r>
                </w:p>
              </w:tc>
              <w:tc>
                <w:tcPr>
                  <w:tcW w:w="420" w:type="dxa"/>
                  <w:vMerge w:val="restar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污染物种类</w:t>
                  </w:r>
                </w:p>
              </w:tc>
              <w:tc>
                <w:tcPr>
                  <w:tcW w:w="570" w:type="dxa"/>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污染物产生量</w:t>
                  </w:r>
                </w:p>
              </w:tc>
              <w:tc>
                <w:tcPr>
                  <w:tcW w:w="790" w:type="dxa"/>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污染物产生浓度</w:t>
                  </w:r>
                </w:p>
              </w:tc>
              <w:tc>
                <w:tcPr>
                  <w:tcW w:w="580" w:type="dxa"/>
                  <w:vMerge w:val="restar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排放</w:t>
                  </w:r>
                </w:p>
                <w:p>
                  <w:pPr>
                    <w:pStyle w:val="122"/>
                    <w:adjustRightInd/>
                    <w:snapToGrid/>
                    <w:rPr>
                      <w:color w:val="auto"/>
                    </w:rPr>
                  </w:pPr>
                  <w:r>
                    <w:rPr>
                      <w:rFonts w:hint="eastAsia"/>
                      <w:color w:val="auto"/>
                    </w:rPr>
                    <w:t>形式</w:t>
                  </w:r>
                </w:p>
              </w:tc>
              <w:tc>
                <w:tcPr>
                  <w:tcW w:w="1320" w:type="dxa"/>
                  <w:vMerge w:val="restar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治理设施</w:t>
                  </w:r>
                </w:p>
              </w:tc>
              <w:tc>
                <w:tcPr>
                  <w:tcW w:w="860" w:type="dxa"/>
                  <w:vMerge w:val="restar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排放口编号</w:t>
                  </w:r>
                </w:p>
              </w:tc>
              <w:tc>
                <w:tcPr>
                  <w:tcW w:w="590" w:type="dxa"/>
                  <w:vMerge w:val="restart"/>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是否为可行技术</w:t>
                  </w:r>
                </w:p>
              </w:tc>
              <w:tc>
                <w:tcPr>
                  <w:tcW w:w="770" w:type="dxa"/>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污染物排放浓度</w:t>
                  </w:r>
                </w:p>
              </w:tc>
              <w:tc>
                <w:tcPr>
                  <w:tcW w:w="730" w:type="dxa"/>
                  <w:tcBorders>
                    <w:top w:val="single" w:color="auto" w:sz="12"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污染物排放速率</w:t>
                  </w:r>
                </w:p>
              </w:tc>
              <w:tc>
                <w:tcPr>
                  <w:tcW w:w="671" w:type="dxa"/>
                  <w:tcBorders>
                    <w:top w:val="single" w:color="auto" w:sz="12" w:space="0"/>
                    <w:left w:val="single" w:color="auto" w:sz="4" w:space="0"/>
                    <w:bottom w:val="single" w:color="auto" w:sz="4" w:space="0"/>
                  </w:tcBorders>
                  <w:tcMar>
                    <w:left w:w="28" w:type="dxa"/>
                    <w:right w:w="28" w:type="dxa"/>
                  </w:tcMar>
                  <w:vAlign w:val="center"/>
                </w:tcPr>
                <w:p>
                  <w:pPr>
                    <w:pStyle w:val="122"/>
                    <w:adjustRightInd/>
                    <w:snapToGrid/>
                    <w:rPr>
                      <w:color w:val="auto"/>
                    </w:rPr>
                  </w:pPr>
                  <w:r>
                    <w:rPr>
                      <w:rFonts w:hint="eastAsia"/>
                      <w:color w:val="auto"/>
                    </w:rPr>
                    <w:t>污染物排放量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203" w:type="dxa"/>
                  <w:gridSpan w:val="2"/>
                  <w:vMerge w:val="continue"/>
                  <w:tcBorders>
                    <w:top w:val="single" w:color="auto" w:sz="4" w:space="0"/>
                    <w:bottom w:val="single" w:color="auto" w:sz="4" w:space="0"/>
                    <w:right w:val="single" w:color="auto" w:sz="4" w:space="0"/>
                  </w:tcBorders>
                  <w:vAlign w:val="center"/>
                </w:tcPr>
                <w:p>
                  <w:pPr>
                    <w:pStyle w:val="122"/>
                    <w:adjustRightInd/>
                    <w:snapToGrid/>
                    <w:rPr>
                      <w:color w:val="auto"/>
                    </w:rPr>
                  </w:pPr>
                </w:p>
              </w:tc>
              <w:tc>
                <w:tcPr>
                  <w:tcW w:w="420" w:type="dxa"/>
                  <w:vMerge w:val="continue"/>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t/a</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mg/m</w:t>
                  </w:r>
                  <w:r>
                    <w:rPr>
                      <w:color w:val="auto"/>
                      <w:vertAlign w:val="superscript"/>
                    </w:rPr>
                    <w:t>3</w:t>
                  </w:r>
                </w:p>
              </w:tc>
              <w:tc>
                <w:tcPr>
                  <w:tcW w:w="58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132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6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59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7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122"/>
                    <w:adjustRightInd/>
                    <w:snapToGrid/>
                    <w:rPr>
                      <w:color w:val="auto"/>
                    </w:rPr>
                  </w:pPr>
                  <w:r>
                    <w:rPr>
                      <w:color w:val="auto"/>
                    </w:rPr>
                    <w:t>mg/m</w:t>
                  </w:r>
                  <w:r>
                    <w:rPr>
                      <w:color w:val="auto"/>
                      <w:vertAlign w:val="superscript"/>
                    </w:rPr>
                    <w:t>3</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kg/h</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8" w:hRule="atLeast"/>
              </w:trPr>
              <w:tc>
                <w:tcPr>
                  <w:tcW w:w="389" w:type="dxa"/>
                  <w:vMerge w:val="restart"/>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石英粉生产线</w:t>
                  </w: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卸料（</w:t>
                  </w:r>
                  <w:r>
                    <w:rPr>
                      <w:color w:val="auto"/>
                      <w:szCs w:val="21"/>
                    </w:rPr>
                    <w:t>G1-1</w:t>
                  </w:r>
                  <w:r>
                    <w:rPr>
                      <w:rFonts w:hint="eastAsia"/>
                      <w:color w:val="auto"/>
                    </w:rPr>
                    <w:t>）</w:t>
                  </w:r>
                </w:p>
              </w:tc>
              <w:tc>
                <w:tcPr>
                  <w:tcW w:w="4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1.8</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187.5</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有组织</w:t>
                  </w:r>
                </w:p>
              </w:tc>
              <w:tc>
                <w:tcPr>
                  <w:tcW w:w="1320"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原料库封闭，出入口布设集气罩对卸料粉尘收集，使用布袋除尘器处理后通过</w:t>
                  </w:r>
                  <w:r>
                    <w:rPr>
                      <w:color w:val="auto"/>
                    </w:rPr>
                    <w:t>15m</w:t>
                  </w:r>
                  <w:r>
                    <w:rPr>
                      <w:rFonts w:hint="eastAsia"/>
                      <w:color w:val="auto"/>
                    </w:rPr>
                    <w:t>高排气筒高空排放</w:t>
                  </w: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DA001</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是</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1.875</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0.015</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9" w:type="dxa"/>
                  <w:vMerge w:val="continue"/>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卸料（</w:t>
                  </w:r>
                  <w:r>
                    <w:rPr>
                      <w:color w:val="auto"/>
                      <w:szCs w:val="21"/>
                    </w:rPr>
                    <w:t>G1-1</w:t>
                  </w:r>
                  <w:r>
                    <w:rPr>
                      <w:rFonts w:hint="eastAsia"/>
                      <w:color w:val="auto"/>
                    </w:rPr>
                    <w:t>）</w:t>
                  </w:r>
                </w:p>
              </w:tc>
              <w:tc>
                <w:tcPr>
                  <w:tcW w:w="4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0.2</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无组织</w:t>
                  </w:r>
                </w:p>
              </w:tc>
              <w:tc>
                <w:tcPr>
                  <w:tcW w:w="132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0.083</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81" w:hRule="atLeast"/>
              </w:trPr>
              <w:tc>
                <w:tcPr>
                  <w:tcW w:w="389" w:type="dxa"/>
                  <w:vMerge w:val="continue"/>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投料、破碎、筛分（</w:t>
                  </w:r>
                  <w:r>
                    <w:rPr>
                      <w:color w:val="auto"/>
                      <w:szCs w:val="21"/>
                    </w:rPr>
                    <w:t>G1-2</w:t>
                  </w:r>
                  <w:r>
                    <w:rPr>
                      <w:rFonts w:hint="eastAsia"/>
                      <w:color w:val="auto"/>
                      <w:szCs w:val="21"/>
                    </w:rPr>
                    <w:t>～</w:t>
                  </w:r>
                  <w:r>
                    <w:rPr>
                      <w:color w:val="auto"/>
                      <w:szCs w:val="21"/>
                    </w:rPr>
                    <w:t>G1-6</w:t>
                  </w:r>
                  <w:r>
                    <w:rPr>
                      <w:rFonts w:hint="eastAsia"/>
                      <w:color w:val="auto"/>
                    </w:rPr>
                    <w:t>）</w:t>
                  </w:r>
                </w:p>
              </w:tc>
              <w:tc>
                <w:tcPr>
                  <w:tcW w:w="4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11.2</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233.5</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有组织</w:t>
                  </w:r>
                </w:p>
              </w:tc>
              <w:tc>
                <w:tcPr>
                  <w:tcW w:w="1320"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起尘或落料点使用集气罩、软帘进行废气收集，废气经过袋式除尘器处理后通过</w:t>
                  </w:r>
                  <w:r>
                    <w:rPr>
                      <w:color w:val="auto"/>
                    </w:rPr>
                    <w:t>15m</w:t>
                  </w:r>
                  <w:r>
                    <w:rPr>
                      <w:rFonts w:hint="eastAsia"/>
                      <w:color w:val="auto"/>
                    </w:rPr>
                    <w:t>高排气筒高空排放</w:t>
                  </w: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DA001</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是</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2.34</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0.0467</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dxa"/>
                  <w:vMerge w:val="continue"/>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投料、破碎、筛分（</w:t>
                  </w:r>
                  <w:r>
                    <w:rPr>
                      <w:color w:val="auto"/>
                      <w:szCs w:val="21"/>
                    </w:rPr>
                    <w:t>G1-2</w:t>
                  </w:r>
                  <w:r>
                    <w:rPr>
                      <w:rFonts w:hint="eastAsia"/>
                      <w:color w:val="auto"/>
                      <w:szCs w:val="21"/>
                    </w:rPr>
                    <w:t>～</w:t>
                  </w:r>
                  <w:r>
                    <w:rPr>
                      <w:color w:val="auto"/>
                      <w:szCs w:val="21"/>
                    </w:rPr>
                    <w:t>G1-6</w:t>
                  </w:r>
                  <w:r>
                    <w:rPr>
                      <w:rFonts w:hint="eastAsia"/>
                      <w:color w:val="auto"/>
                    </w:rPr>
                    <w:t>）</w:t>
                  </w:r>
                </w:p>
              </w:tc>
              <w:tc>
                <w:tcPr>
                  <w:tcW w:w="4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0.8</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无组织</w:t>
                  </w:r>
                </w:p>
              </w:tc>
              <w:tc>
                <w:tcPr>
                  <w:tcW w:w="132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0.167</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9" w:type="dxa"/>
                  <w:vMerge w:val="continue"/>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进仓（</w:t>
                  </w:r>
                  <w:r>
                    <w:rPr>
                      <w:color w:val="auto"/>
                      <w:szCs w:val="21"/>
                    </w:rPr>
                    <w:t>G1-7</w:t>
                  </w:r>
                  <w:r>
                    <w:rPr>
                      <w:rFonts w:hint="eastAsia"/>
                      <w:color w:val="auto"/>
                      <w:szCs w:val="21"/>
                    </w:rPr>
                    <w:t>、</w:t>
                  </w:r>
                  <w:r>
                    <w:rPr>
                      <w:color w:val="auto"/>
                      <w:szCs w:val="21"/>
                    </w:rPr>
                    <w:t>G1-8</w:t>
                  </w:r>
                  <w:r>
                    <w:rPr>
                      <w:rFonts w:hint="eastAsia"/>
                      <w:color w:val="auto"/>
                    </w:rPr>
                    <w:t>）</w:t>
                  </w:r>
                </w:p>
              </w:tc>
              <w:tc>
                <w:tcPr>
                  <w:tcW w:w="4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0.12</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6.2</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有组织</w:t>
                  </w:r>
                </w:p>
              </w:tc>
              <w:tc>
                <w:tcPr>
                  <w:tcW w:w="13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s="宋体"/>
                      <w:bCs/>
                      <w:iCs/>
                      <w:color w:val="auto"/>
                      <w:szCs w:val="21"/>
                    </w:rPr>
                    <w:t>呼吸口使用管道封闭对接，</w:t>
                  </w:r>
                  <w:r>
                    <w:rPr>
                      <w:rFonts w:hint="eastAsia"/>
                      <w:color w:val="auto"/>
                    </w:rPr>
                    <w:t>废气经过袋式除尘器处理后通过</w:t>
                  </w:r>
                  <w:r>
                    <w:rPr>
                      <w:color w:val="auto"/>
                    </w:rPr>
                    <w:t>15m</w:t>
                  </w:r>
                  <w:r>
                    <w:rPr>
                      <w:rFonts w:hint="eastAsia"/>
                      <w:color w:val="auto"/>
                    </w:rPr>
                    <w:t>高排气筒高空排放</w:t>
                  </w: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DA001</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是</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0.06</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kern w:val="0"/>
                      <w:szCs w:val="21"/>
                    </w:rPr>
                    <w:t>5</w:t>
                  </w:r>
                  <w:r>
                    <w:rPr>
                      <w:rFonts w:hint="eastAsia"/>
                      <w:color w:val="auto"/>
                      <w:szCs w:val="21"/>
                    </w:rPr>
                    <w:t>×</w:t>
                  </w:r>
                  <w:r>
                    <w:rPr>
                      <w:color w:val="auto"/>
                      <w:szCs w:val="21"/>
                    </w:rPr>
                    <w:t>10</w:t>
                  </w:r>
                  <w:r>
                    <w:rPr>
                      <w:color w:val="auto"/>
                      <w:szCs w:val="21"/>
                      <w:vertAlign w:val="superscript"/>
                    </w:rPr>
                    <w:t>-4</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1623" w:type="dxa"/>
                  <w:gridSpan w:val="3"/>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有组织</w:t>
                  </w:r>
                </w:p>
              </w:tc>
              <w:tc>
                <w:tcPr>
                  <w:tcW w:w="6210"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kern w:val="0"/>
                      <w:szCs w:val="21"/>
                    </w:rPr>
                  </w:pPr>
                  <w:r>
                    <w:rPr>
                      <w:rFonts w:hint="eastAsia"/>
                      <w:color w:val="auto"/>
                    </w:rPr>
                    <w:t>颗粒物</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0.131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623" w:type="dxa"/>
                  <w:gridSpan w:val="3"/>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无组织</w:t>
                  </w:r>
                </w:p>
              </w:tc>
              <w:tc>
                <w:tcPr>
                  <w:tcW w:w="6210"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kern w:val="0"/>
                      <w:szCs w:val="21"/>
                    </w:rPr>
                  </w:pPr>
                  <w:r>
                    <w:rPr>
                      <w:rFonts w:hint="eastAsia"/>
                      <w:color w:val="auto"/>
                    </w:rPr>
                    <w:t>颗粒物</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1623" w:type="dxa"/>
                  <w:gridSpan w:val="3"/>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小计</w:t>
                  </w:r>
                </w:p>
              </w:tc>
              <w:tc>
                <w:tcPr>
                  <w:tcW w:w="6210"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kern w:val="0"/>
                      <w:szCs w:val="21"/>
                    </w:rPr>
                  </w:pPr>
                  <w:r>
                    <w:rPr>
                      <w:rFonts w:hint="eastAsia"/>
                      <w:color w:val="auto"/>
                    </w:rPr>
                    <w:t>颗粒物</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0.731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89" w:type="dxa"/>
                  <w:vMerge w:val="restart"/>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硅酸钙板生产线</w:t>
                  </w: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进仓（</w:t>
                  </w:r>
                  <w:r>
                    <w:rPr>
                      <w:color w:val="auto"/>
                      <w:szCs w:val="21"/>
                    </w:rPr>
                    <w:t>G2-1</w:t>
                  </w:r>
                  <w:r>
                    <w:rPr>
                      <w:rFonts w:hint="eastAsia"/>
                      <w:color w:val="auto"/>
                    </w:rPr>
                    <w:t>）</w:t>
                  </w:r>
                </w:p>
              </w:tc>
              <w:tc>
                <w:tcPr>
                  <w:tcW w:w="4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20.06</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836</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有组织</w:t>
                  </w:r>
                </w:p>
              </w:tc>
              <w:tc>
                <w:tcPr>
                  <w:tcW w:w="13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s="宋体"/>
                      <w:bCs/>
                      <w:iCs/>
                      <w:color w:val="auto"/>
                      <w:szCs w:val="21"/>
                    </w:rPr>
                    <w:t>呼吸口使用管道封闭对接，</w:t>
                  </w:r>
                  <w:r>
                    <w:rPr>
                      <w:rFonts w:hint="eastAsia"/>
                      <w:color w:val="auto"/>
                    </w:rPr>
                    <w:t>废气经过袋式除尘器处理后通过</w:t>
                  </w:r>
                  <w:r>
                    <w:rPr>
                      <w:color w:val="auto"/>
                    </w:rPr>
                    <w:t>15m</w:t>
                  </w:r>
                  <w:r>
                    <w:rPr>
                      <w:rFonts w:hint="eastAsia"/>
                      <w:color w:val="auto"/>
                    </w:rPr>
                    <w:t>高排气筒高空排放</w:t>
                  </w: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DA002</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是</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8.36</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kern w:val="0"/>
                      <w:szCs w:val="21"/>
                    </w:rPr>
                  </w:pPr>
                  <w:r>
                    <w:rPr>
                      <w:color w:val="auto"/>
                      <w:kern w:val="0"/>
                      <w:szCs w:val="21"/>
                    </w:rPr>
                    <w:t>0.167</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0.2006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389" w:type="dxa"/>
                  <w:vMerge w:val="continue"/>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配料（</w:t>
                  </w:r>
                  <w:r>
                    <w:rPr>
                      <w:color w:val="auto"/>
                      <w:szCs w:val="21"/>
                    </w:rPr>
                    <w:t>G2-2</w:t>
                  </w:r>
                  <w:r>
                    <w:rPr>
                      <w:rFonts w:hint="eastAsia"/>
                      <w:color w:val="auto"/>
                    </w:rPr>
                    <w:t>）</w:t>
                  </w:r>
                </w:p>
              </w:tc>
              <w:tc>
                <w:tcPr>
                  <w:tcW w:w="4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8.37</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437</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有组织</w:t>
                  </w:r>
                </w:p>
              </w:tc>
              <w:tc>
                <w:tcPr>
                  <w:tcW w:w="132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密闭配料，</w:t>
                  </w:r>
                  <w:r>
                    <w:rPr>
                      <w:rFonts w:hint="eastAsia" w:cs="宋体"/>
                      <w:bCs/>
                      <w:iCs/>
                      <w:color w:val="auto"/>
                      <w:szCs w:val="21"/>
                    </w:rPr>
                    <w:t>呼吸口使用管道封闭对接，</w:t>
                  </w:r>
                  <w:r>
                    <w:rPr>
                      <w:rFonts w:hint="eastAsia"/>
                      <w:color w:val="auto"/>
                    </w:rPr>
                    <w:t>废气经过袋式除尘器处理后通过</w:t>
                  </w:r>
                  <w:r>
                    <w:rPr>
                      <w:color w:val="auto"/>
                    </w:rPr>
                    <w:t>15m</w:t>
                  </w:r>
                  <w:r>
                    <w:rPr>
                      <w:rFonts w:hint="eastAsia"/>
                      <w:color w:val="auto"/>
                    </w:rPr>
                    <w:t>高排气筒高空排放</w:t>
                  </w: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DA003</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是</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kern w:val="0"/>
                      <w:szCs w:val="21"/>
                    </w:rPr>
                  </w:pPr>
                  <w:r>
                    <w:rPr>
                      <w:color w:val="auto"/>
                      <w:kern w:val="0"/>
                      <w:szCs w:val="21"/>
                    </w:rPr>
                    <w:t>4.37</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kern w:val="0"/>
                      <w:szCs w:val="21"/>
                    </w:rPr>
                  </w:pPr>
                  <w:r>
                    <w:rPr>
                      <w:color w:val="auto"/>
                      <w:kern w:val="0"/>
                      <w:szCs w:val="21"/>
                    </w:rPr>
                    <w:t>0.0698</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0.0837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389" w:type="dxa"/>
                  <w:vMerge w:val="continue"/>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磨边（</w:t>
                  </w:r>
                  <w:r>
                    <w:rPr>
                      <w:color w:val="auto"/>
                      <w:szCs w:val="21"/>
                    </w:rPr>
                    <w:t>G2-5</w:t>
                  </w:r>
                  <w:r>
                    <w:rPr>
                      <w:rFonts w:hint="eastAsia"/>
                      <w:color w:val="auto"/>
                    </w:rPr>
                    <w:t>）</w:t>
                  </w:r>
                </w:p>
              </w:tc>
              <w:tc>
                <w:tcPr>
                  <w:tcW w:w="420"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17.28</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400</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有组织</w:t>
                  </w:r>
                </w:p>
              </w:tc>
              <w:tc>
                <w:tcPr>
                  <w:tcW w:w="1320" w:type="dxa"/>
                  <w:vMerge w:val="restart"/>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磨边作业区上方使用集气罩、软帘进行废气收集，废气经过袋式除尘器处理后通过</w:t>
                  </w:r>
                  <w:r>
                    <w:rPr>
                      <w:color w:val="auto"/>
                    </w:rPr>
                    <w:t>15m</w:t>
                  </w:r>
                  <w:r>
                    <w:rPr>
                      <w:rFonts w:hint="eastAsia"/>
                      <w:color w:val="auto"/>
                    </w:rPr>
                    <w:t>高排气筒高空排放</w:t>
                  </w: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DA003</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是</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4.0</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0.072</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0.1728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0" w:hRule="atLeast"/>
              </w:trPr>
              <w:tc>
                <w:tcPr>
                  <w:tcW w:w="389" w:type="dxa"/>
                  <w:vMerge w:val="continue"/>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1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磨边（</w:t>
                  </w:r>
                  <w:r>
                    <w:rPr>
                      <w:color w:val="auto"/>
                      <w:szCs w:val="21"/>
                    </w:rPr>
                    <w:t>G2-5</w:t>
                  </w:r>
                  <w:r>
                    <w:rPr>
                      <w:rFonts w:hint="eastAsia"/>
                      <w:color w:val="auto"/>
                    </w:rPr>
                    <w:t>）</w:t>
                  </w:r>
                </w:p>
              </w:tc>
              <w:tc>
                <w:tcPr>
                  <w:tcW w:w="42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5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1.92</w:t>
                  </w:r>
                </w:p>
              </w:tc>
              <w:tc>
                <w:tcPr>
                  <w:tcW w:w="7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58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无组织</w:t>
                  </w:r>
                </w:p>
              </w:tc>
              <w:tc>
                <w:tcPr>
                  <w:tcW w:w="1320" w:type="dxa"/>
                  <w:vMerge w:val="continue"/>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86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59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77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color w:val="auto"/>
                    </w:rPr>
                    <w:t>/</w:t>
                  </w:r>
                </w:p>
              </w:tc>
              <w:tc>
                <w:tcPr>
                  <w:tcW w:w="73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23" w:type="dxa"/>
                  <w:gridSpan w:val="3"/>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有组织</w:t>
                  </w:r>
                </w:p>
              </w:tc>
              <w:tc>
                <w:tcPr>
                  <w:tcW w:w="6210"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0.457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623" w:type="dxa"/>
                  <w:gridSpan w:val="3"/>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无组织</w:t>
                  </w:r>
                </w:p>
              </w:tc>
              <w:tc>
                <w:tcPr>
                  <w:tcW w:w="6210"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0.96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623" w:type="dxa"/>
                  <w:gridSpan w:val="3"/>
                  <w:tcBorders>
                    <w:top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小计</w:t>
                  </w:r>
                </w:p>
              </w:tc>
              <w:tc>
                <w:tcPr>
                  <w:tcW w:w="6210" w:type="dxa"/>
                  <w:gridSpan w:val="8"/>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671" w:type="dxa"/>
                  <w:tcBorders>
                    <w:top w:val="single" w:color="auto" w:sz="4" w:space="0"/>
                    <w:left w:val="single" w:color="auto" w:sz="4" w:space="0"/>
                    <w:bottom w:val="single" w:color="auto" w:sz="4" w:space="0"/>
                  </w:tcBorders>
                  <w:tcMar>
                    <w:left w:w="28" w:type="dxa"/>
                    <w:right w:w="28" w:type="dxa"/>
                  </w:tcMar>
                  <w:vAlign w:val="center"/>
                </w:tcPr>
                <w:p>
                  <w:pPr>
                    <w:pStyle w:val="122"/>
                    <w:adjustRightInd/>
                    <w:snapToGrid/>
                    <w:rPr>
                      <w:color w:val="auto"/>
                    </w:rPr>
                  </w:pPr>
                  <w:r>
                    <w:rPr>
                      <w:color w:val="auto"/>
                    </w:rPr>
                    <w:t>1.417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00" w:hRule="atLeast"/>
              </w:trPr>
              <w:tc>
                <w:tcPr>
                  <w:tcW w:w="1623" w:type="dxa"/>
                  <w:gridSpan w:val="3"/>
                  <w:tcBorders>
                    <w:top w:val="single" w:color="auto" w:sz="4" w:space="0"/>
                    <w:bottom w:val="single" w:color="auto" w:sz="12" w:space="0"/>
                    <w:right w:val="single" w:color="auto" w:sz="4" w:space="0"/>
                  </w:tcBorders>
                  <w:tcMar>
                    <w:left w:w="28" w:type="dxa"/>
                    <w:right w:w="28" w:type="dxa"/>
                  </w:tcMar>
                  <w:vAlign w:val="center"/>
                </w:tcPr>
                <w:p>
                  <w:pPr>
                    <w:pStyle w:val="122"/>
                    <w:adjustRightInd/>
                    <w:snapToGrid/>
                    <w:rPr>
                      <w:color w:val="auto"/>
                    </w:rPr>
                  </w:pPr>
                  <w:r>
                    <w:rPr>
                      <w:rFonts w:hint="eastAsia"/>
                      <w:color w:val="auto"/>
                    </w:rPr>
                    <w:t>合计</w:t>
                  </w:r>
                </w:p>
              </w:tc>
              <w:tc>
                <w:tcPr>
                  <w:tcW w:w="6210" w:type="dxa"/>
                  <w:gridSpan w:val="8"/>
                  <w:tcBorders>
                    <w:top w:val="single" w:color="auto" w:sz="4" w:space="0"/>
                    <w:left w:val="single" w:color="auto" w:sz="4" w:space="0"/>
                    <w:bottom w:val="single" w:color="auto" w:sz="12" w:space="0"/>
                    <w:right w:val="single" w:color="auto" w:sz="4" w:space="0"/>
                  </w:tcBorders>
                  <w:tcMar>
                    <w:left w:w="28" w:type="dxa"/>
                    <w:right w:w="28" w:type="dxa"/>
                  </w:tcMar>
                  <w:vAlign w:val="center"/>
                </w:tcPr>
                <w:p>
                  <w:pPr>
                    <w:pStyle w:val="122"/>
                    <w:adjustRightInd/>
                    <w:snapToGrid/>
                    <w:rPr>
                      <w:color w:val="auto"/>
                    </w:rPr>
                  </w:pPr>
                  <w:r>
                    <w:rPr>
                      <w:rFonts w:hint="eastAsia"/>
                      <w:color w:val="auto"/>
                    </w:rPr>
                    <w:t>颗粒物</w:t>
                  </w:r>
                </w:p>
              </w:tc>
              <w:tc>
                <w:tcPr>
                  <w:tcW w:w="671" w:type="dxa"/>
                  <w:tcBorders>
                    <w:top w:val="single" w:color="auto" w:sz="4" w:space="0"/>
                    <w:left w:val="single" w:color="auto" w:sz="4" w:space="0"/>
                    <w:bottom w:val="single" w:color="auto" w:sz="12" w:space="0"/>
                  </w:tcBorders>
                  <w:tcMar>
                    <w:left w:w="28" w:type="dxa"/>
                    <w:right w:w="28" w:type="dxa"/>
                  </w:tcMar>
                  <w:vAlign w:val="center"/>
                </w:tcPr>
                <w:p>
                  <w:pPr>
                    <w:pStyle w:val="122"/>
                    <w:adjustRightInd/>
                    <w:snapToGrid/>
                    <w:rPr>
                      <w:color w:val="auto"/>
                    </w:rPr>
                  </w:pPr>
                  <w:r>
                    <w:rPr>
                      <w:color w:val="auto"/>
                    </w:rPr>
                    <w:t>2.148</w:t>
                  </w:r>
                </w:p>
              </w:tc>
            </w:tr>
          </w:tbl>
          <w:p>
            <w:pPr>
              <w:pStyle w:val="67"/>
              <w:ind w:firstLine="31680"/>
              <w:rPr>
                <w:color w:val="auto"/>
              </w:rPr>
            </w:pPr>
            <w:r>
              <w:rPr>
                <w:color w:val="auto"/>
              </w:rPr>
              <w:t>1</w:t>
            </w:r>
            <w:r>
              <w:rPr>
                <w:rFonts w:hint="eastAsia"/>
                <w:color w:val="auto"/>
              </w:rPr>
              <w:t>、石英粉生产线</w:t>
            </w:r>
          </w:p>
          <w:p>
            <w:pPr>
              <w:pStyle w:val="67"/>
              <w:ind w:firstLine="31680"/>
              <w:rPr>
                <w:color w:val="auto"/>
              </w:rPr>
            </w:pPr>
            <w:r>
              <w:rPr>
                <w:rFonts w:hint="eastAsia"/>
                <w:color w:val="auto"/>
              </w:rPr>
              <w:t>①卸料粉尘</w:t>
            </w:r>
          </w:p>
          <w:p>
            <w:pPr>
              <w:pStyle w:val="67"/>
              <w:ind w:firstLine="31680"/>
              <w:rPr>
                <w:color w:val="auto"/>
              </w:rPr>
            </w:pPr>
            <w:r>
              <w:rPr>
                <w:rFonts w:hint="eastAsia"/>
                <w:color w:val="auto"/>
              </w:rPr>
              <w:t>根据《逸散性工业颗粒物控制技术》中“粒料加工厂逸散尘的排放因子”，卸料排放因子</w:t>
            </w:r>
            <w:r>
              <w:rPr>
                <w:color w:val="auto"/>
              </w:rPr>
              <w:t>0.01kg/t</w:t>
            </w:r>
            <w:r>
              <w:rPr>
                <w:rFonts w:hint="eastAsia"/>
                <w:color w:val="auto"/>
              </w:rPr>
              <w:t>（卸料）。项目石英矿原料用量</w:t>
            </w:r>
            <w:r>
              <w:rPr>
                <w:color w:val="auto"/>
              </w:rPr>
              <w:t>20</w:t>
            </w:r>
            <w:r>
              <w:rPr>
                <w:rFonts w:hint="eastAsia"/>
                <w:color w:val="auto"/>
              </w:rPr>
              <w:t>万</w:t>
            </w:r>
            <w:r>
              <w:rPr>
                <w:color w:val="auto"/>
              </w:rPr>
              <w:t>t/a</w:t>
            </w:r>
            <w:r>
              <w:rPr>
                <w:rFonts w:hint="eastAsia"/>
                <w:color w:val="auto"/>
              </w:rPr>
              <w:t>，则项目卸料过程中产生颗粒物产生量为</w:t>
            </w:r>
            <w:r>
              <w:rPr>
                <w:color w:val="auto"/>
              </w:rPr>
              <w:t>2.0t/a</w:t>
            </w:r>
            <w:r>
              <w:rPr>
                <w:rFonts w:hint="eastAsia"/>
                <w:color w:val="auto"/>
              </w:rPr>
              <w:t>。项目卸料过程时间较短，产生的粉尘浓度小，但因卸料的空间较大，设置卸料区为半封闭式，设计使用风量</w:t>
            </w:r>
            <w:r>
              <w:rPr>
                <w:color w:val="auto"/>
              </w:rPr>
              <w:t>8000m</w:t>
            </w:r>
            <w:r>
              <w:rPr>
                <w:color w:val="auto"/>
                <w:vertAlign w:val="superscript"/>
              </w:rPr>
              <w:t>3</w:t>
            </w:r>
            <w:r>
              <w:rPr>
                <w:color w:val="auto"/>
              </w:rPr>
              <w:t>/h</w:t>
            </w:r>
            <w:r>
              <w:rPr>
                <w:rFonts w:hint="eastAsia"/>
                <w:color w:val="auto"/>
              </w:rPr>
              <w:t>布袋收尘器收集卸料粉尘，卸料废气经袋式除尘器处理后通过</w:t>
            </w:r>
            <w:r>
              <w:rPr>
                <w:color w:val="auto"/>
              </w:rPr>
              <w:t>15m</w:t>
            </w:r>
            <w:r>
              <w:rPr>
                <w:rFonts w:hint="eastAsia"/>
                <w:color w:val="auto"/>
              </w:rPr>
              <w:t>高排气筒排放。袋式除尘器及收集设施设计收集效率</w:t>
            </w:r>
            <w:r>
              <w:rPr>
                <w:color w:val="auto"/>
              </w:rPr>
              <w:t>90%</w:t>
            </w:r>
            <w:r>
              <w:rPr>
                <w:rFonts w:hint="eastAsia"/>
                <w:color w:val="auto"/>
              </w:rPr>
              <w:t>，处理效率</w:t>
            </w:r>
            <w:r>
              <w:rPr>
                <w:color w:val="auto"/>
              </w:rPr>
              <w:t>99%</w:t>
            </w:r>
            <w:r>
              <w:rPr>
                <w:rFonts w:hint="eastAsia"/>
                <w:color w:val="auto"/>
              </w:rPr>
              <w:t>，本项目卸料的有组织颗粒物排放量约</w:t>
            </w:r>
            <w:r>
              <w:rPr>
                <w:color w:val="auto"/>
              </w:rPr>
              <w:t>0.02t/a</w:t>
            </w:r>
            <w:r>
              <w:rPr>
                <w:rFonts w:hint="eastAsia"/>
                <w:color w:val="auto"/>
              </w:rPr>
              <w:t>，卸料</w:t>
            </w:r>
            <w:r>
              <w:rPr>
                <w:rFonts w:hint="eastAsia"/>
                <w:color w:val="auto"/>
                <w:kern w:val="0"/>
              </w:rPr>
              <w:t>工序每天约</w:t>
            </w:r>
            <w:r>
              <w:rPr>
                <w:color w:val="auto"/>
                <w:kern w:val="0"/>
              </w:rPr>
              <w:t>4h</w:t>
            </w:r>
            <w:r>
              <w:rPr>
                <w:rFonts w:hint="eastAsia"/>
                <w:color w:val="auto"/>
                <w:kern w:val="0"/>
              </w:rPr>
              <w:t>，年工作</w:t>
            </w:r>
            <w:r>
              <w:rPr>
                <w:color w:val="auto"/>
                <w:kern w:val="0"/>
              </w:rPr>
              <w:t>300</w:t>
            </w:r>
            <w:r>
              <w:rPr>
                <w:rFonts w:hint="eastAsia"/>
                <w:color w:val="auto"/>
                <w:kern w:val="0"/>
              </w:rPr>
              <w:t>天，</w:t>
            </w:r>
            <w:r>
              <w:rPr>
                <w:rFonts w:hint="eastAsia"/>
                <w:color w:val="auto"/>
              </w:rPr>
              <w:t>卸料</w:t>
            </w:r>
            <w:r>
              <w:rPr>
                <w:rFonts w:hint="eastAsia"/>
                <w:color w:val="auto"/>
                <w:kern w:val="0"/>
              </w:rPr>
              <w:t>工序有组织排放速率为</w:t>
            </w:r>
            <w:r>
              <w:rPr>
                <w:color w:val="auto"/>
                <w:kern w:val="0"/>
              </w:rPr>
              <w:t>0.015kg/h</w:t>
            </w:r>
            <w:r>
              <w:rPr>
                <w:rFonts w:hint="eastAsia"/>
                <w:color w:val="auto"/>
              </w:rPr>
              <w:t>；本项目卸料无组织颗粒物产生量约</w:t>
            </w:r>
            <w:r>
              <w:rPr>
                <w:color w:val="auto"/>
              </w:rPr>
              <w:t>0.2t/a</w:t>
            </w:r>
            <w:r>
              <w:rPr>
                <w:rFonts w:hint="eastAsia"/>
                <w:color w:val="auto"/>
              </w:rPr>
              <w:t>，经厂房阻隔，</w:t>
            </w:r>
            <w:r>
              <w:rPr>
                <w:color w:val="auto"/>
              </w:rPr>
              <w:t>50%</w:t>
            </w:r>
            <w:r>
              <w:rPr>
                <w:rFonts w:hint="eastAsia"/>
                <w:color w:val="auto"/>
              </w:rPr>
              <w:t>在厂房内形成落尘，排入外环境的颗粒物为</w:t>
            </w:r>
            <w:r>
              <w:rPr>
                <w:color w:val="auto"/>
              </w:rPr>
              <w:t>0.1t/a</w:t>
            </w:r>
            <w:r>
              <w:rPr>
                <w:rFonts w:hint="eastAsia"/>
                <w:color w:val="auto"/>
              </w:rPr>
              <w:t>，卸料</w:t>
            </w:r>
            <w:r>
              <w:rPr>
                <w:rFonts w:hint="eastAsia"/>
                <w:color w:val="auto"/>
                <w:kern w:val="0"/>
              </w:rPr>
              <w:t>工序无组织排放速率为</w:t>
            </w:r>
            <w:r>
              <w:rPr>
                <w:color w:val="auto"/>
                <w:kern w:val="0"/>
              </w:rPr>
              <w:t>0.083kg/h</w:t>
            </w:r>
            <w:r>
              <w:rPr>
                <w:rFonts w:hint="eastAsia"/>
                <w:color w:val="auto"/>
              </w:rPr>
              <w:t>。项目石料卸料粉尘产生量与排放量见表</w:t>
            </w:r>
            <w:r>
              <w:rPr>
                <w:color w:val="auto"/>
              </w:rPr>
              <w:t>4.2-5</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4.2-5  </w:t>
            </w:r>
            <w:r>
              <w:rPr>
                <w:rFonts w:hint="eastAsia" w:eastAsia="黑体"/>
                <w:color w:val="auto"/>
                <w:sz w:val="24"/>
              </w:rPr>
              <w:t>项目石料卸料过程中的粉尘产、排量一览表</w:t>
            </w:r>
          </w:p>
          <w:tbl>
            <w:tblPr>
              <w:tblStyle w:val="27"/>
              <w:tblW w:w="84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7"/>
              <w:gridCol w:w="826"/>
              <w:gridCol w:w="988"/>
              <w:gridCol w:w="917"/>
              <w:gridCol w:w="874"/>
              <w:gridCol w:w="891"/>
              <w:gridCol w:w="865"/>
              <w:gridCol w:w="900"/>
              <w:gridCol w:w="750"/>
              <w:gridCol w:w="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17" w:type="dxa"/>
                  <w:tcBorders>
                    <w:top w:val="single" w:color="auto" w:sz="12" w:space="0"/>
                    <w:bottom w:val="single" w:color="auto" w:sz="4" w:space="0"/>
                    <w:right w:val="single" w:color="auto" w:sz="4" w:space="0"/>
                  </w:tcBorders>
                  <w:vAlign w:val="center"/>
                </w:tcPr>
                <w:p>
                  <w:pPr>
                    <w:pStyle w:val="122"/>
                    <w:adjustRightInd/>
                    <w:snapToGrid/>
                    <w:rPr>
                      <w:color w:val="auto"/>
                    </w:rPr>
                  </w:pPr>
                  <w:r>
                    <w:rPr>
                      <w:rFonts w:hint="eastAsia"/>
                      <w:color w:val="auto"/>
                    </w:rPr>
                    <w:t>序号</w:t>
                  </w:r>
                </w:p>
              </w:tc>
              <w:tc>
                <w:tcPr>
                  <w:tcW w:w="826"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尘源</w:t>
                  </w:r>
                </w:p>
              </w:tc>
              <w:tc>
                <w:tcPr>
                  <w:tcW w:w="988"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排放因子</w:t>
                  </w:r>
                </w:p>
              </w:tc>
              <w:tc>
                <w:tcPr>
                  <w:tcW w:w="917"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原料量（万</w:t>
                  </w:r>
                  <w:r>
                    <w:rPr>
                      <w:color w:val="auto"/>
                    </w:rPr>
                    <w:t>t</w:t>
                  </w:r>
                  <w:r>
                    <w:rPr>
                      <w:rFonts w:hint="eastAsia"/>
                      <w:color w:val="auto"/>
                    </w:rPr>
                    <w:t>）</w:t>
                  </w:r>
                </w:p>
              </w:tc>
              <w:tc>
                <w:tcPr>
                  <w:tcW w:w="874"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产生量（</w:t>
                  </w:r>
                  <w:r>
                    <w:rPr>
                      <w:color w:val="auto"/>
                    </w:rPr>
                    <w:t>t</w:t>
                  </w:r>
                  <w:r>
                    <w:rPr>
                      <w:rFonts w:hint="eastAsia"/>
                      <w:color w:val="auto"/>
                    </w:rPr>
                    <w:t>）</w:t>
                  </w:r>
                </w:p>
              </w:tc>
              <w:tc>
                <w:tcPr>
                  <w:tcW w:w="891"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收集效率（</w:t>
                  </w:r>
                  <w:r>
                    <w:rPr>
                      <w:color w:val="auto"/>
                    </w:rPr>
                    <w:t>%</w:t>
                  </w:r>
                  <w:r>
                    <w:rPr>
                      <w:rFonts w:hint="eastAsia"/>
                      <w:color w:val="auto"/>
                    </w:rPr>
                    <w:t>）</w:t>
                  </w:r>
                </w:p>
              </w:tc>
              <w:tc>
                <w:tcPr>
                  <w:tcW w:w="865"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无组织产生量（</w:t>
                  </w:r>
                  <w:r>
                    <w:rPr>
                      <w:color w:val="auto"/>
                    </w:rPr>
                    <w:t>t</w:t>
                  </w:r>
                  <w:r>
                    <w:rPr>
                      <w:rFonts w:hint="eastAsia"/>
                      <w:color w:val="auto"/>
                    </w:rPr>
                    <w:t>）</w:t>
                  </w:r>
                </w:p>
              </w:tc>
              <w:tc>
                <w:tcPr>
                  <w:tcW w:w="900"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无组织排放量（</w:t>
                  </w:r>
                  <w:r>
                    <w:rPr>
                      <w:color w:val="auto"/>
                    </w:rPr>
                    <w:t>t</w:t>
                  </w:r>
                  <w:r>
                    <w:rPr>
                      <w:rFonts w:hint="eastAsia"/>
                      <w:color w:val="auto"/>
                    </w:rPr>
                    <w:t>）</w:t>
                  </w:r>
                </w:p>
              </w:tc>
              <w:tc>
                <w:tcPr>
                  <w:tcW w:w="750"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处理效率（</w:t>
                  </w:r>
                  <w:r>
                    <w:rPr>
                      <w:color w:val="auto"/>
                    </w:rPr>
                    <w:t>%</w:t>
                  </w:r>
                  <w:r>
                    <w:rPr>
                      <w:rFonts w:hint="eastAsia"/>
                      <w:color w:val="auto"/>
                    </w:rPr>
                    <w:t>）</w:t>
                  </w:r>
                </w:p>
              </w:tc>
              <w:tc>
                <w:tcPr>
                  <w:tcW w:w="961" w:type="dxa"/>
                  <w:tcBorders>
                    <w:top w:val="single" w:color="auto" w:sz="12" w:space="0"/>
                    <w:left w:val="single" w:color="auto" w:sz="4" w:space="0"/>
                    <w:bottom w:val="single" w:color="auto" w:sz="4" w:space="0"/>
                  </w:tcBorders>
                  <w:vAlign w:val="center"/>
                </w:tcPr>
                <w:p>
                  <w:pPr>
                    <w:pStyle w:val="122"/>
                    <w:adjustRightInd/>
                    <w:snapToGrid/>
                    <w:rPr>
                      <w:color w:val="auto"/>
                    </w:rPr>
                  </w:pPr>
                  <w:r>
                    <w:rPr>
                      <w:rFonts w:hint="eastAsia"/>
                      <w:color w:val="auto"/>
                    </w:rPr>
                    <w:t>有组织排放量（</w:t>
                  </w:r>
                  <w:r>
                    <w:rPr>
                      <w:color w:val="auto"/>
                    </w:rPr>
                    <w:t>t</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517" w:type="dxa"/>
                  <w:tcBorders>
                    <w:top w:val="single" w:color="auto" w:sz="4" w:space="0"/>
                    <w:bottom w:val="single" w:color="auto" w:sz="12" w:space="0"/>
                    <w:right w:val="single" w:color="auto" w:sz="4" w:space="0"/>
                  </w:tcBorders>
                  <w:vAlign w:val="center"/>
                </w:tcPr>
                <w:p>
                  <w:pPr>
                    <w:pStyle w:val="122"/>
                    <w:adjustRightInd/>
                    <w:snapToGrid/>
                    <w:rPr>
                      <w:color w:val="auto"/>
                    </w:rPr>
                  </w:pPr>
                  <w:r>
                    <w:rPr>
                      <w:color w:val="auto"/>
                    </w:rPr>
                    <w:t>1</w:t>
                  </w:r>
                </w:p>
              </w:tc>
              <w:tc>
                <w:tcPr>
                  <w:tcW w:w="826"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rFonts w:hint="eastAsia"/>
                      <w:color w:val="auto"/>
                    </w:rPr>
                    <w:t>卸料</w:t>
                  </w:r>
                </w:p>
              </w:tc>
              <w:tc>
                <w:tcPr>
                  <w:tcW w:w="988"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color w:val="auto"/>
                    </w:rPr>
                    <w:t>0.01kg/t</w:t>
                  </w:r>
                </w:p>
              </w:tc>
              <w:tc>
                <w:tcPr>
                  <w:tcW w:w="917"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color w:val="auto"/>
                    </w:rPr>
                    <w:t>20</w:t>
                  </w:r>
                </w:p>
              </w:tc>
              <w:tc>
                <w:tcPr>
                  <w:tcW w:w="874"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color w:val="auto"/>
                    </w:rPr>
                    <w:t>2.0</w:t>
                  </w:r>
                </w:p>
              </w:tc>
              <w:tc>
                <w:tcPr>
                  <w:tcW w:w="891"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color w:val="auto"/>
                    </w:rPr>
                    <w:t>90</w:t>
                  </w:r>
                </w:p>
              </w:tc>
              <w:tc>
                <w:tcPr>
                  <w:tcW w:w="865"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color w:val="auto"/>
                    </w:rPr>
                    <w:t>0.2</w:t>
                  </w:r>
                </w:p>
              </w:tc>
              <w:tc>
                <w:tcPr>
                  <w:tcW w:w="900"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color w:val="auto"/>
                    </w:rPr>
                    <w:t>0.1</w:t>
                  </w:r>
                </w:p>
              </w:tc>
              <w:tc>
                <w:tcPr>
                  <w:tcW w:w="750"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color w:val="auto"/>
                    </w:rPr>
                    <w:t>99</w:t>
                  </w:r>
                </w:p>
              </w:tc>
              <w:tc>
                <w:tcPr>
                  <w:tcW w:w="961" w:type="dxa"/>
                  <w:tcBorders>
                    <w:top w:val="single" w:color="auto" w:sz="4" w:space="0"/>
                    <w:left w:val="single" w:color="auto" w:sz="4" w:space="0"/>
                    <w:bottom w:val="single" w:color="auto" w:sz="12" w:space="0"/>
                  </w:tcBorders>
                  <w:vAlign w:val="center"/>
                </w:tcPr>
                <w:p>
                  <w:pPr>
                    <w:pStyle w:val="122"/>
                    <w:adjustRightInd/>
                    <w:snapToGrid/>
                    <w:rPr>
                      <w:color w:val="auto"/>
                    </w:rPr>
                  </w:pPr>
                  <w:r>
                    <w:rPr>
                      <w:color w:val="auto"/>
                    </w:rPr>
                    <w:t>0.018</w:t>
                  </w:r>
                </w:p>
              </w:tc>
            </w:tr>
          </w:tbl>
          <w:p>
            <w:pPr>
              <w:pStyle w:val="67"/>
              <w:ind w:firstLine="31680"/>
              <w:rPr>
                <w:color w:val="auto"/>
              </w:rPr>
            </w:pPr>
            <w:r>
              <w:rPr>
                <w:rFonts w:hint="eastAsia"/>
                <w:color w:val="auto"/>
              </w:rPr>
              <w:t>②原料库扬尘</w:t>
            </w:r>
          </w:p>
          <w:p>
            <w:pPr>
              <w:pStyle w:val="67"/>
              <w:ind w:firstLine="31680"/>
              <w:rPr>
                <w:color w:val="auto"/>
              </w:rPr>
            </w:pPr>
            <w:r>
              <w:rPr>
                <w:rFonts w:hint="eastAsia"/>
                <w:color w:val="auto"/>
              </w:rPr>
              <w:t>本项目石英矿原料库采用全封闭，仅预留出入口安装软帘，有效减少环境风力对原料库内空气扰动，引起扬尘。同时在石英矿原料库在出入口处设置集气罩收集粉尘，进一步减少粉尘外溢。本项目原料库在厂房内部受</w:t>
            </w:r>
            <w:r>
              <w:rPr>
                <w:rFonts w:hint="eastAsia" w:cs="宋体"/>
                <w:color w:val="auto"/>
              </w:rPr>
              <w:t>风力作用影响小，</w:t>
            </w:r>
            <w:r>
              <w:rPr>
                <w:rFonts w:hint="eastAsia"/>
                <w:color w:val="auto"/>
              </w:rPr>
              <w:t>原料为干净的石料，因</w:t>
            </w:r>
            <w:r>
              <w:rPr>
                <w:rFonts w:hint="eastAsia" w:cs="宋体"/>
                <w:color w:val="auto"/>
              </w:rPr>
              <w:t>风力作用产生</w:t>
            </w:r>
            <w:r>
              <w:rPr>
                <w:rFonts w:hint="eastAsia"/>
                <w:color w:val="auto"/>
              </w:rPr>
              <w:t>原料库</w:t>
            </w:r>
            <w:r>
              <w:rPr>
                <w:rFonts w:hint="eastAsia" w:cs="宋体"/>
                <w:color w:val="auto"/>
              </w:rPr>
              <w:t>扬尘量</w:t>
            </w:r>
            <w:r>
              <w:rPr>
                <w:rFonts w:hint="eastAsia"/>
                <w:color w:val="auto"/>
              </w:rPr>
              <w:t>较小，不作定量核算。</w:t>
            </w:r>
          </w:p>
          <w:p>
            <w:pPr>
              <w:pStyle w:val="67"/>
              <w:ind w:firstLine="31680"/>
              <w:rPr>
                <w:color w:val="auto"/>
              </w:rPr>
            </w:pPr>
            <w:r>
              <w:rPr>
                <w:rFonts w:hint="eastAsia"/>
                <w:color w:val="auto"/>
              </w:rPr>
              <w:t>③投料、破碎、筛分粉尘</w:t>
            </w:r>
          </w:p>
          <w:p>
            <w:pPr>
              <w:pStyle w:val="67"/>
              <w:ind w:firstLine="31680"/>
              <w:rPr>
                <w:color w:val="auto"/>
              </w:rPr>
            </w:pPr>
            <w:r>
              <w:rPr>
                <w:rFonts w:hint="eastAsia"/>
                <w:color w:val="auto"/>
              </w:rPr>
              <w:t>根据生产工艺石料需要多次投料、破碎、筛分后达到合适粒径后形成产品。参照《逸散性工业颗粒物控制技术》中“粒料加工厂逸散尘的排放因子”，投料、破碎、筛分的产污系数为</w:t>
            </w:r>
            <w:r>
              <w:rPr>
                <w:color w:val="auto"/>
              </w:rPr>
              <w:t>0.02kg/t</w:t>
            </w:r>
            <w:r>
              <w:rPr>
                <w:rFonts w:hint="eastAsia"/>
                <w:color w:val="auto"/>
              </w:rPr>
              <w:t>，项目石英矿用量约</w:t>
            </w:r>
            <w:r>
              <w:rPr>
                <w:color w:val="auto"/>
              </w:rPr>
              <w:t>20.0</w:t>
            </w:r>
            <w:r>
              <w:rPr>
                <w:rFonts w:hint="eastAsia"/>
                <w:color w:val="auto"/>
              </w:rPr>
              <w:t>万</w:t>
            </w:r>
            <w:r>
              <w:rPr>
                <w:color w:val="auto"/>
              </w:rPr>
              <w:t>t/a</w:t>
            </w:r>
            <w:r>
              <w:rPr>
                <w:rFonts w:hint="eastAsia"/>
                <w:color w:val="auto"/>
              </w:rPr>
              <w:t>，则本项目单级投料、破碎、筛分过程中产生颗粒物产生量为</w:t>
            </w:r>
            <w:r>
              <w:rPr>
                <w:color w:val="auto"/>
              </w:rPr>
              <w:t>4t/a</w:t>
            </w:r>
            <w:r>
              <w:rPr>
                <w:rFonts w:hint="eastAsia"/>
                <w:color w:val="auto"/>
              </w:rPr>
              <w:t>，计算得三级为</w:t>
            </w:r>
            <w:r>
              <w:rPr>
                <w:color w:val="auto"/>
              </w:rPr>
              <w:t>12t/a</w:t>
            </w:r>
            <w:r>
              <w:rPr>
                <w:rFonts w:hint="eastAsia"/>
                <w:color w:val="auto"/>
              </w:rPr>
              <w:t>。</w:t>
            </w:r>
          </w:p>
          <w:p>
            <w:pPr>
              <w:pStyle w:val="67"/>
              <w:ind w:firstLine="31680"/>
              <w:rPr>
                <w:color w:val="auto"/>
              </w:rPr>
            </w:pPr>
            <w:r>
              <w:rPr>
                <w:rFonts w:hint="eastAsia"/>
                <w:color w:val="auto"/>
              </w:rPr>
              <w:t>石英粉生产线为车间内密闭作业，在投料、破碎、筛分各起尘点设置集气罩、软帘对粉尘进行收集，收集的废气经袋式除尘器处理后通过</w:t>
            </w:r>
            <w:r>
              <w:rPr>
                <w:color w:val="auto"/>
              </w:rPr>
              <w:t>15m</w:t>
            </w:r>
            <w:r>
              <w:rPr>
                <w:rFonts w:hint="eastAsia"/>
                <w:color w:val="auto"/>
              </w:rPr>
              <w:t>高排气筒排放。根据生产工艺项目投料、破碎、筛分工序主要为三级，分别是鄂破机、圆锥破碎机和雷蒙磨。根据生产设备特性在鄂破机和圆锥破设备运行时的起尘点和落料点设置集气罩、软帘形成密闭收尘空间，废气收集设施设计收集效率</w:t>
            </w:r>
            <w:r>
              <w:rPr>
                <w:color w:val="auto"/>
              </w:rPr>
              <w:t>90%</w:t>
            </w:r>
            <w:r>
              <w:rPr>
                <w:rFonts w:hint="eastAsia"/>
                <w:color w:val="auto"/>
              </w:rPr>
              <w:t>，设计使用风量</w:t>
            </w:r>
            <w:r>
              <w:rPr>
                <w:color w:val="auto"/>
              </w:rPr>
              <w:t>12000m</w:t>
            </w:r>
            <w:r>
              <w:rPr>
                <w:color w:val="auto"/>
                <w:vertAlign w:val="superscript"/>
              </w:rPr>
              <w:t>3</w:t>
            </w:r>
            <w:r>
              <w:rPr>
                <w:color w:val="auto"/>
              </w:rPr>
              <w:t>/h</w:t>
            </w:r>
            <w:r>
              <w:rPr>
                <w:rFonts w:hint="eastAsia"/>
                <w:color w:val="auto"/>
              </w:rPr>
              <w:t>袋式除尘器进行收尘，袋式除尘器处理效率</w:t>
            </w:r>
            <w:r>
              <w:rPr>
                <w:color w:val="auto"/>
              </w:rPr>
              <w:t>99%</w:t>
            </w:r>
            <w:r>
              <w:rPr>
                <w:rFonts w:hint="eastAsia"/>
                <w:color w:val="auto"/>
              </w:rPr>
              <w:t>；雷蒙磨设备为密闭研磨物料，物料研磨成小于</w:t>
            </w:r>
            <w:r>
              <w:rPr>
                <w:color w:val="auto"/>
              </w:rPr>
              <w:t>0.08mm</w:t>
            </w:r>
            <w:r>
              <w:rPr>
                <w:rFonts w:hint="eastAsia"/>
                <w:color w:val="auto"/>
              </w:rPr>
              <w:t>的细粉成品，大部分细粉石英粉通过风力风管进入集粉器，剩余废气通过管道进去布袋除尘器处理，设计</w:t>
            </w:r>
            <w:r>
              <w:rPr>
                <w:color w:val="auto"/>
              </w:rPr>
              <w:t>8000m</w:t>
            </w:r>
            <w:r>
              <w:rPr>
                <w:color w:val="auto"/>
                <w:vertAlign w:val="superscript"/>
              </w:rPr>
              <w:t>3</w:t>
            </w:r>
            <w:r>
              <w:rPr>
                <w:color w:val="auto"/>
              </w:rPr>
              <w:t>/h</w:t>
            </w:r>
            <w:r>
              <w:rPr>
                <w:rFonts w:hint="eastAsia"/>
                <w:color w:val="auto"/>
              </w:rPr>
              <w:t>袋式除尘器进行收尘，袋式除尘器处理效率</w:t>
            </w:r>
            <w:r>
              <w:rPr>
                <w:color w:val="auto"/>
              </w:rPr>
              <w:t>99%</w:t>
            </w:r>
            <w:r>
              <w:rPr>
                <w:rFonts w:hint="eastAsia"/>
                <w:color w:val="auto"/>
              </w:rPr>
              <w:t>。计算得本项目石英粉生产线投料、破碎、筛分有组织颗粒物排放量约</w:t>
            </w:r>
            <w:r>
              <w:rPr>
                <w:color w:val="auto"/>
              </w:rPr>
              <w:t>0.112t/a</w:t>
            </w:r>
            <w:r>
              <w:rPr>
                <w:rFonts w:hint="eastAsia"/>
                <w:color w:val="auto"/>
              </w:rPr>
              <w:t>，投料、破碎、筛分</w:t>
            </w:r>
            <w:r>
              <w:rPr>
                <w:rFonts w:hint="eastAsia"/>
                <w:color w:val="auto"/>
                <w:kern w:val="0"/>
              </w:rPr>
              <w:t>工序每天约</w:t>
            </w:r>
            <w:r>
              <w:rPr>
                <w:color w:val="auto"/>
                <w:kern w:val="0"/>
              </w:rPr>
              <w:t>8h</w:t>
            </w:r>
            <w:r>
              <w:rPr>
                <w:rFonts w:hint="eastAsia"/>
                <w:color w:val="auto"/>
                <w:kern w:val="0"/>
              </w:rPr>
              <w:t>，年工作</w:t>
            </w:r>
            <w:r>
              <w:rPr>
                <w:color w:val="auto"/>
                <w:kern w:val="0"/>
              </w:rPr>
              <w:t>300</w:t>
            </w:r>
            <w:r>
              <w:rPr>
                <w:rFonts w:hint="eastAsia"/>
                <w:color w:val="auto"/>
                <w:kern w:val="0"/>
              </w:rPr>
              <w:t>天，</w:t>
            </w:r>
            <w:r>
              <w:rPr>
                <w:rFonts w:hint="eastAsia"/>
                <w:color w:val="auto"/>
              </w:rPr>
              <w:t>投料、破碎、筛分</w:t>
            </w:r>
            <w:r>
              <w:rPr>
                <w:rFonts w:hint="eastAsia"/>
                <w:color w:val="auto"/>
                <w:kern w:val="0"/>
              </w:rPr>
              <w:t>工序有组织排放速率为</w:t>
            </w:r>
            <w:r>
              <w:rPr>
                <w:color w:val="auto"/>
                <w:kern w:val="0"/>
              </w:rPr>
              <w:t>0.0467kg/h</w:t>
            </w:r>
            <w:r>
              <w:rPr>
                <w:rFonts w:hint="eastAsia"/>
                <w:color w:val="auto"/>
              </w:rPr>
              <w:t>；本项目石英粉生产线投料、破碎、筛分的无组织颗粒物产生量约</w:t>
            </w:r>
            <w:r>
              <w:rPr>
                <w:color w:val="auto"/>
              </w:rPr>
              <w:t>0.8t/a</w:t>
            </w:r>
            <w:r>
              <w:rPr>
                <w:rFonts w:hint="eastAsia"/>
                <w:color w:val="auto"/>
              </w:rPr>
              <w:t>，经厂房阻隔，</w:t>
            </w:r>
            <w:r>
              <w:rPr>
                <w:color w:val="auto"/>
              </w:rPr>
              <w:t>50%</w:t>
            </w:r>
            <w:r>
              <w:rPr>
                <w:rFonts w:hint="eastAsia"/>
                <w:color w:val="auto"/>
              </w:rPr>
              <w:t>在厂房内形成落尘，排入外环境的颗粒物为</w:t>
            </w:r>
            <w:r>
              <w:rPr>
                <w:color w:val="auto"/>
              </w:rPr>
              <w:t>0.4t/a</w:t>
            </w:r>
            <w:r>
              <w:rPr>
                <w:rFonts w:hint="eastAsia"/>
                <w:color w:val="auto"/>
              </w:rPr>
              <w:t>，投料、破碎、筛分</w:t>
            </w:r>
            <w:r>
              <w:rPr>
                <w:rFonts w:hint="eastAsia"/>
                <w:color w:val="auto"/>
                <w:kern w:val="0"/>
              </w:rPr>
              <w:t>工序无组织排放速率为</w:t>
            </w:r>
            <w:r>
              <w:rPr>
                <w:color w:val="auto"/>
                <w:kern w:val="0"/>
              </w:rPr>
              <w:t>0.167kg/h</w:t>
            </w:r>
            <w:r>
              <w:rPr>
                <w:rFonts w:hint="eastAsia"/>
                <w:color w:val="auto"/>
              </w:rPr>
              <w:t>。本项目投料、破碎、筛分粉尘产生量与排放量见表</w:t>
            </w:r>
            <w:r>
              <w:rPr>
                <w:color w:val="auto"/>
              </w:rPr>
              <w:t>4.2-6</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4.2-6  </w:t>
            </w:r>
            <w:r>
              <w:rPr>
                <w:rFonts w:hint="eastAsia" w:eastAsia="黑体"/>
                <w:color w:val="auto"/>
                <w:sz w:val="24"/>
              </w:rPr>
              <w:t>项目生产过程中的粉尘产排、量一览表</w:t>
            </w:r>
          </w:p>
          <w:tbl>
            <w:tblPr>
              <w:tblStyle w:val="27"/>
              <w:tblW w:w="84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7"/>
              <w:gridCol w:w="1218"/>
              <w:gridCol w:w="923"/>
              <w:gridCol w:w="856"/>
              <w:gridCol w:w="812"/>
              <w:gridCol w:w="767"/>
              <w:gridCol w:w="759"/>
              <w:gridCol w:w="847"/>
              <w:gridCol w:w="865"/>
              <w:gridCol w:w="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517" w:type="dxa"/>
                  <w:tcBorders>
                    <w:top w:val="single" w:color="auto" w:sz="12"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序号</w:t>
                  </w:r>
                </w:p>
              </w:tc>
              <w:tc>
                <w:tcPr>
                  <w:tcW w:w="1218"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尘源</w:t>
                  </w:r>
                </w:p>
              </w:tc>
              <w:tc>
                <w:tcPr>
                  <w:tcW w:w="923"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排放因子</w:t>
                  </w:r>
                </w:p>
              </w:tc>
              <w:tc>
                <w:tcPr>
                  <w:tcW w:w="856"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原料量（万</w:t>
                  </w:r>
                  <w:r>
                    <w:rPr>
                      <w:color w:val="auto"/>
                    </w:rPr>
                    <w:t>t</w:t>
                  </w:r>
                  <w:r>
                    <w:rPr>
                      <w:rFonts w:hint="eastAsia"/>
                      <w:color w:val="auto"/>
                    </w:rPr>
                    <w:t>）</w:t>
                  </w:r>
                </w:p>
              </w:tc>
              <w:tc>
                <w:tcPr>
                  <w:tcW w:w="812"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产生量（</w:t>
                  </w:r>
                  <w:r>
                    <w:rPr>
                      <w:color w:val="auto"/>
                    </w:rPr>
                    <w:t>t</w:t>
                  </w:r>
                  <w:r>
                    <w:rPr>
                      <w:rFonts w:hint="eastAsia"/>
                      <w:color w:val="auto"/>
                    </w:rPr>
                    <w:t>）</w:t>
                  </w:r>
                </w:p>
              </w:tc>
              <w:tc>
                <w:tcPr>
                  <w:tcW w:w="767"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收集效率（</w:t>
                  </w:r>
                  <w:r>
                    <w:rPr>
                      <w:color w:val="auto"/>
                    </w:rPr>
                    <w:t>%</w:t>
                  </w:r>
                  <w:r>
                    <w:rPr>
                      <w:rFonts w:hint="eastAsia"/>
                      <w:color w:val="auto"/>
                    </w:rPr>
                    <w:t>）</w:t>
                  </w:r>
                </w:p>
              </w:tc>
              <w:tc>
                <w:tcPr>
                  <w:tcW w:w="759"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处理效率（</w:t>
                  </w:r>
                  <w:r>
                    <w:rPr>
                      <w:color w:val="auto"/>
                    </w:rPr>
                    <w:t>%</w:t>
                  </w:r>
                  <w:r>
                    <w:rPr>
                      <w:rFonts w:hint="eastAsia"/>
                      <w:color w:val="auto"/>
                    </w:rPr>
                    <w:t>）</w:t>
                  </w:r>
                </w:p>
              </w:tc>
              <w:tc>
                <w:tcPr>
                  <w:tcW w:w="847"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有组织排放量（</w:t>
                  </w:r>
                  <w:r>
                    <w:rPr>
                      <w:color w:val="auto"/>
                    </w:rPr>
                    <w:t>t</w:t>
                  </w:r>
                  <w:r>
                    <w:rPr>
                      <w:rFonts w:hint="eastAsia"/>
                      <w:color w:val="auto"/>
                    </w:rPr>
                    <w:t>）</w:t>
                  </w:r>
                </w:p>
              </w:tc>
              <w:tc>
                <w:tcPr>
                  <w:tcW w:w="865"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无组织产生量（</w:t>
                  </w:r>
                  <w:r>
                    <w:rPr>
                      <w:color w:val="auto"/>
                    </w:rPr>
                    <w:t>t</w:t>
                  </w:r>
                  <w:r>
                    <w:rPr>
                      <w:rFonts w:hint="eastAsia"/>
                      <w:color w:val="auto"/>
                    </w:rPr>
                    <w:t>）</w:t>
                  </w:r>
                </w:p>
              </w:tc>
              <w:tc>
                <w:tcPr>
                  <w:tcW w:w="925" w:type="dxa"/>
                  <w:tcBorders>
                    <w:top w:val="single" w:color="auto" w:sz="12" w:space="0"/>
                    <w:left w:val="single" w:color="auto" w:sz="4" w:space="0"/>
                    <w:bottom w:val="single" w:color="auto" w:sz="4" w:space="0"/>
                  </w:tcBorders>
                  <w:vAlign w:val="center"/>
                </w:tcPr>
                <w:p>
                  <w:pPr>
                    <w:pStyle w:val="122"/>
                    <w:adjustRightInd/>
                    <w:snapToGrid/>
                    <w:spacing w:line="240" w:lineRule="exact"/>
                    <w:rPr>
                      <w:color w:val="auto"/>
                    </w:rPr>
                  </w:pPr>
                  <w:r>
                    <w:rPr>
                      <w:rFonts w:hint="eastAsia"/>
                      <w:color w:val="auto"/>
                    </w:rPr>
                    <w:t>无组织排放量（</w:t>
                  </w:r>
                  <w:r>
                    <w:rPr>
                      <w:color w:val="auto"/>
                    </w:rPr>
                    <w:t>t</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17" w:type="dxa"/>
                  <w:tcBorders>
                    <w:top w:val="single" w:color="auto" w:sz="4" w:space="0"/>
                    <w:bottom w:val="single" w:color="auto" w:sz="4" w:space="0"/>
                    <w:right w:val="single" w:color="auto" w:sz="4" w:space="0"/>
                  </w:tcBorders>
                  <w:vAlign w:val="center"/>
                </w:tcPr>
                <w:p>
                  <w:pPr>
                    <w:pStyle w:val="122"/>
                    <w:adjustRightInd/>
                    <w:snapToGrid/>
                    <w:rPr>
                      <w:color w:val="auto"/>
                    </w:rPr>
                  </w:pPr>
                  <w:r>
                    <w:rPr>
                      <w:color w:val="auto"/>
                    </w:rPr>
                    <w:t>1</w:t>
                  </w:r>
                </w:p>
              </w:tc>
              <w:tc>
                <w:tcPr>
                  <w:tcW w:w="1218"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鄂破投料、破碎、筛分</w:t>
                  </w:r>
                </w:p>
              </w:tc>
              <w:tc>
                <w:tcPr>
                  <w:tcW w:w="923"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0.02kg/t</w:t>
                  </w:r>
                </w:p>
              </w:tc>
              <w:tc>
                <w:tcPr>
                  <w:tcW w:w="856"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20</w:t>
                  </w:r>
                </w:p>
              </w:tc>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4</w:t>
                  </w:r>
                </w:p>
              </w:tc>
              <w:tc>
                <w:tcPr>
                  <w:tcW w:w="76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90</w:t>
                  </w:r>
                </w:p>
              </w:tc>
              <w:tc>
                <w:tcPr>
                  <w:tcW w:w="75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99</w:t>
                  </w:r>
                </w:p>
              </w:tc>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0.036</w:t>
                  </w:r>
                </w:p>
              </w:tc>
              <w:tc>
                <w:tcPr>
                  <w:tcW w:w="8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0.4</w:t>
                  </w:r>
                </w:p>
              </w:tc>
              <w:tc>
                <w:tcPr>
                  <w:tcW w:w="925"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color w:val="auto"/>
                    </w:rPr>
                  </w:pPr>
                  <w:r>
                    <w:rPr>
                      <w:color w:val="auto"/>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517" w:type="dxa"/>
                  <w:tcBorders>
                    <w:top w:val="single" w:color="auto" w:sz="4" w:space="0"/>
                    <w:bottom w:val="single" w:color="auto" w:sz="4" w:space="0"/>
                    <w:right w:val="single" w:color="auto" w:sz="4" w:space="0"/>
                  </w:tcBorders>
                  <w:vAlign w:val="center"/>
                </w:tcPr>
                <w:p>
                  <w:pPr>
                    <w:pStyle w:val="122"/>
                    <w:adjustRightInd/>
                    <w:snapToGrid/>
                    <w:rPr>
                      <w:color w:val="auto"/>
                    </w:rPr>
                  </w:pPr>
                  <w:r>
                    <w:rPr>
                      <w:color w:val="auto"/>
                    </w:rPr>
                    <w:t>2</w:t>
                  </w:r>
                </w:p>
              </w:tc>
              <w:tc>
                <w:tcPr>
                  <w:tcW w:w="1218"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圆锥投料、破碎、筛分</w:t>
                  </w:r>
                </w:p>
              </w:tc>
              <w:tc>
                <w:tcPr>
                  <w:tcW w:w="923"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0.02kg/t</w:t>
                  </w:r>
                </w:p>
              </w:tc>
              <w:tc>
                <w:tcPr>
                  <w:tcW w:w="856"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20</w:t>
                  </w:r>
                </w:p>
              </w:tc>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4</w:t>
                  </w:r>
                </w:p>
              </w:tc>
              <w:tc>
                <w:tcPr>
                  <w:tcW w:w="76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90</w:t>
                  </w:r>
                </w:p>
              </w:tc>
              <w:tc>
                <w:tcPr>
                  <w:tcW w:w="75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99</w:t>
                  </w:r>
                </w:p>
              </w:tc>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0.036</w:t>
                  </w:r>
                </w:p>
              </w:tc>
              <w:tc>
                <w:tcPr>
                  <w:tcW w:w="8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0.4</w:t>
                  </w:r>
                </w:p>
              </w:tc>
              <w:tc>
                <w:tcPr>
                  <w:tcW w:w="925"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color w:val="auto"/>
                    </w:rPr>
                  </w:pPr>
                  <w:r>
                    <w:rPr>
                      <w:color w:val="auto"/>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17" w:type="dxa"/>
                  <w:tcBorders>
                    <w:top w:val="single" w:color="auto" w:sz="4" w:space="0"/>
                    <w:bottom w:val="single" w:color="auto" w:sz="4" w:space="0"/>
                    <w:right w:val="single" w:color="auto" w:sz="4" w:space="0"/>
                  </w:tcBorders>
                  <w:vAlign w:val="center"/>
                </w:tcPr>
                <w:p>
                  <w:pPr>
                    <w:pStyle w:val="122"/>
                    <w:adjustRightInd/>
                    <w:snapToGrid/>
                    <w:rPr>
                      <w:color w:val="auto"/>
                    </w:rPr>
                  </w:pPr>
                  <w:r>
                    <w:rPr>
                      <w:color w:val="auto"/>
                    </w:rPr>
                    <w:t>3</w:t>
                  </w:r>
                </w:p>
              </w:tc>
              <w:tc>
                <w:tcPr>
                  <w:tcW w:w="1218"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雷蒙投料、破碎、筛分</w:t>
                  </w:r>
                </w:p>
              </w:tc>
              <w:tc>
                <w:tcPr>
                  <w:tcW w:w="923"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0.02kg/t</w:t>
                  </w:r>
                </w:p>
              </w:tc>
              <w:tc>
                <w:tcPr>
                  <w:tcW w:w="856" w:type="dxa"/>
                  <w:tcBorders>
                    <w:top w:val="single" w:color="auto" w:sz="4"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20</w:t>
                  </w:r>
                </w:p>
              </w:tc>
              <w:tc>
                <w:tcPr>
                  <w:tcW w:w="81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4</w:t>
                  </w:r>
                </w:p>
              </w:tc>
              <w:tc>
                <w:tcPr>
                  <w:tcW w:w="76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100</w:t>
                  </w:r>
                </w:p>
              </w:tc>
              <w:tc>
                <w:tcPr>
                  <w:tcW w:w="759"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99</w:t>
                  </w:r>
                </w:p>
              </w:tc>
              <w:tc>
                <w:tcPr>
                  <w:tcW w:w="847"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0.04</w:t>
                  </w:r>
                </w:p>
              </w:tc>
              <w:tc>
                <w:tcPr>
                  <w:tcW w:w="86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textAlignment w:val="center"/>
                    <w:rPr>
                      <w:color w:val="auto"/>
                    </w:rPr>
                  </w:pPr>
                  <w:r>
                    <w:rPr>
                      <w:color w:val="auto"/>
                    </w:rPr>
                    <w:t>0</w:t>
                  </w:r>
                </w:p>
              </w:tc>
              <w:tc>
                <w:tcPr>
                  <w:tcW w:w="925" w:type="dxa"/>
                  <w:tcBorders>
                    <w:top w:val="single" w:color="auto" w:sz="4" w:space="0"/>
                    <w:left w:val="single" w:color="auto" w:sz="4" w:space="0"/>
                    <w:bottom w:val="single" w:color="auto" w:sz="4" w:space="0"/>
                  </w:tcBorders>
                  <w:vAlign w:val="center"/>
                </w:tcPr>
                <w:p>
                  <w:pPr>
                    <w:widowControl/>
                    <w:spacing w:line="240" w:lineRule="exact"/>
                    <w:jc w:val="center"/>
                    <w:textAlignment w:val="center"/>
                    <w:rPr>
                      <w:color w:val="auto"/>
                    </w:rPr>
                  </w:pPr>
                  <w:r>
                    <w:rPr>
                      <w:color w:val="auto"/>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14" w:type="dxa"/>
                  <w:gridSpan w:val="4"/>
                  <w:tcBorders>
                    <w:top w:val="single" w:color="auto" w:sz="4" w:space="0"/>
                    <w:bottom w:val="single" w:color="auto" w:sz="12" w:space="0"/>
                    <w:right w:val="single" w:color="auto" w:sz="4" w:space="0"/>
                  </w:tcBorders>
                  <w:vAlign w:val="center"/>
                </w:tcPr>
                <w:p>
                  <w:pPr>
                    <w:pStyle w:val="122"/>
                    <w:adjustRightInd/>
                    <w:snapToGrid/>
                    <w:rPr>
                      <w:color w:val="auto"/>
                    </w:rPr>
                  </w:pPr>
                  <w:r>
                    <w:rPr>
                      <w:rFonts w:hint="eastAsia"/>
                      <w:color w:val="auto"/>
                    </w:rPr>
                    <w:t>合计</w:t>
                  </w:r>
                </w:p>
              </w:tc>
              <w:tc>
                <w:tcPr>
                  <w:tcW w:w="812"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color w:val="auto"/>
                    </w:rPr>
                  </w:pPr>
                  <w:r>
                    <w:rPr>
                      <w:color w:val="auto"/>
                    </w:rPr>
                    <w:t>12</w:t>
                  </w:r>
                </w:p>
              </w:tc>
              <w:tc>
                <w:tcPr>
                  <w:tcW w:w="767"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color w:val="auto"/>
                    </w:rPr>
                  </w:pPr>
                  <w:r>
                    <w:rPr>
                      <w:color w:val="auto"/>
                    </w:rPr>
                    <w:t>/</w:t>
                  </w:r>
                </w:p>
              </w:tc>
              <w:tc>
                <w:tcPr>
                  <w:tcW w:w="759"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color w:val="auto"/>
                    </w:rPr>
                  </w:pPr>
                  <w:r>
                    <w:rPr>
                      <w:color w:val="auto"/>
                    </w:rPr>
                    <w:t>/</w:t>
                  </w:r>
                </w:p>
              </w:tc>
              <w:tc>
                <w:tcPr>
                  <w:tcW w:w="847"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color w:val="auto"/>
                    </w:rPr>
                  </w:pPr>
                  <w:r>
                    <w:rPr>
                      <w:color w:val="auto"/>
                    </w:rPr>
                    <w:t>0.112</w:t>
                  </w:r>
                </w:p>
              </w:tc>
              <w:tc>
                <w:tcPr>
                  <w:tcW w:w="865" w:type="dxa"/>
                  <w:tcBorders>
                    <w:top w:val="single" w:color="auto" w:sz="4" w:space="0"/>
                    <w:left w:val="single" w:color="auto" w:sz="4" w:space="0"/>
                    <w:bottom w:val="single" w:color="auto" w:sz="12" w:space="0"/>
                    <w:right w:val="single" w:color="auto" w:sz="4" w:space="0"/>
                  </w:tcBorders>
                  <w:vAlign w:val="center"/>
                </w:tcPr>
                <w:p>
                  <w:pPr>
                    <w:widowControl/>
                    <w:jc w:val="center"/>
                    <w:textAlignment w:val="center"/>
                    <w:rPr>
                      <w:color w:val="auto"/>
                    </w:rPr>
                  </w:pPr>
                  <w:r>
                    <w:rPr>
                      <w:color w:val="auto"/>
                    </w:rPr>
                    <w:t>/</w:t>
                  </w:r>
                </w:p>
              </w:tc>
              <w:tc>
                <w:tcPr>
                  <w:tcW w:w="925" w:type="dxa"/>
                  <w:tcBorders>
                    <w:top w:val="single" w:color="auto" w:sz="4" w:space="0"/>
                    <w:left w:val="single" w:color="auto" w:sz="4" w:space="0"/>
                    <w:bottom w:val="single" w:color="auto" w:sz="12" w:space="0"/>
                  </w:tcBorders>
                  <w:vAlign w:val="center"/>
                </w:tcPr>
                <w:p>
                  <w:pPr>
                    <w:widowControl/>
                    <w:jc w:val="center"/>
                    <w:textAlignment w:val="center"/>
                    <w:rPr>
                      <w:color w:val="auto"/>
                    </w:rPr>
                  </w:pPr>
                  <w:r>
                    <w:rPr>
                      <w:color w:val="auto"/>
                    </w:rPr>
                    <w:t>0.4</w:t>
                  </w:r>
                </w:p>
              </w:tc>
            </w:tr>
          </w:tbl>
          <w:p>
            <w:pPr>
              <w:pStyle w:val="67"/>
              <w:ind w:firstLine="31680"/>
              <w:rPr>
                <w:color w:val="auto"/>
              </w:rPr>
            </w:pPr>
            <w:r>
              <w:rPr>
                <w:rFonts w:hint="eastAsia"/>
                <w:color w:val="auto"/>
              </w:rPr>
              <w:t>④输送带粉尘</w:t>
            </w:r>
          </w:p>
          <w:p>
            <w:pPr>
              <w:pStyle w:val="67"/>
              <w:ind w:firstLine="31680"/>
              <w:rPr>
                <w:color w:val="auto"/>
              </w:rPr>
            </w:pPr>
            <w:r>
              <w:rPr>
                <w:rFonts w:hint="eastAsia"/>
                <w:color w:val="auto"/>
              </w:rPr>
              <w:t>使用输送带传输的物料粒径较大，输送带加盖密闭，不易形成扬尘。且输送带落料点配合筛分工序均有完善的废气收集设施，可有效降低风力扬尘影响，因此输送带传输物料过程中产生的扬尘量较小，不作定量核算。</w:t>
            </w:r>
          </w:p>
          <w:p>
            <w:pPr>
              <w:pStyle w:val="67"/>
              <w:ind w:firstLine="31680"/>
              <w:rPr>
                <w:color w:val="auto"/>
              </w:rPr>
            </w:pPr>
            <w:r>
              <w:rPr>
                <w:rFonts w:hint="eastAsia"/>
                <w:color w:val="auto"/>
              </w:rPr>
              <w:t>⑤进仓粉尘（石英粉）</w:t>
            </w:r>
          </w:p>
          <w:p>
            <w:pPr>
              <w:pStyle w:val="67"/>
              <w:ind w:firstLine="31680"/>
              <w:rPr>
                <w:color w:val="auto"/>
              </w:rPr>
            </w:pPr>
            <w:r>
              <w:rPr>
                <w:rFonts w:hint="eastAsia"/>
                <w:color w:val="auto"/>
              </w:rPr>
              <w:t>石料完成投料、破碎、筛分加工后进入料仓存储，石英粉在进仓时有废气产生。参照《逸散性工业颗粒物控制技术》中“粒料加工厂逸散尘的排放因子”，进料的产污系数为</w:t>
            </w:r>
            <w:r>
              <w:rPr>
                <w:color w:val="auto"/>
              </w:rPr>
              <w:t>0.0006kg</w:t>
            </w:r>
            <w:r>
              <w:rPr>
                <w:rFonts w:hint="eastAsia"/>
                <w:color w:val="auto"/>
              </w:rPr>
              <w:t>，石英粉按</w:t>
            </w:r>
            <w:r>
              <w:rPr>
                <w:color w:val="auto"/>
              </w:rPr>
              <w:t>20.0</w:t>
            </w:r>
            <w:r>
              <w:rPr>
                <w:rFonts w:hint="eastAsia"/>
                <w:color w:val="auto"/>
              </w:rPr>
              <w:t>万</w:t>
            </w:r>
            <w:r>
              <w:rPr>
                <w:color w:val="auto"/>
              </w:rPr>
              <w:t>t/a</w:t>
            </w:r>
            <w:r>
              <w:rPr>
                <w:rFonts w:hint="eastAsia"/>
                <w:color w:val="auto"/>
              </w:rPr>
              <w:t>计，则石英粉在进仓过程中产生颗粒物产生量为</w:t>
            </w:r>
            <w:r>
              <w:rPr>
                <w:color w:val="auto"/>
              </w:rPr>
              <w:t>0.12t/a</w:t>
            </w:r>
            <w:r>
              <w:rPr>
                <w:rFonts w:hint="eastAsia"/>
                <w:color w:val="auto"/>
              </w:rPr>
              <w:t>。</w:t>
            </w:r>
          </w:p>
          <w:p>
            <w:pPr>
              <w:pStyle w:val="67"/>
              <w:ind w:firstLine="31680"/>
              <w:rPr>
                <w:color w:val="auto"/>
              </w:rPr>
            </w:pPr>
            <w:r>
              <w:rPr>
                <w:rFonts w:hint="eastAsia"/>
                <w:color w:val="auto"/>
              </w:rPr>
              <w:t>石英粉在进仓过程中全密闭，粉尘废气以料仓呼吸废气排出。本项目在料仓呼吸口使用管道密闭对接收集，废气收集效率按</w:t>
            </w:r>
            <w:r>
              <w:rPr>
                <w:color w:val="auto"/>
              </w:rPr>
              <w:t>100%</w:t>
            </w:r>
            <w:r>
              <w:rPr>
                <w:rFonts w:hint="eastAsia"/>
                <w:color w:val="auto"/>
              </w:rPr>
              <w:t>，因进仓废气量粉尘小，使用管道密闭收集，故设计与雷蒙磨共用一套袋式除尘器进行收尘，袋式除尘器处理效率</w:t>
            </w:r>
            <w:r>
              <w:rPr>
                <w:color w:val="auto"/>
              </w:rPr>
              <w:t>99%</w:t>
            </w:r>
            <w:r>
              <w:rPr>
                <w:rFonts w:hint="eastAsia"/>
                <w:color w:val="auto"/>
              </w:rPr>
              <w:t>。本项目石英粉在进仓有组织颗粒物排放量约</w:t>
            </w:r>
            <w:r>
              <w:rPr>
                <w:color w:val="auto"/>
              </w:rPr>
              <w:t>1.2</w:t>
            </w:r>
            <w:r>
              <w:rPr>
                <w:rFonts w:hint="eastAsia"/>
                <w:color w:val="auto"/>
              </w:rPr>
              <w:t>×</w:t>
            </w:r>
            <w:r>
              <w:rPr>
                <w:color w:val="auto"/>
              </w:rPr>
              <w:t>10</w:t>
            </w:r>
            <w:r>
              <w:rPr>
                <w:color w:val="auto"/>
                <w:vertAlign w:val="superscript"/>
              </w:rPr>
              <w:t>-3</w:t>
            </w:r>
            <w:r>
              <w:rPr>
                <w:color w:val="auto"/>
              </w:rPr>
              <w:t>t/a</w:t>
            </w:r>
            <w:r>
              <w:rPr>
                <w:rFonts w:hint="eastAsia"/>
                <w:color w:val="auto"/>
              </w:rPr>
              <w:t>，进仓</w:t>
            </w:r>
            <w:r>
              <w:rPr>
                <w:rFonts w:hint="eastAsia"/>
                <w:color w:val="auto"/>
                <w:kern w:val="0"/>
              </w:rPr>
              <w:t>工序每天约</w:t>
            </w:r>
            <w:r>
              <w:rPr>
                <w:color w:val="auto"/>
                <w:kern w:val="0"/>
              </w:rPr>
              <w:t>8h</w:t>
            </w:r>
            <w:r>
              <w:rPr>
                <w:rFonts w:hint="eastAsia"/>
                <w:color w:val="auto"/>
                <w:kern w:val="0"/>
              </w:rPr>
              <w:t>，年工作</w:t>
            </w:r>
            <w:r>
              <w:rPr>
                <w:color w:val="auto"/>
                <w:kern w:val="0"/>
              </w:rPr>
              <w:t>300</w:t>
            </w:r>
            <w:r>
              <w:rPr>
                <w:rFonts w:hint="eastAsia"/>
                <w:color w:val="auto"/>
                <w:kern w:val="0"/>
              </w:rPr>
              <w:t>天，石英粉</w:t>
            </w:r>
            <w:r>
              <w:rPr>
                <w:rFonts w:hint="eastAsia"/>
                <w:color w:val="auto"/>
              </w:rPr>
              <w:t>进仓有</w:t>
            </w:r>
            <w:r>
              <w:rPr>
                <w:rFonts w:hint="eastAsia"/>
                <w:color w:val="auto"/>
                <w:kern w:val="0"/>
              </w:rPr>
              <w:t>组织排放速率为</w:t>
            </w:r>
            <w:r>
              <w:rPr>
                <w:color w:val="auto"/>
                <w:kern w:val="0"/>
              </w:rPr>
              <w:t>5</w:t>
            </w:r>
            <w:r>
              <w:rPr>
                <w:rFonts w:hint="eastAsia"/>
                <w:color w:val="auto"/>
              </w:rPr>
              <w:t>×</w:t>
            </w:r>
            <w:r>
              <w:rPr>
                <w:color w:val="auto"/>
              </w:rPr>
              <w:t>10</w:t>
            </w:r>
            <w:r>
              <w:rPr>
                <w:color w:val="auto"/>
                <w:vertAlign w:val="superscript"/>
              </w:rPr>
              <w:t>-4</w:t>
            </w:r>
            <w:r>
              <w:rPr>
                <w:color w:val="auto"/>
                <w:kern w:val="0"/>
              </w:rPr>
              <w:t>kg/h</w:t>
            </w:r>
            <w:r>
              <w:rPr>
                <w:rFonts w:hint="eastAsia"/>
                <w:color w:val="auto"/>
              </w:rPr>
              <w:t>。石英粉在进仓过程中粉尘产生量与排放量见表</w:t>
            </w:r>
            <w:r>
              <w:rPr>
                <w:color w:val="auto"/>
              </w:rPr>
              <w:t>4.2-7</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4.2-7  </w:t>
            </w:r>
            <w:r>
              <w:rPr>
                <w:rFonts w:hint="eastAsia" w:eastAsia="黑体"/>
                <w:color w:val="auto"/>
                <w:sz w:val="24"/>
              </w:rPr>
              <w:t>项目石英粉在进仓过程中的粉尘产排量一览表</w:t>
            </w:r>
          </w:p>
          <w:tbl>
            <w:tblPr>
              <w:tblStyle w:val="27"/>
              <w:tblW w:w="84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840"/>
              <w:gridCol w:w="1200"/>
              <w:gridCol w:w="940"/>
              <w:gridCol w:w="850"/>
              <w:gridCol w:w="850"/>
              <w:gridCol w:w="790"/>
              <w:gridCol w:w="880"/>
              <w:gridCol w:w="830"/>
              <w:gridCol w:w="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48" w:type="dxa"/>
                  <w:tcBorders>
                    <w:top w:val="single" w:color="auto" w:sz="12"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序号</w:t>
                  </w:r>
                </w:p>
              </w:tc>
              <w:tc>
                <w:tcPr>
                  <w:tcW w:w="840" w:type="dxa"/>
                  <w:tcBorders>
                    <w:top w:val="single" w:color="auto" w:sz="12"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尘源</w:t>
                  </w:r>
                </w:p>
              </w:tc>
              <w:tc>
                <w:tcPr>
                  <w:tcW w:w="1200" w:type="dxa"/>
                  <w:tcBorders>
                    <w:top w:val="single" w:color="auto" w:sz="12"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排放因子</w:t>
                  </w:r>
                </w:p>
              </w:tc>
              <w:tc>
                <w:tcPr>
                  <w:tcW w:w="940"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原料量（万</w:t>
                  </w:r>
                  <w:r>
                    <w:rPr>
                      <w:color w:val="auto"/>
                    </w:rPr>
                    <w:t>t</w:t>
                  </w:r>
                  <w:r>
                    <w:rPr>
                      <w:rFonts w:hint="eastAsia"/>
                      <w:color w:val="auto"/>
                    </w:rPr>
                    <w:t>）</w:t>
                  </w:r>
                </w:p>
              </w:tc>
              <w:tc>
                <w:tcPr>
                  <w:tcW w:w="850"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产生量（</w:t>
                  </w:r>
                  <w:r>
                    <w:rPr>
                      <w:color w:val="auto"/>
                    </w:rPr>
                    <w:t>t</w:t>
                  </w:r>
                  <w:r>
                    <w:rPr>
                      <w:rFonts w:hint="eastAsia"/>
                      <w:color w:val="auto"/>
                    </w:rPr>
                    <w:t>）</w:t>
                  </w:r>
                </w:p>
              </w:tc>
              <w:tc>
                <w:tcPr>
                  <w:tcW w:w="850"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收集效率（</w:t>
                  </w:r>
                  <w:r>
                    <w:rPr>
                      <w:color w:val="auto"/>
                    </w:rPr>
                    <w:t>%</w:t>
                  </w:r>
                  <w:r>
                    <w:rPr>
                      <w:rFonts w:hint="eastAsia"/>
                      <w:color w:val="auto"/>
                    </w:rPr>
                    <w:t>）</w:t>
                  </w:r>
                </w:p>
              </w:tc>
              <w:tc>
                <w:tcPr>
                  <w:tcW w:w="790"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处理效率（</w:t>
                  </w:r>
                  <w:r>
                    <w:rPr>
                      <w:color w:val="auto"/>
                    </w:rPr>
                    <w:t>%</w:t>
                  </w:r>
                  <w:r>
                    <w:rPr>
                      <w:rFonts w:hint="eastAsia"/>
                      <w:color w:val="auto"/>
                    </w:rPr>
                    <w:t>）</w:t>
                  </w:r>
                </w:p>
              </w:tc>
              <w:tc>
                <w:tcPr>
                  <w:tcW w:w="880"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有组织排放量（</w:t>
                  </w:r>
                  <w:r>
                    <w:rPr>
                      <w:color w:val="auto"/>
                    </w:rPr>
                    <w:t>t</w:t>
                  </w:r>
                  <w:r>
                    <w:rPr>
                      <w:rFonts w:hint="eastAsia"/>
                      <w:color w:val="auto"/>
                    </w:rPr>
                    <w:t>）</w:t>
                  </w:r>
                </w:p>
              </w:tc>
              <w:tc>
                <w:tcPr>
                  <w:tcW w:w="830"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无组织产生量（</w:t>
                  </w:r>
                  <w:r>
                    <w:rPr>
                      <w:color w:val="auto"/>
                    </w:rPr>
                    <w:t>t</w:t>
                  </w:r>
                  <w:r>
                    <w:rPr>
                      <w:rFonts w:hint="eastAsia"/>
                      <w:color w:val="auto"/>
                    </w:rPr>
                    <w:t>）</w:t>
                  </w:r>
                </w:p>
              </w:tc>
              <w:tc>
                <w:tcPr>
                  <w:tcW w:w="861" w:type="dxa"/>
                  <w:tcBorders>
                    <w:top w:val="single" w:color="auto" w:sz="12" w:space="0"/>
                    <w:left w:val="single" w:color="auto" w:sz="4" w:space="0"/>
                    <w:bottom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无组织排放量（</w:t>
                  </w:r>
                  <w:r>
                    <w:rPr>
                      <w:color w:val="auto"/>
                    </w:rPr>
                    <w:t>t</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48" w:type="dxa"/>
                  <w:tcBorders>
                    <w:top w:val="single" w:color="auto" w:sz="4" w:space="0"/>
                    <w:bottom w:val="single" w:color="auto" w:sz="12" w:space="0"/>
                    <w:right w:val="single" w:color="auto" w:sz="4" w:space="0"/>
                  </w:tcBorders>
                  <w:vAlign w:val="center"/>
                </w:tcPr>
                <w:p>
                  <w:pPr>
                    <w:pStyle w:val="122"/>
                    <w:adjustRightInd/>
                    <w:snapToGrid/>
                    <w:rPr>
                      <w:color w:val="auto"/>
                    </w:rPr>
                  </w:pPr>
                  <w:r>
                    <w:rPr>
                      <w:color w:val="auto"/>
                    </w:rPr>
                    <w:t>1</w:t>
                  </w:r>
                </w:p>
              </w:tc>
              <w:tc>
                <w:tcPr>
                  <w:tcW w:w="840" w:type="dxa"/>
                  <w:tcBorders>
                    <w:top w:val="single" w:color="auto" w:sz="4" w:space="0"/>
                    <w:left w:val="single" w:color="auto" w:sz="4" w:space="0"/>
                    <w:bottom w:val="single" w:color="auto" w:sz="12" w:space="0"/>
                    <w:right w:val="single" w:color="auto" w:sz="4" w:space="0"/>
                  </w:tcBorders>
                  <w:tcMar>
                    <w:top w:w="0" w:type="dxa"/>
                    <w:left w:w="51" w:type="dxa"/>
                    <w:bottom w:w="0" w:type="dxa"/>
                    <w:right w:w="51" w:type="dxa"/>
                  </w:tcMar>
                  <w:vAlign w:val="center"/>
                </w:tcPr>
                <w:p>
                  <w:pPr>
                    <w:pStyle w:val="122"/>
                    <w:adjustRightInd/>
                    <w:snapToGrid/>
                    <w:rPr>
                      <w:color w:val="auto"/>
                    </w:rPr>
                  </w:pPr>
                  <w:r>
                    <w:rPr>
                      <w:rFonts w:hint="eastAsia"/>
                      <w:color w:val="auto"/>
                    </w:rPr>
                    <w:t>进仓</w:t>
                  </w:r>
                </w:p>
              </w:tc>
              <w:tc>
                <w:tcPr>
                  <w:tcW w:w="1200" w:type="dxa"/>
                  <w:tcBorders>
                    <w:top w:val="single" w:color="auto" w:sz="4" w:space="0"/>
                    <w:left w:val="single" w:color="auto" w:sz="4" w:space="0"/>
                    <w:bottom w:val="single" w:color="auto" w:sz="12" w:space="0"/>
                    <w:right w:val="single" w:color="auto" w:sz="4" w:space="0"/>
                  </w:tcBorders>
                  <w:tcMar>
                    <w:top w:w="0" w:type="dxa"/>
                    <w:left w:w="51" w:type="dxa"/>
                    <w:bottom w:w="0" w:type="dxa"/>
                    <w:right w:w="51" w:type="dxa"/>
                  </w:tcMar>
                  <w:vAlign w:val="center"/>
                </w:tcPr>
                <w:p>
                  <w:pPr>
                    <w:pStyle w:val="122"/>
                    <w:adjustRightInd/>
                    <w:snapToGrid/>
                    <w:rPr>
                      <w:color w:val="auto"/>
                    </w:rPr>
                  </w:pPr>
                  <w:r>
                    <w:rPr>
                      <w:color w:val="auto"/>
                    </w:rPr>
                    <w:t>0.0006kg/t</w:t>
                  </w:r>
                </w:p>
              </w:tc>
              <w:tc>
                <w:tcPr>
                  <w:tcW w:w="940"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pStyle w:val="122"/>
                    <w:adjustRightInd/>
                    <w:snapToGrid/>
                    <w:rPr>
                      <w:color w:val="auto"/>
                    </w:rPr>
                  </w:pPr>
                  <w:r>
                    <w:rPr>
                      <w:color w:val="auto"/>
                    </w:rPr>
                    <w:t>20</w:t>
                  </w:r>
                </w:p>
              </w:tc>
              <w:tc>
                <w:tcPr>
                  <w:tcW w:w="850"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pStyle w:val="122"/>
                    <w:adjustRightInd/>
                    <w:snapToGrid/>
                    <w:rPr>
                      <w:color w:val="auto"/>
                    </w:rPr>
                  </w:pPr>
                  <w:r>
                    <w:rPr>
                      <w:color w:val="auto"/>
                    </w:rPr>
                    <w:t>0.12</w:t>
                  </w:r>
                </w:p>
              </w:tc>
              <w:tc>
                <w:tcPr>
                  <w:tcW w:w="850"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widowControl/>
                    <w:jc w:val="center"/>
                    <w:textAlignment w:val="center"/>
                    <w:rPr>
                      <w:color w:val="auto"/>
                    </w:rPr>
                  </w:pPr>
                  <w:r>
                    <w:rPr>
                      <w:color w:val="auto"/>
                    </w:rPr>
                    <w:t>100</w:t>
                  </w:r>
                </w:p>
              </w:tc>
              <w:tc>
                <w:tcPr>
                  <w:tcW w:w="790"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widowControl/>
                    <w:jc w:val="center"/>
                    <w:textAlignment w:val="center"/>
                    <w:rPr>
                      <w:color w:val="auto"/>
                    </w:rPr>
                  </w:pPr>
                  <w:r>
                    <w:rPr>
                      <w:color w:val="auto"/>
                    </w:rPr>
                    <w:t>99</w:t>
                  </w:r>
                </w:p>
              </w:tc>
              <w:tc>
                <w:tcPr>
                  <w:tcW w:w="880"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pStyle w:val="122"/>
                    <w:adjustRightInd/>
                    <w:snapToGrid/>
                    <w:rPr>
                      <w:color w:val="auto"/>
                    </w:rPr>
                  </w:pPr>
                  <w:r>
                    <w:rPr>
                      <w:color w:val="auto"/>
                    </w:rPr>
                    <w:t>0.0012</w:t>
                  </w:r>
                </w:p>
              </w:tc>
              <w:tc>
                <w:tcPr>
                  <w:tcW w:w="830"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widowControl/>
                    <w:jc w:val="center"/>
                    <w:textAlignment w:val="center"/>
                    <w:rPr>
                      <w:color w:val="auto"/>
                    </w:rPr>
                  </w:pPr>
                  <w:r>
                    <w:rPr>
                      <w:color w:val="auto"/>
                    </w:rPr>
                    <w:t>0</w:t>
                  </w:r>
                </w:p>
              </w:tc>
              <w:tc>
                <w:tcPr>
                  <w:tcW w:w="861" w:type="dxa"/>
                  <w:tcBorders>
                    <w:top w:val="single" w:color="auto" w:sz="4" w:space="0"/>
                    <w:left w:val="single" w:color="auto" w:sz="4" w:space="0"/>
                    <w:bottom w:val="single" w:color="auto" w:sz="12" w:space="0"/>
                  </w:tcBorders>
                  <w:tcMar>
                    <w:top w:w="0" w:type="dxa"/>
                    <w:bottom w:w="0" w:type="dxa"/>
                  </w:tcMar>
                  <w:vAlign w:val="center"/>
                </w:tcPr>
                <w:p>
                  <w:pPr>
                    <w:widowControl/>
                    <w:jc w:val="center"/>
                    <w:textAlignment w:val="center"/>
                    <w:rPr>
                      <w:color w:val="auto"/>
                    </w:rPr>
                  </w:pPr>
                  <w:r>
                    <w:rPr>
                      <w:color w:val="auto"/>
                    </w:rPr>
                    <w:t>0</w:t>
                  </w:r>
                </w:p>
              </w:tc>
            </w:tr>
          </w:tbl>
          <w:p>
            <w:pPr>
              <w:pStyle w:val="67"/>
              <w:ind w:firstLine="31680"/>
              <w:rPr>
                <w:color w:val="auto"/>
              </w:rPr>
            </w:pPr>
            <w:r>
              <w:rPr>
                <w:color w:val="auto"/>
              </w:rPr>
              <w:t>2</w:t>
            </w:r>
            <w:r>
              <w:rPr>
                <w:rFonts w:hint="eastAsia"/>
                <w:color w:val="auto"/>
              </w:rPr>
              <w:t>、硅酸钙板生产线</w:t>
            </w:r>
          </w:p>
          <w:p>
            <w:pPr>
              <w:pStyle w:val="67"/>
              <w:ind w:firstLine="31680"/>
              <w:rPr>
                <w:color w:val="auto"/>
              </w:rPr>
            </w:pPr>
            <w:r>
              <w:rPr>
                <w:rFonts w:hint="eastAsia"/>
                <w:color w:val="auto"/>
              </w:rPr>
              <w:t>①进仓粉尘（水泥）</w:t>
            </w:r>
          </w:p>
          <w:p>
            <w:pPr>
              <w:pStyle w:val="67"/>
              <w:ind w:firstLine="31680"/>
              <w:rPr>
                <w:color w:val="auto"/>
              </w:rPr>
            </w:pPr>
            <w:r>
              <w:rPr>
                <w:rFonts w:hint="eastAsia"/>
                <w:color w:val="auto"/>
              </w:rPr>
              <w:t>项目硅酸钙板生产线水泥原料通过车载气送装置送至料仓。水泥“进仓粉尘”参照《逸散性工业颗粒物控制技术》“水泥生产逸散尘的排放因子”中“水泥装载”产污系数</w:t>
            </w:r>
            <w:r>
              <w:rPr>
                <w:color w:val="auto"/>
              </w:rPr>
              <w:t>0.118kg/t</w:t>
            </w:r>
            <w:r>
              <w:rPr>
                <w:rFonts w:hint="eastAsia"/>
                <w:color w:val="auto"/>
              </w:rPr>
              <w:t>，项目水泥使用量为</w:t>
            </w:r>
            <w:r>
              <w:rPr>
                <w:color w:val="auto"/>
              </w:rPr>
              <w:t>17</w:t>
            </w:r>
            <w:r>
              <w:rPr>
                <w:rFonts w:hint="eastAsia"/>
                <w:color w:val="auto"/>
              </w:rPr>
              <w:t>万</w:t>
            </w:r>
            <w:r>
              <w:rPr>
                <w:color w:val="auto"/>
              </w:rPr>
              <w:t>t/a</w:t>
            </w:r>
            <w:r>
              <w:rPr>
                <w:rFonts w:hint="eastAsia"/>
                <w:color w:val="auto"/>
              </w:rPr>
              <w:t>，则水泥进仓过程中产生颗粒物产生量为</w:t>
            </w:r>
            <w:r>
              <w:rPr>
                <w:color w:val="auto"/>
              </w:rPr>
              <w:t>20.06t/a</w:t>
            </w:r>
            <w:r>
              <w:rPr>
                <w:rFonts w:hint="eastAsia"/>
                <w:color w:val="auto"/>
              </w:rPr>
              <w:t>。</w:t>
            </w:r>
          </w:p>
          <w:p>
            <w:pPr>
              <w:pStyle w:val="67"/>
              <w:ind w:firstLine="31680"/>
              <w:rPr>
                <w:color w:val="auto"/>
              </w:rPr>
            </w:pPr>
            <w:r>
              <w:rPr>
                <w:rFonts w:hint="eastAsia"/>
                <w:color w:val="auto"/>
              </w:rPr>
              <w:t>进仓过程中全密闭，粉尘废气以料仓呼吸废气排出。料仓呼吸口使用管道密闭对接收集，废气收集效率按</w:t>
            </w:r>
            <w:r>
              <w:rPr>
                <w:color w:val="auto"/>
              </w:rPr>
              <w:t>100%</w:t>
            </w:r>
            <w:r>
              <w:rPr>
                <w:rFonts w:hint="eastAsia"/>
                <w:color w:val="auto"/>
              </w:rPr>
              <w:t>，设计</w:t>
            </w:r>
            <w:r>
              <w:rPr>
                <w:rFonts w:hint="eastAsia"/>
                <w:color w:val="auto"/>
                <w:kern w:val="0"/>
              </w:rPr>
              <w:t>风机风量为</w:t>
            </w:r>
            <w:r>
              <w:rPr>
                <w:color w:val="auto"/>
                <w:kern w:val="0"/>
              </w:rPr>
              <w:t>20000m</w:t>
            </w:r>
            <w:r>
              <w:rPr>
                <w:color w:val="auto"/>
                <w:kern w:val="0"/>
                <w:vertAlign w:val="superscript"/>
              </w:rPr>
              <w:t>3</w:t>
            </w:r>
            <w:r>
              <w:rPr>
                <w:color w:val="auto"/>
                <w:kern w:val="0"/>
              </w:rPr>
              <w:t>/h</w:t>
            </w:r>
            <w:r>
              <w:rPr>
                <w:rFonts w:hint="eastAsia"/>
                <w:color w:val="auto"/>
                <w:kern w:val="0"/>
              </w:rPr>
              <w:t>，</w:t>
            </w:r>
            <w:r>
              <w:rPr>
                <w:rFonts w:hint="eastAsia"/>
                <w:color w:val="auto"/>
              </w:rPr>
              <w:t>袋式除尘器处理效率</w:t>
            </w:r>
            <w:r>
              <w:rPr>
                <w:color w:val="auto"/>
              </w:rPr>
              <w:t>99%</w:t>
            </w:r>
            <w:r>
              <w:rPr>
                <w:rFonts w:hint="eastAsia"/>
                <w:color w:val="auto"/>
              </w:rPr>
              <w:t>。计算得本项目水泥进仓有组织颗粒物排放量约</w:t>
            </w:r>
            <w:r>
              <w:rPr>
                <w:color w:val="auto"/>
              </w:rPr>
              <w:t>0.2006t/a</w:t>
            </w:r>
            <w:r>
              <w:rPr>
                <w:rFonts w:hint="eastAsia"/>
                <w:color w:val="auto"/>
              </w:rPr>
              <w:t>，进仓</w:t>
            </w:r>
            <w:r>
              <w:rPr>
                <w:rFonts w:hint="eastAsia"/>
                <w:color w:val="auto"/>
                <w:kern w:val="0"/>
              </w:rPr>
              <w:t>工序每天约</w:t>
            </w:r>
            <w:r>
              <w:rPr>
                <w:color w:val="auto"/>
                <w:kern w:val="0"/>
              </w:rPr>
              <w:t>4h</w:t>
            </w:r>
            <w:r>
              <w:rPr>
                <w:rFonts w:hint="eastAsia"/>
                <w:color w:val="auto"/>
                <w:kern w:val="0"/>
              </w:rPr>
              <w:t>，年工作</w:t>
            </w:r>
            <w:r>
              <w:rPr>
                <w:color w:val="auto"/>
                <w:kern w:val="0"/>
              </w:rPr>
              <w:t>300</w:t>
            </w:r>
            <w:r>
              <w:rPr>
                <w:rFonts w:hint="eastAsia"/>
                <w:color w:val="auto"/>
                <w:kern w:val="0"/>
              </w:rPr>
              <w:t>天，</w:t>
            </w:r>
            <w:r>
              <w:rPr>
                <w:rFonts w:hint="eastAsia"/>
                <w:color w:val="auto"/>
              </w:rPr>
              <w:t>进仓</w:t>
            </w:r>
            <w:r>
              <w:rPr>
                <w:rFonts w:hint="eastAsia"/>
                <w:color w:val="auto"/>
                <w:kern w:val="0"/>
              </w:rPr>
              <w:t>工序有组织排放速率为</w:t>
            </w:r>
            <w:r>
              <w:rPr>
                <w:color w:val="auto"/>
                <w:kern w:val="0"/>
              </w:rPr>
              <w:t>0.167kg/h</w:t>
            </w:r>
            <w:r>
              <w:rPr>
                <w:rFonts w:hint="eastAsia"/>
                <w:color w:val="auto"/>
                <w:kern w:val="0"/>
              </w:rPr>
              <w:t>。</w:t>
            </w:r>
            <w:r>
              <w:rPr>
                <w:rFonts w:hint="eastAsia"/>
                <w:color w:val="auto"/>
              </w:rPr>
              <w:t>水泥在进仓过程中粉尘产生量与排放量见表</w:t>
            </w:r>
            <w:r>
              <w:rPr>
                <w:color w:val="auto"/>
              </w:rPr>
              <w:t>4.2-8</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4.2-8  </w:t>
            </w:r>
            <w:r>
              <w:rPr>
                <w:rFonts w:hint="eastAsia" w:eastAsia="黑体"/>
                <w:color w:val="auto"/>
                <w:sz w:val="24"/>
              </w:rPr>
              <w:t>入仓出料过程中的粉尘产排量一览表</w:t>
            </w:r>
          </w:p>
          <w:tbl>
            <w:tblPr>
              <w:tblStyle w:val="27"/>
              <w:tblW w:w="84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40"/>
              <w:gridCol w:w="958"/>
              <w:gridCol w:w="842"/>
              <w:gridCol w:w="831"/>
              <w:gridCol w:w="807"/>
              <w:gridCol w:w="785"/>
              <w:gridCol w:w="865"/>
              <w:gridCol w:w="752"/>
              <w:gridCol w:w="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48" w:type="dxa"/>
                  <w:tcBorders>
                    <w:top w:val="single" w:color="auto" w:sz="12"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序号</w:t>
                  </w:r>
                </w:p>
              </w:tc>
              <w:tc>
                <w:tcPr>
                  <w:tcW w:w="1340" w:type="dxa"/>
                  <w:tcBorders>
                    <w:top w:val="single" w:color="auto" w:sz="12"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尘源</w:t>
                  </w:r>
                </w:p>
              </w:tc>
              <w:tc>
                <w:tcPr>
                  <w:tcW w:w="958" w:type="dxa"/>
                  <w:tcBorders>
                    <w:top w:val="single" w:color="auto" w:sz="12"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排放因子</w:t>
                  </w:r>
                </w:p>
              </w:tc>
              <w:tc>
                <w:tcPr>
                  <w:tcW w:w="842"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原料量（万</w:t>
                  </w:r>
                  <w:r>
                    <w:rPr>
                      <w:color w:val="auto"/>
                    </w:rPr>
                    <w:t>t</w:t>
                  </w:r>
                  <w:r>
                    <w:rPr>
                      <w:rFonts w:hint="eastAsia"/>
                      <w:color w:val="auto"/>
                    </w:rPr>
                    <w:t>）</w:t>
                  </w:r>
                </w:p>
              </w:tc>
              <w:tc>
                <w:tcPr>
                  <w:tcW w:w="831"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产生量（</w:t>
                  </w:r>
                  <w:r>
                    <w:rPr>
                      <w:color w:val="auto"/>
                    </w:rPr>
                    <w:t>t</w:t>
                  </w:r>
                  <w:r>
                    <w:rPr>
                      <w:rFonts w:hint="eastAsia"/>
                      <w:color w:val="auto"/>
                    </w:rPr>
                    <w:t>）</w:t>
                  </w:r>
                </w:p>
              </w:tc>
              <w:tc>
                <w:tcPr>
                  <w:tcW w:w="807"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收集效率（</w:t>
                  </w:r>
                  <w:r>
                    <w:rPr>
                      <w:color w:val="auto"/>
                    </w:rPr>
                    <w:t>%</w:t>
                  </w:r>
                  <w:r>
                    <w:rPr>
                      <w:rFonts w:hint="eastAsia"/>
                      <w:color w:val="auto"/>
                    </w:rPr>
                    <w:t>）</w:t>
                  </w:r>
                </w:p>
              </w:tc>
              <w:tc>
                <w:tcPr>
                  <w:tcW w:w="785"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处理效率（</w:t>
                  </w:r>
                  <w:r>
                    <w:rPr>
                      <w:color w:val="auto"/>
                    </w:rPr>
                    <w:t>%</w:t>
                  </w:r>
                  <w:r>
                    <w:rPr>
                      <w:rFonts w:hint="eastAsia"/>
                      <w:color w:val="auto"/>
                    </w:rPr>
                    <w:t>）</w:t>
                  </w:r>
                </w:p>
              </w:tc>
              <w:tc>
                <w:tcPr>
                  <w:tcW w:w="865"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有组织排放量（</w:t>
                  </w:r>
                  <w:r>
                    <w:rPr>
                      <w:color w:val="auto"/>
                    </w:rPr>
                    <w:t>t</w:t>
                  </w:r>
                  <w:r>
                    <w:rPr>
                      <w:rFonts w:hint="eastAsia"/>
                      <w:color w:val="auto"/>
                    </w:rPr>
                    <w:t>）</w:t>
                  </w:r>
                </w:p>
              </w:tc>
              <w:tc>
                <w:tcPr>
                  <w:tcW w:w="752"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无组织产生量（</w:t>
                  </w:r>
                  <w:r>
                    <w:rPr>
                      <w:color w:val="auto"/>
                    </w:rPr>
                    <w:t>t</w:t>
                  </w:r>
                  <w:r>
                    <w:rPr>
                      <w:rFonts w:hint="eastAsia"/>
                      <w:color w:val="auto"/>
                    </w:rPr>
                    <w:t>）</w:t>
                  </w:r>
                </w:p>
              </w:tc>
              <w:tc>
                <w:tcPr>
                  <w:tcW w:w="861" w:type="dxa"/>
                  <w:tcBorders>
                    <w:top w:val="single" w:color="auto" w:sz="12" w:space="0"/>
                    <w:left w:val="single" w:color="auto" w:sz="4" w:space="0"/>
                    <w:bottom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无组织排放量（</w:t>
                  </w:r>
                  <w:r>
                    <w:rPr>
                      <w:color w:val="auto"/>
                    </w:rPr>
                    <w:t>t</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48" w:type="dxa"/>
                  <w:tcBorders>
                    <w:top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1</w:t>
                  </w:r>
                </w:p>
              </w:tc>
              <w:tc>
                <w:tcPr>
                  <w:tcW w:w="13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进仓</w:t>
                  </w:r>
                </w:p>
                <w:p>
                  <w:pPr>
                    <w:pStyle w:val="122"/>
                    <w:adjustRightInd/>
                    <w:snapToGrid/>
                    <w:spacing w:line="240" w:lineRule="exact"/>
                    <w:rPr>
                      <w:color w:val="auto"/>
                    </w:rPr>
                  </w:pPr>
                  <w:r>
                    <w:rPr>
                      <w:rFonts w:hint="eastAsia"/>
                      <w:color w:val="auto"/>
                    </w:rPr>
                    <w:t>（水泥装载）</w:t>
                  </w:r>
                </w:p>
              </w:tc>
              <w:tc>
                <w:tcPr>
                  <w:tcW w:w="958"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color w:val="auto"/>
                    </w:rPr>
                    <w:t>0.118kg/t</w:t>
                  </w:r>
                </w:p>
              </w:tc>
              <w:tc>
                <w:tcPr>
                  <w:tcW w:w="842"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17</w:t>
                  </w:r>
                </w:p>
              </w:tc>
              <w:tc>
                <w:tcPr>
                  <w:tcW w:w="831"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20.06</w:t>
                  </w:r>
                </w:p>
              </w:tc>
              <w:tc>
                <w:tcPr>
                  <w:tcW w:w="807"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r>
                    <w:rPr>
                      <w:color w:val="auto"/>
                    </w:rPr>
                    <w:t>100</w:t>
                  </w:r>
                </w:p>
              </w:tc>
              <w:tc>
                <w:tcPr>
                  <w:tcW w:w="785"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r>
                    <w:rPr>
                      <w:color w:val="auto"/>
                    </w:rPr>
                    <w:t>99</w:t>
                  </w:r>
                </w:p>
              </w:tc>
              <w:tc>
                <w:tcPr>
                  <w:tcW w:w="865"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0.2006</w:t>
                  </w:r>
                </w:p>
              </w:tc>
              <w:tc>
                <w:tcPr>
                  <w:tcW w:w="752"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r>
                    <w:rPr>
                      <w:color w:val="auto"/>
                    </w:rPr>
                    <w:t>0</w:t>
                  </w:r>
                </w:p>
              </w:tc>
              <w:tc>
                <w:tcPr>
                  <w:tcW w:w="861" w:type="dxa"/>
                  <w:tcBorders>
                    <w:top w:val="single" w:color="auto" w:sz="4" w:space="0"/>
                    <w:left w:val="single" w:color="auto" w:sz="4" w:space="0"/>
                    <w:bottom w:val="single" w:color="auto" w:sz="4" w:space="0"/>
                  </w:tcBorders>
                  <w:tcMar>
                    <w:top w:w="0" w:type="dxa"/>
                    <w:bottom w:w="0" w:type="dxa"/>
                  </w:tcMar>
                  <w:vAlign w:val="center"/>
                </w:tcPr>
                <w:p>
                  <w:pPr>
                    <w:widowControl/>
                    <w:spacing w:line="240" w:lineRule="exact"/>
                    <w:jc w:val="center"/>
                    <w:rPr>
                      <w:color w:val="auto"/>
                    </w:rPr>
                  </w:pPr>
                  <w:r>
                    <w:rPr>
                      <w:color w:val="auto"/>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3588" w:type="dxa"/>
                  <w:gridSpan w:val="4"/>
                  <w:tcBorders>
                    <w:top w:val="single" w:color="auto" w:sz="4" w:space="0"/>
                    <w:bottom w:val="single" w:color="auto" w:sz="12" w:space="0"/>
                    <w:right w:val="single" w:color="auto" w:sz="4" w:space="0"/>
                  </w:tcBorders>
                  <w:vAlign w:val="center"/>
                </w:tcPr>
                <w:p>
                  <w:pPr>
                    <w:pStyle w:val="122"/>
                    <w:adjustRightInd/>
                    <w:snapToGrid/>
                    <w:rPr>
                      <w:color w:val="auto"/>
                    </w:rPr>
                  </w:pPr>
                  <w:r>
                    <w:rPr>
                      <w:rFonts w:hint="eastAsia"/>
                      <w:color w:val="auto"/>
                    </w:rPr>
                    <w:t>合计</w:t>
                  </w:r>
                </w:p>
              </w:tc>
              <w:tc>
                <w:tcPr>
                  <w:tcW w:w="831" w:type="dxa"/>
                  <w:tcBorders>
                    <w:top w:val="single" w:color="auto" w:sz="4" w:space="0"/>
                    <w:left w:val="single" w:color="auto" w:sz="4" w:space="0"/>
                    <w:bottom w:val="single" w:color="auto" w:sz="12" w:space="0"/>
                    <w:right w:val="single" w:color="auto" w:sz="4" w:space="0"/>
                  </w:tcBorders>
                  <w:tcMar>
                    <w:top w:w="0" w:type="dxa"/>
                    <w:left w:w="51" w:type="dxa"/>
                    <w:bottom w:w="0" w:type="dxa"/>
                    <w:right w:w="51" w:type="dxa"/>
                  </w:tcMar>
                  <w:vAlign w:val="center"/>
                </w:tcPr>
                <w:p>
                  <w:pPr>
                    <w:widowControl/>
                    <w:jc w:val="center"/>
                    <w:textAlignment w:val="center"/>
                    <w:rPr>
                      <w:color w:val="auto"/>
                    </w:rPr>
                  </w:pPr>
                  <w:r>
                    <w:rPr>
                      <w:color w:val="auto"/>
                    </w:rPr>
                    <w:t>20.06</w:t>
                  </w:r>
                </w:p>
              </w:tc>
              <w:tc>
                <w:tcPr>
                  <w:tcW w:w="807" w:type="dxa"/>
                  <w:tcBorders>
                    <w:top w:val="single" w:color="auto" w:sz="4" w:space="0"/>
                    <w:left w:val="single" w:color="auto" w:sz="4" w:space="0"/>
                    <w:bottom w:val="single" w:color="auto" w:sz="12" w:space="0"/>
                    <w:right w:val="single" w:color="auto" w:sz="4" w:space="0"/>
                  </w:tcBorders>
                  <w:tcMar>
                    <w:top w:w="0" w:type="dxa"/>
                    <w:left w:w="51" w:type="dxa"/>
                    <w:bottom w:w="0" w:type="dxa"/>
                    <w:right w:w="51" w:type="dxa"/>
                  </w:tcMar>
                  <w:vAlign w:val="center"/>
                </w:tcPr>
                <w:p>
                  <w:pPr>
                    <w:widowControl/>
                    <w:jc w:val="center"/>
                    <w:textAlignment w:val="center"/>
                    <w:rPr>
                      <w:color w:val="auto"/>
                    </w:rPr>
                  </w:pPr>
                  <w:r>
                    <w:rPr>
                      <w:color w:val="auto"/>
                    </w:rPr>
                    <w:t>/</w:t>
                  </w:r>
                </w:p>
              </w:tc>
              <w:tc>
                <w:tcPr>
                  <w:tcW w:w="785"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widowControl/>
                    <w:jc w:val="center"/>
                    <w:textAlignment w:val="center"/>
                    <w:rPr>
                      <w:color w:val="auto"/>
                    </w:rPr>
                  </w:pPr>
                  <w:r>
                    <w:rPr>
                      <w:color w:val="auto"/>
                    </w:rPr>
                    <w:t>/</w:t>
                  </w:r>
                </w:p>
              </w:tc>
              <w:tc>
                <w:tcPr>
                  <w:tcW w:w="865"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pStyle w:val="122"/>
                    <w:adjustRightInd/>
                    <w:snapToGrid/>
                    <w:rPr>
                      <w:color w:val="auto"/>
                    </w:rPr>
                  </w:pPr>
                  <w:r>
                    <w:rPr>
                      <w:color w:val="auto"/>
                    </w:rPr>
                    <w:t>0.2006</w:t>
                  </w:r>
                </w:p>
              </w:tc>
              <w:tc>
                <w:tcPr>
                  <w:tcW w:w="752"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widowControl/>
                    <w:jc w:val="center"/>
                    <w:textAlignment w:val="center"/>
                    <w:rPr>
                      <w:color w:val="auto"/>
                    </w:rPr>
                  </w:pPr>
                  <w:r>
                    <w:rPr>
                      <w:color w:val="auto"/>
                    </w:rPr>
                    <w:t>/</w:t>
                  </w:r>
                </w:p>
              </w:tc>
              <w:tc>
                <w:tcPr>
                  <w:tcW w:w="861" w:type="dxa"/>
                  <w:tcBorders>
                    <w:top w:val="single" w:color="auto" w:sz="4" w:space="0"/>
                    <w:left w:val="single" w:color="auto" w:sz="4" w:space="0"/>
                    <w:bottom w:val="single" w:color="auto" w:sz="12" w:space="0"/>
                  </w:tcBorders>
                  <w:tcMar>
                    <w:top w:w="0" w:type="dxa"/>
                    <w:bottom w:w="0" w:type="dxa"/>
                  </w:tcMar>
                  <w:vAlign w:val="center"/>
                </w:tcPr>
                <w:p>
                  <w:pPr>
                    <w:widowControl/>
                    <w:jc w:val="center"/>
                    <w:textAlignment w:val="center"/>
                    <w:rPr>
                      <w:color w:val="auto"/>
                    </w:rPr>
                  </w:pPr>
                  <w:r>
                    <w:rPr>
                      <w:color w:val="auto"/>
                    </w:rPr>
                    <w:t>/</w:t>
                  </w:r>
                </w:p>
              </w:tc>
            </w:tr>
          </w:tbl>
          <w:p>
            <w:pPr>
              <w:pStyle w:val="67"/>
              <w:ind w:firstLine="31680"/>
              <w:rPr>
                <w:color w:val="auto"/>
              </w:rPr>
            </w:pPr>
            <w:r>
              <w:rPr>
                <w:rFonts w:hint="eastAsia"/>
                <w:color w:val="auto"/>
              </w:rPr>
              <w:t>②配料粉尘</w:t>
            </w:r>
          </w:p>
          <w:p>
            <w:pPr>
              <w:pStyle w:val="67"/>
              <w:ind w:firstLine="31680"/>
              <w:rPr>
                <w:color w:val="auto"/>
              </w:rPr>
            </w:pPr>
            <w:r>
              <w:rPr>
                <w:rFonts w:hint="eastAsia"/>
                <w:color w:val="auto"/>
              </w:rPr>
              <w:t>项目硅酸钙板生产线水泥原料通过车载气送装置送至料仓，与加工好的石英粉计量进行配料。石英粉“配料粉尘”参照《逸散性工业颗粒物控制技术》中“粒料加工厂逸散尘的排放因子”中“出料”产污系数</w:t>
            </w:r>
            <w:r>
              <w:rPr>
                <w:color w:val="auto"/>
              </w:rPr>
              <w:t>0.00115kg/t</w:t>
            </w:r>
            <w:r>
              <w:rPr>
                <w:rFonts w:hint="eastAsia"/>
                <w:color w:val="auto"/>
              </w:rPr>
              <w:t>，项目石英粉使用量为</w:t>
            </w:r>
            <w:r>
              <w:rPr>
                <w:color w:val="auto"/>
              </w:rPr>
              <w:t>20</w:t>
            </w:r>
            <w:r>
              <w:rPr>
                <w:rFonts w:hint="eastAsia"/>
                <w:color w:val="auto"/>
              </w:rPr>
              <w:t>万</w:t>
            </w:r>
            <w:r>
              <w:rPr>
                <w:color w:val="auto"/>
              </w:rPr>
              <w:t>t/a</w:t>
            </w:r>
            <w:r>
              <w:rPr>
                <w:rFonts w:hint="eastAsia"/>
                <w:color w:val="auto"/>
              </w:rPr>
              <w:t>，则石英粉配料过程中产生颗粒物产生量为</w:t>
            </w:r>
            <w:r>
              <w:rPr>
                <w:color w:val="auto"/>
              </w:rPr>
              <w:t>0.23t/a</w:t>
            </w:r>
            <w:r>
              <w:rPr>
                <w:rFonts w:hint="eastAsia"/>
                <w:color w:val="auto"/>
              </w:rPr>
              <w:t>；石英粉“配料粉尘”参照《逸散性工业颗粒物控制技术》中“水泥生产逸散尘的排放因子”中“卸料”，的产污系数</w:t>
            </w:r>
            <w:r>
              <w:rPr>
                <w:color w:val="auto"/>
              </w:rPr>
              <w:t>0.05kg/t</w:t>
            </w:r>
            <w:r>
              <w:rPr>
                <w:rFonts w:hint="eastAsia"/>
                <w:color w:val="auto"/>
              </w:rPr>
              <w:t>，项目水泥使用量为</w:t>
            </w:r>
            <w:r>
              <w:rPr>
                <w:color w:val="auto"/>
              </w:rPr>
              <w:t>17</w:t>
            </w:r>
            <w:r>
              <w:rPr>
                <w:rFonts w:hint="eastAsia"/>
                <w:color w:val="auto"/>
              </w:rPr>
              <w:t>万</w:t>
            </w:r>
            <w:r>
              <w:rPr>
                <w:color w:val="auto"/>
              </w:rPr>
              <w:t>t/a</w:t>
            </w:r>
            <w:r>
              <w:rPr>
                <w:rFonts w:hint="eastAsia"/>
                <w:color w:val="auto"/>
              </w:rPr>
              <w:t>，则水泥配料过程中产生颗粒物产生量为</w:t>
            </w:r>
            <w:r>
              <w:rPr>
                <w:color w:val="auto"/>
              </w:rPr>
              <w:t>8.5t/a</w:t>
            </w:r>
            <w:r>
              <w:rPr>
                <w:rFonts w:hint="eastAsia"/>
                <w:color w:val="auto"/>
              </w:rPr>
              <w:t>。则水泥和石英粉在配料过程中产生颗粒物产生量为</w:t>
            </w:r>
            <w:r>
              <w:rPr>
                <w:color w:val="auto"/>
              </w:rPr>
              <w:t>8.73t/a</w:t>
            </w:r>
            <w:r>
              <w:rPr>
                <w:rFonts w:hint="eastAsia"/>
                <w:color w:val="auto"/>
              </w:rPr>
              <w:t>。</w:t>
            </w:r>
          </w:p>
          <w:p>
            <w:pPr>
              <w:pStyle w:val="67"/>
              <w:ind w:firstLine="31680"/>
              <w:rPr>
                <w:color w:val="auto"/>
              </w:rPr>
            </w:pPr>
            <w:r>
              <w:rPr>
                <w:rFonts w:hint="eastAsia"/>
                <w:color w:val="auto"/>
              </w:rPr>
              <w:t>配料过程中全密闭，粉尘废气以料仓呼吸废气排出。料仓呼吸口使用管道密闭对接收集，废气收集效率按</w:t>
            </w:r>
            <w:r>
              <w:rPr>
                <w:color w:val="auto"/>
              </w:rPr>
              <w:t>100%</w:t>
            </w:r>
            <w:r>
              <w:rPr>
                <w:rFonts w:hint="eastAsia"/>
                <w:color w:val="auto"/>
              </w:rPr>
              <w:t>，因配料废气量粉尘小，设计与磨边粉尘共用一套袋式除尘器进行收尘，设计风机风量为</w:t>
            </w:r>
            <w:r>
              <w:rPr>
                <w:color w:val="auto"/>
              </w:rPr>
              <w:t>20000m</w:t>
            </w:r>
            <w:r>
              <w:rPr>
                <w:color w:val="auto"/>
                <w:vertAlign w:val="superscript"/>
              </w:rPr>
              <w:t>3</w:t>
            </w:r>
            <w:r>
              <w:rPr>
                <w:color w:val="auto"/>
              </w:rPr>
              <w:t>/h</w:t>
            </w:r>
            <w:r>
              <w:rPr>
                <w:rFonts w:hint="eastAsia"/>
                <w:color w:val="auto"/>
              </w:rPr>
              <w:t>，袋式除尘器处理效率</w:t>
            </w:r>
            <w:r>
              <w:rPr>
                <w:color w:val="auto"/>
              </w:rPr>
              <w:t>99%</w:t>
            </w:r>
            <w:r>
              <w:rPr>
                <w:rFonts w:hint="eastAsia"/>
                <w:color w:val="auto"/>
              </w:rPr>
              <w:t>。本项目配料有组织颗粒物排放量约</w:t>
            </w:r>
            <w:r>
              <w:rPr>
                <w:color w:val="auto"/>
              </w:rPr>
              <w:t>0.0873t/a</w:t>
            </w:r>
            <w:r>
              <w:rPr>
                <w:rFonts w:hint="eastAsia"/>
                <w:color w:val="auto"/>
              </w:rPr>
              <w:t>，入仓、配料</w:t>
            </w:r>
            <w:r>
              <w:rPr>
                <w:rFonts w:hint="eastAsia"/>
                <w:color w:val="auto"/>
                <w:kern w:val="0"/>
              </w:rPr>
              <w:t>工序每天约</w:t>
            </w:r>
            <w:r>
              <w:rPr>
                <w:color w:val="auto"/>
                <w:kern w:val="0"/>
              </w:rPr>
              <w:t>4h</w:t>
            </w:r>
            <w:r>
              <w:rPr>
                <w:rFonts w:hint="eastAsia"/>
                <w:color w:val="auto"/>
                <w:kern w:val="0"/>
              </w:rPr>
              <w:t>，年工作</w:t>
            </w:r>
            <w:r>
              <w:rPr>
                <w:color w:val="auto"/>
                <w:kern w:val="0"/>
              </w:rPr>
              <w:t>300</w:t>
            </w:r>
            <w:r>
              <w:rPr>
                <w:rFonts w:hint="eastAsia"/>
                <w:color w:val="auto"/>
                <w:kern w:val="0"/>
              </w:rPr>
              <w:t>天，</w:t>
            </w:r>
            <w:r>
              <w:rPr>
                <w:rFonts w:hint="eastAsia"/>
                <w:color w:val="auto"/>
              </w:rPr>
              <w:t>入仓、配料</w:t>
            </w:r>
            <w:r>
              <w:rPr>
                <w:rFonts w:hint="eastAsia"/>
                <w:color w:val="auto"/>
                <w:kern w:val="0"/>
              </w:rPr>
              <w:t>工序有组织排放速率为</w:t>
            </w:r>
            <w:r>
              <w:rPr>
                <w:color w:val="auto"/>
                <w:kern w:val="0"/>
              </w:rPr>
              <w:t>0.0698kg/h</w:t>
            </w:r>
            <w:r>
              <w:rPr>
                <w:rFonts w:hint="eastAsia"/>
                <w:color w:val="auto"/>
                <w:kern w:val="0"/>
              </w:rPr>
              <w:t>。</w:t>
            </w:r>
            <w:r>
              <w:rPr>
                <w:rFonts w:hint="eastAsia"/>
                <w:color w:val="auto"/>
              </w:rPr>
              <w:t>石英粉在进仓过程中粉尘产生量与排放量见表</w:t>
            </w:r>
            <w:r>
              <w:rPr>
                <w:color w:val="auto"/>
              </w:rPr>
              <w:t>4.2-9</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4.2-9  </w:t>
            </w:r>
            <w:r>
              <w:rPr>
                <w:rFonts w:hint="eastAsia" w:eastAsia="黑体"/>
                <w:color w:val="auto"/>
                <w:sz w:val="24"/>
              </w:rPr>
              <w:t>入仓出料过程中的粉尘产排量一览表</w:t>
            </w:r>
          </w:p>
          <w:tbl>
            <w:tblPr>
              <w:tblStyle w:val="27"/>
              <w:tblW w:w="848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840"/>
              <w:gridCol w:w="1200"/>
              <w:gridCol w:w="902"/>
              <w:gridCol w:w="846"/>
              <w:gridCol w:w="815"/>
              <w:gridCol w:w="750"/>
              <w:gridCol w:w="868"/>
              <w:gridCol w:w="932"/>
              <w:gridCol w:w="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448" w:type="dxa"/>
                  <w:tcBorders>
                    <w:top w:val="single" w:color="auto" w:sz="12"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序号</w:t>
                  </w:r>
                </w:p>
              </w:tc>
              <w:tc>
                <w:tcPr>
                  <w:tcW w:w="840" w:type="dxa"/>
                  <w:tcBorders>
                    <w:top w:val="single" w:color="auto" w:sz="12"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尘源</w:t>
                  </w:r>
                </w:p>
              </w:tc>
              <w:tc>
                <w:tcPr>
                  <w:tcW w:w="1200" w:type="dxa"/>
                  <w:tcBorders>
                    <w:top w:val="single" w:color="auto" w:sz="12"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排放因子</w:t>
                  </w:r>
                </w:p>
              </w:tc>
              <w:tc>
                <w:tcPr>
                  <w:tcW w:w="902"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原料量（万</w:t>
                  </w:r>
                  <w:r>
                    <w:rPr>
                      <w:color w:val="auto"/>
                    </w:rPr>
                    <w:t>t</w:t>
                  </w:r>
                  <w:r>
                    <w:rPr>
                      <w:rFonts w:hint="eastAsia"/>
                      <w:color w:val="auto"/>
                    </w:rPr>
                    <w:t>）</w:t>
                  </w:r>
                </w:p>
              </w:tc>
              <w:tc>
                <w:tcPr>
                  <w:tcW w:w="846"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产生量（</w:t>
                  </w:r>
                  <w:r>
                    <w:rPr>
                      <w:color w:val="auto"/>
                    </w:rPr>
                    <w:t>t</w:t>
                  </w:r>
                  <w:r>
                    <w:rPr>
                      <w:rFonts w:hint="eastAsia"/>
                      <w:color w:val="auto"/>
                    </w:rPr>
                    <w:t>）</w:t>
                  </w:r>
                </w:p>
              </w:tc>
              <w:tc>
                <w:tcPr>
                  <w:tcW w:w="815"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收集效率（</w:t>
                  </w:r>
                  <w:r>
                    <w:rPr>
                      <w:color w:val="auto"/>
                    </w:rPr>
                    <w:t>%</w:t>
                  </w:r>
                  <w:r>
                    <w:rPr>
                      <w:rFonts w:hint="eastAsia"/>
                      <w:color w:val="auto"/>
                    </w:rPr>
                    <w:t>）</w:t>
                  </w:r>
                </w:p>
              </w:tc>
              <w:tc>
                <w:tcPr>
                  <w:tcW w:w="750"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处理效率（</w:t>
                  </w:r>
                  <w:r>
                    <w:rPr>
                      <w:color w:val="auto"/>
                    </w:rPr>
                    <w:t>%</w:t>
                  </w:r>
                  <w:r>
                    <w:rPr>
                      <w:rFonts w:hint="eastAsia"/>
                      <w:color w:val="auto"/>
                    </w:rPr>
                    <w:t>）</w:t>
                  </w:r>
                </w:p>
              </w:tc>
              <w:tc>
                <w:tcPr>
                  <w:tcW w:w="868"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有组织排放量（</w:t>
                  </w:r>
                  <w:r>
                    <w:rPr>
                      <w:color w:val="auto"/>
                    </w:rPr>
                    <w:t>t</w:t>
                  </w:r>
                  <w:r>
                    <w:rPr>
                      <w:rFonts w:hint="eastAsia"/>
                      <w:color w:val="auto"/>
                    </w:rPr>
                    <w:t>）</w:t>
                  </w:r>
                </w:p>
              </w:tc>
              <w:tc>
                <w:tcPr>
                  <w:tcW w:w="932" w:type="dxa"/>
                  <w:tcBorders>
                    <w:top w:val="single" w:color="auto" w:sz="12"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无组织产生量（</w:t>
                  </w:r>
                  <w:r>
                    <w:rPr>
                      <w:color w:val="auto"/>
                    </w:rPr>
                    <w:t>t</w:t>
                  </w:r>
                  <w:r>
                    <w:rPr>
                      <w:rFonts w:hint="eastAsia"/>
                      <w:color w:val="auto"/>
                    </w:rPr>
                    <w:t>）</w:t>
                  </w:r>
                </w:p>
              </w:tc>
              <w:tc>
                <w:tcPr>
                  <w:tcW w:w="888" w:type="dxa"/>
                  <w:tcBorders>
                    <w:top w:val="single" w:color="auto" w:sz="12" w:space="0"/>
                    <w:left w:val="single" w:color="auto" w:sz="4" w:space="0"/>
                    <w:bottom w:val="single" w:color="auto" w:sz="4" w:space="0"/>
                  </w:tcBorders>
                  <w:tcMar>
                    <w:top w:w="0" w:type="dxa"/>
                    <w:bottom w:w="0" w:type="dxa"/>
                  </w:tcMar>
                  <w:vAlign w:val="center"/>
                </w:tcPr>
                <w:p>
                  <w:pPr>
                    <w:pStyle w:val="122"/>
                    <w:adjustRightInd/>
                    <w:snapToGrid/>
                    <w:spacing w:line="240" w:lineRule="exact"/>
                    <w:rPr>
                      <w:color w:val="auto"/>
                    </w:rPr>
                  </w:pPr>
                  <w:r>
                    <w:rPr>
                      <w:rFonts w:hint="eastAsia"/>
                      <w:color w:val="auto"/>
                    </w:rPr>
                    <w:t>无组织排放量（</w:t>
                  </w:r>
                  <w:r>
                    <w:rPr>
                      <w:color w:val="auto"/>
                    </w:rPr>
                    <w:t>t</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48" w:type="dxa"/>
                  <w:tcBorders>
                    <w:top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1</w:t>
                  </w:r>
                </w:p>
              </w:tc>
              <w:tc>
                <w:tcPr>
                  <w:tcW w:w="8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石英粉</w:t>
                  </w:r>
                </w:p>
                <w:p>
                  <w:pPr>
                    <w:pStyle w:val="122"/>
                    <w:adjustRightInd/>
                    <w:snapToGrid/>
                    <w:spacing w:line="240" w:lineRule="exact"/>
                    <w:rPr>
                      <w:color w:val="auto"/>
                    </w:rPr>
                  </w:pPr>
                  <w:r>
                    <w:rPr>
                      <w:rFonts w:hint="eastAsia"/>
                      <w:color w:val="auto"/>
                    </w:rPr>
                    <w:t>（配料）</w:t>
                  </w:r>
                </w:p>
              </w:tc>
              <w:tc>
                <w:tcPr>
                  <w:tcW w:w="120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color w:val="auto"/>
                    </w:rPr>
                    <w:t>0.00115kg/t</w:t>
                  </w:r>
                </w:p>
              </w:tc>
              <w:tc>
                <w:tcPr>
                  <w:tcW w:w="902"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20</w:t>
                  </w:r>
                </w:p>
              </w:tc>
              <w:tc>
                <w:tcPr>
                  <w:tcW w:w="846"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0.23</w:t>
                  </w:r>
                </w:p>
              </w:tc>
              <w:tc>
                <w:tcPr>
                  <w:tcW w:w="815"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r>
                    <w:rPr>
                      <w:color w:val="auto"/>
                    </w:rPr>
                    <w:t>100</w:t>
                  </w:r>
                </w:p>
              </w:tc>
              <w:tc>
                <w:tcPr>
                  <w:tcW w:w="750"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r>
                    <w:rPr>
                      <w:color w:val="auto"/>
                    </w:rPr>
                    <w:t>99</w:t>
                  </w:r>
                </w:p>
              </w:tc>
              <w:tc>
                <w:tcPr>
                  <w:tcW w:w="868"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0.0023</w:t>
                  </w:r>
                </w:p>
              </w:tc>
              <w:tc>
                <w:tcPr>
                  <w:tcW w:w="932"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r>
                    <w:rPr>
                      <w:color w:val="auto"/>
                    </w:rPr>
                    <w:t>0</w:t>
                  </w:r>
                </w:p>
              </w:tc>
              <w:tc>
                <w:tcPr>
                  <w:tcW w:w="888" w:type="dxa"/>
                  <w:tcBorders>
                    <w:top w:val="single" w:color="auto" w:sz="4" w:space="0"/>
                    <w:left w:val="single" w:color="auto" w:sz="4" w:space="0"/>
                    <w:bottom w:val="single" w:color="auto" w:sz="4" w:space="0"/>
                  </w:tcBorders>
                  <w:tcMar>
                    <w:top w:w="0" w:type="dxa"/>
                    <w:bottom w:w="0" w:type="dxa"/>
                  </w:tcMar>
                  <w:vAlign w:val="center"/>
                </w:tcPr>
                <w:p>
                  <w:pPr>
                    <w:widowControl/>
                    <w:spacing w:line="240" w:lineRule="exact"/>
                    <w:jc w:val="center"/>
                    <w:rPr>
                      <w:color w:val="auto"/>
                    </w:rPr>
                  </w:pPr>
                  <w:r>
                    <w:rPr>
                      <w:color w:val="auto"/>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448" w:type="dxa"/>
                  <w:tcBorders>
                    <w:top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color w:val="auto"/>
                    </w:rPr>
                    <w:t>2</w:t>
                  </w:r>
                </w:p>
              </w:tc>
              <w:tc>
                <w:tcPr>
                  <w:tcW w:w="84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rFonts w:hint="eastAsia"/>
                      <w:color w:val="auto"/>
                    </w:rPr>
                    <w:t>水泥</w:t>
                  </w:r>
                </w:p>
                <w:p>
                  <w:pPr>
                    <w:pStyle w:val="122"/>
                    <w:adjustRightInd/>
                    <w:snapToGrid/>
                    <w:spacing w:line="240" w:lineRule="exact"/>
                    <w:rPr>
                      <w:color w:val="auto"/>
                    </w:rPr>
                  </w:pPr>
                  <w:r>
                    <w:rPr>
                      <w:rFonts w:hint="eastAsia"/>
                      <w:color w:val="auto"/>
                    </w:rPr>
                    <w:t>（配料）</w:t>
                  </w:r>
                </w:p>
              </w:tc>
              <w:tc>
                <w:tcPr>
                  <w:tcW w:w="1200" w:type="dxa"/>
                  <w:tcBorders>
                    <w:top w:val="single" w:color="auto" w:sz="4" w:space="0"/>
                    <w:left w:val="single" w:color="auto" w:sz="4" w:space="0"/>
                    <w:bottom w:val="single" w:color="auto" w:sz="4" w:space="0"/>
                    <w:right w:val="single" w:color="auto" w:sz="4" w:space="0"/>
                  </w:tcBorders>
                  <w:tcMar>
                    <w:top w:w="0" w:type="dxa"/>
                    <w:left w:w="51" w:type="dxa"/>
                    <w:bottom w:w="0" w:type="dxa"/>
                    <w:right w:w="51" w:type="dxa"/>
                  </w:tcMar>
                  <w:vAlign w:val="center"/>
                </w:tcPr>
                <w:p>
                  <w:pPr>
                    <w:pStyle w:val="122"/>
                    <w:adjustRightInd/>
                    <w:snapToGrid/>
                    <w:spacing w:line="240" w:lineRule="exact"/>
                    <w:rPr>
                      <w:color w:val="auto"/>
                    </w:rPr>
                  </w:pPr>
                  <w:r>
                    <w:rPr>
                      <w:color w:val="auto"/>
                    </w:rPr>
                    <w:t>0.05kg/t</w:t>
                  </w:r>
                </w:p>
              </w:tc>
              <w:tc>
                <w:tcPr>
                  <w:tcW w:w="902"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17</w:t>
                  </w:r>
                </w:p>
              </w:tc>
              <w:tc>
                <w:tcPr>
                  <w:tcW w:w="846"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8.5</w:t>
                  </w:r>
                </w:p>
              </w:tc>
              <w:tc>
                <w:tcPr>
                  <w:tcW w:w="815"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r>
                    <w:rPr>
                      <w:color w:val="auto"/>
                    </w:rPr>
                    <w:t>100</w:t>
                  </w:r>
                </w:p>
              </w:tc>
              <w:tc>
                <w:tcPr>
                  <w:tcW w:w="750"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r>
                    <w:rPr>
                      <w:color w:val="auto"/>
                    </w:rPr>
                    <w:t>99</w:t>
                  </w:r>
                </w:p>
              </w:tc>
              <w:tc>
                <w:tcPr>
                  <w:tcW w:w="868"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pStyle w:val="122"/>
                    <w:adjustRightInd/>
                    <w:snapToGrid/>
                    <w:spacing w:line="240" w:lineRule="exact"/>
                    <w:rPr>
                      <w:color w:val="auto"/>
                    </w:rPr>
                  </w:pPr>
                  <w:r>
                    <w:rPr>
                      <w:color w:val="auto"/>
                    </w:rPr>
                    <w:t>0.085</w:t>
                  </w:r>
                </w:p>
              </w:tc>
              <w:tc>
                <w:tcPr>
                  <w:tcW w:w="932" w:type="dxa"/>
                  <w:tcBorders>
                    <w:top w:val="single" w:color="auto" w:sz="4" w:space="0"/>
                    <w:left w:val="single" w:color="auto" w:sz="4" w:space="0"/>
                    <w:bottom w:val="single" w:color="auto" w:sz="4" w:space="0"/>
                    <w:right w:val="single" w:color="auto" w:sz="4" w:space="0"/>
                  </w:tcBorders>
                  <w:tcMar>
                    <w:top w:w="0" w:type="dxa"/>
                    <w:bottom w:w="0" w:type="dxa"/>
                  </w:tcMar>
                  <w:vAlign w:val="center"/>
                </w:tcPr>
                <w:p>
                  <w:pPr>
                    <w:widowControl/>
                    <w:spacing w:line="240" w:lineRule="exact"/>
                    <w:jc w:val="center"/>
                    <w:rPr>
                      <w:color w:val="auto"/>
                    </w:rPr>
                  </w:pPr>
                </w:p>
              </w:tc>
              <w:tc>
                <w:tcPr>
                  <w:tcW w:w="888" w:type="dxa"/>
                  <w:tcBorders>
                    <w:top w:val="single" w:color="auto" w:sz="4" w:space="0"/>
                    <w:left w:val="single" w:color="auto" w:sz="4" w:space="0"/>
                    <w:bottom w:val="single" w:color="auto" w:sz="4" w:space="0"/>
                  </w:tcBorders>
                  <w:tcMar>
                    <w:top w:w="0" w:type="dxa"/>
                    <w:bottom w:w="0" w:type="dxa"/>
                  </w:tcMar>
                  <w:vAlign w:val="center"/>
                </w:tcPr>
                <w:p>
                  <w:pPr>
                    <w:widowControl/>
                    <w:spacing w:line="240" w:lineRule="exact"/>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390" w:type="dxa"/>
                  <w:gridSpan w:val="4"/>
                  <w:tcBorders>
                    <w:top w:val="single" w:color="auto" w:sz="4" w:space="0"/>
                    <w:bottom w:val="single" w:color="auto" w:sz="12" w:space="0"/>
                    <w:right w:val="single" w:color="auto" w:sz="4" w:space="0"/>
                  </w:tcBorders>
                  <w:vAlign w:val="center"/>
                </w:tcPr>
                <w:p>
                  <w:pPr>
                    <w:pStyle w:val="122"/>
                    <w:adjustRightInd/>
                    <w:snapToGrid/>
                    <w:rPr>
                      <w:color w:val="auto"/>
                    </w:rPr>
                  </w:pPr>
                  <w:r>
                    <w:rPr>
                      <w:rFonts w:hint="eastAsia"/>
                      <w:color w:val="auto"/>
                    </w:rPr>
                    <w:t>合计</w:t>
                  </w:r>
                </w:p>
              </w:tc>
              <w:tc>
                <w:tcPr>
                  <w:tcW w:w="846" w:type="dxa"/>
                  <w:tcBorders>
                    <w:top w:val="single" w:color="auto" w:sz="4" w:space="0"/>
                    <w:left w:val="single" w:color="auto" w:sz="4" w:space="0"/>
                    <w:bottom w:val="single" w:color="auto" w:sz="12" w:space="0"/>
                    <w:right w:val="single" w:color="auto" w:sz="4" w:space="0"/>
                  </w:tcBorders>
                  <w:tcMar>
                    <w:top w:w="0" w:type="dxa"/>
                    <w:left w:w="51" w:type="dxa"/>
                    <w:bottom w:w="0" w:type="dxa"/>
                    <w:right w:w="51" w:type="dxa"/>
                  </w:tcMar>
                  <w:vAlign w:val="center"/>
                </w:tcPr>
                <w:p>
                  <w:pPr>
                    <w:widowControl/>
                    <w:jc w:val="center"/>
                    <w:textAlignment w:val="center"/>
                    <w:rPr>
                      <w:color w:val="auto"/>
                    </w:rPr>
                  </w:pPr>
                  <w:r>
                    <w:rPr>
                      <w:color w:val="auto"/>
                    </w:rPr>
                    <w:t>8.73</w:t>
                  </w:r>
                </w:p>
              </w:tc>
              <w:tc>
                <w:tcPr>
                  <w:tcW w:w="815" w:type="dxa"/>
                  <w:tcBorders>
                    <w:top w:val="single" w:color="auto" w:sz="4" w:space="0"/>
                    <w:left w:val="single" w:color="auto" w:sz="4" w:space="0"/>
                    <w:bottom w:val="single" w:color="auto" w:sz="12" w:space="0"/>
                    <w:right w:val="single" w:color="auto" w:sz="4" w:space="0"/>
                  </w:tcBorders>
                  <w:tcMar>
                    <w:top w:w="0" w:type="dxa"/>
                    <w:left w:w="51" w:type="dxa"/>
                    <w:bottom w:w="0" w:type="dxa"/>
                    <w:right w:w="51" w:type="dxa"/>
                  </w:tcMar>
                  <w:vAlign w:val="center"/>
                </w:tcPr>
                <w:p>
                  <w:pPr>
                    <w:widowControl/>
                    <w:jc w:val="center"/>
                    <w:textAlignment w:val="center"/>
                    <w:rPr>
                      <w:color w:val="auto"/>
                    </w:rPr>
                  </w:pPr>
                  <w:r>
                    <w:rPr>
                      <w:color w:val="auto"/>
                    </w:rPr>
                    <w:t>/</w:t>
                  </w:r>
                </w:p>
              </w:tc>
              <w:tc>
                <w:tcPr>
                  <w:tcW w:w="750"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widowControl/>
                    <w:jc w:val="center"/>
                    <w:textAlignment w:val="center"/>
                    <w:rPr>
                      <w:color w:val="auto"/>
                    </w:rPr>
                  </w:pPr>
                  <w:r>
                    <w:rPr>
                      <w:color w:val="auto"/>
                    </w:rPr>
                    <w:t>/</w:t>
                  </w:r>
                </w:p>
              </w:tc>
              <w:tc>
                <w:tcPr>
                  <w:tcW w:w="868"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pStyle w:val="122"/>
                    <w:adjustRightInd/>
                    <w:snapToGrid/>
                    <w:rPr>
                      <w:color w:val="auto"/>
                    </w:rPr>
                  </w:pPr>
                  <w:r>
                    <w:rPr>
                      <w:color w:val="auto"/>
                    </w:rPr>
                    <w:t>0.0873</w:t>
                  </w:r>
                </w:p>
              </w:tc>
              <w:tc>
                <w:tcPr>
                  <w:tcW w:w="932" w:type="dxa"/>
                  <w:tcBorders>
                    <w:top w:val="single" w:color="auto" w:sz="4" w:space="0"/>
                    <w:left w:val="single" w:color="auto" w:sz="4" w:space="0"/>
                    <w:bottom w:val="single" w:color="auto" w:sz="12" w:space="0"/>
                    <w:right w:val="single" w:color="auto" w:sz="4" w:space="0"/>
                  </w:tcBorders>
                  <w:tcMar>
                    <w:top w:w="0" w:type="dxa"/>
                    <w:bottom w:w="0" w:type="dxa"/>
                  </w:tcMar>
                  <w:vAlign w:val="center"/>
                </w:tcPr>
                <w:p>
                  <w:pPr>
                    <w:widowControl/>
                    <w:jc w:val="center"/>
                    <w:textAlignment w:val="center"/>
                    <w:rPr>
                      <w:color w:val="auto"/>
                    </w:rPr>
                  </w:pPr>
                  <w:r>
                    <w:rPr>
                      <w:color w:val="auto"/>
                    </w:rPr>
                    <w:t>/</w:t>
                  </w:r>
                </w:p>
              </w:tc>
              <w:tc>
                <w:tcPr>
                  <w:tcW w:w="888" w:type="dxa"/>
                  <w:tcBorders>
                    <w:top w:val="single" w:color="auto" w:sz="4" w:space="0"/>
                    <w:left w:val="single" w:color="auto" w:sz="4" w:space="0"/>
                    <w:bottom w:val="single" w:color="auto" w:sz="12" w:space="0"/>
                  </w:tcBorders>
                  <w:tcMar>
                    <w:top w:w="0" w:type="dxa"/>
                    <w:bottom w:w="0" w:type="dxa"/>
                  </w:tcMar>
                  <w:vAlign w:val="center"/>
                </w:tcPr>
                <w:p>
                  <w:pPr>
                    <w:widowControl/>
                    <w:jc w:val="center"/>
                    <w:textAlignment w:val="center"/>
                    <w:rPr>
                      <w:color w:val="auto"/>
                    </w:rPr>
                  </w:pPr>
                  <w:r>
                    <w:rPr>
                      <w:color w:val="auto"/>
                    </w:rPr>
                    <w:t>/</w:t>
                  </w:r>
                </w:p>
              </w:tc>
            </w:tr>
          </w:tbl>
          <w:p>
            <w:pPr>
              <w:pStyle w:val="67"/>
              <w:ind w:firstLine="31680"/>
              <w:rPr>
                <w:color w:val="auto"/>
              </w:rPr>
            </w:pPr>
            <w:r>
              <w:rPr>
                <w:rFonts w:hint="eastAsia"/>
                <w:color w:val="auto"/>
              </w:rPr>
              <w:t>③制浆搅拌粉尘</w:t>
            </w:r>
          </w:p>
          <w:p>
            <w:pPr>
              <w:pStyle w:val="67"/>
              <w:ind w:firstLine="31680"/>
              <w:rPr>
                <w:color w:val="auto"/>
              </w:rPr>
            </w:pPr>
            <w:r>
              <w:rPr>
                <w:rFonts w:hint="eastAsia"/>
                <w:color w:val="auto"/>
              </w:rPr>
              <w:t>项目纸浆板加水破碎后再进入磨纸机进行水磨，水泥、石英砂计量后通过密闭螺旋管道输送至搅拌罐内加水进行搅拌，搅拌过程为密闭式，项目原料混合搅拌均加入水，因此在搅拌混料过程中产生的粉尘极少，此处不做定量分析。</w:t>
            </w:r>
          </w:p>
          <w:p>
            <w:pPr>
              <w:pStyle w:val="67"/>
              <w:ind w:firstLine="31680"/>
              <w:rPr>
                <w:color w:val="auto"/>
              </w:rPr>
            </w:pPr>
            <w:r>
              <w:rPr>
                <w:rFonts w:hint="eastAsia"/>
                <w:color w:val="auto"/>
              </w:rPr>
              <w:t>④纵切、横切粉尘</w:t>
            </w:r>
          </w:p>
          <w:p>
            <w:pPr>
              <w:pStyle w:val="67"/>
              <w:ind w:firstLine="31680"/>
              <w:rPr>
                <w:color w:val="auto"/>
                <w:szCs w:val="32"/>
              </w:rPr>
            </w:pPr>
            <w:r>
              <w:rPr>
                <w:rFonts w:hint="eastAsia"/>
                <w:color w:val="auto"/>
              </w:rPr>
              <w:t>本项目对</w:t>
            </w:r>
            <w:r>
              <w:rPr>
                <w:rFonts w:hint="eastAsia"/>
                <w:color w:val="auto"/>
                <w:szCs w:val="32"/>
              </w:rPr>
              <w:t>坯料进行</w:t>
            </w:r>
            <w:r>
              <w:rPr>
                <w:rFonts w:hint="eastAsia"/>
                <w:color w:val="auto"/>
              </w:rPr>
              <w:t>纵切、横切加工时，为湿式加工，因</w:t>
            </w:r>
            <w:r>
              <w:rPr>
                <w:rFonts w:hint="eastAsia"/>
                <w:color w:val="auto"/>
                <w:szCs w:val="32"/>
              </w:rPr>
              <w:t>坯料的含水量较高，基本不产生粉尘，</w:t>
            </w:r>
            <w:r>
              <w:rPr>
                <w:rFonts w:hint="eastAsia"/>
                <w:color w:val="auto"/>
              </w:rPr>
              <w:t>此处不做定量分析。</w:t>
            </w:r>
          </w:p>
          <w:p>
            <w:pPr>
              <w:pStyle w:val="67"/>
              <w:ind w:firstLine="31680"/>
              <w:rPr>
                <w:color w:val="auto"/>
              </w:rPr>
            </w:pPr>
            <w:r>
              <w:rPr>
                <w:rFonts w:hint="eastAsia"/>
                <w:color w:val="auto"/>
              </w:rPr>
              <w:t>⑤磨边粉尘</w:t>
            </w:r>
          </w:p>
          <w:p>
            <w:pPr>
              <w:spacing w:line="360" w:lineRule="auto"/>
              <w:ind w:firstLine="480" w:firstLineChars="200"/>
              <w:rPr>
                <w:color w:val="auto"/>
                <w:sz w:val="24"/>
              </w:rPr>
            </w:pPr>
            <w:r>
              <w:rPr>
                <w:rFonts w:hint="eastAsia"/>
                <w:color w:val="auto"/>
                <w:sz w:val="24"/>
              </w:rPr>
              <w:t>半成品硅酸钙板烘干完成后需要由磨边倒角机对边角和表面进行磨边。磨边倒角机设备上方设置集气罩，产生粉尘经集气罩收集后由布袋除尘器净化后通过</w:t>
            </w:r>
            <w:r>
              <w:rPr>
                <w:color w:val="auto"/>
                <w:sz w:val="24"/>
              </w:rPr>
              <w:t>15m</w:t>
            </w:r>
            <w:r>
              <w:rPr>
                <w:rFonts w:hint="eastAsia"/>
                <w:color w:val="auto"/>
                <w:sz w:val="24"/>
              </w:rPr>
              <w:t>排气筒排放。</w:t>
            </w:r>
          </w:p>
          <w:p>
            <w:pPr>
              <w:spacing w:line="360" w:lineRule="auto"/>
              <w:ind w:firstLine="480" w:firstLineChars="200"/>
              <w:rPr>
                <w:color w:val="auto"/>
                <w:kern w:val="0"/>
                <w:sz w:val="24"/>
              </w:rPr>
            </w:pPr>
            <w:r>
              <w:rPr>
                <w:rFonts w:hint="eastAsia"/>
                <w:color w:val="auto"/>
                <w:sz w:val="24"/>
              </w:rPr>
              <w:t>参考同类项目环评资料（福建</w:t>
            </w:r>
            <w:r>
              <w:rPr>
                <w:rFonts w:hint="eastAsia"/>
                <w:color w:val="auto"/>
                <w:kern w:val="0"/>
                <w:sz w:val="24"/>
                <w:szCs w:val="20"/>
              </w:rPr>
              <w:t>明源板业有限公司</w:t>
            </w:r>
            <w:r>
              <w:rPr>
                <w:rFonts w:hint="eastAsia"/>
                <w:color w:val="auto"/>
                <w:sz w:val="24"/>
              </w:rPr>
              <w:t>《年产</w:t>
            </w:r>
            <w:r>
              <w:rPr>
                <w:color w:val="auto"/>
                <w:sz w:val="24"/>
              </w:rPr>
              <w:t>2000</w:t>
            </w:r>
            <w:r>
              <w:rPr>
                <w:rFonts w:hint="eastAsia"/>
                <w:color w:val="auto"/>
                <w:sz w:val="24"/>
              </w:rPr>
              <w:t>万</w:t>
            </w:r>
            <w:r>
              <w:rPr>
                <w:color w:val="auto"/>
                <w:sz w:val="24"/>
              </w:rPr>
              <w:t>m</w:t>
            </w:r>
            <w:r>
              <w:rPr>
                <w:color w:val="auto"/>
                <w:sz w:val="24"/>
                <w:vertAlign w:val="superscript"/>
              </w:rPr>
              <w:t>2</w:t>
            </w:r>
            <w:r>
              <w:rPr>
                <w:rFonts w:hint="eastAsia"/>
                <w:color w:val="auto"/>
                <w:sz w:val="24"/>
              </w:rPr>
              <w:t>硅酸钙板扩建项目环境影响报告表》），倒角过程中产生的粉尘使用</w:t>
            </w:r>
            <w:r>
              <w:rPr>
                <w:rFonts w:hint="eastAsia"/>
                <w:color w:val="auto"/>
                <w:kern w:val="0"/>
                <w:sz w:val="24"/>
              </w:rPr>
              <w:t>风量为</w:t>
            </w:r>
            <w:r>
              <w:rPr>
                <w:color w:val="auto"/>
                <w:kern w:val="0"/>
                <w:sz w:val="24"/>
              </w:rPr>
              <w:t>20000m</w:t>
            </w:r>
            <w:r>
              <w:rPr>
                <w:color w:val="auto"/>
                <w:kern w:val="0"/>
                <w:sz w:val="24"/>
                <w:vertAlign w:val="superscript"/>
              </w:rPr>
              <w:t>3</w:t>
            </w:r>
            <w:r>
              <w:rPr>
                <w:color w:val="auto"/>
                <w:kern w:val="0"/>
                <w:sz w:val="24"/>
              </w:rPr>
              <w:t>/h</w:t>
            </w:r>
            <w:r>
              <w:rPr>
                <w:rFonts w:hint="eastAsia"/>
                <w:color w:val="auto"/>
                <w:kern w:val="0"/>
                <w:sz w:val="24"/>
              </w:rPr>
              <w:t>风机进行废气收集，收集的</w:t>
            </w:r>
            <w:r>
              <w:rPr>
                <w:rFonts w:hint="eastAsia"/>
                <w:color w:val="auto"/>
                <w:sz w:val="24"/>
              </w:rPr>
              <w:t>粉尘浓度约为</w:t>
            </w:r>
            <w:r>
              <w:rPr>
                <w:color w:val="auto"/>
                <w:sz w:val="24"/>
              </w:rPr>
              <w:t>400mg/m</w:t>
            </w:r>
            <w:r>
              <w:rPr>
                <w:color w:val="auto"/>
                <w:sz w:val="24"/>
                <w:vertAlign w:val="superscript"/>
              </w:rPr>
              <w:t>3</w:t>
            </w:r>
            <w:r>
              <w:rPr>
                <w:rFonts w:hint="eastAsia"/>
                <w:color w:val="auto"/>
                <w:sz w:val="24"/>
              </w:rPr>
              <w:t>。根据业主提供资料，</w:t>
            </w:r>
            <w:r>
              <w:rPr>
                <w:rFonts w:hint="eastAsia"/>
                <w:color w:val="auto"/>
                <w:kern w:val="0"/>
                <w:sz w:val="24"/>
              </w:rPr>
              <w:t>磨边工序每天约</w:t>
            </w:r>
            <w:r>
              <w:rPr>
                <w:color w:val="auto"/>
                <w:kern w:val="0"/>
                <w:sz w:val="24"/>
              </w:rPr>
              <w:t>8h</w:t>
            </w:r>
            <w:r>
              <w:rPr>
                <w:rFonts w:hint="eastAsia"/>
                <w:color w:val="auto"/>
                <w:kern w:val="0"/>
                <w:sz w:val="24"/>
              </w:rPr>
              <w:t>，年工作</w:t>
            </w:r>
            <w:r>
              <w:rPr>
                <w:color w:val="auto"/>
                <w:kern w:val="0"/>
                <w:sz w:val="24"/>
              </w:rPr>
              <w:t>300</w:t>
            </w:r>
            <w:r>
              <w:rPr>
                <w:rFonts w:hint="eastAsia"/>
                <w:color w:val="auto"/>
                <w:kern w:val="0"/>
                <w:sz w:val="24"/>
              </w:rPr>
              <w:t>天，</w:t>
            </w:r>
            <w:r>
              <w:rPr>
                <w:rFonts w:hint="eastAsia"/>
                <w:color w:val="auto"/>
                <w:sz w:val="24"/>
              </w:rPr>
              <w:t>磨边粉尘经布袋除尘器处理后由</w:t>
            </w:r>
            <w:r>
              <w:rPr>
                <w:color w:val="auto"/>
                <w:sz w:val="24"/>
              </w:rPr>
              <w:t>15m</w:t>
            </w:r>
            <w:r>
              <w:rPr>
                <w:rFonts w:hint="eastAsia"/>
                <w:color w:val="auto"/>
                <w:sz w:val="24"/>
              </w:rPr>
              <w:t>高排气筒排放。按照设计</w:t>
            </w:r>
            <w:r>
              <w:rPr>
                <w:rFonts w:hint="eastAsia"/>
                <w:color w:val="auto"/>
                <w:kern w:val="0"/>
                <w:sz w:val="24"/>
              </w:rPr>
              <w:t>风机风量为</w:t>
            </w:r>
            <w:r>
              <w:rPr>
                <w:color w:val="auto"/>
                <w:kern w:val="0"/>
                <w:sz w:val="24"/>
              </w:rPr>
              <w:t>20000m</w:t>
            </w:r>
            <w:r>
              <w:rPr>
                <w:color w:val="auto"/>
                <w:kern w:val="0"/>
                <w:sz w:val="24"/>
                <w:vertAlign w:val="superscript"/>
              </w:rPr>
              <w:t>3</w:t>
            </w:r>
            <w:r>
              <w:rPr>
                <w:color w:val="auto"/>
                <w:kern w:val="0"/>
                <w:sz w:val="24"/>
              </w:rPr>
              <w:t>/h</w:t>
            </w:r>
            <w:r>
              <w:rPr>
                <w:rFonts w:hint="eastAsia"/>
                <w:color w:val="auto"/>
                <w:kern w:val="0"/>
                <w:sz w:val="24"/>
              </w:rPr>
              <w:t>，</w:t>
            </w:r>
            <w:r>
              <w:rPr>
                <w:rFonts w:hint="eastAsia"/>
                <w:color w:val="auto"/>
                <w:sz w:val="24"/>
              </w:rPr>
              <w:t>废气收集效率达</w:t>
            </w:r>
            <w:r>
              <w:rPr>
                <w:color w:val="auto"/>
                <w:sz w:val="24"/>
              </w:rPr>
              <w:t>90%</w:t>
            </w:r>
            <w:r>
              <w:rPr>
                <w:rFonts w:hint="eastAsia"/>
                <w:color w:val="auto"/>
                <w:sz w:val="24"/>
              </w:rPr>
              <w:t>，</w:t>
            </w:r>
            <w:r>
              <w:rPr>
                <w:rFonts w:hint="eastAsia"/>
                <w:color w:val="auto"/>
                <w:kern w:val="0"/>
                <w:sz w:val="24"/>
              </w:rPr>
              <w:t>除尘器的除尘效率为</w:t>
            </w:r>
            <w:r>
              <w:rPr>
                <w:color w:val="auto"/>
                <w:kern w:val="0"/>
                <w:sz w:val="24"/>
              </w:rPr>
              <w:t>99%</w:t>
            </w:r>
            <w:r>
              <w:rPr>
                <w:rFonts w:hint="eastAsia"/>
                <w:color w:val="auto"/>
                <w:kern w:val="0"/>
                <w:sz w:val="24"/>
              </w:rPr>
              <w:t>。产排情况见表</w:t>
            </w:r>
            <w:r>
              <w:rPr>
                <w:color w:val="auto"/>
                <w:kern w:val="0"/>
                <w:sz w:val="24"/>
              </w:rPr>
              <w:t>4.2-10</w:t>
            </w:r>
            <w:r>
              <w:rPr>
                <w:rFonts w:hint="eastAsia"/>
                <w:color w:val="auto"/>
                <w:kern w:val="0"/>
                <w:sz w:val="24"/>
              </w:rPr>
              <w:t>。</w:t>
            </w:r>
          </w:p>
          <w:p>
            <w:pPr>
              <w:pStyle w:val="215"/>
              <w:spacing w:beforeLines="0" w:line="240" w:lineRule="auto"/>
              <w:rPr>
                <w:rFonts w:ascii="Times New Roman" w:hAnsi="Times New Roman"/>
                <w:color w:val="auto"/>
              </w:rPr>
            </w:pPr>
            <w:r>
              <w:rPr>
                <w:rFonts w:hint="eastAsia" w:ascii="Times New Roman" w:hAnsi="Times New Roman" w:eastAsia="黑体"/>
                <w:b w:val="0"/>
                <w:color w:val="auto"/>
                <w:szCs w:val="20"/>
              </w:rPr>
              <w:t>表</w:t>
            </w:r>
            <w:r>
              <w:rPr>
                <w:rFonts w:ascii="Times New Roman" w:hAnsi="Times New Roman" w:eastAsia="黑体"/>
                <w:b w:val="0"/>
                <w:color w:val="auto"/>
                <w:szCs w:val="20"/>
              </w:rPr>
              <w:t xml:space="preserve">4.2-10 </w:t>
            </w:r>
            <w:r>
              <w:rPr>
                <w:rFonts w:hint="eastAsia" w:ascii="Times New Roman" w:hAnsi="Times New Roman" w:eastAsia="黑体"/>
                <w:b w:val="0"/>
                <w:color w:val="auto"/>
                <w:szCs w:val="20"/>
              </w:rPr>
              <w:t>磨边粉尘产排放情况一览表</w:t>
            </w:r>
          </w:p>
          <w:tbl>
            <w:tblPr>
              <w:tblStyle w:val="27"/>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65"/>
              <w:gridCol w:w="967"/>
              <w:gridCol w:w="700"/>
              <w:gridCol w:w="975"/>
              <w:gridCol w:w="1087"/>
              <w:gridCol w:w="913"/>
              <w:gridCol w:w="800"/>
              <w:gridCol w:w="825"/>
              <w:gridCol w:w="893"/>
              <w:gridCol w:w="7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rPr>
              <w:tc>
                <w:tcPr>
                  <w:tcW w:w="565" w:type="dxa"/>
                  <w:tcBorders>
                    <w:top w:val="single" w:color="auto" w:sz="12"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污染物</w:t>
                  </w:r>
                </w:p>
              </w:tc>
              <w:tc>
                <w:tcPr>
                  <w:tcW w:w="967"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处理</w:t>
                  </w:r>
                </w:p>
                <w:p>
                  <w:pPr>
                    <w:pStyle w:val="122"/>
                    <w:adjustRightInd/>
                    <w:snapToGrid/>
                    <w:spacing w:line="240" w:lineRule="exact"/>
                    <w:rPr>
                      <w:color w:val="auto"/>
                    </w:rPr>
                  </w:pPr>
                  <w:r>
                    <w:rPr>
                      <w:rFonts w:hint="eastAsia"/>
                      <w:color w:val="auto"/>
                    </w:rPr>
                    <w:t>方法</w:t>
                  </w:r>
                </w:p>
              </w:tc>
              <w:tc>
                <w:tcPr>
                  <w:tcW w:w="700"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年运营时间（</w:t>
                  </w:r>
                  <w:r>
                    <w:rPr>
                      <w:color w:val="auto"/>
                    </w:rPr>
                    <w:t>h</w:t>
                  </w:r>
                  <w:r>
                    <w:rPr>
                      <w:rFonts w:hint="eastAsia"/>
                      <w:color w:val="auto"/>
                    </w:rPr>
                    <w:t>）</w:t>
                  </w:r>
                </w:p>
              </w:tc>
              <w:tc>
                <w:tcPr>
                  <w:tcW w:w="975"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风机风量（</w:t>
                  </w:r>
                  <w:r>
                    <w:rPr>
                      <w:color w:val="auto"/>
                    </w:rPr>
                    <w:t>m</w:t>
                  </w:r>
                  <w:r>
                    <w:rPr>
                      <w:color w:val="auto"/>
                      <w:vertAlign w:val="superscript"/>
                    </w:rPr>
                    <w:t>3</w:t>
                  </w:r>
                  <w:r>
                    <w:rPr>
                      <w:color w:val="auto"/>
                    </w:rPr>
                    <w:t>/h</w:t>
                  </w:r>
                  <w:r>
                    <w:rPr>
                      <w:rFonts w:hint="eastAsia"/>
                      <w:color w:val="auto"/>
                    </w:rPr>
                    <w:t>）</w:t>
                  </w:r>
                </w:p>
              </w:tc>
              <w:tc>
                <w:tcPr>
                  <w:tcW w:w="1087"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产生浓度（</w:t>
                  </w:r>
                  <w:r>
                    <w:rPr>
                      <w:color w:val="auto"/>
                    </w:rPr>
                    <w:t>mg/m</w:t>
                  </w:r>
                  <w:r>
                    <w:rPr>
                      <w:color w:val="auto"/>
                      <w:vertAlign w:val="superscript"/>
                    </w:rPr>
                    <w:t>3</w:t>
                  </w:r>
                  <w:r>
                    <w:rPr>
                      <w:rFonts w:hint="eastAsia"/>
                      <w:color w:val="auto"/>
                    </w:rPr>
                    <w:t>）</w:t>
                  </w:r>
                </w:p>
              </w:tc>
              <w:tc>
                <w:tcPr>
                  <w:tcW w:w="913"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产生量（</w:t>
                  </w:r>
                  <w:r>
                    <w:rPr>
                      <w:color w:val="auto"/>
                    </w:rPr>
                    <w:t>t/a</w:t>
                  </w:r>
                  <w:r>
                    <w:rPr>
                      <w:rFonts w:hint="eastAsia"/>
                      <w:color w:val="auto"/>
                    </w:rPr>
                    <w:t>）</w:t>
                  </w:r>
                </w:p>
              </w:tc>
              <w:tc>
                <w:tcPr>
                  <w:tcW w:w="800"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集气罩收集（</w:t>
                  </w:r>
                  <w:r>
                    <w:rPr>
                      <w:color w:val="auto"/>
                    </w:rPr>
                    <w:t>t/a</w:t>
                  </w:r>
                  <w:r>
                    <w:rPr>
                      <w:rFonts w:hint="eastAsia"/>
                      <w:color w:val="auto"/>
                    </w:rPr>
                    <w:t>）</w:t>
                  </w:r>
                </w:p>
              </w:tc>
              <w:tc>
                <w:tcPr>
                  <w:tcW w:w="825"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有组织排放量（</w:t>
                  </w:r>
                  <w:r>
                    <w:rPr>
                      <w:color w:val="auto"/>
                    </w:rPr>
                    <w:t>t/a</w:t>
                  </w:r>
                  <w:r>
                    <w:rPr>
                      <w:rFonts w:hint="eastAsia"/>
                      <w:color w:val="auto"/>
                    </w:rPr>
                    <w:t>）</w:t>
                  </w:r>
                </w:p>
              </w:tc>
              <w:tc>
                <w:tcPr>
                  <w:tcW w:w="893" w:type="dxa"/>
                  <w:tcBorders>
                    <w:top w:val="single" w:color="auto" w:sz="12" w:space="0"/>
                    <w:left w:val="single" w:color="auto" w:sz="4" w:space="0"/>
                    <w:bottom w:val="single" w:color="auto" w:sz="4" w:space="0"/>
                    <w:right w:val="single" w:color="auto" w:sz="4" w:space="0"/>
                  </w:tcBorders>
                  <w:vAlign w:val="center"/>
                </w:tcPr>
                <w:p>
                  <w:pPr>
                    <w:pStyle w:val="122"/>
                    <w:adjustRightInd/>
                    <w:snapToGrid/>
                    <w:spacing w:line="240" w:lineRule="exact"/>
                    <w:rPr>
                      <w:color w:val="auto"/>
                    </w:rPr>
                  </w:pPr>
                  <w:r>
                    <w:rPr>
                      <w:rFonts w:hint="eastAsia"/>
                      <w:color w:val="auto"/>
                    </w:rPr>
                    <w:t>无组织产生量（</w:t>
                  </w:r>
                  <w:r>
                    <w:rPr>
                      <w:color w:val="auto"/>
                    </w:rPr>
                    <w:t>t/a</w:t>
                  </w:r>
                  <w:r>
                    <w:rPr>
                      <w:rFonts w:hint="eastAsia"/>
                      <w:color w:val="auto"/>
                    </w:rPr>
                    <w:t>）</w:t>
                  </w:r>
                </w:p>
              </w:tc>
              <w:tc>
                <w:tcPr>
                  <w:tcW w:w="779" w:type="dxa"/>
                  <w:tcBorders>
                    <w:top w:val="single" w:color="auto" w:sz="12" w:space="0"/>
                    <w:left w:val="single" w:color="auto" w:sz="4" w:space="0"/>
                    <w:bottom w:val="single" w:color="auto" w:sz="4" w:space="0"/>
                  </w:tcBorders>
                  <w:vAlign w:val="center"/>
                </w:tcPr>
                <w:p>
                  <w:pPr>
                    <w:pStyle w:val="122"/>
                    <w:adjustRightInd/>
                    <w:snapToGrid/>
                    <w:spacing w:line="240" w:lineRule="exact"/>
                    <w:rPr>
                      <w:color w:val="auto"/>
                    </w:rPr>
                  </w:pPr>
                  <w:r>
                    <w:rPr>
                      <w:rFonts w:hint="eastAsia"/>
                      <w:color w:val="auto"/>
                    </w:rPr>
                    <w:t>无组织排放量（</w:t>
                  </w:r>
                  <w:r>
                    <w:rPr>
                      <w:color w:val="auto"/>
                    </w:rPr>
                    <w:t>t/a</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1091" w:hRule="atLeast"/>
              </w:trPr>
              <w:tc>
                <w:tcPr>
                  <w:tcW w:w="565" w:type="dxa"/>
                  <w:tcBorders>
                    <w:top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rFonts w:hint="eastAsia"/>
                      <w:color w:val="auto"/>
                    </w:rPr>
                    <w:t>磨边粉尘</w:t>
                  </w:r>
                </w:p>
              </w:tc>
              <w:tc>
                <w:tcPr>
                  <w:tcW w:w="967" w:type="dxa"/>
                  <w:tcBorders>
                    <w:top w:val="single" w:color="auto" w:sz="4" w:space="0"/>
                    <w:left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rFonts w:hint="eastAsia"/>
                      <w:color w:val="auto"/>
                    </w:rPr>
                    <w:t>布袋除尘器</w:t>
                  </w:r>
                  <w:r>
                    <w:rPr>
                      <w:color w:val="auto"/>
                    </w:rPr>
                    <w:t>+15m</w:t>
                  </w:r>
                  <w:r>
                    <w:rPr>
                      <w:rFonts w:hint="eastAsia"/>
                      <w:color w:val="auto"/>
                    </w:rPr>
                    <w:t>排气筒排放</w:t>
                  </w:r>
                </w:p>
              </w:tc>
              <w:tc>
                <w:tcPr>
                  <w:tcW w:w="700" w:type="dxa"/>
                  <w:tcBorders>
                    <w:top w:val="single" w:color="auto" w:sz="4" w:space="0"/>
                    <w:left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color w:val="auto"/>
                    </w:rPr>
                    <w:t>2400</w:t>
                  </w:r>
                </w:p>
              </w:tc>
              <w:tc>
                <w:tcPr>
                  <w:tcW w:w="975" w:type="dxa"/>
                  <w:tcBorders>
                    <w:top w:val="single" w:color="auto" w:sz="4" w:space="0"/>
                    <w:left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color w:val="auto"/>
                    </w:rPr>
                    <w:t>20000</w:t>
                  </w:r>
                </w:p>
              </w:tc>
              <w:tc>
                <w:tcPr>
                  <w:tcW w:w="1087" w:type="dxa"/>
                  <w:tcBorders>
                    <w:top w:val="single" w:color="auto" w:sz="4" w:space="0"/>
                    <w:left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color w:val="auto"/>
                    </w:rPr>
                    <w:t>400</w:t>
                  </w:r>
                </w:p>
              </w:tc>
              <w:tc>
                <w:tcPr>
                  <w:tcW w:w="913" w:type="dxa"/>
                  <w:tcBorders>
                    <w:top w:val="single" w:color="auto" w:sz="4" w:space="0"/>
                    <w:left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color w:val="auto"/>
                    </w:rPr>
                    <w:t>19.2</w:t>
                  </w:r>
                </w:p>
              </w:tc>
              <w:tc>
                <w:tcPr>
                  <w:tcW w:w="800" w:type="dxa"/>
                  <w:tcBorders>
                    <w:top w:val="single" w:color="auto" w:sz="4" w:space="0"/>
                    <w:left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color w:val="auto"/>
                    </w:rPr>
                    <w:t>17.28</w:t>
                  </w:r>
                </w:p>
              </w:tc>
              <w:tc>
                <w:tcPr>
                  <w:tcW w:w="825" w:type="dxa"/>
                  <w:tcBorders>
                    <w:top w:val="single" w:color="auto" w:sz="4" w:space="0"/>
                    <w:left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color w:val="auto"/>
                    </w:rPr>
                    <w:t>0.1728</w:t>
                  </w:r>
                </w:p>
              </w:tc>
              <w:tc>
                <w:tcPr>
                  <w:tcW w:w="893" w:type="dxa"/>
                  <w:tcBorders>
                    <w:top w:val="single" w:color="auto" w:sz="4" w:space="0"/>
                    <w:left w:val="single" w:color="auto" w:sz="4" w:space="0"/>
                    <w:bottom w:val="single" w:color="auto" w:sz="12" w:space="0"/>
                    <w:right w:val="single" w:color="auto" w:sz="4" w:space="0"/>
                  </w:tcBorders>
                  <w:vAlign w:val="center"/>
                </w:tcPr>
                <w:p>
                  <w:pPr>
                    <w:pStyle w:val="122"/>
                    <w:adjustRightInd/>
                    <w:snapToGrid/>
                    <w:spacing w:line="240" w:lineRule="exact"/>
                    <w:rPr>
                      <w:color w:val="auto"/>
                    </w:rPr>
                  </w:pPr>
                  <w:r>
                    <w:rPr>
                      <w:color w:val="auto"/>
                    </w:rPr>
                    <w:t>1.92</w:t>
                  </w:r>
                </w:p>
              </w:tc>
              <w:tc>
                <w:tcPr>
                  <w:tcW w:w="779" w:type="dxa"/>
                  <w:tcBorders>
                    <w:top w:val="single" w:color="auto" w:sz="4" w:space="0"/>
                    <w:left w:val="single" w:color="auto" w:sz="4" w:space="0"/>
                    <w:bottom w:val="single" w:color="auto" w:sz="12" w:space="0"/>
                  </w:tcBorders>
                  <w:vAlign w:val="center"/>
                </w:tcPr>
                <w:p>
                  <w:pPr>
                    <w:pStyle w:val="122"/>
                    <w:adjustRightInd/>
                    <w:snapToGrid/>
                    <w:spacing w:line="240" w:lineRule="exact"/>
                    <w:rPr>
                      <w:color w:val="auto"/>
                    </w:rPr>
                  </w:pPr>
                  <w:r>
                    <w:rPr>
                      <w:color w:val="auto"/>
                    </w:rPr>
                    <w:t>0.96</w:t>
                  </w:r>
                </w:p>
              </w:tc>
            </w:tr>
          </w:tbl>
          <w:p>
            <w:pPr>
              <w:pStyle w:val="67"/>
              <w:ind w:firstLine="31680"/>
              <w:rPr>
                <w:color w:val="auto"/>
              </w:rPr>
            </w:pPr>
            <w:r>
              <w:rPr>
                <w:rFonts w:hint="eastAsia"/>
                <w:color w:val="auto"/>
              </w:rPr>
              <w:t>由上表可知，本项目磨边粉尘有组织排放量为</w:t>
            </w:r>
            <w:r>
              <w:rPr>
                <w:color w:val="auto"/>
              </w:rPr>
              <w:t>0.1728</w:t>
            </w:r>
            <w:r>
              <w:rPr>
                <w:bCs/>
                <w:color w:val="auto"/>
              </w:rPr>
              <w:t>t</w:t>
            </w:r>
            <w:r>
              <w:rPr>
                <w:color w:val="auto"/>
              </w:rPr>
              <w:t>/a</w:t>
            </w:r>
            <w:r>
              <w:rPr>
                <w:rFonts w:hint="eastAsia"/>
                <w:color w:val="auto"/>
              </w:rPr>
              <w:t>，排放速率</w:t>
            </w:r>
            <w:r>
              <w:rPr>
                <w:color w:val="auto"/>
              </w:rPr>
              <w:t>0.072</w:t>
            </w:r>
            <w:r>
              <w:rPr>
                <w:rFonts w:eastAsia="Times New Roman"/>
                <w:color w:val="auto"/>
              </w:rPr>
              <w:t>kg/h</w:t>
            </w:r>
            <w:r>
              <w:rPr>
                <w:rFonts w:hint="eastAsia"/>
                <w:color w:val="auto"/>
              </w:rPr>
              <w:t>；无组织产生量为</w:t>
            </w:r>
            <w:r>
              <w:rPr>
                <w:color w:val="auto"/>
              </w:rPr>
              <w:t>1.92</w:t>
            </w:r>
            <w:r>
              <w:rPr>
                <w:bCs/>
                <w:color w:val="auto"/>
              </w:rPr>
              <w:t>t</w:t>
            </w:r>
            <w:r>
              <w:rPr>
                <w:color w:val="auto"/>
              </w:rPr>
              <w:t>/a</w:t>
            </w:r>
            <w:r>
              <w:rPr>
                <w:rFonts w:hint="eastAsia"/>
                <w:color w:val="auto"/>
              </w:rPr>
              <w:t>，因厂房阻隔，按</w:t>
            </w:r>
            <w:r>
              <w:rPr>
                <w:color w:val="auto"/>
              </w:rPr>
              <w:t>50%</w:t>
            </w:r>
            <w:r>
              <w:rPr>
                <w:rFonts w:hint="eastAsia"/>
                <w:color w:val="auto"/>
              </w:rPr>
              <w:t>在厂房内形成落尘，排入外环境的无组织颗粒物为</w:t>
            </w:r>
            <w:r>
              <w:rPr>
                <w:color w:val="auto"/>
              </w:rPr>
              <w:t>0.96t/a</w:t>
            </w:r>
            <w:r>
              <w:rPr>
                <w:rFonts w:hint="eastAsia"/>
                <w:color w:val="auto"/>
              </w:rPr>
              <w:t>，排放速率</w:t>
            </w:r>
            <w:r>
              <w:rPr>
                <w:color w:val="auto"/>
              </w:rPr>
              <w:t>0.4</w:t>
            </w:r>
            <w:r>
              <w:rPr>
                <w:rFonts w:eastAsia="Times New Roman"/>
                <w:color w:val="auto"/>
              </w:rPr>
              <w:t>kg/h</w:t>
            </w:r>
            <w:r>
              <w:rPr>
                <w:rFonts w:hint="eastAsia"/>
                <w:color w:val="auto"/>
              </w:rPr>
              <w:t>。</w:t>
            </w:r>
          </w:p>
          <w:p>
            <w:pPr>
              <w:pStyle w:val="67"/>
              <w:ind w:firstLine="31680"/>
              <w:rPr>
                <w:color w:val="auto"/>
              </w:rPr>
            </w:pPr>
            <w:r>
              <w:rPr>
                <w:color w:val="auto"/>
              </w:rPr>
              <w:t>3</w:t>
            </w:r>
            <w:r>
              <w:rPr>
                <w:rFonts w:hint="eastAsia"/>
                <w:color w:val="auto"/>
              </w:rPr>
              <w:t>、运输产生的道路扬尘</w:t>
            </w:r>
          </w:p>
          <w:p>
            <w:pPr>
              <w:pStyle w:val="67"/>
              <w:ind w:firstLine="31680"/>
              <w:rPr>
                <w:color w:val="auto"/>
              </w:rPr>
            </w:pPr>
            <w:r>
              <w:rPr>
                <w:rFonts w:hint="eastAsia"/>
                <w:color w:val="auto"/>
              </w:rPr>
              <w:t>本项目原料使用货车运输，货车运输前中供货单位需采取洒水、降尘措施，要求运送车辆实行密闭运输，装载的物料、渣土高度不得超过车辆槽帮上沿，车斗用苫布遮盖或者采用密闭车斗，避免在运输过程中发生遗撒或泄漏。运输车辆进入厂区经过洗车平台，对轮胎和底盘进行冲洗，抑制了道路扬尘的产生，且厂内车速慢，因此运输过程中产生的扬尘量较小，不作定量核算。</w:t>
            </w:r>
          </w:p>
          <w:p>
            <w:pPr>
              <w:pStyle w:val="67"/>
              <w:ind w:firstLine="31680"/>
              <w:rPr>
                <w:color w:val="auto"/>
              </w:rPr>
            </w:pPr>
            <w:r>
              <w:rPr>
                <w:color w:val="auto"/>
              </w:rPr>
              <w:t>4</w:t>
            </w:r>
            <w:r>
              <w:rPr>
                <w:rFonts w:hint="eastAsia"/>
                <w:color w:val="auto"/>
              </w:rPr>
              <w:t>、汽车运输环境影响</w:t>
            </w:r>
          </w:p>
          <w:p>
            <w:pPr>
              <w:pStyle w:val="67"/>
              <w:ind w:firstLine="31680"/>
              <w:rPr>
                <w:color w:val="auto"/>
              </w:rPr>
            </w:pPr>
            <w:r>
              <w:rPr>
                <w:rFonts w:hint="eastAsia"/>
                <w:color w:val="auto"/>
              </w:rPr>
              <w:t>根据本项目物料平衡分析，本项目年物料进出量约</w:t>
            </w:r>
            <w:r>
              <w:rPr>
                <w:color w:val="auto"/>
              </w:rPr>
              <w:t>80</w:t>
            </w:r>
            <w:r>
              <w:rPr>
                <w:rFonts w:hint="eastAsia"/>
                <w:color w:val="auto"/>
              </w:rPr>
              <w:t>万吨，进去车辆约</w:t>
            </w:r>
            <w:r>
              <w:rPr>
                <w:color w:val="auto"/>
              </w:rPr>
              <w:t>3</w:t>
            </w:r>
            <w:r>
              <w:rPr>
                <w:rFonts w:hint="eastAsia"/>
                <w:color w:val="auto"/>
              </w:rPr>
              <w:t>万次</w:t>
            </w:r>
            <w:r>
              <w:rPr>
                <w:color w:val="auto"/>
              </w:rPr>
              <w:t>/</w:t>
            </w:r>
            <w:r>
              <w:rPr>
                <w:rFonts w:hint="eastAsia"/>
                <w:color w:val="auto"/>
              </w:rPr>
              <w:t>年，平均日进出车辆达</w:t>
            </w:r>
            <w:r>
              <w:rPr>
                <w:color w:val="auto"/>
              </w:rPr>
              <w:t>100</w:t>
            </w:r>
            <w:r>
              <w:rPr>
                <w:rFonts w:hint="eastAsia"/>
                <w:color w:val="auto"/>
              </w:rPr>
              <w:t>次。由于运输量较大，一般集中在昼间进行运输，平均每小时进出车辆可能达</w:t>
            </w:r>
            <w:r>
              <w:rPr>
                <w:color w:val="auto"/>
              </w:rPr>
              <w:t>10</w:t>
            </w:r>
            <w:r>
              <w:rPr>
                <w:rFonts w:hint="eastAsia"/>
                <w:color w:val="auto"/>
              </w:rPr>
              <w:t>部以上，导致车辆无法及时进行物料装卸，影响生产进度，造成环保设施非正常运行，严重时可能导致废气超标排放。同时也可能对周边交通造成影响。因此在营业期应合理安排车辆进出时间，加强运输车辆管理，避免因运输车辆造成环境影响。</w:t>
            </w:r>
          </w:p>
          <w:p>
            <w:pPr>
              <w:pStyle w:val="67"/>
              <w:ind w:firstLine="31680"/>
              <w:rPr>
                <w:color w:val="auto"/>
              </w:rPr>
            </w:pPr>
            <w:r>
              <w:rPr>
                <w:rFonts w:hint="eastAsia"/>
                <w:color w:val="auto"/>
              </w:rPr>
              <w:t>废气大气排放口基本信息详见表</w:t>
            </w:r>
            <w:r>
              <w:rPr>
                <w:color w:val="auto"/>
              </w:rPr>
              <w:t>4.2-11</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4.2-11  </w:t>
            </w:r>
            <w:r>
              <w:rPr>
                <w:rFonts w:hint="eastAsia" w:eastAsia="黑体"/>
                <w:color w:val="auto"/>
                <w:sz w:val="24"/>
              </w:rPr>
              <w:t>大气排放口基本情况</w:t>
            </w:r>
          </w:p>
          <w:tbl>
            <w:tblPr>
              <w:tblStyle w:val="27"/>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336"/>
              <w:gridCol w:w="986"/>
              <w:gridCol w:w="2057"/>
              <w:gridCol w:w="1061"/>
              <w:gridCol w:w="1224"/>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97" w:type="dxa"/>
                  <w:tcBorders>
                    <w:top w:val="single" w:color="auto" w:sz="12" w:space="0"/>
                    <w:bottom w:val="single" w:color="auto" w:sz="4" w:space="0"/>
                    <w:right w:val="single" w:color="auto" w:sz="4" w:space="0"/>
                  </w:tcBorders>
                  <w:vAlign w:val="center"/>
                </w:tcPr>
                <w:p>
                  <w:pPr>
                    <w:pStyle w:val="122"/>
                    <w:adjustRightInd/>
                    <w:snapToGrid/>
                    <w:rPr>
                      <w:color w:val="auto"/>
                    </w:rPr>
                  </w:pPr>
                  <w:r>
                    <w:rPr>
                      <w:rFonts w:hint="eastAsia"/>
                      <w:color w:val="auto"/>
                    </w:rPr>
                    <w:t>排放口编号</w:t>
                  </w:r>
                </w:p>
              </w:tc>
              <w:tc>
                <w:tcPr>
                  <w:tcW w:w="1336"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排放口名称</w:t>
                  </w:r>
                </w:p>
              </w:tc>
              <w:tc>
                <w:tcPr>
                  <w:tcW w:w="986"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污染物种类</w:t>
                  </w:r>
                </w:p>
              </w:tc>
              <w:tc>
                <w:tcPr>
                  <w:tcW w:w="2057"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排放口地理坐标</w:t>
                  </w:r>
                </w:p>
              </w:tc>
              <w:tc>
                <w:tcPr>
                  <w:tcW w:w="1061"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排气筒高度</w:t>
                  </w:r>
                  <w:r>
                    <w:rPr>
                      <w:color w:val="auto"/>
                    </w:rPr>
                    <w:t>(m)</w:t>
                  </w:r>
                </w:p>
              </w:tc>
              <w:tc>
                <w:tcPr>
                  <w:tcW w:w="1224" w:type="dxa"/>
                  <w:tcBorders>
                    <w:top w:val="single" w:color="auto" w:sz="12"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排气筒出口内径</w:t>
                  </w:r>
                  <w:r>
                    <w:rPr>
                      <w:color w:val="auto"/>
                    </w:rPr>
                    <w:t>(m)</w:t>
                  </w:r>
                </w:p>
              </w:tc>
              <w:tc>
                <w:tcPr>
                  <w:tcW w:w="943" w:type="dxa"/>
                  <w:tcBorders>
                    <w:top w:val="single" w:color="auto" w:sz="12" w:space="0"/>
                    <w:left w:val="single" w:color="auto" w:sz="4" w:space="0"/>
                    <w:bottom w:val="single" w:color="auto" w:sz="4" w:space="0"/>
                  </w:tcBorders>
                  <w:vAlign w:val="center"/>
                </w:tcPr>
                <w:p>
                  <w:pPr>
                    <w:pStyle w:val="122"/>
                    <w:adjustRightInd/>
                    <w:snapToGrid/>
                    <w:rPr>
                      <w:color w:val="auto"/>
                    </w:rPr>
                  </w:pPr>
                  <w:r>
                    <w:rPr>
                      <w:rFonts w:hint="eastAsia"/>
                      <w:color w:val="auto"/>
                    </w:rPr>
                    <w:t>排气温度</w:t>
                  </w:r>
                  <w:r>
                    <w:rPr>
                      <w:color w:val="auto"/>
                    </w:rPr>
                    <w:t>(</w:t>
                  </w:r>
                  <w:r>
                    <w:rPr>
                      <w:rFonts w:hint="eastAsia" w:ascii="宋体" w:hAnsi="宋体" w:cs="宋体"/>
                      <w:color w:val="auto"/>
                    </w:rPr>
                    <w:t>℃</w:t>
                  </w: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97" w:type="dxa"/>
                  <w:tcBorders>
                    <w:top w:val="single" w:color="auto" w:sz="4" w:space="0"/>
                    <w:bottom w:val="single" w:color="auto" w:sz="4" w:space="0"/>
                    <w:right w:val="single" w:color="auto" w:sz="4" w:space="0"/>
                  </w:tcBorders>
                  <w:vAlign w:val="center"/>
                </w:tcPr>
                <w:p>
                  <w:pPr>
                    <w:pStyle w:val="122"/>
                    <w:adjustRightInd/>
                    <w:snapToGrid/>
                    <w:rPr>
                      <w:color w:val="auto"/>
                    </w:rPr>
                  </w:pPr>
                  <w:r>
                    <w:rPr>
                      <w:color w:val="auto"/>
                    </w:rPr>
                    <w:t>DA001</w:t>
                  </w:r>
                </w:p>
              </w:tc>
              <w:tc>
                <w:tcPr>
                  <w:tcW w:w="1336"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石英粉生产线排气筒</w:t>
                  </w:r>
                </w:p>
              </w:tc>
              <w:tc>
                <w:tcPr>
                  <w:tcW w:w="986"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颗粒物</w:t>
                  </w:r>
                </w:p>
              </w:tc>
              <w:tc>
                <w:tcPr>
                  <w:tcW w:w="2057"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color w:val="auto"/>
                    </w:rPr>
                    <w:t>N:26°0′33.183″</w:t>
                  </w:r>
                </w:p>
                <w:p>
                  <w:pPr>
                    <w:pStyle w:val="122"/>
                    <w:adjustRightInd/>
                    <w:snapToGrid/>
                    <w:rPr>
                      <w:color w:val="auto"/>
                    </w:rPr>
                  </w:pPr>
                  <w:r>
                    <w:rPr>
                      <w:color w:val="auto"/>
                    </w:rPr>
                    <w:t>E</w:t>
                  </w:r>
                  <w:r>
                    <w:rPr>
                      <w:rFonts w:hint="eastAsia"/>
                      <w:color w:val="auto"/>
                    </w:rPr>
                    <w:t>：</w:t>
                  </w:r>
                  <w:r>
                    <w:rPr>
                      <w:color w:val="auto"/>
                    </w:rPr>
                    <w:t>117°20′49.445″</w:t>
                  </w:r>
                </w:p>
              </w:tc>
              <w:tc>
                <w:tcPr>
                  <w:tcW w:w="1061"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color w:val="auto"/>
                    </w:rPr>
                    <w:t>15</w:t>
                  </w:r>
                </w:p>
              </w:tc>
              <w:tc>
                <w:tcPr>
                  <w:tcW w:w="1224"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color w:val="auto"/>
                    </w:rPr>
                    <w:t>0.8</w:t>
                  </w:r>
                </w:p>
              </w:tc>
              <w:tc>
                <w:tcPr>
                  <w:tcW w:w="943" w:type="dxa"/>
                  <w:tcBorders>
                    <w:top w:val="single" w:color="auto" w:sz="4" w:space="0"/>
                    <w:left w:val="single" w:color="auto" w:sz="4" w:space="0"/>
                    <w:bottom w:val="single" w:color="auto" w:sz="4" w:space="0"/>
                  </w:tcBorders>
                  <w:vAlign w:val="center"/>
                </w:tcPr>
                <w:p>
                  <w:pPr>
                    <w:pStyle w:val="122"/>
                    <w:adjustRightInd/>
                    <w:snapToGrid/>
                    <w:rPr>
                      <w:color w:val="auto"/>
                    </w:rPr>
                  </w:pPr>
                  <w:r>
                    <w:rPr>
                      <w:color w:val="auto"/>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97" w:type="dxa"/>
                  <w:tcBorders>
                    <w:top w:val="single" w:color="auto" w:sz="4" w:space="0"/>
                    <w:bottom w:val="single" w:color="auto" w:sz="4" w:space="0"/>
                    <w:right w:val="single" w:color="auto" w:sz="4" w:space="0"/>
                  </w:tcBorders>
                  <w:vAlign w:val="center"/>
                </w:tcPr>
                <w:p>
                  <w:pPr>
                    <w:pStyle w:val="122"/>
                    <w:adjustRightInd/>
                    <w:snapToGrid/>
                    <w:rPr>
                      <w:color w:val="auto"/>
                    </w:rPr>
                  </w:pPr>
                  <w:r>
                    <w:rPr>
                      <w:color w:val="auto"/>
                    </w:rPr>
                    <w:t>DA002</w:t>
                  </w:r>
                </w:p>
              </w:tc>
              <w:tc>
                <w:tcPr>
                  <w:tcW w:w="1336"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水泥进仓排气筒</w:t>
                  </w:r>
                </w:p>
              </w:tc>
              <w:tc>
                <w:tcPr>
                  <w:tcW w:w="986"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rFonts w:hint="eastAsia"/>
                      <w:color w:val="auto"/>
                    </w:rPr>
                    <w:t>颗粒物</w:t>
                  </w:r>
                </w:p>
              </w:tc>
              <w:tc>
                <w:tcPr>
                  <w:tcW w:w="2057"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color w:val="auto"/>
                    </w:rPr>
                    <w:t>N:26°0′33.157″</w:t>
                  </w:r>
                </w:p>
                <w:p>
                  <w:pPr>
                    <w:pStyle w:val="122"/>
                    <w:adjustRightInd/>
                    <w:snapToGrid/>
                    <w:rPr>
                      <w:color w:val="auto"/>
                    </w:rPr>
                  </w:pPr>
                  <w:r>
                    <w:rPr>
                      <w:color w:val="auto"/>
                    </w:rPr>
                    <w:t>E</w:t>
                  </w:r>
                  <w:r>
                    <w:rPr>
                      <w:rFonts w:hint="eastAsia"/>
                      <w:color w:val="auto"/>
                    </w:rPr>
                    <w:t>：</w:t>
                  </w:r>
                  <w:r>
                    <w:rPr>
                      <w:color w:val="auto"/>
                    </w:rPr>
                    <w:t>117°20′49.619″</w:t>
                  </w:r>
                </w:p>
              </w:tc>
              <w:tc>
                <w:tcPr>
                  <w:tcW w:w="1061"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color w:val="auto"/>
                    </w:rPr>
                    <w:t>15</w:t>
                  </w:r>
                </w:p>
              </w:tc>
              <w:tc>
                <w:tcPr>
                  <w:tcW w:w="1224" w:type="dxa"/>
                  <w:tcBorders>
                    <w:top w:val="single" w:color="auto" w:sz="4" w:space="0"/>
                    <w:left w:val="single" w:color="auto" w:sz="4" w:space="0"/>
                    <w:bottom w:val="single" w:color="auto" w:sz="4" w:space="0"/>
                    <w:right w:val="single" w:color="auto" w:sz="4" w:space="0"/>
                  </w:tcBorders>
                  <w:vAlign w:val="center"/>
                </w:tcPr>
                <w:p>
                  <w:pPr>
                    <w:pStyle w:val="122"/>
                    <w:adjustRightInd/>
                    <w:snapToGrid/>
                    <w:rPr>
                      <w:color w:val="auto"/>
                    </w:rPr>
                  </w:pPr>
                  <w:r>
                    <w:rPr>
                      <w:color w:val="auto"/>
                    </w:rPr>
                    <w:t>0.8</w:t>
                  </w:r>
                </w:p>
              </w:tc>
              <w:tc>
                <w:tcPr>
                  <w:tcW w:w="943" w:type="dxa"/>
                  <w:tcBorders>
                    <w:top w:val="single" w:color="auto" w:sz="4" w:space="0"/>
                    <w:left w:val="single" w:color="auto" w:sz="4" w:space="0"/>
                    <w:bottom w:val="single" w:color="auto" w:sz="4" w:space="0"/>
                  </w:tcBorders>
                  <w:vAlign w:val="center"/>
                </w:tcPr>
                <w:p>
                  <w:pPr>
                    <w:pStyle w:val="122"/>
                    <w:adjustRightInd/>
                    <w:snapToGrid/>
                    <w:rPr>
                      <w:color w:val="auto"/>
                    </w:rPr>
                  </w:pPr>
                  <w:r>
                    <w:rPr>
                      <w:color w:val="auto"/>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97" w:type="dxa"/>
                  <w:tcBorders>
                    <w:top w:val="single" w:color="auto" w:sz="4" w:space="0"/>
                    <w:bottom w:val="single" w:color="auto" w:sz="12" w:space="0"/>
                    <w:right w:val="single" w:color="auto" w:sz="4" w:space="0"/>
                  </w:tcBorders>
                  <w:vAlign w:val="center"/>
                </w:tcPr>
                <w:p>
                  <w:pPr>
                    <w:pStyle w:val="122"/>
                    <w:adjustRightInd/>
                    <w:snapToGrid/>
                    <w:rPr>
                      <w:color w:val="auto"/>
                    </w:rPr>
                  </w:pPr>
                  <w:r>
                    <w:rPr>
                      <w:color w:val="auto"/>
                    </w:rPr>
                    <w:t>DA003</w:t>
                  </w:r>
                </w:p>
              </w:tc>
              <w:tc>
                <w:tcPr>
                  <w:tcW w:w="1336"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rFonts w:hint="eastAsia"/>
                      <w:color w:val="auto"/>
                    </w:rPr>
                    <w:t>配料、磨边排气筒</w:t>
                  </w:r>
                </w:p>
              </w:tc>
              <w:tc>
                <w:tcPr>
                  <w:tcW w:w="986"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rFonts w:hint="eastAsia"/>
                      <w:color w:val="auto"/>
                    </w:rPr>
                    <w:t>颗粒物</w:t>
                  </w:r>
                </w:p>
              </w:tc>
              <w:tc>
                <w:tcPr>
                  <w:tcW w:w="2057"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color w:val="auto"/>
                    </w:rPr>
                  </w:pPr>
                  <w:r>
                    <w:rPr>
                      <w:color w:val="auto"/>
                    </w:rPr>
                    <w:t>N:26°0′33.105″</w:t>
                  </w:r>
                </w:p>
                <w:p>
                  <w:pPr>
                    <w:pStyle w:val="122"/>
                    <w:adjustRightInd/>
                    <w:snapToGrid/>
                    <w:rPr>
                      <w:color w:val="auto"/>
                    </w:rPr>
                  </w:pPr>
                  <w:r>
                    <w:rPr>
                      <w:color w:val="auto"/>
                    </w:rPr>
                    <w:t>E</w:t>
                  </w:r>
                  <w:r>
                    <w:rPr>
                      <w:rFonts w:hint="eastAsia"/>
                      <w:color w:val="auto"/>
                    </w:rPr>
                    <w:t>：</w:t>
                  </w:r>
                  <w:r>
                    <w:rPr>
                      <w:color w:val="auto"/>
                    </w:rPr>
                    <w:t>117°20′48.258″</w:t>
                  </w:r>
                </w:p>
              </w:tc>
              <w:tc>
                <w:tcPr>
                  <w:tcW w:w="1061"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b/>
                      <w:bCs/>
                      <w:color w:val="auto"/>
                    </w:rPr>
                  </w:pPr>
                  <w:r>
                    <w:rPr>
                      <w:color w:val="auto"/>
                    </w:rPr>
                    <w:t>15</w:t>
                  </w:r>
                </w:p>
              </w:tc>
              <w:tc>
                <w:tcPr>
                  <w:tcW w:w="1224" w:type="dxa"/>
                  <w:tcBorders>
                    <w:top w:val="single" w:color="auto" w:sz="4" w:space="0"/>
                    <w:left w:val="single" w:color="auto" w:sz="4" w:space="0"/>
                    <w:bottom w:val="single" w:color="auto" w:sz="12" w:space="0"/>
                    <w:right w:val="single" w:color="auto" w:sz="4" w:space="0"/>
                  </w:tcBorders>
                  <w:vAlign w:val="center"/>
                </w:tcPr>
                <w:p>
                  <w:pPr>
                    <w:pStyle w:val="122"/>
                    <w:adjustRightInd/>
                    <w:snapToGrid/>
                    <w:rPr>
                      <w:b/>
                      <w:bCs/>
                      <w:color w:val="auto"/>
                    </w:rPr>
                  </w:pPr>
                  <w:r>
                    <w:rPr>
                      <w:color w:val="auto"/>
                    </w:rPr>
                    <w:t>0.8</w:t>
                  </w:r>
                </w:p>
              </w:tc>
              <w:tc>
                <w:tcPr>
                  <w:tcW w:w="943" w:type="dxa"/>
                  <w:tcBorders>
                    <w:top w:val="single" w:color="auto" w:sz="4" w:space="0"/>
                    <w:left w:val="single" w:color="auto" w:sz="4" w:space="0"/>
                    <w:bottom w:val="single" w:color="auto" w:sz="12" w:space="0"/>
                  </w:tcBorders>
                  <w:vAlign w:val="center"/>
                </w:tcPr>
                <w:p>
                  <w:pPr>
                    <w:pStyle w:val="122"/>
                    <w:adjustRightInd/>
                    <w:snapToGrid/>
                    <w:rPr>
                      <w:b/>
                      <w:bCs/>
                      <w:color w:val="auto"/>
                    </w:rPr>
                  </w:pPr>
                  <w:r>
                    <w:rPr>
                      <w:color w:val="auto"/>
                    </w:rPr>
                    <w:t>25</w:t>
                  </w:r>
                </w:p>
              </w:tc>
            </w:tr>
          </w:tbl>
          <w:p>
            <w:pPr>
              <w:pStyle w:val="124"/>
              <w:spacing w:line="360" w:lineRule="auto"/>
              <w:ind w:firstLine="482" w:firstLineChars="200"/>
              <w:rPr>
                <w:rFonts w:ascii="Times New Roman"/>
                <w:b/>
                <w:bCs/>
                <w:color w:val="auto"/>
              </w:rPr>
            </w:pPr>
            <w:r>
              <w:rPr>
                <w:rFonts w:hint="eastAsia" w:ascii="Times New Roman"/>
                <w:b/>
                <w:bCs/>
                <w:color w:val="auto"/>
              </w:rPr>
              <w:t>（</w:t>
            </w:r>
            <w:r>
              <w:rPr>
                <w:rFonts w:ascii="Times New Roman"/>
                <w:b/>
                <w:bCs/>
                <w:color w:val="auto"/>
              </w:rPr>
              <w:t>2</w:t>
            </w:r>
            <w:r>
              <w:rPr>
                <w:rFonts w:hint="eastAsia" w:ascii="Times New Roman"/>
                <w:b/>
                <w:bCs/>
                <w:color w:val="auto"/>
              </w:rPr>
              <w:t>）达标排放分析</w:t>
            </w:r>
          </w:p>
          <w:p>
            <w:pPr>
              <w:pStyle w:val="67"/>
              <w:ind w:firstLine="31680"/>
              <w:rPr>
                <w:color w:val="auto"/>
              </w:rPr>
            </w:pPr>
            <w:r>
              <w:rPr>
                <w:color w:val="auto"/>
              </w:rPr>
              <w:t>1</w:t>
            </w:r>
            <w:r>
              <w:rPr>
                <w:rFonts w:hint="eastAsia"/>
                <w:color w:val="auto"/>
              </w:rPr>
              <w:t>）有组织</w:t>
            </w:r>
          </w:p>
          <w:p>
            <w:pPr>
              <w:pStyle w:val="67"/>
              <w:ind w:firstLine="31680"/>
              <w:rPr>
                <w:color w:val="auto"/>
              </w:rPr>
            </w:pPr>
            <w:r>
              <w:rPr>
                <w:rFonts w:hint="eastAsia"/>
                <w:color w:val="auto"/>
              </w:rPr>
              <w:t>本项目主要废气污染源主要为石英粉生产过程中颚式破碎机、圆锥破碎机、雷蒙磨和振动筛等设备对石料进行投料、破碎、筛分产生的粉尘；以及硅酸钙板生产过程中水泥进仓，原料配料，半成品磨边产生的粉尘。项目石英粉生产线有组织废气经过袋式除尘后排放粉尘约</w:t>
            </w:r>
            <w:r>
              <w:rPr>
                <w:color w:val="auto"/>
              </w:rPr>
              <w:t>0.061kg/h</w:t>
            </w:r>
            <w:r>
              <w:rPr>
                <w:rFonts w:hint="eastAsia"/>
                <w:color w:val="auto"/>
              </w:rPr>
              <w:t>，排放浓度</w:t>
            </w:r>
            <w:r>
              <w:rPr>
                <w:color w:val="auto"/>
              </w:rPr>
              <w:t>3.16mg/m</w:t>
            </w:r>
            <w:r>
              <w:rPr>
                <w:color w:val="auto"/>
                <w:vertAlign w:val="superscript"/>
              </w:rPr>
              <w:t>3</w:t>
            </w:r>
            <w:r>
              <w:rPr>
                <w:rFonts w:hint="eastAsia"/>
                <w:color w:val="auto"/>
              </w:rPr>
              <w:t>（</w:t>
            </w:r>
            <w:r>
              <w:rPr>
                <w:color w:val="auto"/>
              </w:rPr>
              <w:t>DA001</w:t>
            </w:r>
            <w:r>
              <w:rPr>
                <w:rFonts w:hint="eastAsia"/>
                <w:color w:val="auto"/>
              </w:rPr>
              <w:t>）；项目硅酸钙板生产线水泥进仓有组织废气经过袋式除尘后排放粉尘约</w:t>
            </w:r>
            <w:r>
              <w:rPr>
                <w:color w:val="auto"/>
              </w:rPr>
              <w:t>0.160kg/h</w:t>
            </w:r>
            <w:r>
              <w:rPr>
                <w:rFonts w:hint="eastAsia"/>
                <w:color w:val="auto"/>
              </w:rPr>
              <w:t>，排放浓度</w:t>
            </w:r>
            <w:r>
              <w:rPr>
                <w:color w:val="auto"/>
              </w:rPr>
              <w:t>8.0mg/m</w:t>
            </w:r>
            <w:r>
              <w:rPr>
                <w:color w:val="auto"/>
                <w:vertAlign w:val="superscript"/>
              </w:rPr>
              <w:t>3</w:t>
            </w:r>
            <w:r>
              <w:rPr>
                <w:rFonts w:hint="eastAsia"/>
                <w:color w:val="auto"/>
              </w:rPr>
              <w:t>（</w:t>
            </w:r>
            <w:r>
              <w:rPr>
                <w:color w:val="auto"/>
              </w:rPr>
              <w:t>DA002</w:t>
            </w:r>
            <w:r>
              <w:rPr>
                <w:rFonts w:hint="eastAsia"/>
                <w:color w:val="auto"/>
              </w:rPr>
              <w:t>）；配料与磨边有组织废气过袋式除尘后排放粉尘约</w:t>
            </w:r>
            <w:r>
              <w:rPr>
                <w:color w:val="auto"/>
              </w:rPr>
              <w:t>0.141kg/h</w:t>
            </w:r>
            <w:r>
              <w:rPr>
                <w:rFonts w:hint="eastAsia"/>
                <w:color w:val="auto"/>
              </w:rPr>
              <w:t>，排放浓度</w:t>
            </w:r>
            <w:r>
              <w:rPr>
                <w:color w:val="auto"/>
              </w:rPr>
              <w:t>7.45mg/m</w:t>
            </w:r>
            <w:r>
              <w:rPr>
                <w:color w:val="auto"/>
                <w:vertAlign w:val="superscript"/>
              </w:rPr>
              <w:t>3</w:t>
            </w:r>
            <w:r>
              <w:rPr>
                <w:rFonts w:hint="eastAsia"/>
                <w:color w:val="auto"/>
              </w:rPr>
              <w:t>（</w:t>
            </w:r>
            <w:r>
              <w:rPr>
                <w:color w:val="auto"/>
              </w:rPr>
              <w:t>DA003</w:t>
            </w:r>
            <w:r>
              <w:rPr>
                <w:rFonts w:hint="eastAsia"/>
                <w:color w:val="auto"/>
              </w:rPr>
              <w:t>）。颗粒物有组织排放满足《水泥工业大气污染物排放标准》（</w:t>
            </w:r>
            <w:r>
              <w:rPr>
                <w:color w:val="auto"/>
              </w:rPr>
              <w:t>GB 4915-2013</w:t>
            </w:r>
            <w:r>
              <w:rPr>
                <w:rFonts w:hint="eastAsia"/>
                <w:color w:val="auto"/>
              </w:rPr>
              <w:t>）表</w:t>
            </w:r>
            <w:r>
              <w:rPr>
                <w:color w:val="auto"/>
              </w:rPr>
              <w:t>2</w:t>
            </w:r>
            <w:r>
              <w:rPr>
                <w:rFonts w:hint="eastAsia"/>
                <w:color w:val="auto"/>
              </w:rPr>
              <w:t>中散装水泥中转站及水泥制品生产排放标准限值（排放浓度≤</w:t>
            </w:r>
            <w:r>
              <w:rPr>
                <w:color w:val="auto"/>
              </w:rPr>
              <w:t>10mg/m</w:t>
            </w:r>
            <w:r>
              <w:rPr>
                <w:color w:val="auto"/>
                <w:vertAlign w:val="superscript"/>
              </w:rPr>
              <w:t>3</w:t>
            </w:r>
            <w:r>
              <w:rPr>
                <w:rFonts w:hint="eastAsia"/>
                <w:color w:val="auto"/>
              </w:rPr>
              <w:t>）。</w:t>
            </w:r>
          </w:p>
          <w:p>
            <w:pPr>
              <w:pStyle w:val="67"/>
              <w:ind w:firstLine="31680"/>
              <w:rPr>
                <w:color w:val="auto"/>
              </w:rPr>
            </w:pPr>
            <w:r>
              <w:rPr>
                <w:color w:val="auto"/>
              </w:rPr>
              <w:t>2</w:t>
            </w:r>
            <w:r>
              <w:rPr>
                <w:rFonts w:hint="eastAsia"/>
                <w:color w:val="auto"/>
              </w:rPr>
              <w:t>）无组织</w:t>
            </w:r>
          </w:p>
          <w:p>
            <w:pPr>
              <w:pStyle w:val="67"/>
              <w:ind w:firstLine="31680"/>
              <w:rPr>
                <w:color w:val="auto"/>
              </w:rPr>
            </w:pPr>
            <w:r>
              <w:rPr>
                <w:rFonts w:hint="eastAsia"/>
                <w:color w:val="auto"/>
              </w:rPr>
              <w:t>无组织粉尘主要来自生产车间吸尘点不严密的逸散粉尘。对此</w:t>
            </w:r>
            <w:r>
              <w:rPr>
                <w:rFonts w:hint="eastAsia"/>
                <w:color w:val="auto"/>
                <w:spacing w:val="6"/>
              </w:rPr>
              <w:t>企业根据生产设备工艺合理设计吸尘方式，减少粉尘无组织扩散，</w:t>
            </w:r>
            <w:r>
              <w:rPr>
                <w:rFonts w:hint="eastAsia"/>
                <w:color w:val="auto"/>
              </w:rPr>
              <w:t>无组织粉尘排放量较小</w:t>
            </w:r>
            <w:r>
              <w:rPr>
                <w:rFonts w:hint="eastAsia"/>
                <w:color w:val="auto"/>
                <w:spacing w:val="6"/>
              </w:rPr>
              <w:t>。另外未被风机收集的粉尘因其</w:t>
            </w:r>
            <w:r>
              <w:rPr>
                <w:rFonts w:hint="eastAsia"/>
                <w:color w:val="auto"/>
              </w:rPr>
              <w:t>密度较大，一般飘落在加工设备附近，可扩散区域小，进一步减少无组织粉尘排放量。厂界无组织粉尘排放可达到《水泥工业大气污染物排放标准》（</w:t>
            </w:r>
            <w:r>
              <w:rPr>
                <w:color w:val="auto"/>
              </w:rPr>
              <w:t>GB 4915-2013</w:t>
            </w:r>
            <w:r>
              <w:rPr>
                <w:rFonts w:hint="eastAsia"/>
                <w:color w:val="auto"/>
              </w:rPr>
              <w:t>）表</w:t>
            </w:r>
            <w:r>
              <w:rPr>
                <w:color w:val="auto"/>
              </w:rPr>
              <w:t>3</w:t>
            </w:r>
            <w:r>
              <w:rPr>
                <w:rFonts w:hint="eastAsia"/>
                <w:color w:val="auto"/>
              </w:rPr>
              <w:t>标准。因此，对所在区域大气环境影响不大。</w:t>
            </w:r>
          </w:p>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3</w:t>
            </w:r>
            <w:r>
              <w:rPr>
                <w:rFonts w:hint="eastAsia" w:ascii="Times New Roman" w:cs="Times New Roman"/>
                <w:b/>
                <w:bCs/>
                <w:color w:val="auto"/>
              </w:rPr>
              <w:t>）废气治理措施可行性</w:t>
            </w:r>
          </w:p>
          <w:p>
            <w:pPr>
              <w:jc w:val="center"/>
              <w:rPr>
                <w:rFonts w:eastAsia="黑体"/>
                <w:color w:val="auto"/>
                <w:sz w:val="24"/>
              </w:rPr>
            </w:pPr>
            <w:r>
              <w:rPr>
                <w:rFonts w:hint="eastAsia" w:eastAsia="黑体"/>
                <w:color w:val="auto"/>
                <w:sz w:val="24"/>
              </w:rPr>
              <w:t>表</w:t>
            </w:r>
            <w:r>
              <w:rPr>
                <w:rFonts w:eastAsia="黑体"/>
                <w:color w:val="auto"/>
                <w:sz w:val="24"/>
              </w:rPr>
              <w:t xml:space="preserve">4.2-12  </w:t>
            </w:r>
            <w:r>
              <w:rPr>
                <w:rFonts w:hint="eastAsia" w:eastAsia="黑体"/>
                <w:color w:val="auto"/>
                <w:sz w:val="24"/>
              </w:rPr>
              <w:t>废气污染防治措施一览表</w:t>
            </w:r>
          </w:p>
          <w:tbl>
            <w:tblPr>
              <w:tblStyle w:val="27"/>
              <w:tblW w:w="85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550"/>
              <w:gridCol w:w="1297"/>
              <w:gridCol w:w="1015"/>
              <w:gridCol w:w="3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10" w:type="dxa"/>
                  <w:tcBorders>
                    <w:top w:val="single" w:color="auto" w:sz="12"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排放形式</w:t>
                  </w:r>
                </w:p>
              </w:tc>
              <w:tc>
                <w:tcPr>
                  <w:tcW w:w="1550" w:type="dxa"/>
                  <w:tcBorders>
                    <w:top w:val="single" w:color="auto" w:sz="12"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工序</w:t>
                  </w:r>
                </w:p>
              </w:tc>
              <w:tc>
                <w:tcPr>
                  <w:tcW w:w="1297" w:type="dxa"/>
                  <w:tcBorders>
                    <w:top w:val="single" w:color="auto" w:sz="12"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污染源</w:t>
                  </w:r>
                </w:p>
              </w:tc>
              <w:tc>
                <w:tcPr>
                  <w:tcW w:w="1015" w:type="dxa"/>
                  <w:tcBorders>
                    <w:top w:val="single" w:color="auto" w:sz="12"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污染物</w:t>
                  </w:r>
                </w:p>
              </w:tc>
              <w:tc>
                <w:tcPr>
                  <w:tcW w:w="3453" w:type="dxa"/>
                  <w:tcBorders>
                    <w:top w:val="single" w:color="auto" w:sz="12" w:space="0"/>
                    <w:left w:val="single" w:color="auto" w:sz="4" w:space="0"/>
                    <w:bottom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10" w:type="dxa"/>
                  <w:vMerge w:val="restart"/>
                  <w:tcBorders>
                    <w:top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有组织</w:t>
                  </w:r>
                </w:p>
              </w:tc>
              <w:tc>
                <w:tcPr>
                  <w:tcW w:w="155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投料、破碎、筛分</w:t>
                  </w:r>
                </w:p>
              </w:tc>
              <w:tc>
                <w:tcPr>
                  <w:tcW w:w="1297"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鄂破机、圆锥破、雷蒙磨等生产设备</w:t>
                  </w:r>
                </w:p>
              </w:tc>
              <w:tc>
                <w:tcPr>
                  <w:tcW w:w="101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颗粒物</w:t>
                  </w:r>
                </w:p>
              </w:tc>
              <w:tc>
                <w:tcPr>
                  <w:tcW w:w="3453" w:type="dxa"/>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设置密闭作业空间，顶部设施集气装置，雷蒙磨前收集率为</w:t>
                  </w:r>
                  <w:r>
                    <w:rPr>
                      <w:rFonts w:ascii="Times New Roman" w:hAnsi="Times New Roman" w:cs="Times New Roman"/>
                      <w:color w:val="auto"/>
                      <w:sz w:val="21"/>
                    </w:rPr>
                    <w:t>90%</w:t>
                  </w:r>
                  <w:r>
                    <w:rPr>
                      <w:rFonts w:hint="eastAsia" w:ascii="Times New Roman" w:hAnsi="Times New Roman" w:cs="Times New Roman"/>
                      <w:color w:val="auto"/>
                      <w:sz w:val="21"/>
                    </w:rPr>
                    <w:t>，雷蒙磨后物料全密闭生产收集率为</w:t>
                  </w:r>
                  <w:r>
                    <w:rPr>
                      <w:rFonts w:ascii="Times New Roman" w:hAnsi="Times New Roman" w:cs="Times New Roman"/>
                      <w:color w:val="auto"/>
                      <w:sz w:val="21"/>
                    </w:rPr>
                    <w:t>100%</w:t>
                  </w:r>
                  <w:r>
                    <w:rPr>
                      <w:rFonts w:hint="eastAsia" w:ascii="Times New Roman" w:hAnsi="Times New Roman" w:cs="Times New Roman"/>
                      <w:color w:val="auto"/>
                      <w:sz w:val="21"/>
                    </w:rPr>
                    <w:t>。废气经过袋式除尘器处理后通过</w:t>
                  </w:r>
                  <w:r>
                    <w:rPr>
                      <w:rFonts w:ascii="Times New Roman" w:hAnsi="Times New Roman" w:cs="Times New Roman"/>
                      <w:color w:val="auto"/>
                      <w:sz w:val="21"/>
                    </w:rPr>
                    <w:t>15m</w:t>
                  </w:r>
                  <w:r>
                    <w:rPr>
                      <w:rFonts w:hint="eastAsia" w:ascii="Times New Roman" w:hAnsi="Times New Roman" w:cs="Times New Roman"/>
                      <w:color w:val="auto"/>
                      <w:sz w:val="21"/>
                    </w:rPr>
                    <w:t>高排气筒（</w:t>
                  </w:r>
                  <w:r>
                    <w:rPr>
                      <w:rFonts w:ascii="Times New Roman" w:hAnsi="Times New Roman" w:cs="Times New Roman"/>
                      <w:color w:val="auto"/>
                      <w:sz w:val="21"/>
                    </w:rPr>
                    <w:t>DA001</w:t>
                  </w:r>
                  <w:r>
                    <w:rPr>
                      <w:rFonts w:hint="eastAsia" w:ascii="Times New Roman" w:hAnsi="Times New Roman" w:cs="Times New Roman"/>
                      <w:color w:val="auto"/>
                      <w:sz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1210" w:type="dxa"/>
                  <w:vMerge w:val="continue"/>
                  <w:tcBorders>
                    <w:top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p>
              </w:tc>
              <w:tc>
                <w:tcPr>
                  <w:tcW w:w="155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bCs/>
                      <w:color w:val="auto"/>
                      <w:sz w:val="21"/>
                    </w:rPr>
                    <w:t>磨边</w:t>
                  </w:r>
                </w:p>
              </w:tc>
              <w:tc>
                <w:tcPr>
                  <w:tcW w:w="1297"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bCs/>
                      <w:color w:val="auto"/>
                      <w:sz w:val="21"/>
                    </w:rPr>
                    <w:t>磨边倒角机</w:t>
                  </w:r>
                </w:p>
              </w:tc>
              <w:tc>
                <w:tcPr>
                  <w:tcW w:w="101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颗粒物</w:t>
                  </w:r>
                </w:p>
              </w:tc>
              <w:tc>
                <w:tcPr>
                  <w:tcW w:w="3453" w:type="dxa"/>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bCs/>
                      <w:color w:val="auto"/>
                      <w:sz w:val="21"/>
                    </w:rPr>
                    <w:t>磨边倒角机顶部安装集气罩收集粉尘，</w:t>
                  </w:r>
                  <w:r>
                    <w:rPr>
                      <w:rFonts w:hint="eastAsia" w:ascii="Times New Roman" w:hAnsi="Times New Roman" w:cs="Times New Roman"/>
                      <w:color w:val="auto"/>
                      <w:sz w:val="21"/>
                    </w:rPr>
                    <w:t>废气经过袋式除尘器处理后通过</w:t>
                  </w:r>
                  <w:r>
                    <w:rPr>
                      <w:rFonts w:ascii="Times New Roman" w:hAnsi="Times New Roman" w:cs="Times New Roman"/>
                      <w:color w:val="auto"/>
                      <w:sz w:val="21"/>
                    </w:rPr>
                    <w:t>15m</w:t>
                  </w:r>
                  <w:r>
                    <w:rPr>
                      <w:rFonts w:hint="eastAsia" w:ascii="Times New Roman" w:hAnsi="Times New Roman" w:cs="Times New Roman"/>
                      <w:color w:val="auto"/>
                      <w:sz w:val="21"/>
                    </w:rPr>
                    <w:t>高排气筒（</w:t>
                  </w:r>
                  <w:r>
                    <w:rPr>
                      <w:rFonts w:ascii="Times New Roman" w:hAnsi="Times New Roman" w:cs="Times New Roman"/>
                      <w:color w:val="auto"/>
                      <w:sz w:val="21"/>
                    </w:rPr>
                    <w:t>DA003</w:t>
                  </w:r>
                  <w:r>
                    <w:rPr>
                      <w:rFonts w:hint="eastAsia" w:ascii="Times New Roman" w:hAnsi="Times New Roman" w:cs="Times New Roman"/>
                      <w:color w:val="auto"/>
                      <w:sz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0" w:type="dxa"/>
                  <w:vMerge w:val="continue"/>
                  <w:tcBorders>
                    <w:top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p>
              </w:tc>
              <w:tc>
                <w:tcPr>
                  <w:tcW w:w="155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进仓</w:t>
                  </w:r>
                </w:p>
              </w:tc>
              <w:tc>
                <w:tcPr>
                  <w:tcW w:w="1297"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bCs/>
                      <w:color w:val="auto"/>
                      <w:sz w:val="21"/>
                    </w:rPr>
                    <w:t>料仓</w:t>
                  </w:r>
                </w:p>
              </w:tc>
              <w:tc>
                <w:tcPr>
                  <w:tcW w:w="101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颗粒物</w:t>
                  </w:r>
                </w:p>
              </w:tc>
              <w:tc>
                <w:tcPr>
                  <w:tcW w:w="3453" w:type="dxa"/>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cs="Times New Roman"/>
                      <w:color w:val="auto"/>
                      <w:sz w:val="21"/>
                    </w:rPr>
                    <w:t>呼吸口使用管道封闭对接收集后使用布袋收尘，通过</w:t>
                  </w:r>
                  <w:r>
                    <w:rPr>
                      <w:rFonts w:ascii="Times New Roman" w:hAnsi="Times New Roman" w:cs="Times New Roman"/>
                      <w:color w:val="auto"/>
                      <w:sz w:val="21"/>
                    </w:rPr>
                    <w:t>15m</w:t>
                  </w:r>
                  <w:r>
                    <w:rPr>
                      <w:rFonts w:hint="eastAsia" w:ascii="Times New Roman" w:hAnsi="Times New Roman" w:cs="Times New Roman"/>
                      <w:color w:val="auto"/>
                      <w:sz w:val="21"/>
                    </w:rPr>
                    <w:t>高排气筒高空排放（石英粉进仓呼吸废气处理后，由排气筒</w:t>
                  </w:r>
                  <w:r>
                    <w:rPr>
                      <w:rFonts w:ascii="Times New Roman" w:hAnsi="Times New Roman" w:cs="Times New Roman"/>
                      <w:color w:val="auto"/>
                      <w:sz w:val="21"/>
                    </w:rPr>
                    <w:t>DA001</w:t>
                  </w:r>
                  <w:r>
                    <w:rPr>
                      <w:rFonts w:hint="eastAsia" w:ascii="Times New Roman" w:hAnsi="Times New Roman" w:cs="Times New Roman"/>
                      <w:color w:val="auto"/>
                      <w:sz w:val="21"/>
                    </w:rPr>
                    <w:t>排放；水泥进仓呼吸废气处理后，由排气筒</w:t>
                  </w:r>
                  <w:r>
                    <w:rPr>
                      <w:rFonts w:ascii="Times New Roman" w:hAnsi="Times New Roman" w:cs="Times New Roman"/>
                      <w:color w:val="auto"/>
                      <w:sz w:val="21"/>
                    </w:rPr>
                    <w:t>DA002</w:t>
                  </w:r>
                  <w:r>
                    <w:rPr>
                      <w:rFonts w:hint="eastAsia" w:ascii="Times New Roman" w:hAnsi="Times New Roman" w:cs="Times New Roman"/>
                      <w:color w:val="auto"/>
                      <w:sz w:val="21"/>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0" w:type="dxa"/>
                  <w:vMerge w:val="continue"/>
                  <w:tcBorders>
                    <w:top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p>
              </w:tc>
              <w:tc>
                <w:tcPr>
                  <w:tcW w:w="155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配料</w:t>
                  </w:r>
                </w:p>
              </w:tc>
              <w:tc>
                <w:tcPr>
                  <w:tcW w:w="1297"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bCs/>
                      <w:color w:val="auto"/>
                      <w:sz w:val="21"/>
                    </w:rPr>
                  </w:pPr>
                  <w:r>
                    <w:rPr>
                      <w:rFonts w:hint="eastAsia" w:ascii="Times New Roman" w:hAnsi="Times New Roman"/>
                      <w:bCs/>
                      <w:color w:val="auto"/>
                      <w:sz w:val="21"/>
                    </w:rPr>
                    <w:t>料仓</w:t>
                  </w:r>
                </w:p>
              </w:tc>
              <w:tc>
                <w:tcPr>
                  <w:tcW w:w="101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颗粒物</w:t>
                  </w:r>
                </w:p>
              </w:tc>
              <w:tc>
                <w:tcPr>
                  <w:tcW w:w="3453" w:type="dxa"/>
                  <w:tcBorders>
                    <w:top w:val="single" w:color="auto" w:sz="4" w:space="0"/>
                    <w:left w:val="single" w:color="auto" w:sz="4" w:space="0"/>
                    <w:bottom w:val="single" w:color="auto" w:sz="4" w:space="0"/>
                  </w:tcBorders>
                  <w:vAlign w:val="center"/>
                </w:tcPr>
                <w:p>
                  <w:pPr>
                    <w:pStyle w:val="193"/>
                    <w:spacing w:line="240" w:lineRule="auto"/>
                    <w:jc w:val="center"/>
                    <w:rPr>
                      <w:rFonts w:ascii="Times New Roman" w:hAnsi="Times New Roman"/>
                      <w:bCs/>
                      <w:iCs/>
                      <w:color w:val="auto"/>
                      <w:kern w:val="2"/>
                      <w:sz w:val="21"/>
                    </w:rPr>
                  </w:pPr>
                  <w:r>
                    <w:rPr>
                      <w:rFonts w:hint="eastAsia" w:ascii="Times New Roman" w:hAnsi="Times New Roman" w:cs="Times New Roman"/>
                      <w:color w:val="auto"/>
                      <w:sz w:val="21"/>
                    </w:rPr>
                    <w:t>呼吸口使用管道封闭对接收集后使用布袋收尘，通过</w:t>
                  </w:r>
                  <w:r>
                    <w:rPr>
                      <w:rFonts w:ascii="Times New Roman" w:hAnsi="Times New Roman" w:cs="Times New Roman"/>
                      <w:color w:val="auto"/>
                      <w:sz w:val="21"/>
                    </w:rPr>
                    <w:t>15m</w:t>
                  </w:r>
                  <w:r>
                    <w:rPr>
                      <w:rFonts w:hint="eastAsia" w:ascii="Times New Roman" w:hAnsi="Times New Roman" w:cs="Times New Roman"/>
                      <w:color w:val="auto"/>
                      <w:sz w:val="21"/>
                    </w:rPr>
                    <w:t>高排气筒（</w:t>
                  </w:r>
                  <w:r>
                    <w:rPr>
                      <w:rFonts w:ascii="Times New Roman" w:hAnsi="Times New Roman" w:cs="Times New Roman"/>
                      <w:color w:val="auto"/>
                      <w:sz w:val="21"/>
                    </w:rPr>
                    <w:t>DA003</w:t>
                  </w:r>
                  <w:r>
                    <w:rPr>
                      <w:rFonts w:hint="eastAsia" w:ascii="Times New Roman" w:hAnsi="Times New Roman" w:cs="Times New Roman"/>
                      <w:color w:val="auto"/>
                      <w:sz w:val="21"/>
                    </w:rPr>
                    <w:t>）高空排放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10" w:type="dxa"/>
                  <w:vMerge w:val="restart"/>
                  <w:tcBorders>
                    <w:top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无组织</w:t>
                  </w:r>
                </w:p>
              </w:tc>
              <w:tc>
                <w:tcPr>
                  <w:tcW w:w="1550" w:type="dxa"/>
                  <w:tcBorders>
                    <w:top w:val="single" w:color="auto" w:sz="4"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生产过程</w:t>
                  </w:r>
                </w:p>
              </w:tc>
              <w:tc>
                <w:tcPr>
                  <w:tcW w:w="1297" w:type="dxa"/>
                  <w:tcBorders>
                    <w:top w:val="single" w:color="auto" w:sz="4"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生产车间</w:t>
                  </w:r>
                </w:p>
              </w:tc>
              <w:tc>
                <w:tcPr>
                  <w:tcW w:w="1015" w:type="dxa"/>
                  <w:tcBorders>
                    <w:top w:val="single" w:color="auto" w:sz="4"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颗粒物</w:t>
                  </w:r>
                </w:p>
              </w:tc>
              <w:tc>
                <w:tcPr>
                  <w:tcW w:w="3453" w:type="dxa"/>
                  <w:tcBorders>
                    <w:top w:val="single" w:color="auto" w:sz="4" w:space="0"/>
                    <w:left w:val="single" w:color="auto" w:sz="4" w:space="0"/>
                    <w:bottom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封闭性厂房、自然沉降车间阻隔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210" w:type="dxa"/>
                  <w:vMerge w:val="continue"/>
                  <w:tcBorders>
                    <w:top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p>
              </w:tc>
              <w:tc>
                <w:tcPr>
                  <w:tcW w:w="1550" w:type="dxa"/>
                  <w:tcBorders>
                    <w:top w:val="single" w:color="auto" w:sz="4" w:space="0"/>
                    <w:left w:val="single" w:color="auto" w:sz="4" w:space="0"/>
                    <w:bottom w:val="single" w:color="auto" w:sz="4" w:space="0"/>
                    <w:right w:val="single" w:color="auto" w:sz="4" w:space="0"/>
                  </w:tcBorders>
                  <w:vAlign w:val="center"/>
                </w:tcPr>
                <w:p>
                  <w:pPr>
                    <w:tabs>
                      <w:tab w:val="left" w:pos="2604"/>
                    </w:tabs>
                    <w:adjustRightInd w:val="0"/>
                    <w:snapToGrid w:val="0"/>
                    <w:jc w:val="center"/>
                    <w:rPr>
                      <w:color w:val="auto"/>
                      <w:szCs w:val="21"/>
                    </w:rPr>
                  </w:pPr>
                  <w:r>
                    <w:rPr>
                      <w:rFonts w:hint="eastAsia"/>
                      <w:color w:val="auto"/>
                      <w:szCs w:val="21"/>
                    </w:rPr>
                    <w:t>输送带输送</w:t>
                  </w:r>
                </w:p>
              </w:tc>
              <w:tc>
                <w:tcPr>
                  <w:tcW w:w="12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napToGrid w:val="0"/>
                      <w:color w:val="auto"/>
                      <w:kern w:val="0"/>
                      <w:szCs w:val="21"/>
                    </w:rPr>
                  </w:pPr>
                  <w:r>
                    <w:rPr>
                      <w:rFonts w:hint="eastAsia"/>
                      <w:snapToGrid w:val="0"/>
                      <w:color w:val="auto"/>
                      <w:kern w:val="0"/>
                      <w:szCs w:val="21"/>
                    </w:rPr>
                    <w:t>输送带</w:t>
                  </w:r>
                  <w:r>
                    <w:rPr>
                      <w:rFonts w:hint="eastAsia"/>
                      <w:color w:val="auto"/>
                      <w:szCs w:val="21"/>
                    </w:rPr>
                    <w:t>扬尘</w:t>
                  </w:r>
                </w:p>
              </w:tc>
              <w:tc>
                <w:tcPr>
                  <w:tcW w:w="10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rFonts w:hint="eastAsia"/>
                      <w:bCs/>
                      <w:color w:val="auto"/>
                      <w:szCs w:val="21"/>
                    </w:rPr>
                    <w:t>颗粒物</w:t>
                  </w:r>
                </w:p>
              </w:tc>
              <w:tc>
                <w:tcPr>
                  <w:tcW w:w="3453" w:type="dxa"/>
                  <w:tcBorders>
                    <w:top w:val="single" w:color="auto" w:sz="4" w:space="0"/>
                    <w:left w:val="single" w:color="auto" w:sz="4" w:space="0"/>
                    <w:bottom w:val="single" w:color="auto" w:sz="4" w:space="0"/>
                  </w:tcBorders>
                  <w:vAlign w:val="center"/>
                </w:tcPr>
                <w:p>
                  <w:pPr>
                    <w:pStyle w:val="10"/>
                    <w:jc w:val="center"/>
                    <w:rPr>
                      <w:bCs/>
                      <w:color w:val="auto"/>
                      <w:sz w:val="21"/>
                      <w:szCs w:val="21"/>
                    </w:rPr>
                  </w:pPr>
                  <w:r>
                    <w:rPr>
                      <w:rFonts w:hint="eastAsia"/>
                      <w:color w:val="auto"/>
                      <w:sz w:val="21"/>
                      <w:szCs w:val="21"/>
                    </w:rPr>
                    <w:t>输送带</w:t>
                  </w:r>
                  <w:r>
                    <w:rPr>
                      <w:rFonts w:hint="eastAsia"/>
                      <w:snapToGrid w:val="0"/>
                      <w:color w:val="auto"/>
                      <w:spacing w:val="4"/>
                      <w:sz w:val="21"/>
                      <w:szCs w:val="21"/>
                    </w:rPr>
                    <w:t>加盖密闭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10" w:type="dxa"/>
                  <w:vMerge w:val="continue"/>
                  <w:tcBorders>
                    <w:top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p>
              </w:tc>
              <w:tc>
                <w:tcPr>
                  <w:tcW w:w="1550"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运输装卸过程</w:t>
                  </w:r>
                </w:p>
              </w:tc>
              <w:tc>
                <w:tcPr>
                  <w:tcW w:w="1297"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运输装卸扬尘</w:t>
                  </w:r>
                </w:p>
              </w:tc>
              <w:tc>
                <w:tcPr>
                  <w:tcW w:w="1015" w:type="dxa"/>
                  <w:tcBorders>
                    <w:top w:val="single" w:color="auto" w:sz="4" w:space="0"/>
                    <w:left w:val="single" w:color="auto" w:sz="4" w:space="0"/>
                    <w:bottom w:val="single" w:color="auto" w:sz="4" w:space="0"/>
                    <w:right w:val="single" w:color="auto" w:sz="4" w:space="0"/>
                  </w:tcBorders>
                  <w:vAlign w:val="center"/>
                </w:tcPr>
                <w:p>
                  <w:pPr>
                    <w:pStyle w:val="193"/>
                    <w:spacing w:line="240" w:lineRule="auto"/>
                    <w:jc w:val="center"/>
                    <w:rPr>
                      <w:rFonts w:ascii="Times New Roman" w:hAnsi="Times New Roman" w:cs="Times New Roman"/>
                      <w:color w:val="auto"/>
                      <w:sz w:val="21"/>
                    </w:rPr>
                  </w:pPr>
                  <w:r>
                    <w:rPr>
                      <w:rFonts w:hint="eastAsia" w:ascii="Times New Roman" w:hAnsi="Times New Roman" w:cs="Times New Roman"/>
                      <w:color w:val="auto"/>
                      <w:sz w:val="21"/>
                    </w:rPr>
                    <w:t>颗粒物</w:t>
                  </w:r>
                </w:p>
              </w:tc>
              <w:tc>
                <w:tcPr>
                  <w:tcW w:w="3453" w:type="dxa"/>
                  <w:tcBorders>
                    <w:top w:val="single" w:color="auto" w:sz="4" w:space="0"/>
                    <w:left w:val="single" w:color="auto" w:sz="4" w:space="0"/>
                    <w:bottom w:val="single" w:color="auto" w:sz="4" w:space="0"/>
                  </w:tcBorders>
                  <w:vAlign w:val="center"/>
                </w:tcPr>
                <w:p>
                  <w:pPr>
                    <w:pStyle w:val="181"/>
                    <w:widowControl w:val="0"/>
                    <w:spacing w:line="240" w:lineRule="auto"/>
                    <w:rPr>
                      <w:rFonts w:cs="宋体"/>
                      <w:bCs/>
                      <w:color w:val="auto"/>
                      <w:szCs w:val="21"/>
                    </w:rPr>
                  </w:pPr>
                  <w:r>
                    <w:rPr>
                      <w:rFonts w:hint="eastAsia"/>
                      <w:bCs/>
                      <w:snapToGrid w:val="0"/>
                      <w:color w:val="auto"/>
                      <w:spacing w:val="4"/>
                      <w:szCs w:val="21"/>
                    </w:rPr>
                    <w:t>在封闭原料库内进行，风管收集后布袋收尘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10" w:type="dxa"/>
                  <w:vMerge w:val="continue"/>
                  <w:tcBorders>
                    <w:top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p>
              </w:tc>
              <w:tc>
                <w:tcPr>
                  <w:tcW w:w="1550" w:type="dxa"/>
                  <w:tcBorders>
                    <w:top w:val="single" w:color="auto" w:sz="4"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原料库</w:t>
                  </w:r>
                </w:p>
              </w:tc>
              <w:tc>
                <w:tcPr>
                  <w:tcW w:w="1297" w:type="dxa"/>
                  <w:tcBorders>
                    <w:top w:val="single" w:color="auto" w:sz="4"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原料库粉尘</w:t>
                  </w:r>
                </w:p>
              </w:tc>
              <w:tc>
                <w:tcPr>
                  <w:tcW w:w="1015" w:type="dxa"/>
                  <w:tcBorders>
                    <w:top w:val="single" w:color="auto" w:sz="4" w:space="0"/>
                    <w:left w:val="single" w:color="auto" w:sz="4" w:space="0"/>
                    <w:bottom w:val="single" w:color="auto" w:sz="4"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颗粒物</w:t>
                  </w:r>
                </w:p>
              </w:tc>
              <w:tc>
                <w:tcPr>
                  <w:tcW w:w="3453" w:type="dxa"/>
                  <w:tcBorders>
                    <w:top w:val="single" w:color="auto" w:sz="4" w:space="0"/>
                    <w:left w:val="single" w:color="auto" w:sz="4" w:space="0"/>
                    <w:bottom w:val="single" w:color="auto" w:sz="4" w:space="0"/>
                  </w:tcBorders>
                  <w:vAlign w:val="center"/>
                </w:tcPr>
                <w:p>
                  <w:pPr>
                    <w:pStyle w:val="181"/>
                    <w:widowControl w:val="0"/>
                    <w:spacing w:line="240" w:lineRule="auto"/>
                    <w:rPr>
                      <w:rFonts w:cs="宋体"/>
                      <w:bCs/>
                      <w:color w:val="auto"/>
                      <w:szCs w:val="21"/>
                    </w:rPr>
                  </w:pPr>
                  <w:r>
                    <w:rPr>
                      <w:rFonts w:hint="eastAsia"/>
                      <w:bCs/>
                      <w:color w:val="auto"/>
                      <w:kern w:val="2"/>
                      <w:szCs w:val="21"/>
                    </w:rPr>
                    <w:t>全部封闭，出入口安装软帘，仅在货车出入时打开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210" w:type="dxa"/>
                  <w:vMerge w:val="continue"/>
                  <w:tcBorders>
                    <w:top w:val="single" w:color="auto" w:sz="4" w:space="0"/>
                    <w:bottom w:val="single" w:color="auto" w:sz="12" w:space="0"/>
                    <w:right w:val="single" w:color="auto" w:sz="4" w:space="0"/>
                  </w:tcBorders>
                  <w:vAlign w:val="center"/>
                </w:tcPr>
                <w:p>
                  <w:pPr>
                    <w:pStyle w:val="181"/>
                    <w:widowControl w:val="0"/>
                    <w:spacing w:line="240" w:lineRule="auto"/>
                    <w:rPr>
                      <w:rFonts w:cs="宋体"/>
                      <w:bCs/>
                      <w:color w:val="auto"/>
                      <w:szCs w:val="21"/>
                    </w:rPr>
                  </w:pPr>
                </w:p>
              </w:tc>
              <w:tc>
                <w:tcPr>
                  <w:tcW w:w="1550" w:type="dxa"/>
                  <w:tcBorders>
                    <w:top w:val="single" w:color="auto" w:sz="4" w:space="0"/>
                    <w:left w:val="single" w:color="auto" w:sz="4" w:space="0"/>
                    <w:bottom w:val="single" w:color="auto" w:sz="12"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车辆进出厂</w:t>
                  </w:r>
                </w:p>
              </w:tc>
              <w:tc>
                <w:tcPr>
                  <w:tcW w:w="1297" w:type="dxa"/>
                  <w:tcBorders>
                    <w:top w:val="single" w:color="auto" w:sz="4" w:space="0"/>
                    <w:left w:val="single" w:color="auto" w:sz="4" w:space="0"/>
                    <w:bottom w:val="single" w:color="auto" w:sz="12" w:space="0"/>
                    <w:right w:val="single" w:color="auto" w:sz="4" w:space="0"/>
                  </w:tcBorders>
                  <w:vAlign w:val="center"/>
                </w:tcPr>
                <w:p>
                  <w:pPr>
                    <w:pStyle w:val="10"/>
                    <w:jc w:val="center"/>
                    <w:rPr>
                      <w:bCs/>
                      <w:color w:val="auto"/>
                      <w:sz w:val="21"/>
                      <w:szCs w:val="21"/>
                    </w:rPr>
                  </w:pPr>
                  <w:r>
                    <w:rPr>
                      <w:rFonts w:hint="eastAsia"/>
                      <w:color w:val="auto"/>
                      <w:sz w:val="21"/>
                      <w:szCs w:val="16"/>
                    </w:rPr>
                    <w:t>道路扬尘</w:t>
                  </w:r>
                </w:p>
              </w:tc>
              <w:tc>
                <w:tcPr>
                  <w:tcW w:w="1015" w:type="dxa"/>
                  <w:tcBorders>
                    <w:top w:val="single" w:color="auto" w:sz="4" w:space="0"/>
                    <w:left w:val="single" w:color="auto" w:sz="4" w:space="0"/>
                    <w:bottom w:val="single" w:color="auto" w:sz="12" w:space="0"/>
                    <w:right w:val="single" w:color="auto" w:sz="4" w:space="0"/>
                  </w:tcBorders>
                  <w:vAlign w:val="center"/>
                </w:tcPr>
                <w:p>
                  <w:pPr>
                    <w:pStyle w:val="181"/>
                    <w:widowControl w:val="0"/>
                    <w:spacing w:line="240" w:lineRule="auto"/>
                    <w:rPr>
                      <w:rFonts w:cs="宋体"/>
                      <w:bCs/>
                      <w:color w:val="auto"/>
                      <w:szCs w:val="21"/>
                    </w:rPr>
                  </w:pPr>
                  <w:r>
                    <w:rPr>
                      <w:rFonts w:hint="eastAsia" w:cs="宋体"/>
                      <w:bCs/>
                      <w:color w:val="auto"/>
                      <w:szCs w:val="21"/>
                    </w:rPr>
                    <w:t>颗粒物</w:t>
                  </w:r>
                </w:p>
              </w:tc>
              <w:tc>
                <w:tcPr>
                  <w:tcW w:w="3453" w:type="dxa"/>
                  <w:tcBorders>
                    <w:top w:val="single" w:color="auto" w:sz="4" w:space="0"/>
                    <w:left w:val="single" w:color="auto" w:sz="4" w:space="0"/>
                    <w:bottom w:val="single" w:color="auto" w:sz="12" w:space="0"/>
                  </w:tcBorders>
                  <w:vAlign w:val="center"/>
                </w:tcPr>
                <w:p>
                  <w:pPr>
                    <w:pStyle w:val="181"/>
                    <w:widowControl w:val="0"/>
                    <w:spacing w:line="240" w:lineRule="auto"/>
                    <w:rPr>
                      <w:bCs/>
                      <w:color w:val="auto"/>
                      <w:kern w:val="2"/>
                      <w:szCs w:val="21"/>
                    </w:rPr>
                  </w:pPr>
                  <w:r>
                    <w:rPr>
                      <w:rFonts w:hint="eastAsia" w:cs="宋体"/>
                      <w:bCs/>
                      <w:color w:val="auto"/>
                      <w:szCs w:val="21"/>
                    </w:rPr>
                    <w:t>控制车速，道路硬化，</w:t>
                  </w:r>
                  <w:r>
                    <w:rPr>
                      <w:rFonts w:hint="eastAsia"/>
                      <w:bCs/>
                      <w:color w:val="auto"/>
                      <w:szCs w:val="21"/>
                    </w:rPr>
                    <w:t>车辆进出口设置洗车平台</w:t>
                  </w:r>
                </w:p>
              </w:tc>
            </w:tr>
          </w:tbl>
          <w:p>
            <w:pPr>
              <w:pStyle w:val="67"/>
              <w:ind w:firstLine="31680"/>
              <w:rPr>
                <w:bCs/>
                <w:color w:val="auto"/>
              </w:rPr>
            </w:pPr>
            <w:r>
              <w:rPr>
                <w:color w:val="auto"/>
              </w:rPr>
              <w:t>1</w:t>
            </w:r>
            <w:r>
              <w:rPr>
                <w:rFonts w:hint="eastAsia"/>
                <w:color w:val="auto"/>
              </w:rPr>
              <w:t>）有组织</w:t>
            </w:r>
          </w:p>
          <w:p>
            <w:pPr>
              <w:pStyle w:val="67"/>
              <w:ind w:firstLine="31680"/>
              <w:rPr>
                <w:bCs/>
                <w:color w:val="auto"/>
              </w:rPr>
            </w:pPr>
            <w:r>
              <w:rPr>
                <w:rFonts w:hint="eastAsia"/>
                <w:bCs/>
                <w:color w:val="auto"/>
              </w:rPr>
              <w:t>本项目营运后石英粉生产线卸料，投料、破碎、筛分等环节产生的粉尘收集后经布袋除尘处理</w:t>
            </w:r>
            <w:r>
              <w:rPr>
                <w:bCs/>
                <w:snapToGrid w:val="0"/>
                <w:color w:val="auto"/>
                <w:kern w:val="0"/>
                <w:lang w:val="zh-CN"/>
              </w:rPr>
              <w:t>15m</w:t>
            </w:r>
            <w:r>
              <w:rPr>
                <w:rFonts w:hint="eastAsia"/>
                <w:bCs/>
                <w:snapToGrid w:val="0"/>
                <w:color w:val="auto"/>
                <w:kern w:val="0"/>
                <w:lang w:val="zh-CN"/>
              </w:rPr>
              <w:t>高</w:t>
            </w:r>
            <w:r>
              <w:rPr>
                <w:rFonts w:hint="eastAsia"/>
                <w:bCs/>
                <w:snapToGrid w:val="0"/>
                <w:color w:val="auto"/>
                <w:kern w:val="0"/>
              </w:rPr>
              <w:t>排气筒（</w:t>
            </w:r>
            <w:r>
              <w:rPr>
                <w:bCs/>
                <w:snapToGrid w:val="0"/>
                <w:color w:val="auto"/>
                <w:kern w:val="0"/>
                <w:lang w:val="zh-CN"/>
              </w:rPr>
              <w:t>DA001</w:t>
            </w:r>
            <w:r>
              <w:rPr>
                <w:rFonts w:hint="eastAsia"/>
                <w:bCs/>
                <w:snapToGrid w:val="0"/>
                <w:color w:val="auto"/>
                <w:kern w:val="0"/>
              </w:rPr>
              <w:t>）</w:t>
            </w:r>
            <w:r>
              <w:rPr>
                <w:rFonts w:hint="eastAsia"/>
                <w:bCs/>
                <w:color w:val="auto"/>
              </w:rPr>
              <w:t>达标排放；硅酸钙板生产线水泥入仓粉尘收集后经布袋除尘处理</w:t>
            </w:r>
            <w:r>
              <w:rPr>
                <w:bCs/>
                <w:snapToGrid w:val="0"/>
                <w:color w:val="auto"/>
                <w:kern w:val="0"/>
                <w:lang w:val="zh-CN"/>
              </w:rPr>
              <w:t>15m</w:t>
            </w:r>
            <w:r>
              <w:rPr>
                <w:rFonts w:hint="eastAsia"/>
                <w:bCs/>
                <w:snapToGrid w:val="0"/>
                <w:color w:val="auto"/>
                <w:kern w:val="0"/>
                <w:lang w:val="zh-CN"/>
              </w:rPr>
              <w:t>高</w:t>
            </w:r>
            <w:r>
              <w:rPr>
                <w:rFonts w:hint="eastAsia"/>
                <w:bCs/>
                <w:snapToGrid w:val="0"/>
                <w:color w:val="auto"/>
                <w:kern w:val="0"/>
              </w:rPr>
              <w:t>排气筒（</w:t>
            </w:r>
            <w:r>
              <w:rPr>
                <w:bCs/>
                <w:snapToGrid w:val="0"/>
                <w:color w:val="auto"/>
                <w:kern w:val="0"/>
                <w:lang w:val="zh-CN"/>
              </w:rPr>
              <w:t>DA00</w:t>
            </w:r>
            <w:r>
              <w:rPr>
                <w:bCs/>
                <w:snapToGrid w:val="0"/>
                <w:color w:val="auto"/>
                <w:kern w:val="0"/>
              </w:rPr>
              <w:t>2</w:t>
            </w:r>
            <w:r>
              <w:rPr>
                <w:rFonts w:hint="eastAsia"/>
                <w:bCs/>
                <w:snapToGrid w:val="0"/>
                <w:color w:val="auto"/>
                <w:kern w:val="0"/>
              </w:rPr>
              <w:t>）</w:t>
            </w:r>
            <w:r>
              <w:rPr>
                <w:rFonts w:hint="eastAsia"/>
                <w:bCs/>
                <w:color w:val="auto"/>
              </w:rPr>
              <w:t>达标排放</w:t>
            </w:r>
            <w:r>
              <w:rPr>
                <w:rFonts w:hint="eastAsia"/>
                <w:bCs/>
                <w:color w:val="auto"/>
                <w:lang w:val="zh-CN"/>
              </w:rPr>
              <w:t>；</w:t>
            </w:r>
            <w:r>
              <w:rPr>
                <w:rFonts w:hint="eastAsia"/>
                <w:bCs/>
                <w:color w:val="auto"/>
              </w:rPr>
              <w:t>配料、磨粉等环节产生的粉尘收集后经布袋除尘处理</w:t>
            </w:r>
            <w:r>
              <w:rPr>
                <w:bCs/>
                <w:snapToGrid w:val="0"/>
                <w:color w:val="auto"/>
                <w:kern w:val="0"/>
                <w:lang w:val="zh-CN"/>
              </w:rPr>
              <w:t>15m</w:t>
            </w:r>
            <w:r>
              <w:rPr>
                <w:rFonts w:hint="eastAsia"/>
                <w:bCs/>
                <w:snapToGrid w:val="0"/>
                <w:color w:val="auto"/>
                <w:kern w:val="0"/>
                <w:lang w:val="zh-CN"/>
              </w:rPr>
              <w:t>高</w:t>
            </w:r>
            <w:r>
              <w:rPr>
                <w:rFonts w:hint="eastAsia"/>
                <w:bCs/>
                <w:snapToGrid w:val="0"/>
                <w:color w:val="auto"/>
                <w:kern w:val="0"/>
              </w:rPr>
              <w:t>排气筒（</w:t>
            </w:r>
            <w:r>
              <w:rPr>
                <w:bCs/>
                <w:snapToGrid w:val="0"/>
                <w:color w:val="auto"/>
                <w:kern w:val="0"/>
                <w:lang w:val="zh-CN"/>
              </w:rPr>
              <w:t>DA00</w:t>
            </w:r>
            <w:r>
              <w:rPr>
                <w:bCs/>
                <w:snapToGrid w:val="0"/>
                <w:color w:val="auto"/>
                <w:kern w:val="0"/>
              </w:rPr>
              <w:t>3</w:t>
            </w:r>
            <w:r>
              <w:rPr>
                <w:rFonts w:hint="eastAsia"/>
                <w:bCs/>
                <w:snapToGrid w:val="0"/>
                <w:color w:val="auto"/>
                <w:kern w:val="0"/>
              </w:rPr>
              <w:t>）</w:t>
            </w:r>
            <w:r>
              <w:rPr>
                <w:rFonts w:hint="eastAsia"/>
                <w:bCs/>
                <w:color w:val="auto"/>
              </w:rPr>
              <w:t>达标排放</w:t>
            </w:r>
            <w:r>
              <w:rPr>
                <w:rFonts w:hint="eastAsia"/>
                <w:bCs/>
                <w:color w:val="auto"/>
                <w:lang w:val="zh-CN"/>
              </w:rPr>
              <w:t>。</w:t>
            </w:r>
          </w:p>
          <w:p>
            <w:pPr>
              <w:spacing w:line="360" w:lineRule="auto"/>
              <w:ind w:firstLine="454"/>
              <w:rPr>
                <w:bCs/>
                <w:snapToGrid w:val="0"/>
                <w:color w:val="auto"/>
                <w:kern w:val="0"/>
                <w:sz w:val="24"/>
                <w:lang w:val="zh-CN"/>
              </w:rPr>
            </w:pPr>
            <w:r>
              <w:rPr>
                <w:rFonts w:hint="eastAsia"/>
                <w:bCs/>
                <w:snapToGrid w:val="0"/>
                <w:color w:val="auto"/>
                <w:kern w:val="0"/>
                <w:sz w:val="24"/>
                <w:lang w:val="zh-CN"/>
              </w:rPr>
              <w:t>布袋除尘器工作原理：含尘气体从风口进入灰斗后，一部分较粗</w:t>
            </w:r>
            <w:r>
              <w:rPr>
                <w:color w:val="auto"/>
              </w:rPr>
              <w:fldChar w:fldCharType="begin"/>
            </w:r>
            <w:r>
              <w:rPr>
                <w:color w:val="auto"/>
              </w:rPr>
              <w:instrText xml:space="preserve"> HYPERLINK "http://www.so.com/s?q=%E5%B0%98%E7%B2%92&amp;ie=utf-8&amp;src=internal_wenda_recommend_textn" \t "_blank" </w:instrText>
            </w:r>
            <w:r>
              <w:rPr>
                <w:color w:val="auto"/>
              </w:rPr>
              <w:fldChar w:fldCharType="separate"/>
            </w:r>
            <w:r>
              <w:rPr>
                <w:rFonts w:hint="eastAsia"/>
                <w:bCs/>
                <w:snapToGrid w:val="0"/>
                <w:color w:val="auto"/>
                <w:kern w:val="0"/>
                <w:sz w:val="24"/>
                <w:lang w:val="zh-CN"/>
              </w:rPr>
              <w:t>尘粒</w:t>
            </w:r>
            <w:r>
              <w:rPr>
                <w:rFonts w:hint="eastAsia"/>
                <w:bCs/>
                <w:snapToGrid w:val="0"/>
                <w:color w:val="auto"/>
                <w:kern w:val="0"/>
                <w:sz w:val="24"/>
                <w:lang w:val="zh-CN"/>
              </w:rPr>
              <w:fldChar w:fldCharType="end"/>
            </w:r>
            <w:r>
              <w:rPr>
                <w:rFonts w:hint="eastAsia"/>
                <w:bCs/>
                <w:snapToGrid w:val="0"/>
                <w:color w:val="auto"/>
                <w:kern w:val="0"/>
                <w:sz w:val="24"/>
                <w:lang w:val="zh-CN"/>
              </w:rPr>
              <w:t>和凝聚的尘团，由于</w:t>
            </w:r>
            <w:r>
              <w:rPr>
                <w:color w:val="auto"/>
              </w:rPr>
              <w:fldChar w:fldCharType="begin"/>
            </w:r>
            <w:r>
              <w:rPr>
                <w:color w:val="auto"/>
              </w:rPr>
              <w:instrText xml:space="preserve"> HYPERLINK "http://www.so.com/s?q=%E6%83%AF%E6%80%A7&amp;ie=utf-8&amp;src=internal_wenda_recommend_textn" \t "_blank" </w:instrText>
            </w:r>
            <w:r>
              <w:rPr>
                <w:color w:val="auto"/>
              </w:rPr>
              <w:fldChar w:fldCharType="separate"/>
            </w:r>
            <w:r>
              <w:rPr>
                <w:rFonts w:hint="eastAsia"/>
                <w:bCs/>
                <w:snapToGrid w:val="0"/>
                <w:color w:val="auto"/>
                <w:kern w:val="0"/>
                <w:sz w:val="24"/>
                <w:lang w:val="zh-CN"/>
              </w:rPr>
              <w:t>惯性</w:t>
            </w:r>
            <w:r>
              <w:rPr>
                <w:rFonts w:hint="eastAsia"/>
                <w:bCs/>
                <w:snapToGrid w:val="0"/>
                <w:color w:val="auto"/>
                <w:kern w:val="0"/>
                <w:sz w:val="24"/>
                <w:lang w:val="zh-CN"/>
              </w:rPr>
              <w:fldChar w:fldCharType="end"/>
            </w:r>
            <w:r>
              <w:rPr>
                <w:rFonts w:hint="eastAsia"/>
                <w:bCs/>
                <w:snapToGrid w:val="0"/>
                <w:color w:val="auto"/>
                <w:kern w:val="0"/>
                <w:sz w:val="24"/>
                <w:lang w:val="zh-CN"/>
              </w:rPr>
              <w:t>作用直接落下，起到预收尘的作用。进入灰斗的</w:t>
            </w:r>
            <w:r>
              <w:rPr>
                <w:color w:val="auto"/>
              </w:rPr>
              <w:fldChar w:fldCharType="begin"/>
            </w:r>
            <w:r>
              <w:rPr>
                <w:color w:val="auto"/>
              </w:rPr>
              <w:instrText xml:space="preserve"> HYPERLINK "http://www.so.com/s?q=%E6%B0%94%E6%B5%81&amp;ie=utf-8&amp;src=internal_wenda_recommend_textn" \t "_blank" </w:instrText>
            </w:r>
            <w:r>
              <w:rPr>
                <w:color w:val="auto"/>
              </w:rPr>
              <w:fldChar w:fldCharType="separate"/>
            </w:r>
            <w:r>
              <w:rPr>
                <w:rFonts w:hint="eastAsia"/>
                <w:bCs/>
                <w:snapToGrid w:val="0"/>
                <w:color w:val="auto"/>
                <w:kern w:val="0"/>
                <w:sz w:val="24"/>
                <w:lang w:val="zh-CN"/>
              </w:rPr>
              <w:t>气流</w:t>
            </w:r>
            <w:r>
              <w:rPr>
                <w:rFonts w:hint="eastAsia"/>
                <w:bCs/>
                <w:snapToGrid w:val="0"/>
                <w:color w:val="auto"/>
                <w:kern w:val="0"/>
                <w:sz w:val="24"/>
                <w:lang w:val="zh-CN"/>
              </w:rPr>
              <w:fldChar w:fldCharType="end"/>
            </w:r>
            <w:r>
              <w:rPr>
                <w:rFonts w:hint="eastAsia"/>
                <w:bCs/>
                <w:snapToGrid w:val="0"/>
                <w:color w:val="auto"/>
                <w:kern w:val="0"/>
                <w:sz w:val="24"/>
                <w:lang w:val="zh-CN"/>
              </w:rPr>
              <w:t>折转向上涌入</w:t>
            </w:r>
            <w:r>
              <w:rPr>
                <w:color w:val="auto"/>
              </w:rPr>
              <w:fldChar w:fldCharType="begin"/>
            </w:r>
            <w:r>
              <w:rPr>
                <w:color w:val="auto"/>
              </w:rPr>
              <w:instrText xml:space="preserve"> HYPERLINK "http://www.so.com/s?q=%E7%AE%B1%E4%BD%93&amp;ie=utf-8&amp;src=internal_wenda_recommend_textn" \t "_blank" </w:instrText>
            </w:r>
            <w:r>
              <w:rPr>
                <w:color w:val="auto"/>
              </w:rPr>
              <w:fldChar w:fldCharType="separate"/>
            </w:r>
            <w:r>
              <w:rPr>
                <w:rFonts w:hint="eastAsia"/>
                <w:bCs/>
                <w:snapToGrid w:val="0"/>
                <w:color w:val="auto"/>
                <w:kern w:val="0"/>
                <w:sz w:val="24"/>
                <w:lang w:val="zh-CN"/>
              </w:rPr>
              <w:t>箱体</w:t>
            </w:r>
            <w:r>
              <w:rPr>
                <w:rFonts w:hint="eastAsia"/>
                <w:bCs/>
                <w:snapToGrid w:val="0"/>
                <w:color w:val="auto"/>
                <w:kern w:val="0"/>
                <w:sz w:val="24"/>
                <w:lang w:val="zh-CN"/>
              </w:rPr>
              <w:fldChar w:fldCharType="end"/>
            </w:r>
            <w:r>
              <w:rPr>
                <w:rFonts w:hint="eastAsia"/>
                <w:bCs/>
                <w:snapToGrid w:val="0"/>
                <w:color w:val="auto"/>
                <w:kern w:val="0"/>
                <w:sz w:val="24"/>
                <w:lang w:val="zh-CN"/>
              </w:rPr>
              <w:t>，当通过</w:t>
            </w:r>
            <w:r>
              <w:rPr>
                <w:color w:val="auto"/>
              </w:rPr>
              <w:fldChar w:fldCharType="begin"/>
            </w:r>
            <w:r>
              <w:rPr>
                <w:color w:val="auto"/>
              </w:rPr>
              <w:instrText xml:space="preserve"> HYPERLINK "http://www.so.com/s?q=%E5%86%85%E9%83%A8&amp;ie=utf-8&amp;src=internal_wenda_recommend_textn" \t "_blank" </w:instrText>
            </w:r>
            <w:r>
              <w:rPr>
                <w:color w:val="auto"/>
              </w:rPr>
              <w:fldChar w:fldCharType="separate"/>
            </w:r>
            <w:r>
              <w:rPr>
                <w:rFonts w:hint="eastAsia"/>
                <w:bCs/>
                <w:snapToGrid w:val="0"/>
                <w:color w:val="auto"/>
                <w:kern w:val="0"/>
                <w:sz w:val="24"/>
                <w:lang w:val="zh-CN"/>
              </w:rPr>
              <w:t>内部</w:t>
            </w:r>
            <w:r>
              <w:rPr>
                <w:rFonts w:hint="eastAsia"/>
                <w:bCs/>
                <w:snapToGrid w:val="0"/>
                <w:color w:val="auto"/>
                <w:kern w:val="0"/>
                <w:sz w:val="24"/>
                <w:lang w:val="zh-CN"/>
              </w:rPr>
              <w:fldChar w:fldCharType="end"/>
            </w:r>
            <w:r>
              <w:rPr>
                <w:rFonts w:hint="eastAsia"/>
                <w:bCs/>
                <w:snapToGrid w:val="0"/>
                <w:color w:val="auto"/>
                <w:kern w:val="0"/>
                <w:sz w:val="24"/>
                <w:lang w:val="zh-CN"/>
              </w:rPr>
              <w:t>装有</w:t>
            </w:r>
            <w:r>
              <w:rPr>
                <w:color w:val="auto"/>
              </w:rPr>
              <w:fldChar w:fldCharType="begin"/>
            </w:r>
            <w:r>
              <w:rPr>
                <w:color w:val="auto"/>
              </w:rPr>
              <w:instrText xml:space="preserve"> HYPERLINK "http://www.so.com/s?q=%E9%87%91%E5%B1%9E%E9%AA%A8%E6%9E%B6&amp;ie=utf-8&amp;src=internal_wenda_recommend_textn" \t "_blank" </w:instrText>
            </w:r>
            <w:r>
              <w:rPr>
                <w:color w:val="auto"/>
              </w:rPr>
              <w:fldChar w:fldCharType="separate"/>
            </w:r>
            <w:r>
              <w:rPr>
                <w:rFonts w:hint="eastAsia"/>
                <w:bCs/>
                <w:snapToGrid w:val="0"/>
                <w:color w:val="auto"/>
                <w:kern w:val="0"/>
                <w:sz w:val="24"/>
                <w:lang w:val="zh-CN"/>
              </w:rPr>
              <w:t>金属骨架</w:t>
            </w:r>
            <w:r>
              <w:rPr>
                <w:rFonts w:hint="eastAsia"/>
                <w:bCs/>
                <w:snapToGrid w:val="0"/>
                <w:color w:val="auto"/>
                <w:kern w:val="0"/>
                <w:sz w:val="24"/>
                <w:lang w:val="zh-CN"/>
              </w:rPr>
              <w:fldChar w:fldCharType="end"/>
            </w:r>
            <w:r>
              <w:rPr>
                <w:rFonts w:hint="eastAsia"/>
                <w:bCs/>
                <w:snapToGrid w:val="0"/>
                <w:color w:val="auto"/>
                <w:kern w:val="0"/>
                <w:sz w:val="24"/>
                <w:lang w:val="zh-CN"/>
              </w:rPr>
              <w:t>的</w:t>
            </w:r>
            <w:r>
              <w:rPr>
                <w:color w:val="auto"/>
              </w:rPr>
              <w:fldChar w:fldCharType="begin"/>
            </w:r>
            <w:r>
              <w:rPr>
                <w:color w:val="auto"/>
              </w:rPr>
              <w:instrText xml:space="preserve"> HYPERLINK "http://www.so.com/s?q=%E6%BB%A4%E8%A2%8B&amp;ie=utf-8&amp;src=internal_wenda_recommend_textn" \t "_blank" </w:instrText>
            </w:r>
            <w:r>
              <w:rPr>
                <w:color w:val="auto"/>
              </w:rPr>
              <w:fldChar w:fldCharType="separate"/>
            </w:r>
            <w:r>
              <w:rPr>
                <w:rFonts w:hint="eastAsia"/>
                <w:bCs/>
                <w:snapToGrid w:val="0"/>
                <w:color w:val="auto"/>
                <w:kern w:val="0"/>
                <w:sz w:val="24"/>
                <w:lang w:val="zh-CN"/>
              </w:rPr>
              <w:t>滤袋</w:t>
            </w:r>
            <w:r>
              <w:rPr>
                <w:rFonts w:hint="eastAsia"/>
                <w:bCs/>
                <w:snapToGrid w:val="0"/>
                <w:color w:val="auto"/>
                <w:kern w:val="0"/>
                <w:sz w:val="24"/>
                <w:lang w:val="zh-CN"/>
              </w:rPr>
              <w:fldChar w:fldCharType="end"/>
            </w:r>
            <w:r>
              <w:rPr>
                <w:rFonts w:hint="eastAsia"/>
                <w:bCs/>
                <w:snapToGrid w:val="0"/>
                <w:color w:val="auto"/>
                <w:kern w:val="0"/>
                <w:sz w:val="24"/>
                <w:lang w:val="zh-CN"/>
              </w:rPr>
              <w:t>时，</w:t>
            </w:r>
            <w:r>
              <w:rPr>
                <w:color w:val="auto"/>
              </w:rPr>
              <w:fldChar w:fldCharType="begin"/>
            </w:r>
            <w:r>
              <w:rPr>
                <w:color w:val="auto"/>
              </w:rPr>
              <w:instrText xml:space="preserve"> HYPERLINK "http://www.so.com/s?q=%E7%B2%89%E5%B0%98&amp;ie=utf-8&amp;src=internal_wenda_recommend_textn" \t "_blank" </w:instrText>
            </w:r>
            <w:r>
              <w:rPr>
                <w:color w:val="auto"/>
              </w:rPr>
              <w:fldChar w:fldCharType="separate"/>
            </w:r>
            <w:r>
              <w:rPr>
                <w:rFonts w:hint="eastAsia"/>
                <w:bCs/>
                <w:snapToGrid w:val="0"/>
                <w:color w:val="auto"/>
                <w:kern w:val="0"/>
                <w:sz w:val="24"/>
                <w:lang w:val="zh-CN"/>
              </w:rPr>
              <w:t>粉尘</w:t>
            </w:r>
            <w:r>
              <w:rPr>
                <w:rFonts w:hint="eastAsia"/>
                <w:bCs/>
                <w:snapToGrid w:val="0"/>
                <w:color w:val="auto"/>
                <w:kern w:val="0"/>
                <w:sz w:val="24"/>
                <w:lang w:val="zh-CN"/>
              </w:rPr>
              <w:fldChar w:fldCharType="end"/>
            </w:r>
            <w:r>
              <w:rPr>
                <w:rFonts w:hint="eastAsia"/>
                <w:bCs/>
                <w:snapToGrid w:val="0"/>
                <w:color w:val="auto"/>
                <w:kern w:val="0"/>
                <w:sz w:val="24"/>
                <w:lang w:val="zh-CN"/>
              </w:rPr>
              <w:t>被阻留在滤袋的</w:t>
            </w:r>
            <w:r>
              <w:rPr>
                <w:color w:val="auto"/>
              </w:rPr>
              <w:fldChar w:fldCharType="begin"/>
            </w:r>
            <w:r>
              <w:rPr>
                <w:color w:val="auto"/>
              </w:rPr>
              <w:instrText xml:space="preserve"> HYPERLINK "http://www.so.com/s?q=%E5%A4%96%E8%A1%A8%E9%9D%A2&amp;ie=utf-8&amp;src=internal_wenda_recommend_textn" \t "_blank" </w:instrText>
            </w:r>
            <w:r>
              <w:rPr>
                <w:color w:val="auto"/>
              </w:rPr>
              <w:fldChar w:fldCharType="separate"/>
            </w:r>
            <w:r>
              <w:rPr>
                <w:rFonts w:hint="eastAsia"/>
                <w:bCs/>
                <w:snapToGrid w:val="0"/>
                <w:color w:val="auto"/>
                <w:kern w:val="0"/>
                <w:sz w:val="24"/>
                <w:lang w:val="zh-CN"/>
              </w:rPr>
              <w:t>外表面</w:t>
            </w:r>
            <w:r>
              <w:rPr>
                <w:rFonts w:hint="eastAsia"/>
                <w:bCs/>
                <w:snapToGrid w:val="0"/>
                <w:color w:val="auto"/>
                <w:kern w:val="0"/>
                <w:sz w:val="24"/>
                <w:lang w:val="zh-CN"/>
              </w:rPr>
              <w:fldChar w:fldCharType="end"/>
            </w:r>
            <w:r>
              <w:rPr>
                <w:rFonts w:hint="eastAsia"/>
                <w:bCs/>
                <w:snapToGrid w:val="0"/>
                <w:color w:val="auto"/>
                <w:kern w:val="0"/>
                <w:sz w:val="24"/>
                <w:lang w:val="zh-CN"/>
              </w:rPr>
              <w:t>。净化后的</w:t>
            </w:r>
            <w:r>
              <w:rPr>
                <w:color w:val="auto"/>
              </w:rPr>
              <w:fldChar w:fldCharType="begin"/>
            </w:r>
            <w:r>
              <w:rPr>
                <w:color w:val="auto"/>
              </w:rPr>
              <w:instrText xml:space="preserve"> HYPERLINK "http://www.so.com/s?q=%E6%B0%94%E4%BD%93&amp;ie=utf-8&amp;src=internal_wenda_recommend_textn" \t "_blank" </w:instrText>
            </w:r>
            <w:r>
              <w:rPr>
                <w:color w:val="auto"/>
              </w:rPr>
              <w:fldChar w:fldCharType="separate"/>
            </w:r>
            <w:r>
              <w:rPr>
                <w:rFonts w:hint="eastAsia"/>
                <w:bCs/>
                <w:snapToGrid w:val="0"/>
                <w:color w:val="auto"/>
                <w:kern w:val="0"/>
                <w:sz w:val="24"/>
                <w:lang w:val="zh-CN"/>
              </w:rPr>
              <w:t>气体</w:t>
            </w:r>
            <w:r>
              <w:rPr>
                <w:rFonts w:hint="eastAsia"/>
                <w:bCs/>
                <w:snapToGrid w:val="0"/>
                <w:color w:val="auto"/>
                <w:kern w:val="0"/>
                <w:sz w:val="24"/>
                <w:lang w:val="zh-CN"/>
              </w:rPr>
              <w:fldChar w:fldCharType="end"/>
            </w:r>
            <w:r>
              <w:rPr>
                <w:rFonts w:hint="eastAsia"/>
                <w:bCs/>
                <w:snapToGrid w:val="0"/>
                <w:color w:val="auto"/>
                <w:kern w:val="0"/>
                <w:sz w:val="24"/>
                <w:lang w:val="zh-CN"/>
              </w:rPr>
              <w:t>进入滤袋</w:t>
            </w:r>
            <w:r>
              <w:rPr>
                <w:color w:val="auto"/>
              </w:rPr>
              <w:fldChar w:fldCharType="begin"/>
            </w:r>
            <w:r>
              <w:rPr>
                <w:color w:val="auto"/>
              </w:rPr>
              <w:instrText xml:space="preserve"> HYPERLINK "http://www.so.com/s?q=%E4%B8%8A%E9%83%A8&amp;ie=utf-8&amp;src=internal_wenda_recommend_textn" \t "_blank" </w:instrText>
            </w:r>
            <w:r>
              <w:rPr>
                <w:color w:val="auto"/>
              </w:rPr>
              <w:fldChar w:fldCharType="separate"/>
            </w:r>
            <w:r>
              <w:rPr>
                <w:rFonts w:hint="eastAsia"/>
                <w:bCs/>
                <w:snapToGrid w:val="0"/>
                <w:color w:val="auto"/>
                <w:kern w:val="0"/>
                <w:sz w:val="24"/>
                <w:lang w:val="zh-CN"/>
              </w:rPr>
              <w:t>上部</w:t>
            </w:r>
            <w:r>
              <w:rPr>
                <w:rFonts w:hint="eastAsia"/>
                <w:bCs/>
                <w:snapToGrid w:val="0"/>
                <w:color w:val="auto"/>
                <w:kern w:val="0"/>
                <w:sz w:val="24"/>
                <w:lang w:val="zh-CN"/>
              </w:rPr>
              <w:fldChar w:fldCharType="end"/>
            </w:r>
            <w:r>
              <w:rPr>
                <w:rFonts w:hint="eastAsia"/>
                <w:bCs/>
                <w:snapToGrid w:val="0"/>
                <w:color w:val="auto"/>
                <w:kern w:val="0"/>
                <w:sz w:val="24"/>
                <w:lang w:val="zh-CN"/>
              </w:rPr>
              <w:t>的清洁室汇集到出</w:t>
            </w:r>
            <w:r>
              <w:rPr>
                <w:color w:val="auto"/>
              </w:rPr>
              <w:fldChar w:fldCharType="begin"/>
            </w:r>
            <w:r>
              <w:rPr>
                <w:color w:val="auto"/>
              </w:rPr>
              <w:instrText xml:space="preserve"> HYPERLINK "http://www.so.com/s?q=%E9%A3%8E%E7%AE%A1&amp;ie=utf-8&amp;src=internal_wenda_recommend_textn" \t "_blank" </w:instrText>
            </w:r>
            <w:r>
              <w:rPr>
                <w:color w:val="auto"/>
              </w:rPr>
              <w:fldChar w:fldCharType="separate"/>
            </w:r>
            <w:r>
              <w:rPr>
                <w:rFonts w:hint="eastAsia"/>
                <w:bCs/>
                <w:snapToGrid w:val="0"/>
                <w:color w:val="auto"/>
                <w:kern w:val="0"/>
                <w:sz w:val="24"/>
                <w:lang w:val="zh-CN"/>
              </w:rPr>
              <w:t>风管</w:t>
            </w:r>
            <w:r>
              <w:rPr>
                <w:rFonts w:hint="eastAsia"/>
                <w:bCs/>
                <w:snapToGrid w:val="0"/>
                <w:color w:val="auto"/>
                <w:kern w:val="0"/>
                <w:sz w:val="24"/>
                <w:lang w:val="zh-CN"/>
              </w:rPr>
              <w:fldChar w:fldCharType="end"/>
            </w:r>
            <w:r>
              <w:rPr>
                <w:rFonts w:hint="eastAsia"/>
                <w:bCs/>
                <w:snapToGrid w:val="0"/>
                <w:color w:val="auto"/>
                <w:kern w:val="0"/>
                <w:sz w:val="24"/>
                <w:lang w:val="zh-CN"/>
              </w:rPr>
              <w:t>排出。除尘器的清灰是逐室轮流进行的，其</w:t>
            </w:r>
            <w:r>
              <w:rPr>
                <w:color w:val="auto"/>
              </w:rPr>
              <w:fldChar w:fldCharType="begin"/>
            </w:r>
            <w:r>
              <w:rPr>
                <w:color w:val="auto"/>
              </w:rPr>
              <w:instrText xml:space="preserve"> HYPERLINK "http://www.so.com/s?q=%E7%A8%8B%E5%BA%8F&amp;ie=utf-8&amp;src=internal_wenda_recommend_textn" \t "_blank" </w:instrText>
            </w:r>
            <w:r>
              <w:rPr>
                <w:color w:val="auto"/>
              </w:rPr>
              <w:fldChar w:fldCharType="separate"/>
            </w:r>
            <w:r>
              <w:rPr>
                <w:rFonts w:hint="eastAsia"/>
                <w:bCs/>
                <w:snapToGrid w:val="0"/>
                <w:color w:val="auto"/>
                <w:kern w:val="0"/>
                <w:sz w:val="24"/>
                <w:lang w:val="zh-CN"/>
              </w:rPr>
              <w:t>程序</w:t>
            </w:r>
            <w:r>
              <w:rPr>
                <w:rFonts w:hint="eastAsia"/>
                <w:bCs/>
                <w:snapToGrid w:val="0"/>
                <w:color w:val="auto"/>
                <w:kern w:val="0"/>
                <w:sz w:val="24"/>
                <w:lang w:val="zh-CN"/>
              </w:rPr>
              <w:fldChar w:fldCharType="end"/>
            </w:r>
            <w:r>
              <w:rPr>
                <w:rFonts w:hint="eastAsia"/>
                <w:bCs/>
                <w:snapToGrid w:val="0"/>
                <w:color w:val="auto"/>
                <w:kern w:val="0"/>
                <w:sz w:val="24"/>
                <w:lang w:val="zh-CN"/>
              </w:rPr>
              <w:t>是由</w:t>
            </w:r>
            <w:r>
              <w:rPr>
                <w:color w:val="auto"/>
              </w:rPr>
              <w:fldChar w:fldCharType="begin"/>
            </w:r>
            <w:r>
              <w:rPr>
                <w:color w:val="auto"/>
              </w:rPr>
              <w:instrText xml:space="preserve"> HYPERLINK "http://www.so.com/s?q=%E6%8E%A7%E5%88%B6%E5%99%A8&amp;ie=utf-8&amp;src=internal_wenda_recommend_textn" \t "_blank" </w:instrText>
            </w:r>
            <w:r>
              <w:rPr>
                <w:color w:val="auto"/>
              </w:rPr>
              <w:fldChar w:fldCharType="separate"/>
            </w:r>
            <w:r>
              <w:rPr>
                <w:rFonts w:hint="eastAsia"/>
                <w:bCs/>
                <w:snapToGrid w:val="0"/>
                <w:color w:val="auto"/>
                <w:kern w:val="0"/>
                <w:sz w:val="24"/>
                <w:lang w:val="zh-CN"/>
              </w:rPr>
              <w:t>控制器</w:t>
            </w:r>
            <w:r>
              <w:rPr>
                <w:rFonts w:hint="eastAsia"/>
                <w:bCs/>
                <w:snapToGrid w:val="0"/>
                <w:color w:val="auto"/>
                <w:kern w:val="0"/>
                <w:sz w:val="24"/>
                <w:lang w:val="zh-CN"/>
              </w:rPr>
              <w:fldChar w:fldCharType="end"/>
            </w:r>
            <w:r>
              <w:rPr>
                <w:rFonts w:hint="eastAsia"/>
                <w:bCs/>
                <w:snapToGrid w:val="0"/>
                <w:color w:val="auto"/>
                <w:kern w:val="0"/>
                <w:sz w:val="24"/>
                <w:lang w:val="zh-CN"/>
              </w:rPr>
              <w:t>根据</w:t>
            </w:r>
            <w:r>
              <w:rPr>
                <w:color w:val="auto"/>
              </w:rPr>
              <w:fldChar w:fldCharType="begin"/>
            </w:r>
            <w:r>
              <w:rPr>
                <w:color w:val="auto"/>
              </w:rPr>
              <w:instrText xml:space="preserve"> HYPERLINK "http://www.so.com/s?q=%E5%B7%A5%E8%89%BA&amp;ie=utf-8&amp;src=internal_wenda_recommend_textn" \t "_blank" </w:instrText>
            </w:r>
            <w:r>
              <w:rPr>
                <w:color w:val="auto"/>
              </w:rPr>
              <w:fldChar w:fldCharType="separate"/>
            </w:r>
            <w:r>
              <w:rPr>
                <w:rFonts w:hint="eastAsia"/>
                <w:bCs/>
                <w:snapToGrid w:val="0"/>
                <w:color w:val="auto"/>
                <w:kern w:val="0"/>
                <w:sz w:val="24"/>
                <w:lang w:val="zh-CN"/>
              </w:rPr>
              <w:t>工艺</w:t>
            </w:r>
            <w:r>
              <w:rPr>
                <w:rFonts w:hint="eastAsia"/>
                <w:bCs/>
                <w:snapToGrid w:val="0"/>
                <w:color w:val="auto"/>
                <w:kern w:val="0"/>
                <w:sz w:val="24"/>
                <w:lang w:val="zh-CN"/>
              </w:rPr>
              <w:fldChar w:fldCharType="end"/>
            </w:r>
            <w:r>
              <w:rPr>
                <w:rFonts w:hint="eastAsia"/>
                <w:bCs/>
                <w:snapToGrid w:val="0"/>
                <w:color w:val="auto"/>
                <w:kern w:val="0"/>
                <w:sz w:val="24"/>
                <w:lang w:val="zh-CN"/>
              </w:rPr>
              <w:t>条件调整确定的。合理的清灰程序和清灰周期保证了该型除尘器的清灰效果和滤袋</w:t>
            </w:r>
            <w:r>
              <w:rPr>
                <w:color w:val="auto"/>
              </w:rPr>
              <w:fldChar w:fldCharType="begin"/>
            </w:r>
            <w:r>
              <w:rPr>
                <w:color w:val="auto"/>
              </w:rPr>
              <w:instrText xml:space="preserve"> HYPERLINK "http://www.so.com/s?q=%E5%AF%BF%E5%91%BD&amp;ie=utf-8&amp;src=internal_wenda_recommend_textn" \t "_blank" </w:instrText>
            </w:r>
            <w:r>
              <w:rPr>
                <w:color w:val="auto"/>
              </w:rPr>
              <w:fldChar w:fldCharType="separate"/>
            </w:r>
            <w:r>
              <w:rPr>
                <w:rFonts w:hint="eastAsia"/>
                <w:bCs/>
                <w:snapToGrid w:val="0"/>
                <w:color w:val="auto"/>
                <w:kern w:val="0"/>
                <w:sz w:val="24"/>
                <w:lang w:val="zh-CN"/>
              </w:rPr>
              <w:t>寿命</w:t>
            </w:r>
            <w:r>
              <w:rPr>
                <w:rFonts w:hint="eastAsia"/>
                <w:bCs/>
                <w:snapToGrid w:val="0"/>
                <w:color w:val="auto"/>
                <w:kern w:val="0"/>
                <w:sz w:val="24"/>
                <w:lang w:val="zh-CN"/>
              </w:rPr>
              <w:fldChar w:fldCharType="end"/>
            </w:r>
            <w:r>
              <w:rPr>
                <w:rFonts w:hint="eastAsia"/>
                <w:bCs/>
                <w:snapToGrid w:val="0"/>
                <w:color w:val="auto"/>
                <w:kern w:val="0"/>
                <w:sz w:val="24"/>
                <w:lang w:val="zh-CN"/>
              </w:rPr>
              <w:t>。</w:t>
            </w:r>
          </w:p>
          <w:p>
            <w:pPr>
              <w:spacing w:line="360" w:lineRule="auto"/>
              <w:ind w:firstLine="454"/>
              <w:rPr>
                <w:bCs/>
                <w:snapToGrid w:val="0"/>
                <w:color w:val="auto"/>
                <w:kern w:val="0"/>
                <w:sz w:val="24"/>
                <w:lang w:val="zh-CN"/>
              </w:rPr>
            </w:pPr>
            <w:r>
              <w:rPr>
                <w:rFonts w:hint="eastAsia"/>
                <w:bCs/>
                <w:snapToGrid w:val="0"/>
                <w:color w:val="auto"/>
                <w:kern w:val="0"/>
                <w:sz w:val="24"/>
                <w:lang w:val="zh-CN"/>
              </w:rPr>
              <w:t>除尘器工作时，随着过滤的不断进行，滤袋外表的</w:t>
            </w:r>
            <w:r>
              <w:rPr>
                <w:color w:val="auto"/>
              </w:rPr>
              <w:fldChar w:fldCharType="begin"/>
            </w:r>
            <w:r>
              <w:rPr>
                <w:color w:val="auto"/>
              </w:rPr>
              <w:instrText xml:space="preserve"> HYPERLINK "http://www.so.com/s?q=%E7%A7%AF%E5%B0%98&amp;ie=utf-8&amp;src=internal_wenda_recommend_textn" \t "_blank" </w:instrText>
            </w:r>
            <w:r>
              <w:rPr>
                <w:color w:val="auto"/>
              </w:rPr>
              <w:fldChar w:fldCharType="separate"/>
            </w:r>
            <w:r>
              <w:rPr>
                <w:rFonts w:hint="eastAsia"/>
                <w:bCs/>
                <w:snapToGrid w:val="0"/>
                <w:color w:val="auto"/>
                <w:kern w:val="0"/>
                <w:sz w:val="24"/>
                <w:lang w:val="zh-CN"/>
              </w:rPr>
              <w:t>积尘</w:t>
            </w:r>
            <w:r>
              <w:rPr>
                <w:rFonts w:hint="eastAsia"/>
                <w:bCs/>
                <w:snapToGrid w:val="0"/>
                <w:color w:val="auto"/>
                <w:kern w:val="0"/>
                <w:sz w:val="24"/>
                <w:lang w:val="zh-CN"/>
              </w:rPr>
              <w:fldChar w:fldCharType="end"/>
            </w:r>
            <w:r>
              <w:rPr>
                <w:rFonts w:hint="eastAsia"/>
                <w:bCs/>
                <w:snapToGrid w:val="0"/>
                <w:color w:val="auto"/>
                <w:kern w:val="0"/>
                <w:sz w:val="24"/>
                <w:lang w:val="zh-CN"/>
              </w:rPr>
              <w:t>逐渐增多，除尘器的阻力亦逐渐增加。当达到设定值时，清灰控制器发出清灰</w:t>
            </w:r>
            <w:r>
              <w:rPr>
                <w:color w:val="auto"/>
              </w:rPr>
              <w:fldChar w:fldCharType="begin"/>
            </w:r>
            <w:r>
              <w:rPr>
                <w:color w:val="auto"/>
              </w:rPr>
              <w:instrText xml:space="preserve"> HYPERLINK "http://www.so.com/s?q=%E6%8C%87%E4%BB%A4&amp;ie=utf-8&amp;src=internal_wenda_recommend_textn" \t "_blank" </w:instrText>
            </w:r>
            <w:r>
              <w:rPr>
                <w:color w:val="auto"/>
              </w:rPr>
              <w:fldChar w:fldCharType="separate"/>
            </w:r>
            <w:r>
              <w:rPr>
                <w:rFonts w:hint="eastAsia"/>
                <w:bCs/>
                <w:snapToGrid w:val="0"/>
                <w:color w:val="auto"/>
                <w:kern w:val="0"/>
                <w:sz w:val="24"/>
                <w:lang w:val="zh-CN"/>
              </w:rPr>
              <w:t>指令</w:t>
            </w:r>
            <w:r>
              <w:rPr>
                <w:rFonts w:hint="eastAsia"/>
                <w:bCs/>
                <w:snapToGrid w:val="0"/>
                <w:color w:val="auto"/>
                <w:kern w:val="0"/>
                <w:sz w:val="24"/>
                <w:lang w:val="zh-CN"/>
              </w:rPr>
              <w:fldChar w:fldCharType="end"/>
            </w:r>
            <w:r>
              <w:rPr>
                <w:rFonts w:hint="eastAsia"/>
                <w:bCs/>
                <w:snapToGrid w:val="0"/>
                <w:color w:val="auto"/>
                <w:kern w:val="0"/>
                <w:sz w:val="24"/>
                <w:lang w:val="zh-CN"/>
              </w:rPr>
              <w:t>，将滤袋外表面的粉尘清除下来，并落入灰斗，然后再打开</w:t>
            </w:r>
            <w:r>
              <w:rPr>
                <w:color w:val="auto"/>
              </w:rPr>
              <w:fldChar w:fldCharType="begin"/>
            </w:r>
            <w:r>
              <w:rPr>
                <w:color w:val="auto"/>
              </w:rPr>
              <w:instrText xml:space="preserve"> HYPERLINK "http://www.so.com/s?q=%E6%8E%92%E6%B0%94%E9%98%80&amp;ie=utf-8&amp;src=internal_wenda_recommend_textn" \t "_blank" </w:instrText>
            </w:r>
            <w:r>
              <w:rPr>
                <w:color w:val="auto"/>
              </w:rPr>
              <w:fldChar w:fldCharType="separate"/>
            </w:r>
            <w:r>
              <w:rPr>
                <w:rFonts w:hint="eastAsia"/>
                <w:bCs/>
                <w:snapToGrid w:val="0"/>
                <w:color w:val="auto"/>
                <w:kern w:val="0"/>
                <w:sz w:val="24"/>
                <w:lang w:val="zh-CN"/>
              </w:rPr>
              <w:t>排气阀</w:t>
            </w:r>
            <w:r>
              <w:rPr>
                <w:rFonts w:hint="eastAsia"/>
                <w:bCs/>
                <w:snapToGrid w:val="0"/>
                <w:color w:val="auto"/>
                <w:kern w:val="0"/>
                <w:sz w:val="24"/>
                <w:lang w:val="zh-CN"/>
              </w:rPr>
              <w:fldChar w:fldCharType="end"/>
            </w:r>
            <w:r>
              <w:rPr>
                <w:rFonts w:hint="eastAsia"/>
                <w:bCs/>
                <w:snapToGrid w:val="0"/>
                <w:color w:val="auto"/>
                <w:kern w:val="0"/>
                <w:sz w:val="24"/>
                <w:lang w:val="zh-CN"/>
              </w:rPr>
              <w:t>使该室恢复过滤。经过适当的时间间隔后除尘器再次进行下一室的清灰工作。除尘器除尘效率高，可捕集粒径大于</w:t>
            </w:r>
            <w:r>
              <w:rPr>
                <w:bCs/>
                <w:snapToGrid w:val="0"/>
                <w:color w:val="auto"/>
                <w:kern w:val="0"/>
                <w:sz w:val="24"/>
                <w:lang w:val="zh-CN"/>
              </w:rPr>
              <w:t>0.3</w:t>
            </w:r>
            <w:r>
              <w:rPr>
                <w:rFonts w:hint="eastAsia"/>
                <w:bCs/>
                <w:snapToGrid w:val="0"/>
                <w:color w:val="auto"/>
                <w:kern w:val="0"/>
                <w:sz w:val="24"/>
                <w:lang w:val="zh-CN"/>
              </w:rPr>
              <w:t>微米的细小粉尘，除尘效率可达</w:t>
            </w:r>
            <w:r>
              <w:rPr>
                <w:bCs/>
                <w:snapToGrid w:val="0"/>
                <w:color w:val="auto"/>
                <w:kern w:val="0"/>
                <w:sz w:val="24"/>
                <w:lang w:val="zh-CN"/>
              </w:rPr>
              <w:t>9</w:t>
            </w:r>
            <w:r>
              <w:rPr>
                <w:bCs/>
                <w:snapToGrid w:val="0"/>
                <w:color w:val="auto"/>
                <w:kern w:val="0"/>
                <w:sz w:val="24"/>
              </w:rPr>
              <w:t>9</w:t>
            </w:r>
            <w:r>
              <w:rPr>
                <w:bCs/>
                <w:snapToGrid w:val="0"/>
                <w:color w:val="auto"/>
                <w:kern w:val="0"/>
                <w:sz w:val="24"/>
                <w:lang w:val="zh-CN"/>
              </w:rPr>
              <w:t>%</w:t>
            </w:r>
            <w:r>
              <w:rPr>
                <w:rFonts w:hint="eastAsia"/>
                <w:bCs/>
                <w:snapToGrid w:val="0"/>
                <w:color w:val="auto"/>
                <w:kern w:val="0"/>
                <w:sz w:val="24"/>
                <w:lang w:val="zh-CN"/>
              </w:rPr>
              <w:t>以上，布袋除尘器工作原理见图</w:t>
            </w:r>
            <w:r>
              <w:rPr>
                <w:bCs/>
                <w:snapToGrid w:val="0"/>
                <w:color w:val="auto"/>
                <w:kern w:val="0"/>
                <w:sz w:val="24"/>
                <w:lang w:val="zh-CN"/>
              </w:rPr>
              <w:t>4.1-</w:t>
            </w:r>
            <w:r>
              <w:rPr>
                <w:bCs/>
                <w:snapToGrid w:val="0"/>
                <w:color w:val="auto"/>
                <w:kern w:val="0"/>
                <w:sz w:val="24"/>
              </w:rPr>
              <w:t>1</w:t>
            </w:r>
            <w:r>
              <w:rPr>
                <w:rFonts w:hint="eastAsia"/>
                <w:bCs/>
                <w:snapToGrid w:val="0"/>
                <w:color w:val="auto"/>
                <w:kern w:val="0"/>
                <w:sz w:val="24"/>
                <w:lang w:val="zh-CN"/>
              </w:rPr>
              <w:t>。</w:t>
            </w:r>
          </w:p>
          <w:p>
            <w:pPr>
              <w:jc w:val="center"/>
              <w:rPr>
                <w:color w:val="auto"/>
                <w:kern w:val="0"/>
              </w:rPr>
            </w:pPr>
            <w:r>
              <w:rPr>
                <w:color w:val="auto"/>
                <w:kern w:val="0"/>
              </w:rPr>
              <w:drawing>
                <wp:inline distT="0" distB="0" distL="114300" distR="114300">
                  <wp:extent cx="3990975" cy="2257425"/>
                  <wp:effectExtent l="0" t="0" r="9525" b="9525"/>
                  <wp:docPr id="4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3"/>
                          <pic:cNvPicPr>
                            <a:picLocks noChangeAspect="1"/>
                          </pic:cNvPicPr>
                        </pic:nvPicPr>
                        <pic:blipFill>
                          <a:blip r:embed="rId38"/>
                          <a:srcRect l="6776" r="6219"/>
                          <a:stretch>
                            <a:fillRect/>
                          </a:stretch>
                        </pic:blipFill>
                        <pic:spPr>
                          <a:xfrm>
                            <a:off x="0" y="0"/>
                            <a:ext cx="3990975" cy="2257425"/>
                          </a:xfrm>
                          <a:prstGeom prst="rect">
                            <a:avLst/>
                          </a:prstGeom>
                          <a:noFill/>
                          <a:ln>
                            <a:noFill/>
                          </a:ln>
                        </pic:spPr>
                      </pic:pic>
                    </a:graphicData>
                  </a:graphic>
                </wp:inline>
              </w:drawing>
            </w:r>
          </w:p>
          <w:p>
            <w:pPr>
              <w:spacing w:afterLines="50"/>
              <w:jc w:val="center"/>
              <w:rPr>
                <w:rFonts w:eastAsia="黑体"/>
                <w:color w:val="auto"/>
                <w:sz w:val="24"/>
              </w:rPr>
            </w:pPr>
            <w:r>
              <w:rPr>
                <w:rFonts w:hint="eastAsia" w:eastAsia="黑体"/>
                <w:color w:val="auto"/>
                <w:sz w:val="24"/>
              </w:rPr>
              <w:t>图</w:t>
            </w:r>
            <w:r>
              <w:rPr>
                <w:rFonts w:eastAsia="黑体"/>
                <w:color w:val="auto"/>
                <w:sz w:val="24"/>
              </w:rPr>
              <w:t xml:space="preserve">4.1-1  </w:t>
            </w:r>
            <w:r>
              <w:rPr>
                <w:rFonts w:hint="eastAsia" w:eastAsia="黑体"/>
                <w:color w:val="auto"/>
                <w:sz w:val="24"/>
              </w:rPr>
              <w:t>布袋除尘器工作原理图</w:t>
            </w:r>
          </w:p>
          <w:p>
            <w:pPr>
              <w:spacing w:line="360" w:lineRule="auto"/>
              <w:ind w:firstLine="454"/>
              <w:rPr>
                <w:bCs/>
                <w:snapToGrid w:val="0"/>
                <w:color w:val="auto"/>
                <w:kern w:val="0"/>
                <w:sz w:val="24"/>
                <w:lang w:val="zh-CN"/>
              </w:rPr>
            </w:pPr>
            <w:r>
              <w:rPr>
                <w:rFonts w:hint="eastAsia"/>
                <w:bCs/>
                <w:snapToGrid w:val="0"/>
                <w:color w:val="auto"/>
                <w:kern w:val="0"/>
                <w:sz w:val="24"/>
                <w:lang w:val="zh-CN"/>
              </w:rPr>
              <w:t>该处理工艺具有可操作性强，运行维护便捷，处理效率较高，工艺技术成熟，投资规模适中，可以保证项目产生的</w:t>
            </w:r>
            <w:r>
              <w:rPr>
                <w:rFonts w:hint="eastAsia"/>
                <w:bCs/>
                <w:snapToGrid w:val="0"/>
                <w:color w:val="auto"/>
                <w:kern w:val="0"/>
                <w:sz w:val="24"/>
              </w:rPr>
              <w:t>投料、破碎、筛分粉尘</w:t>
            </w:r>
            <w:r>
              <w:rPr>
                <w:rFonts w:hint="eastAsia"/>
                <w:bCs/>
                <w:snapToGrid w:val="0"/>
                <w:color w:val="auto"/>
                <w:kern w:val="0"/>
                <w:sz w:val="24"/>
                <w:lang w:val="zh-CN"/>
              </w:rPr>
              <w:t>能够稳定达标排放，处理效果良好，因此，本项目</w:t>
            </w:r>
            <w:r>
              <w:rPr>
                <w:rFonts w:hint="eastAsia"/>
                <w:bCs/>
                <w:snapToGrid w:val="0"/>
                <w:color w:val="auto"/>
                <w:kern w:val="0"/>
                <w:sz w:val="24"/>
              </w:rPr>
              <w:t>投料、破碎、筛分粉尘</w:t>
            </w:r>
            <w:r>
              <w:rPr>
                <w:rFonts w:hint="eastAsia"/>
                <w:bCs/>
                <w:snapToGrid w:val="0"/>
                <w:color w:val="auto"/>
                <w:kern w:val="0"/>
                <w:sz w:val="24"/>
                <w:lang w:val="zh-CN"/>
              </w:rPr>
              <w:t>采用布袋除尘器进行处理措施可行。</w:t>
            </w:r>
          </w:p>
          <w:p>
            <w:pPr>
              <w:spacing w:line="360" w:lineRule="auto"/>
              <w:ind w:firstLine="454"/>
              <w:rPr>
                <w:bCs/>
                <w:snapToGrid w:val="0"/>
                <w:color w:val="auto"/>
                <w:kern w:val="0"/>
                <w:sz w:val="24"/>
              </w:rPr>
            </w:pPr>
            <w:r>
              <w:rPr>
                <w:bCs/>
                <w:snapToGrid w:val="0"/>
                <w:color w:val="auto"/>
                <w:kern w:val="0"/>
                <w:sz w:val="24"/>
              </w:rPr>
              <w:t>2</w:t>
            </w:r>
            <w:r>
              <w:rPr>
                <w:rFonts w:hint="eastAsia"/>
                <w:bCs/>
                <w:snapToGrid w:val="0"/>
                <w:color w:val="auto"/>
                <w:kern w:val="0"/>
                <w:sz w:val="24"/>
              </w:rPr>
              <w:t>）无组织</w:t>
            </w:r>
          </w:p>
          <w:p>
            <w:pPr>
              <w:spacing w:line="360" w:lineRule="auto"/>
              <w:ind w:firstLine="480" w:firstLineChars="200"/>
              <w:rPr>
                <w:color w:val="auto"/>
                <w:sz w:val="24"/>
              </w:rPr>
            </w:pPr>
            <w:r>
              <w:rPr>
                <w:rFonts w:hint="eastAsia"/>
                <w:color w:val="auto"/>
                <w:sz w:val="24"/>
              </w:rPr>
              <w:t>本项目废气治理设施参照《排污许可证申请与核发技术规范</w:t>
            </w:r>
            <w:r>
              <w:rPr>
                <w:color w:val="auto"/>
                <w:sz w:val="24"/>
              </w:rPr>
              <w:t xml:space="preserve"> </w:t>
            </w:r>
            <w:r>
              <w:rPr>
                <w:rFonts w:hint="eastAsia"/>
                <w:color w:val="auto"/>
                <w:sz w:val="24"/>
              </w:rPr>
              <w:t>水泥工业》（</w:t>
            </w:r>
            <w:r>
              <w:rPr>
                <w:color w:val="auto"/>
                <w:sz w:val="24"/>
              </w:rPr>
              <w:t>HJ847-2017</w:t>
            </w:r>
            <w:r>
              <w:rPr>
                <w:rFonts w:hint="eastAsia"/>
                <w:color w:val="auto"/>
                <w:sz w:val="24"/>
              </w:rPr>
              <w:t>）中水泥粉磨生产单位无组织排放控制要求，符合相关排放控制要求，详见表</w:t>
            </w:r>
            <w:r>
              <w:rPr>
                <w:color w:val="auto"/>
                <w:sz w:val="24"/>
              </w:rPr>
              <w:t>4.2-13</w:t>
            </w:r>
            <w:r>
              <w:rPr>
                <w:rFonts w:hint="eastAsia"/>
                <w:color w:val="auto"/>
                <w:sz w:val="24"/>
              </w:rPr>
              <w:t>。</w:t>
            </w:r>
          </w:p>
          <w:p>
            <w:pPr>
              <w:jc w:val="center"/>
              <w:rPr>
                <w:b/>
                <w:bCs/>
                <w:color w:val="auto"/>
                <w:sz w:val="24"/>
              </w:rPr>
            </w:pPr>
            <w:r>
              <w:rPr>
                <w:rFonts w:hint="eastAsia" w:eastAsia="黑体"/>
                <w:color w:val="auto"/>
                <w:sz w:val="24"/>
              </w:rPr>
              <w:t>表</w:t>
            </w:r>
            <w:r>
              <w:rPr>
                <w:rFonts w:eastAsia="黑体"/>
                <w:color w:val="auto"/>
                <w:sz w:val="24"/>
              </w:rPr>
              <w:t xml:space="preserve">4.2-13  </w:t>
            </w:r>
            <w:r>
              <w:rPr>
                <w:rFonts w:hint="eastAsia" w:eastAsia="黑体"/>
                <w:color w:val="auto"/>
                <w:sz w:val="24"/>
              </w:rPr>
              <w:t>本项目无组织废气防治措施一览表</w:t>
            </w:r>
          </w:p>
          <w:tbl>
            <w:tblPr>
              <w:tblStyle w:val="27"/>
              <w:tblW w:w="841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2668"/>
              <w:gridCol w:w="2740"/>
              <w:gridCol w:w="15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1" w:type="dxa"/>
                  <w:tcBorders>
                    <w:top w:val="single" w:color="auto" w:sz="12" w:space="0"/>
                    <w:bottom w:val="single" w:color="auto" w:sz="4" w:space="0"/>
                    <w:right w:val="single" w:color="auto" w:sz="4" w:space="0"/>
                  </w:tcBorders>
                  <w:vAlign w:val="center"/>
                </w:tcPr>
                <w:p>
                  <w:pPr>
                    <w:autoSpaceDE w:val="0"/>
                    <w:autoSpaceDN w:val="0"/>
                    <w:adjustRightInd w:val="0"/>
                    <w:jc w:val="center"/>
                    <w:rPr>
                      <w:color w:val="auto"/>
                      <w:szCs w:val="21"/>
                    </w:rPr>
                  </w:pPr>
                  <w:r>
                    <w:rPr>
                      <w:rFonts w:hint="eastAsia"/>
                      <w:color w:val="auto"/>
                      <w:szCs w:val="21"/>
                    </w:rPr>
                    <w:t>主要生产单元</w:t>
                  </w:r>
                </w:p>
              </w:tc>
              <w:tc>
                <w:tcPr>
                  <w:tcW w:w="266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jc w:val="center"/>
                    <w:rPr>
                      <w:color w:val="auto"/>
                      <w:szCs w:val="21"/>
                    </w:rPr>
                  </w:pPr>
                  <w:r>
                    <w:rPr>
                      <w:rFonts w:hint="eastAsia"/>
                      <w:color w:val="auto"/>
                      <w:szCs w:val="21"/>
                    </w:rPr>
                    <w:t>无组织排放控制要求</w:t>
                  </w:r>
                </w:p>
                <w:p>
                  <w:pPr>
                    <w:autoSpaceDE w:val="0"/>
                    <w:autoSpaceDN w:val="0"/>
                    <w:adjustRightInd w:val="0"/>
                    <w:jc w:val="center"/>
                    <w:rPr>
                      <w:color w:val="auto"/>
                      <w:szCs w:val="21"/>
                    </w:rPr>
                  </w:pPr>
                  <w:r>
                    <w:rPr>
                      <w:rFonts w:hint="eastAsia"/>
                      <w:color w:val="auto"/>
                      <w:szCs w:val="21"/>
                    </w:rPr>
                    <w:t>（重点区域）</w:t>
                  </w:r>
                </w:p>
              </w:tc>
              <w:tc>
                <w:tcPr>
                  <w:tcW w:w="274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jc w:val="center"/>
                    <w:rPr>
                      <w:color w:val="auto"/>
                      <w:szCs w:val="21"/>
                    </w:rPr>
                  </w:pPr>
                  <w:r>
                    <w:rPr>
                      <w:rFonts w:hint="eastAsia"/>
                      <w:color w:val="auto"/>
                      <w:szCs w:val="21"/>
                    </w:rPr>
                    <w:t>治理措施</w:t>
                  </w:r>
                </w:p>
              </w:tc>
              <w:tc>
                <w:tcPr>
                  <w:tcW w:w="1519" w:type="dxa"/>
                  <w:tcBorders>
                    <w:top w:val="single" w:color="auto" w:sz="12" w:space="0"/>
                    <w:left w:val="single" w:color="auto" w:sz="4" w:space="0"/>
                    <w:bottom w:val="single" w:color="auto" w:sz="4" w:space="0"/>
                  </w:tcBorders>
                  <w:vAlign w:val="center"/>
                </w:tcPr>
                <w:p>
                  <w:pPr>
                    <w:autoSpaceDE w:val="0"/>
                    <w:autoSpaceDN w:val="0"/>
                    <w:adjustRightInd w:val="0"/>
                    <w:jc w:val="center"/>
                    <w:rPr>
                      <w:color w:val="auto"/>
                      <w:szCs w:val="21"/>
                    </w:rPr>
                  </w:pPr>
                  <w:r>
                    <w:rPr>
                      <w:rFonts w:hint="eastAsia"/>
                      <w:color w:val="auto"/>
                      <w:szCs w:val="21"/>
                    </w:rPr>
                    <w:t>是否可行技术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91" w:type="dxa"/>
                  <w:vMerge w:val="restart"/>
                  <w:tcBorders>
                    <w:top w:val="single" w:color="auto" w:sz="4" w:space="0"/>
                    <w:bottom w:val="single" w:color="auto" w:sz="4" w:space="0"/>
                    <w:right w:val="single" w:color="auto" w:sz="4" w:space="0"/>
                  </w:tcBorders>
                  <w:vAlign w:val="center"/>
                </w:tcPr>
                <w:p>
                  <w:pPr>
                    <w:pStyle w:val="124"/>
                    <w:adjustRightInd/>
                    <w:jc w:val="center"/>
                    <w:rPr>
                      <w:rFonts w:ascii="Times New Roman" w:cs="Times New Roman"/>
                      <w:bCs/>
                      <w:color w:val="auto"/>
                      <w:sz w:val="21"/>
                      <w:szCs w:val="21"/>
                    </w:rPr>
                  </w:pPr>
                  <w:r>
                    <w:rPr>
                      <w:rFonts w:hint="eastAsia" w:ascii="Times New Roman" w:cs="Times New Roman"/>
                      <w:bCs/>
                      <w:color w:val="auto"/>
                      <w:sz w:val="21"/>
                      <w:szCs w:val="21"/>
                    </w:rPr>
                    <w:t>水泥粉磨</w:t>
                  </w:r>
                </w:p>
                <w:p>
                  <w:pPr>
                    <w:pStyle w:val="124"/>
                    <w:adjustRightInd/>
                    <w:jc w:val="center"/>
                    <w:rPr>
                      <w:rFonts w:ascii="Times New Roman" w:cs="Times New Roman"/>
                      <w:bCs/>
                      <w:color w:val="auto"/>
                      <w:sz w:val="21"/>
                      <w:szCs w:val="21"/>
                    </w:rPr>
                  </w:pPr>
                  <w:r>
                    <w:rPr>
                      <w:rFonts w:hint="eastAsia" w:ascii="Times New Roman" w:cs="Times New Roman"/>
                      <w:bCs/>
                      <w:color w:val="auto"/>
                      <w:sz w:val="21"/>
                      <w:szCs w:val="21"/>
                    </w:rPr>
                    <w:t>（物料堆存）</w:t>
                  </w:r>
                </w:p>
              </w:tc>
              <w:tc>
                <w:tcPr>
                  <w:tcW w:w="2668" w:type="dxa"/>
                  <w:tcBorders>
                    <w:top w:val="single" w:color="auto" w:sz="4" w:space="0"/>
                    <w:left w:val="single" w:color="auto" w:sz="4" w:space="0"/>
                    <w:bottom w:val="single" w:color="auto" w:sz="4" w:space="0"/>
                    <w:right w:val="single" w:color="auto" w:sz="4" w:space="0"/>
                  </w:tcBorders>
                  <w:vAlign w:val="center"/>
                </w:tcPr>
                <w:p>
                  <w:pPr>
                    <w:pStyle w:val="124"/>
                    <w:adjustRightInd/>
                    <w:jc w:val="left"/>
                    <w:rPr>
                      <w:rFonts w:ascii="Times New Roman" w:cs="Times New Roman"/>
                      <w:bCs/>
                      <w:color w:val="auto"/>
                      <w:sz w:val="21"/>
                      <w:szCs w:val="21"/>
                    </w:rPr>
                  </w:pPr>
                  <w:r>
                    <w:rPr>
                      <w:rFonts w:hint="eastAsia" w:ascii="Times New Roman" w:cs="Times New Roman"/>
                      <w:bCs/>
                      <w:color w:val="auto"/>
                      <w:sz w:val="21"/>
                      <w:szCs w:val="21"/>
                    </w:rPr>
                    <w:t>（</w:t>
                  </w:r>
                  <w:r>
                    <w:rPr>
                      <w:rFonts w:ascii="Times New Roman" w:cs="Times New Roman"/>
                      <w:bCs/>
                      <w:color w:val="auto"/>
                      <w:sz w:val="21"/>
                      <w:szCs w:val="21"/>
                    </w:rPr>
                    <w:t>1</w:t>
                  </w:r>
                  <w:r>
                    <w:rPr>
                      <w:rFonts w:hint="eastAsia" w:ascii="Times New Roman" w:cs="Times New Roman"/>
                      <w:bCs/>
                      <w:color w:val="auto"/>
                      <w:sz w:val="21"/>
                      <w:szCs w:val="21"/>
                    </w:rPr>
                    <w:t>）粉状物料全部密闭储存，其他物料全部封闭储存。</w:t>
                  </w:r>
                </w:p>
              </w:tc>
              <w:tc>
                <w:tcPr>
                  <w:tcW w:w="2740" w:type="dxa"/>
                  <w:tcBorders>
                    <w:top w:val="single" w:color="auto" w:sz="4" w:space="0"/>
                    <w:left w:val="single" w:color="auto" w:sz="4" w:space="0"/>
                    <w:bottom w:val="single" w:color="auto" w:sz="4" w:space="0"/>
                    <w:right w:val="single" w:color="auto" w:sz="4" w:space="0"/>
                  </w:tcBorders>
                  <w:vAlign w:val="center"/>
                </w:tcPr>
                <w:p>
                  <w:pPr>
                    <w:pStyle w:val="124"/>
                    <w:adjustRightInd/>
                    <w:jc w:val="left"/>
                    <w:rPr>
                      <w:rFonts w:ascii="Times New Roman" w:cs="Times New Roman"/>
                      <w:bCs/>
                      <w:color w:val="auto"/>
                      <w:sz w:val="21"/>
                      <w:szCs w:val="21"/>
                    </w:rPr>
                  </w:pPr>
                  <w:r>
                    <w:rPr>
                      <w:rFonts w:hint="eastAsia" w:ascii="Times New Roman" w:cs="Times New Roman"/>
                      <w:bCs/>
                      <w:color w:val="auto"/>
                      <w:sz w:val="21"/>
                      <w:szCs w:val="21"/>
                    </w:rPr>
                    <w:t>（</w:t>
                  </w:r>
                  <w:r>
                    <w:rPr>
                      <w:rFonts w:ascii="Times New Roman" w:cs="Times New Roman"/>
                      <w:bCs/>
                      <w:color w:val="auto"/>
                      <w:sz w:val="21"/>
                      <w:szCs w:val="21"/>
                    </w:rPr>
                    <w:t>1</w:t>
                  </w:r>
                  <w:r>
                    <w:rPr>
                      <w:rFonts w:hint="eastAsia" w:ascii="Times New Roman" w:cs="Times New Roman"/>
                      <w:bCs/>
                      <w:color w:val="auto"/>
                      <w:sz w:val="21"/>
                      <w:szCs w:val="21"/>
                    </w:rPr>
                    <w:t>）原料加工至粉状后石英粉使用气力管道密闭输送，密闭料仓储存；石英石原料进场后进入封闭原料库进行存储。</w:t>
                  </w:r>
                </w:p>
              </w:tc>
              <w:tc>
                <w:tcPr>
                  <w:tcW w:w="1519" w:type="dxa"/>
                  <w:vMerge w:val="restart"/>
                  <w:tcBorders>
                    <w:top w:val="single" w:color="auto" w:sz="4" w:space="0"/>
                    <w:left w:val="single" w:color="auto" w:sz="4" w:space="0"/>
                    <w:bottom w:val="single" w:color="auto" w:sz="4" w:space="0"/>
                  </w:tcBorders>
                  <w:vAlign w:val="center"/>
                </w:tcPr>
                <w:p>
                  <w:pPr>
                    <w:pStyle w:val="124"/>
                    <w:adjustRightInd/>
                    <w:jc w:val="center"/>
                    <w:rPr>
                      <w:rFonts w:ascii="Times New Roman" w:cs="Times New Roman"/>
                      <w:bCs/>
                      <w:color w:val="auto"/>
                      <w:sz w:val="21"/>
                      <w:szCs w:val="21"/>
                    </w:rPr>
                  </w:pPr>
                  <w:r>
                    <w:rPr>
                      <w:rFonts w:hint="eastAsia" w:ascii="Times New Roman" w:cs="Times New Roman"/>
                      <w:bCs/>
                      <w:color w:val="auto"/>
                      <w:sz w:val="21"/>
                      <w:szCs w:val="21"/>
                    </w:rPr>
                    <w:t>是，符合《排污许可证申请与核发技术规范</w:t>
                  </w:r>
                  <w:r>
                    <w:rPr>
                      <w:rFonts w:ascii="Times New Roman" w:cs="Times New Roman"/>
                      <w:bCs/>
                      <w:color w:val="auto"/>
                      <w:sz w:val="21"/>
                      <w:szCs w:val="21"/>
                    </w:rPr>
                    <w:t xml:space="preserve"> </w:t>
                  </w:r>
                  <w:r>
                    <w:rPr>
                      <w:rFonts w:hint="eastAsia" w:ascii="Times New Roman" w:cs="Times New Roman"/>
                      <w:bCs/>
                      <w:color w:val="auto"/>
                      <w:sz w:val="21"/>
                      <w:szCs w:val="21"/>
                    </w:rPr>
                    <w:t>水泥工业》（</w:t>
                  </w:r>
                  <w:r>
                    <w:rPr>
                      <w:rFonts w:ascii="Times New Roman" w:cs="Times New Roman"/>
                      <w:bCs/>
                      <w:color w:val="auto"/>
                      <w:sz w:val="21"/>
                      <w:szCs w:val="21"/>
                    </w:rPr>
                    <w:t>HJ847-2017</w:t>
                  </w:r>
                  <w:r>
                    <w:rPr>
                      <w:rFonts w:hint="eastAsia" w:ascii="Times New Roman" w:cs="Times New Roman"/>
                      <w:bCs/>
                      <w:color w:val="auto"/>
                      <w:sz w:val="21"/>
                      <w:szCs w:val="21"/>
                    </w:rPr>
                    <w:t>）中相关无组织排放控制要求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491" w:type="dxa"/>
                  <w:vMerge w:val="continue"/>
                  <w:tcBorders>
                    <w:top w:val="single" w:color="auto" w:sz="4" w:space="0"/>
                    <w:bottom w:val="single" w:color="auto" w:sz="12" w:space="0"/>
                    <w:right w:val="single" w:color="auto" w:sz="4" w:space="0"/>
                  </w:tcBorders>
                  <w:vAlign w:val="center"/>
                </w:tcPr>
                <w:p>
                  <w:pPr>
                    <w:pStyle w:val="124"/>
                    <w:adjustRightInd/>
                    <w:jc w:val="center"/>
                    <w:rPr>
                      <w:rFonts w:ascii="Times New Roman" w:cs="Times New Roman"/>
                      <w:bCs/>
                      <w:color w:val="auto"/>
                      <w:sz w:val="21"/>
                      <w:szCs w:val="21"/>
                    </w:rPr>
                  </w:pPr>
                </w:p>
              </w:tc>
              <w:tc>
                <w:tcPr>
                  <w:tcW w:w="2668" w:type="dxa"/>
                  <w:tcBorders>
                    <w:top w:val="single" w:color="auto" w:sz="4" w:space="0"/>
                    <w:left w:val="single" w:color="auto" w:sz="4" w:space="0"/>
                    <w:bottom w:val="single" w:color="auto" w:sz="12" w:space="0"/>
                    <w:right w:val="single" w:color="auto" w:sz="4" w:space="0"/>
                  </w:tcBorders>
                  <w:vAlign w:val="center"/>
                </w:tcPr>
                <w:p>
                  <w:pPr>
                    <w:pStyle w:val="124"/>
                    <w:adjustRightInd/>
                    <w:jc w:val="left"/>
                    <w:rPr>
                      <w:rFonts w:ascii="Times New Roman" w:cs="Times New Roman"/>
                      <w:bCs/>
                      <w:color w:val="auto"/>
                      <w:sz w:val="21"/>
                      <w:szCs w:val="21"/>
                    </w:rPr>
                  </w:pPr>
                  <w:r>
                    <w:rPr>
                      <w:rFonts w:hint="eastAsia" w:ascii="Times New Roman" w:cs="Times New Roman"/>
                      <w:bCs/>
                      <w:color w:val="auto"/>
                      <w:sz w:val="21"/>
                      <w:szCs w:val="21"/>
                    </w:rPr>
                    <w:t>（</w:t>
                  </w:r>
                  <w:r>
                    <w:rPr>
                      <w:rFonts w:ascii="Times New Roman" w:cs="Times New Roman"/>
                      <w:bCs/>
                      <w:color w:val="auto"/>
                      <w:sz w:val="21"/>
                      <w:szCs w:val="21"/>
                    </w:rPr>
                    <w:t>2</w:t>
                  </w:r>
                  <w:r>
                    <w:rPr>
                      <w:rFonts w:hint="eastAsia" w:ascii="Times New Roman" w:cs="Times New Roman"/>
                      <w:bCs/>
                      <w:color w:val="auto"/>
                      <w:sz w:val="21"/>
                      <w:szCs w:val="21"/>
                    </w:rPr>
                    <w:t>）封闭式皮带、斗提、斜槽运输，各物料破碎、转载、下料口应设置集尘罩并配置高效袋式除尘器，库顶等泄压口配备高效袋式除尘器。</w:t>
                  </w:r>
                </w:p>
              </w:tc>
              <w:tc>
                <w:tcPr>
                  <w:tcW w:w="2740" w:type="dxa"/>
                  <w:tcBorders>
                    <w:top w:val="single" w:color="auto" w:sz="4" w:space="0"/>
                    <w:left w:val="single" w:color="auto" w:sz="4" w:space="0"/>
                    <w:bottom w:val="single" w:color="auto" w:sz="12" w:space="0"/>
                    <w:right w:val="single" w:color="auto" w:sz="4" w:space="0"/>
                  </w:tcBorders>
                  <w:vAlign w:val="center"/>
                </w:tcPr>
                <w:p>
                  <w:pPr>
                    <w:pStyle w:val="124"/>
                    <w:adjustRightInd/>
                    <w:jc w:val="left"/>
                    <w:rPr>
                      <w:rFonts w:ascii="Times New Roman" w:cs="Times New Roman"/>
                      <w:bCs/>
                      <w:color w:val="auto"/>
                      <w:sz w:val="21"/>
                      <w:szCs w:val="21"/>
                    </w:rPr>
                  </w:pPr>
                  <w:r>
                    <w:rPr>
                      <w:rFonts w:hint="eastAsia" w:ascii="Times New Roman" w:cs="Times New Roman"/>
                      <w:bCs/>
                      <w:color w:val="auto"/>
                      <w:sz w:val="21"/>
                      <w:szCs w:val="21"/>
                    </w:rPr>
                    <w:t>（</w:t>
                  </w:r>
                  <w:r>
                    <w:rPr>
                      <w:rFonts w:ascii="Times New Roman" w:cs="Times New Roman"/>
                      <w:bCs/>
                      <w:color w:val="auto"/>
                      <w:sz w:val="21"/>
                      <w:szCs w:val="21"/>
                    </w:rPr>
                    <w:t>2</w:t>
                  </w:r>
                  <w:r>
                    <w:rPr>
                      <w:rFonts w:hint="eastAsia" w:ascii="Times New Roman" w:cs="Times New Roman"/>
                      <w:bCs/>
                      <w:color w:val="auto"/>
                      <w:sz w:val="21"/>
                      <w:szCs w:val="21"/>
                    </w:rPr>
                    <w:t>）物料传输的皮带、斗提采用封闭式输送；物料加工过程中各破碎、转载、下料口均设置集尘罩并配置高效袋式除尘器；料仓呼吸口均配备高效袋式除尘器。</w:t>
                  </w:r>
                </w:p>
              </w:tc>
              <w:tc>
                <w:tcPr>
                  <w:tcW w:w="1519" w:type="dxa"/>
                  <w:vMerge w:val="continue"/>
                  <w:tcBorders>
                    <w:top w:val="single" w:color="auto" w:sz="4" w:space="0"/>
                    <w:left w:val="single" w:color="auto" w:sz="4" w:space="0"/>
                    <w:bottom w:val="single" w:color="auto" w:sz="12" w:space="0"/>
                  </w:tcBorders>
                  <w:vAlign w:val="center"/>
                </w:tcPr>
                <w:p>
                  <w:pPr>
                    <w:pStyle w:val="124"/>
                    <w:adjustRightInd/>
                    <w:jc w:val="center"/>
                    <w:rPr>
                      <w:rFonts w:ascii="Times New Roman" w:cs="Times New Roman"/>
                      <w:bCs/>
                      <w:color w:val="auto"/>
                      <w:sz w:val="21"/>
                      <w:szCs w:val="21"/>
                    </w:rPr>
                  </w:pPr>
                </w:p>
              </w:tc>
            </w:tr>
          </w:tbl>
          <w:p>
            <w:pPr>
              <w:spacing w:line="360" w:lineRule="auto"/>
              <w:ind w:firstLine="454"/>
              <w:rPr>
                <w:bCs/>
                <w:snapToGrid w:val="0"/>
                <w:color w:val="auto"/>
                <w:kern w:val="0"/>
                <w:sz w:val="24"/>
              </w:rPr>
            </w:pPr>
            <w:r>
              <w:rPr>
                <w:rFonts w:hint="eastAsia"/>
                <w:bCs/>
                <w:snapToGrid w:val="0"/>
                <w:color w:val="auto"/>
                <w:kern w:val="0"/>
                <w:sz w:val="24"/>
              </w:rPr>
              <w:t>本项目营运后卸料粉尘，投料、破碎、筛分、研磨、磨边等环节产生的粉尘收集并经布袋除尘处理后达标排放。无组织采取厂房、原料库封闭，封闭运输等措施可有效降低颗粒物对周边环境的影响。符合</w:t>
            </w:r>
            <w:r>
              <w:rPr>
                <w:rFonts w:hint="eastAsia"/>
                <w:color w:val="auto"/>
                <w:sz w:val="24"/>
              </w:rPr>
              <w:t>《排污许可证申请与核发技术规范</w:t>
            </w:r>
            <w:r>
              <w:rPr>
                <w:color w:val="auto"/>
                <w:sz w:val="24"/>
              </w:rPr>
              <w:t xml:space="preserve"> </w:t>
            </w:r>
            <w:r>
              <w:rPr>
                <w:rFonts w:hint="eastAsia"/>
                <w:color w:val="auto"/>
                <w:sz w:val="24"/>
              </w:rPr>
              <w:t>水泥工业》（</w:t>
            </w:r>
            <w:r>
              <w:rPr>
                <w:color w:val="auto"/>
                <w:sz w:val="24"/>
              </w:rPr>
              <w:t>HJ847-2017</w:t>
            </w:r>
            <w:r>
              <w:rPr>
                <w:rFonts w:hint="eastAsia"/>
                <w:color w:val="auto"/>
                <w:sz w:val="24"/>
              </w:rPr>
              <w:t>）</w:t>
            </w:r>
            <w:r>
              <w:rPr>
                <w:rFonts w:hint="eastAsia"/>
                <w:bCs/>
                <w:snapToGrid w:val="0"/>
                <w:color w:val="auto"/>
                <w:kern w:val="0"/>
                <w:sz w:val="24"/>
              </w:rPr>
              <w:t>中</w:t>
            </w:r>
            <w:r>
              <w:rPr>
                <w:rFonts w:hint="eastAsia"/>
                <w:color w:val="auto"/>
                <w:sz w:val="24"/>
              </w:rPr>
              <w:t>水泥粉磨生产单位</w:t>
            </w:r>
            <w:r>
              <w:rPr>
                <w:rFonts w:hint="eastAsia"/>
                <w:bCs/>
                <w:snapToGrid w:val="0"/>
                <w:color w:val="auto"/>
                <w:kern w:val="0"/>
                <w:sz w:val="24"/>
              </w:rPr>
              <w:t>相关无组织排放控制要求废气处理设施合理可行。</w:t>
            </w:r>
          </w:p>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4</w:t>
            </w:r>
            <w:r>
              <w:rPr>
                <w:rFonts w:hint="eastAsia" w:ascii="Times New Roman" w:cs="Times New Roman"/>
                <w:b/>
                <w:bCs/>
                <w:color w:val="auto"/>
              </w:rPr>
              <w:t>）环境防护距离</w:t>
            </w:r>
          </w:p>
          <w:p>
            <w:pPr>
              <w:spacing w:line="360" w:lineRule="auto"/>
              <w:ind w:firstLine="454"/>
              <w:rPr>
                <w:bCs/>
                <w:snapToGrid w:val="0"/>
                <w:color w:val="auto"/>
                <w:kern w:val="0"/>
                <w:sz w:val="24"/>
              </w:rPr>
            </w:pPr>
            <w:r>
              <w:rPr>
                <w:rFonts w:hint="eastAsia"/>
                <w:bCs/>
                <w:snapToGrid w:val="0"/>
                <w:color w:val="auto"/>
                <w:kern w:val="0"/>
                <w:sz w:val="24"/>
              </w:rPr>
              <w:t>据《环境评价技术导则－大气环境》</w:t>
            </w:r>
            <w:r>
              <w:rPr>
                <w:bCs/>
                <w:snapToGrid w:val="0"/>
                <w:color w:val="auto"/>
                <w:kern w:val="0"/>
                <w:sz w:val="24"/>
              </w:rPr>
              <w:t>(HJ2.2-2018)</w:t>
            </w:r>
            <w:r>
              <w:rPr>
                <w:rFonts w:hint="eastAsia"/>
                <w:bCs/>
                <w:snapToGrid w:val="0"/>
                <w:color w:val="auto"/>
                <w:kern w:val="0"/>
                <w:sz w:val="24"/>
              </w:rPr>
              <w:t>中的有关规定，对无组织排放的有毒有害气体可通过设置大气防护距离来解决。根据大气环境防护距离采用环境保护部环境工程评估中心环境质量模拟重点实验室推荐的模式计算，本项目废气在厂界外无超标点，可不设置大气环境防护距离，但为加强管理，本项目根据《大气有害物质无组织排放卫生防护距离推导技术导则》</w:t>
            </w:r>
            <w:r>
              <w:rPr>
                <w:bCs/>
                <w:snapToGrid w:val="0"/>
                <w:color w:val="auto"/>
                <w:kern w:val="0"/>
                <w:sz w:val="24"/>
              </w:rPr>
              <w:t>(GB/T39499-2020)</w:t>
            </w:r>
            <w:r>
              <w:rPr>
                <w:rFonts w:hint="eastAsia"/>
                <w:bCs/>
                <w:snapToGrid w:val="0"/>
                <w:color w:val="auto"/>
                <w:kern w:val="0"/>
                <w:sz w:val="24"/>
              </w:rPr>
              <w:t>中计算公式核算环境防护距离，无组织排放所需的卫生防护距离计算如下：</w:t>
            </w:r>
          </w:p>
          <w:p>
            <w:pPr>
              <w:jc w:val="center"/>
              <w:rPr>
                <w:color w:val="auto"/>
              </w:rPr>
            </w:pPr>
            <w:r>
              <w:rPr>
                <w:color w:val="auto"/>
              </w:rPr>
              <w:object>
                <v:shape id="_x0000_i1037" o:spt="75" type="#_x0000_t75" style="height:18.75pt;width:168pt;" o:ole="t" filled="f" o:preferrelative="t" stroked="f" coordsize="21600,21600">
                  <v:path/>
                  <v:fill on="f" focussize="0,0"/>
                  <v:stroke on="f" joinstyle="miter"/>
                  <v:imagedata r:id="rId40" o:title=""/>
                  <o:lock v:ext="edit" aspectratio="t"/>
                  <w10:wrap type="none"/>
                  <w10:anchorlock/>
                </v:shape>
                <o:OLEObject Type="Embed" ProgID="Equation.3" ShapeID="_x0000_i1037" DrawAspect="Content" ObjectID="_1468075737" r:id="rId39">
                  <o:LockedField>false</o:LockedField>
                </o:OLEObject>
              </w:object>
            </w:r>
          </w:p>
          <w:p>
            <w:pPr>
              <w:pStyle w:val="204"/>
              <w:ind w:firstLine="0" w:firstLineChars="0"/>
              <w:rPr>
                <w:color w:val="auto"/>
              </w:rPr>
            </w:pPr>
            <w:r>
              <w:rPr>
                <w:rFonts w:hint="eastAsia"/>
                <w:color w:val="auto"/>
              </w:rPr>
              <w:t>式中：</w:t>
            </w:r>
            <w:r>
              <w:rPr>
                <w:color w:val="auto"/>
              </w:rPr>
              <w:t>Qc—</w:t>
            </w:r>
            <w:r>
              <w:rPr>
                <w:rFonts w:hint="eastAsia"/>
                <w:color w:val="auto"/>
              </w:rPr>
              <w:t>无组织排放量，</w:t>
            </w:r>
            <w:r>
              <w:rPr>
                <w:color w:val="auto"/>
              </w:rPr>
              <w:t>kg/h</w:t>
            </w:r>
            <w:r>
              <w:rPr>
                <w:rFonts w:hint="eastAsia"/>
                <w:color w:val="auto"/>
              </w:rPr>
              <w:t>；</w:t>
            </w:r>
          </w:p>
          <w:p>
            <w:pPr>
              <w:pStyle w:val="204"/>
              <w:ind w:firstLine="720" w:firstLineChars="300"/>
              <w:rPr>
                <w:color w:val="auto"/>
              </w:rPr>
            </w:pPr>
            <w:r>
              <w:rPr>
                <w:color w:val="auto"/>
              </w:rPr>
              <w:t>Cm——</w:t>
            </w:r>
            <w:r>
              <w:rPr>
                <w:rFonts w:hint="eastAsia"/>
                <w:color w:val="auto"/>
              </w:rPr>
              <w:t>标准浓度限值，</w:t>
            </w:r>
            <w:r>
              <w:rPr>
                <w:color w:val="auto"/>
              </w:rPr>
              <w:t>mg/Nm</w:t>
            </w:r>
            <w:r>
              <w:rPr>
                <w:color w:val="auto"/>
                <w:vertAlign w:val="superscript"/>
              </w:rPr>
              <w:t>3</w:t>
            </w:r>
            <w:r>
              <w:rPr>
                <w:rFonts w:hint="eastAsia"/>
                <w:color w:val="auto"/>
              </w:rPr>
              <w:t>；</w:t>
            </w:r>
          </w:p>
          <w:p>
            <w:pPr>
              <w:pStyle w:val="204"/>
              <w:ind w:firstLine="720" w:firstLineChars="300"/>
              <w:rPr>
                <w:color w:val="auto"/>
              </w:rPr>
            </w:pPr>
            <w:r>
              <w:rPr>
                <w:color w:val="auto"/>
              </w:rPr>
              <w:t>L——</w:t>
            </w:r>
            <w:r>
              <w:rPr>
                <w:rFonts w:hint="eastAsia"/>
                <w:color w:val="auto"/>
              </w:rPr>
              <w:t>卫生防护带距离，</w:t>
            </w:r>
            <w:r>
              <w:rPr>
                <w:color w:val="auto"/>
              </w:rPr>
              <w:t>m</w:t>
            </w:r>
            <w:r>
              <w:rPr>
                <w:rFonts w:hint="eastAsia"/>
                <w:color w:val="auto"/>
              </w:rPr>
              <w:t>；</w:t>
            </w:r>
          </w:p>
          <w:p>
            <w:pPr>
              <w:pStyle w:val="204"/>
              <w:ind w:firstLine="720" w:firstLineChars="300"/>
              <w:rPr>
                <w:color w:val="auto"/>
              </w:rPr>
            </w:pPr>
            <w:r>
              <w:rPr>
                <w:color w:val="auto"/>
              </w:rPr>
              <w:t>r——</w:t>
            </w:r>
            <w:r>
              <w:rPr>
                <w:rFonts w:hint="eastAsia"/>
                <w:color w:val="auto"/>
              </w:rPr>
              <w:t>无组织排放源的等效半径，</w:t>
            </w:r>
            <w:r>
              <w:rPr>
                <w:color w:val="auto"/>
              </w:rPr>
              <w:t>m</w:t>
            </w:r>
            <w:r>
              <w:rPr>
                <w:rFonts w:hint="eastAsia"/>
                <w:color w:val="auto"/>
              </w:rPr>
              <w:t>。根据生产单元占地面积</w:t>
            </w:r>
            <w:r>
              <w:rPr>
                <w:color w:val="auto"/>
              </w:rPr>
              <w:t>S</w:t>
            </w:r>
            <w:r>
              <w:rPr>
                <w:rFonts w:cs="宋体"/>
                <w:color w:val="auto"/>
              </w:rPr>
              <w:t>(</w:t>
            </w:r>
            <w:r>
              <w:rPr>
                <w:color w:val="auto"/>
              </w:rPr>
              <w:t>m</w:t>
            </w:r>
            <w:r>
              <w:rPr>
                <w:color w:val="auto"/>
                <w:vertAlign w:val="superscript"/>
              </w:rPr>
              <w:t>2</w:t>
            </w:r>
            <w:r>
              <w:rPr>
                <w:rFonts w:hint="eastAsia"/>
                <w:color w:val="auto"/>
              </w:rPr>
              <w:t>）计算，</w:t>
            </w:r>
            <w:r>
              <w:rPr>
                <w:color w:val="auto"/>
              </w:rPr>
              <w:t>r=(S/π)</w:t>
            </w:r>
            <w:r>
              <w:rPr>
                <w:color w:val="auto"/>
                <w:vertAlign w:val="superscript"/>
              </w:rPr>
              <w:t>0.5</w:t>
            </w:r>
            <w:r>
              <w:rPr>
                <w:rFonts w:hint="eastAsia"/>
                <w:color w:val="auto"/>
              </w:rPr>
              <w:t>。</w:t>
            </w:r>
          </w:p>
          <w:p>
            <w:pPr>
              <w:pStyle w:val="204"/>
              <w:ind w:firstLine="31680"/>
              <w:rPr>
                <w:color w:val="auto"/>
              </w:rPr>
            </w:pPr>
            <w:r>
              <w:rPr>
                <w:color w:val="auto"/>
              </w:rPr>
              <w:t>A</w:t>
            </w:r>
            <w:r>
              <w:rPr>
                <w:rFonts w:hint="eastAsia"/>
                <w:color w:val="auto"/>
              </w:rPr>
              <w:t>、</w:t>
            </w:r>
            <w:r>
              <w:rPr>
                <w:color w:val="auto"/>
              </w:rPr>
              <w:t>B</w:t>
            </w:r>
            <w:r>
              <w:rPr>
                <w:rFonts w:hint="eastAsia"/>
                <w:color w:val="auto"/>
              </w:rPr>
              <w:t>、</w:t>
            </w:r>
            <w:r>
              <w:rPr>
                <w:color w:val="auto"/>
              </w:rPr>
              <w:t>C</w:t>
            </w:r>
            <w:r>
              <w:rPr>
                <w:rFonts w:hint="eastAsia"/>
                <w:color w:val="auto"/>
              </w:rPr>
              <w:t>、</w:t>
            </w:r>
            <w:r>
              <w:rPr>
                <w:color w:val="auto"/>
              </w:rPr>
              <w:t>D—</w:t>
            </w:r>
            <w:r>
              <w:rPr>
                <w:rFonts w:hint="eastAsia"/>
                <w:color w:val="auto"/>
              </w:rPr>
              <w:t>卫生防护距离计算系数，见表</w:t>
            </w:r>
            <w:r>
              <w:rPr>
                <w:color w:val="auto"/>
              </w:rPr>
              <w:t>4.2-14</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4.2-14  </w:t>
            </w:r>
            <w:r>
              <w:rPr>
                <w:rFonts w:hint="eastAsia" w:eastAsia="黑体"/>
                <w:color w:val="auto"/>
                <w:sz w:val="24"/>
              </w:rPr>
              <w:t>计算参数的选择</w:t>
            </w:r>
          </w:p>
          <w:tbl>
            <w:tblPr>
              <w:tblStyle w:val="27"/>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92"/>
              <w:gridCol w:w="1313"/>
              <w:gridCol w:w="1706"/>
              <w:gridCol w:w="1446"/>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3" w:hRule="exact"/>
                <w:tblHeader/>
                <w:jc w:val="center"/>
              </w:trPr>
              <w:tc>
                <w:tcPr>
                  <w:tcW w:w="2592" w:type="dxa"/>
                  <w:tcBorders>
                    <w:top w:val="single" w:color="auto" w:sz="12" w:space="0"/>
                    <w:bottom w:val="single" w:color="auto" w:sz="4" w:space="0"/>
                    <w:right w:val="single" w:color="auto" w:sz="4" w:space="0"/>
                  </w:tcBorders>
                  <w:vAlign w:val="center"/>
                </w:tcPr>
                <w:p>
                  <w:pPr>
                    <w:pStyle w:val="205"/>
                    <w:rPr>
                      <w:color w:val="auto"/>
                    </w:rPr>
                  </w:pPr>
                  <w:r>
                    <w:rPr>
                      <w:rFonts w:hint="eastAsia"/>
                      <w:color w:val="auto"/>
                    </w:rPr>
                    <w:t>参数名称</w:t>
                  </w:r>
                </w:p>
              </w:tc>
              <w:tc>
                <w:tcPr>
                  <w:tcW w:w="1313"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color w:val="auto"/>
                    </w:rPr>
                    <w:t>A</w:t>
                  </w:r>
                </w:p>
              </w:tc>
              <w:tc>
                <w:tcPr>
                  <w:tcW w:w="1706"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color w:val="auto"/>
                    </w:rPr>
                    <w:t>B</w:t>
                  </w:r>
                </w:p>
              </w:tc>
              <w:tc>
                <w:tcPr>
                  <w:tcW w:w="1446"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color w:val="auto"/>
                    </w:rPr>
                    <w:t>C</w:t>
                  </w:r>
                </w:p>
              </w:tc>
              <w:tc>
                <w:tcPr>
                  <w:tcW w:w="1447" w:type="dxa"/>
                  <w:tcBorders>
                    <w:top w:val="single" w:color="auto" w:sz="12" w:space="0"/>
                    <w:left w:val="single" w:color="auto" w:sz="4" w:space="0"/>
                    <w:bottom w:val="single" w:color="auto" w:sz="4" w:space="0"/>
                  </w:tcBorders>
                  <w:vAlign w:val="center"/>
                </w:tcPr>
                <w:p>
                  <w:pPr>
                    <w:pStyle w:val="205"/>
                    <w:rPr>
                      <w:color w:val="auto"/>
                    </w:rPr>
                  </w:pPr>
                  <w:r>
                    <w:rPr>
                      <w:color w:val="auto"/>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6" w:hRule="exact"/>
                <w:jc w:val="center"/>
              </w:trPr>
              <w:tc>
                <w:tcPr>
                  <w:tcW w:w="2592" w:type="dxa"/>
                  <w:tcBorders>
                    <w:top w:val="single" w:color="auto" w:sz="4" w:space="0"/>
                    <w:bottom w:val="single" w:color="auto" w:sz="12" w:space="0"/>
                    <w:right w:val="single" w:color="auto" w:sz="4" w:space="0"/>
                  </w:tcBorders>
                  <w:vAlign w:val="center"/>
                </w:tcPr>
                <w:p>
                  <w:pPr>
                    <w:pStyle w:val="205"/>
                    <w:rPr>
                      <w:color w:val="auto"/>
                    </w:rPr>
                  </w:pPr>
                  <w:r>
                    <w:rPr>
                      <w:rFonts w:hint="eastAsia"/>
                      <w:color w:val="auto"/>
                    </w:rPr>
                    <w:t>计算系数</w:t>
                  </w:r>
                </w:p>
              </w:tc>
              <w:tc>
                <w:tcPr>
                  <w:tcW w:w="1313" w:type="dxa"/>
                  <w:tcBorders>
                    <w:top w:val="single" w:color="auto" w:sz="4" w:space="0"/>
                    <w:left w:val="single" w:color="auto" w:sz="4" w:space="0"/>
                    <w:bottom w:val="single" w:color="auto" w:sz="12" w:space="0"/>
                    <w:right w:val="single" w:color="auto" w:sz="4" w:space="0"/>
                  </w:tcBorders>
                  <w:vAlign w:val="center"/>
                </w:tcPr>
                <w:p>
                  <w:pPr>
                    <w:pStyle w:val="205"/>
                    <w:rPr>
                      <w:color w:val="auto"/>
                    </w:rPr>
                  </w:pPr>
                  <w:r>
                    <w:rPr>
                      <w:color w:val="auto"/>
                    </w:rPr>
                    <w:t>400</w:t>
                  </w:r>
                </w:p>
              </w:tc>
              <w:tc>
                <w:tcPr>
                  <w:tcW w:w="1706" w:type="dxa"/>
                  <w:tcBorders>
                    <w:top w:val="single" w:color="auto" w:sz="4" w:space="0"/>
                    <w:left w:val="single" w:color="auto" w:sz="4" w:space="0"/>
                    <w:bottom w:val="single" w:color="auto" w:sz="12" w:space="0"/>
                    <w:right w:val="single" w:color="auto" w:sz="4" w:space="0"/>
                  </w:tcBorders>
                  <w:vAlign w:val="center"/>
                </w:tcPr>
                <w:p>
                  <w:pPr>
                    <w:pStyle w:val="205"/>
                    <w:rPr>
                      <w:color w:val="auto"/>
                    </w:rPr>
                  </w:pPr>
                  <w:r>
                    <w:rPr>
                      <w:color w:val="auto"/>
                    </w:rPr>
                    <w:t>0.010</w:t>
                  </w:r>
                </w:p>
              </w:tc>
              <w:tc>
                <w:tcPr>
                  <w:tcW w:w="1446" w:type="dxa"/>
                  <w:tcBorders>
                    <w:top w:val="single" w:color="auto" w:sz="4" w:space="0"/>
                    <w:left w:val="single" w:color="auto" w:sz="4" w:space="0"/>
                    <w:bottom w:val="single" w:color="auto" w:sz="12" w:space="0"/>
                    <w:right w:val="single" w:color="auto" w:sz="4" w:space="0"/>
                  </w:tcBorders>
                  <w:vAlign w:val="center"/>
                </w:tcPr>
                <w:p>
                  <w:pPr>
                    <w:pStyle w:val="205"/>
                    <w:rPr>
                      <w:color w:val="auto"/>
                    </w:rPr>
                  </w:pPr>
                  <w:r>
                    <w:rPr>
                      <w:color w:val="auto"/>
                    </w:rPr>
                    <w:t>1.85</w:t>
                  </w:r>
                </w:p>
              </w:tc>
              <w:tc>
                <w:tcPr>
                  <w:tcW w:w="1447" w:type="dxa"/>
                  <w:tcBorders>
                    <w:top w:val="single" w:color="auto" w:sz="4" w:space="0"/>
                    <w:left w:val="single" w:color="auto" w:sz="4" w:space="0"/>
                    <w:bottom w:val="single" w:color="auto" w:sz="12" w:space="0"/>
                  </w:tcBorders>
                  <w:vAlign w:val="center"/>
                </w:tcPr>
                <w:p>
                  <w:pPr>
                    <w:pStyle w:val="205"/>
                    <w:rPr>
                      <w:color w:val="auto"/>
                    </w:rPr>
                  </w:pPr>
                  <w:r>
                    <w:rPr>
                      <w:color w:val="auto"/>
                    </w:rPr>
                    <w:t>0.78</w:t>
                  </w:r>
                </w:p>
              </w:tc>
            </w:tr>
          </w:tbl>
          <w:p>
            <w:pPr>
              <w:pStyle w:val="204"/>
              <w:spacing w:beforeLines="50"/>
              <w:ind w:firstLine="31680"/>
              <w:rPr>
                <w:color w:val="auto"/>
              </w:rPr>
            </w:pPr>
            <w:r>
              <w:rPr>
                <w:rFonts w:hint="eastAsia"/>
                <w:color w:val="auto"/>
              </w:rPr>
              <w:t>计算结果见表</w:t>
            </w:r>
            <w:r>
              <w:rPr>
                <w:color w:val="auto"/>
              </w:rPr>
              <w:t>4.2-15</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4.2-15  </w:t>
            </w:r>
            <w:r>
              <w:rPr>
                <w:rFonts w:hint="eastAsia" w:eastAsia="黑体"/>
                <w:color w:val="auto"/>
                <w:sz w:val="24"/>
              </w:rPr>
              <w:t>本项目防护距离计算结果</w:t>
            </w:r>
          </w:p>
          <w:tbl>
            <w:tblPr>
              <w:tblStyle w:val="27"/>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2"/>
              <w:gridCol w:w="975"/>
              <w:gridCol w:w="1275"/>
              <w:gridCol w:w="1125"/>
              <w:gridCol w:w="1437"/>
              <w:gridCol w:w="913"/>
              <w:gridCol w:w="10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32" w:type="dxa"/>
                  <w:tcBorders>
                    <w:top w:val="single" w:color="auto" w:sz="12" w:space="0"/>
                    <w:bottom w:val="single" w:color="auto" w:sz="4" w:space="0"/>
                    <w:right w:val="single" w:color="auto" w:sz="4" w:space="0"/>
                  </w:tcBorders>
                  <w:vAlign w:val="center"/>
                </w:tcPr>
                <w:p>
                  <w:pPr>
                    <w:pStyle w:val="205"/>
                    <w:rPr>
                      <w:color w:val="auto"/>
                    </w:rPr>
                  </w:pPr>
                  <w:r>
                    <w:rPr>
                      <w:rFonts w:hint="eastAsia"/>
                      <w:color w:val="auto"/>
                    </w:rPr>
                    <w:t>区域</w:t>
                  </w:r>
                </w:p>
              </w:tc>
              <w:tc>
                <w:tcPr>
                  <w:tcW w:w="975"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污染物</w:t>
                  </w:r>
                </w:p>
              </w:tc>
              <w:tc>
                <w:tcPr>
                  <w:tcW w:w="1275"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无组织排放速率</w:t>
                  </w:r>
                  <w:r>
                    <w:rPr>
                      <w:color w:val="auto"/>
                    </w:rPr>
                    <w:t>kg/h</w:t>
                  </w:r>
                </w:p>
              </w:tc>
              <w:tc>
                <w:tcPr>
                  <w:tcW w:w="1125"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质量标准</w:t>
                  </w:r>
                </w:p>
                <w:p>
                  <w:pPr>
                    <w:pStyle w:val="205"/>
                    <w:rPr>
                      <w:color w:val="auto"/>
                    </w:rPr>
                  </w:pPr>
                  <w:r>
                    <w:rPr>
                      <w:color w:val="auto"/>
                    </w:rPr>
                    <w:t>(mg/m</w:t>
                  </w:r>
                  <w:r>
                    <w:rPr>
                      <w:rFonts w:hint="eastAsia"/>
                      <w:color w:val="auto"/>
                    </w:rPr>
                    <w:t>³</w:t>
                  </w:r>
                  <w:r>
                    <w:rPr>
                      <w:color w:val="auto"/>
                    </w:rPr>
                    <w:t>)</w:t>
                  </w:r>
                </w:p>
              </w:tc>
              <w:tc>
                <w:tcPr>
                  <w:tcW w:w="1437"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生产单元占地面积（㎡）</w:t>
                  </w:r>
                </w:p>
              </w:tc>
              <w:tc>
                <w:tcPr>
                  <w:tcW w:w="913"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计算值（</w:t>
                  </w:r>
                  <w:r>
                    <w:rPr>
                      <w:color w:val="auto"/>
                    </w:rPr>
                    <w:t>m</w:t>
                  </w:r>
                  <w:r>
                    <w:rPr>
                      <w:rFonts w:hint="eastAsia"/>
                      <w:color w:val="auto"/>
                    </w:rPr>
                    <w:t>）</w:t>
                  </w:r>
                </w:p>
              </w:tc>
              <w:tc>
                <w:tcPr>
                  <w:tcW w:w="1047" w:type="dxa"/>
                  <w:tcBorders>
                    <w:top w:val="single" w:color="auto" w:sz="12" w:space="0"/>
                    <w:left w:val="single" w:color="auto" w:sz="4" w:space="0"/>
                    <w:bottom w:val="single" w:color="auto" w:sz="4" w:space="0"/>
                  </w:tcBorders>
                  <w:vAlign w:val="center"/>
                </w:tcPr>
                <w:p>
                  <w:pPr>
                    <w:pStyle w:val="205"/>
                    <w:rPr>
                      <w:color w:val="auto"/>
                    </w:rPr>
                  </w:pPr>
                  <w:r>
                    <w:rPr>
                      <w:rFonts w:hint="eastAsia"/>
                      <w:color w:val="auto"/>
                    </w:rPr>
                    <w:t>提级值（</w:t>
                  </w:r>
                  <w:r>
                    <w:rPr>
                      <w:color w:val="auto"/>
                    </w:rPr>
                    <w:t>m</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732" w:type="dxa"/>
                  <w:tcBorders>
                    <w:top w:val="single" w:color="auto" w:sz="4" w:space="0"/>
                    <w:bottom w:val="single" w:color="auto" w:sz="4" w:space="0"/>
                    <w:right w:val="single" w:color="auto" w:sz="4" w:space="0"/>
                  </w:tcBorders>
                  <w:vAlign w:val="center"/>
                </w:tcPr>
                <w:p>
                  <w:pPr>
                    <w:pStyle w:val="205"/>
                    <w:rPr>
                      <w:color w:val="auto"/>
                    </w:rPr>
                  </w:pPr>
                  <w:r>
                    <w:rPr>
                      <w:rFonts w:hint="eastAsia"/>
                      <w:color w:val="auto"/>
                    </w:rPr>
                    <w:t>石英粉生产线（</w:t>
                  </w:r>
                  <w:r>
                    <w:rPr>
                      <w:color w:val="auto"/>
                    </w:rPr>
                    <w:t>2#</w:t>
                  </w:r>
                  <w:r>
                    <w:rPr>
                      <w:rFonts w:hint="eastAsia"/>
                      <w:color w:val="auto"/>
                    </w:rPr>
                    <w:t>厂房）</w:t>
                  </w:r>
                </w:p>
              </w:tc>
              <w:tc>
                <w:tcPr>
                  <w:tcW w:w="975"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rFonts w:hint="eastAsia"/>
                      <w:color w:val="auto"/>
                    </w:rPr>
                    <w:t>颗粒物</w:t>
                  </w:r>
                </w:p>
              </w:tc>
              <w:tc>
                <w:tcPr>
                  <w:tcW w:w="1275"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0.312</w:t>
                  </w:r>
                </w:p>
              </w:tc>
              <w:tc>
                <w:tcPr>
                  <w:tcW w:w="1125"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0.9</w:t>
                  </w:r>
                </w:p>
              </w:tc>
              <w:tc>
                <w:tcPr>
                  <w:tcW w:w="1437"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4036</w:t>
                  </w:r>
                </w:p>
              </w:tc>
              <w:tc>
                <w:tcPr>
                  <w:tcW w:w="913"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13.745</w:t>
                  </w:r>
                </w:p>
              </w:tc>
              <w:tc>
                <w:tcPr>
                  <w:tcW w:w="1047" w:type="dxa"/>
                  <w:tcBorders>
                    <w:top w:val="single" w:color="auto" w:sz="4" w:space="0"/>
                    <w:left w:val="single" w:color="auto" w:sz="4" w:space="0"/>
                    <w:bottom w:val="single" w:color="auto" w:sz="4" w:space="0"/>
                  </w:tcBorders>
                  <w:vAlign w:val="center"/>
                </w:tcPr>
                <w:p>
                  <w:pPr>
                    <w:pStyle w:val="205"/>
                    <w:rPr>
                      <w:color w:val="auto"/>
                    </w:rPr>
                  </w:pPr>
                  <w:r>
                    <w:rPr>
                      <w:color w:val="auto"/>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732" w:type="dxa"/>
                  <w:tcBorders>
                    <w:top w:val="single" w:color="auto" w:sz="4" w:space="0"/>
                    <w:bottom w:val="single" w:color="auto" w:sz="4" w:space="0"/>
                    <w:right w:val="single" w:color="auto" w:sz="4" w:space="0"/>
                  </w:tcBorders>
                  <w:vAlign w:val="center"/>
                </w:tcPr>
                <w:p>
                  <w:pPr>
                    <w:pStyle w:val="205"/>
                    <w:rPr>
                      <w:color w:val="auto"/>
                    </w:rPr>
                  </w:pPr>
                  <w:r>
                    <w:rPr>
                      <w:rFonts w:hint="eastAsia"/>
                      <w:color w:val="auto"/>
                    </w:rPr>
                    <w:t>硅酸钙板生产线（</w:t>
                  </w:r>
                  <w:r>
                    <w:rPr>
                      <w:color w:val="auto"/>
                    </w:rPr>
                    <w:t>1#</w:t>
                  </w:r>
                  <w:r>
                    <w:rPr>
                      <w:rFonts w:hint="eastAsia"/>
                      <w:color w:val="auto"/>
                    </w:rPr>
                    <w:t>厂房）</w:t>
                  </w:r>
                </w:p>
              </w:tc>
              <w:tc>
                <w:tcPr>
                  <w:tcW w:w="975"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rFonts w:hint="eastAsia"/>
                      <w:color w:val="auto"/>
                    </w:rPr>
                    <w:t>颗粒物</w:t>
                  </w:r>
                </w:p>
              </w:tc>
              <w:tc>
                <w:tcPr>
                  <w:tcW w:w="1275"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0.400</w:t>
                  </w:r>
                </w:p>
              </w:tc>
              <w:tc>
                <w:tcPr>
                  <w:tcW w:w="1125"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0.9</w:t>
                  </w:r>
                </w:p>
              </w:tc>
              <w:tc>
                <w:tcPr>
                  <w:tcW w:w="1437"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3900</w:t>
                  </w:r>
                </w:p>
              </w:tc>
              <w:tc>
                <w:tcPr>
                  <w:tcW w:w="913"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19.275</w:t>
                  </w:r>
                </w:p>
              </w:tc>
              <w:tc>
                <w:tcPr>
                  <w:tcW w:w="1047" w:type="dxa"/>
                  <w:tcBorders>
                    <w:top w:val="single" w:color="auto" w:sz="4" w:space="0"/>
                    <w:left w:val="single" w:color="auto" w:sz="4" w:space="0"/>
                    <w:bottom w:val="single" w:color="auto" w:sz="4" w:space="0"/>
                  </w:tcBorders>
                  <w:vAlign w:val="center"/>
                </w:tcPr>
                <w:p>
                  <w:pPr>
                    <w:pStyle w:val="205"/>
                    <w:rPr>
                      <w:color w:val="auto"/>
                    </w:rPr>
                  </w:pPr>
                  <w:r>
                    <w:rPr>
                      <w:color w:val="auto"/>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8504" w:type="dxa"/>
                  <w:gridSpan w:val="7"/>
                  <w:tcBorders>
                    <w:top w:val="single" w:color="auto" w:sz="4" w:space="0"/>
                    <w:bottom w:val="single" w:color="auto" w:sz="12" w:space="0"/>
                  </w:tcBorders>
                  <w:vAlign w:val="center"/>
                </w:tcPr>
                <w:p>
                  <w:pPr>
                    <w:pStyle w:val="205"/>
                    <w:jc w:val="both"/>
                    <w:rPr>
                      <w:color w:val="auto"/>
                    </w:rPr>
                  </w:pPr>
                  <w:r>
                    <w:rPr>
                      <w:rFonts w:hint="eastAsia"/>
                      <w:b/>
                      <w:bCs/>
                      <w:color w:val="auto"/>
                      <w:sz w:val="18"/>
                      <w:szCs w:val="21"/>
                    </w:rPr>
                    <w:t>注：</w:t>
                  </w:r>
                  <w:r>
                    <w:rPr>
                      <w:b/>
                      <w:bCs/>
                      <w:color w:val="auto"/>
                      <w:sz w:val="18"/>
                      <w:szCs w:val="21"/>
                    </w:rPr>
                    <w:t>2#</w:t>
                  </w:r>
                  <w:r>
                    <w:rPr>
                      <w:rFonts w:hint="eastAsia"/>
                      <w:b/>
                      <w:bCs/>
                      <w:color w:val="auto"/>
                      <w:sz w:val="18"/>
                      <w:szCs w:val="21"/>
                    </w:rPr>
                    <w:t>厂房内含石英矿原料库及石英粉生产线</w:t>
                  </w:r>
                </w:p>
              </w:tc>
            </w:tr>
          </w:tbl>
          <w:p>
            <w:pPr>
              <w:spacing w:beforeLines="50" w:line="360" w:lineRule="auto"/>
              <w:ind w:firstLine="454"/>
              <w:rPr>
                <w:bCs/>
                <w:snapToGrid w:val="0"/>
                <w:color w:val="auto"/>
                <w:kern w:val="0"/>
                <w:sz w:val="24"/>
                <w:highlight w:val="yellow"/>
              </w:rPr>
            </w:pPr>
            <w:r>
              <w:rPr>
                <w:rFonts w:hint="eastAsia"/>
                <w:bCs/>
                <w:snapToGrid w:val="0"/>
                <w:color w:val="auto"/>
                <w:kern w:val="0"/>
                <w:sz w:val="24"/>
              </w:rPr>
              <w:t>因此，本项目的大气环境防护距离为生产车间</w:t>
            </w:r>
            <w:r>
              <w:rPr>
                <w:bCs/>
                <w:snapToGrid w:val="0"/>
                <w:color w:val="auto"/>
                <w:kern w:val="0"/>
                <w:sz w:val="24"/>
              </w:rPr>
              <w:t>50m</w:t>
            </w:r>
            <w:r>
              <w:rPr>
                <w:rFonts w:hint="eastAsia"/>
                <w:bCs/>
                <w:snapToGrid w:val="0"/>
                <w:color w:val="auto"/>
                <w:kern w:val="0"/>
                <w:sz w:val="24"/>
              </w:rPr>
              <w:t>范围内。本项目大气环境防护距离内不存在大气环境保护目标，能达到环境防护距离要求。环境防护距离包络图见附图</w:t>
            </w:r>
            <w:r>
              <w:rPr>
                <w:bCs/>
                <w:snapToGrid w:val="0"/>
                <w:color w:val="auto"/>
                <w:kern w:val="0"/>
                <w:sz w:val="24"/>
              </w:rPr>
              <w:t>7</w:t>
            </w:r>
            <w:r>
              <w:rPr>
                <w:rFonts w:hint="eastAsia"/>
                <w:bCs/>
                <w:snapToGrid w:val="0"/>
                <w:color w:val="auto"/>
                <w:kern w:val="0"/>
                <w:sz w:val="24"/>
              </w:rPr>
              <w:t>。</w:t>
            </w:r>
          </w:p>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5</w:t>
            </w:r>
            <w:r>
              <w:rPr>
                <w:rFonts w:hint="eastAsia" w:ascii="Times New Roman" w:cs="Times New Roman"/>
                <w:b/>
                <w:bCs/>
                <w:color w:val="auto"/>
              </w:rPr>
              <w:t>）污染源监测计划</w:t>
            </w:r>
          </w:p>
          <w:p>
            <w:pPr>
              <w:jc w:val="center"/>
              <w:rPr>
                <w:rFonts w:eastAsia="黑体"/>
                <w:color w:val="auto"/>
                <w:sz w:val="24"/>
              </w:rPr>
            </w:pPr>
            <w:r>
              <w:rPr>
                <w:rFonts w:hint="eastAsia" w:eastAsia="黑体"/>
                <w:color w:val="auto"/>
                <w:sz w:val="24"/>
              </w:rPr>
              <w:t>表</w:t>
            </w:r>
            <w:r>
              <w:rPr>
                <w:rFonts w:eastAsia="黑体"/>
                <w:color w:val="auto"/>
                <w:sz w:val="24"/>
              </w:rPr>
              <w:t xml:space="preserve">4.2-16  </w:t>
            </w:r>
            <w:r>
              <w:rPr>
                <w:rFonts w:hint="eastAsia" w:eastAsia="黑体"/>
                <w:color w:val="auto"/>
                <w:sz w:val="24"/>
              </w:rPr>
              <w:t>废气污染源监测计划</w:t>
            </w:r>
          </w:p>
          <w:tbl>
            <w:tblPr>
              <w:tblStyle w:val="27"/>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996"/>
              <w:gridCol w:w="3441"/>
              <w:gridCol w:w="1070"/>
              <w:gridCol w:w="19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17" w:type="dxa"/>
                  <w:tcBorders>
                    <w:top w:val="single" w:color="auto" w:sz="12" w:space="0"/>
                    <w:bottom w:val="single" w:color="auto" w:sz="4" w:space="0"/>
                    <w:right w:val="single" w:color="auto" w:sz="4" w:space="0"/>
                  </w:tcBorders>
                  <w:vAlign w:val="center"/>
                </w:tcPr>
                <w:p>
                  <w:pPr>
                    <w:pStyle w:val="205"/>
                    <w:rPr>
                      <w:color w:val="auto"/>
                    </w:rPr>
                  </w:pPr>
                  <w:r>
                    <w:rPr>
                      <w:rFonts w:hint="eastAsia"/>
                      <w:color w:val="auto"/>
                    </w:rPr>
                    <w:t>监测点位</w:t>
                  </w:r>
                </w:p>
              </w:tc>
              <w:tc>
                <w:tcPr>
                  <w:tcW w:w="996"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监测项目</w:t>
                  </w:r>
                </w:p>
              </w:tc>
              <w:tc>
                <w:tcPr>
                  <w:tcW w:w="3441"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执行标准</w:t>
                  </w:r>
                </w:p>
              </w:tc>
              <w:tc>
                <w:tcPr>
                  <w:tcW w:w="1070"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监测频率</w:t>
                  </w:r>
                </w:p>
              </w:tc>
              <w:tc>
                <w:tcPr>
                  <w:tcW w:w="1980" w:type="dxa"/>
                  <w:tcBorders>
                    <w:top w:val="single" w:color="auto" w:sz="12" w:space="0"/>
                    <w:left w:val="single" w:color="auto" w:sz="4" w:space="0"/>
                    <w:bottom w:val="single" w:color="auto" w:sz="4" w:space="0"/>
                  </w:tcBorders>
                  <w:vAlign w:val="center"/>
                </w:tcPr>
                <w:p>
                  <w:pPr>
                    <w:pStyle w:val="205"/>
                    <w:rPr>
                      <w:color w:val="auto"/>
                    </w:rPr>
                  </w:pPr>
                  <w:r>
                    <w:rPr>
                      <w:rFonts w:hint="eastAsia"/>
                      <w:color w:val="auto"/>
                    </w:rPr>
                    <w:t>监测依据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17" w:type="dxa"/>
                  <w:tcBorders>
                    <w:top w:val="single" w:color="auto" w:sz="4" w:space="0"/>
                    <w:bottom w:val="single" w:color="auto" w:sz="4" w:space="0"/>
                    <w:right w:val="single" w:color="auto" w:sz="4" w:space="0"/>
                  </w:tcBorders>
                  <w:vAlign w:val="center"/>
                </w:tcPr>
                <w:p>
                  <w:pPr>
                    <w:pStyle w:val="205"/>
                    <w:rPr>
                      <w:color w:val="auto"/>
                    </w:rPr>
                  </w:pPr>
                  <w:r>
                    <w:rPr>
                      <w:color w:val="auto"/>
                    </w:rPr>
                    <w:t>DA001</w:t>
                  </w:r>
                </w:p>
              </w:tc>
              <w:tc>
                <w:tcPr>
                  <w:tcW w:w="996"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rFonts w:hint="eastAsia"/>
                      <w:color w:val="auto"/>
                    </w:rPr>
                    <w:t>颗粒物</w:t>
                  </w:r>
                </w:p>
              </w:tc>
              <w:tc>
                <w:tcPr>
                  <w:tcW w:w="3441"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rFonts w:hint="eastAsia"/>
                      <w:color w:val="auto"/>
                    </w:rPr>
                    <w:t>《水泥工业大气污染物排放标准》（</w:t>
                  </w:r>
                  <w:r>
                    <w:rPr>
                      <w:color w:val="auto"/>
                    </w:rPr>
                    <w:t>GB 4915-2013</w:t>
                  </w:r>
                  <w:r>
                    <w:rPr>
                      <w:rFonts w:hint="eastAsia"/>
                      <w:color w:val="auto"/>
                    </w:rPr>
                    <w:t>）表</w:t>
                  </w:r>
                  <w:r>
                    <w:rPr>
                      <w:color w:val="auto"/>
                    </w:rPr>
                    <w:t>2</w:t>
                  </w:r>
                  <w:r>
                    <w:rPr>
                      <w:rFonts w:hint="eastAsia"/>
                      <w:color w:val="auto"/>
                    </w:rPr>
                    <w:t>标准限值</w:t>
                  </w:r>
                </w:p>
              </w:tc>
              <w:tc>
                <w:tcPr>
                  <w:tcW w:w="1070"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1</w:t>
                  </w:r>
                  <w:r>
                    <w:rPr>
                      <w:rFonts w:hint="eastAsia"/>
                      <w:color w:val="auto"/>
                    </w:rPr>
                    <w:t>次</w:t>
                  </w:r>
                  <w:r>
                    <w:rPr>
                      <w:color w:val="auto"/>
                    </w:rPr>
                    <w:t>/</w:t>
                  </w:r>
                  <w:r>
                    <w:rPr>
                      <w:rFonts w:hint="eastAsia"/>
                      <w:color w:val="auto"/>
                    </w:rPr>
                    <w:t>半年</w:t>
                  </w:r>
                </w:p>
              </w:tc>
              <w:tc>
                <w:tcPr>
                  <w:tcW w:w="1980" w:type="dxa"/>
                  <w:vMerge w:val="restart"/>
                  <w:tcBorders>
                    <w:top w:val="single" w:color="auto" w:sz="4" w:space="0"/>
                    <w:left w:val="single" w:color="auto" w:sz="4" w:space="0"/>
                    <w:bottom w:val="single" w:color="auto" w:sz="4" w:space="0"/>
                  </w:tcBorders>
                  <w:vAlign w:val="center"/>
                </w:tcPr>
                <w:p>
                  <w:pPr>
                    <w:pStyle w:val="205"/>
                    <w:rPr>
                      <w:color w:val="auto"/>
                    </w:rPr>
                  </w:pPr>
                  <w:r>
                    <w:rPr>
                      <w:rFonts w:hint="eastAsia"/>
                      <w:color w:val="auto"/>
                    </w:rPr>
                    <w:t>《排污单位自行监测技术指南</w:t>
                  </w:r>
                  <w:r>
                    <w:rPr>
                      <w:color w:val="auto"/>
                    </w:rPr>
                    <w:t xml:space="preserve"> </w:t>
                  </w:r>
                  <w:r>
                    <w:rPr>
                      <w:rFonts w:hint="eastAsia"/>
                      <w:color w:val="auto"/>
                    </w:rPr>
                    <w:t>水泥工业》（</w:t>
                  </w:r>
                  <w:r>
                    <w:rPr>
                      <w:color w:val="auto"/>
                    </w:rPr>
                    <w:t>HJ848-2017</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17" w:type="dxa"/>
                  <w:tcBorders>
                    <w:top w:val="single" w:color="auto" w:sz="4" w:space="0"/>
                    <w:bottom w:val="single" w:color="auto" w:sz="4" w:space="0"/>
                    <w:right w:val="single" w:color="auto" w:sz="4" w:space="0"/>
                  </w:tcBorders>
                  <w:vAlign w:val="center"/>
                </w:tcPr>
                <w:p>
                  <w:pPr>
                    <w:pStyle w:val="205"/>
                    <w:rPr>
                      <w:color w:val="auto"/>
                    </w:rPr>
                  </w:pPr>
                  <w:r>
                    <w:rPr>
                      <w:color w:val="auto"/>
                    </w:rPr>
                    <w:t>DA002</w:t>
                  </w:r>
                </w:p>
              </w:tc>
              <w:tc>
                <w:tcPr>
                  <w:tcW w:w="996"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rFonts w:hint="eastAsia"/>
                      <w:color w:val="auto"/>
                    </w:rPr>
                    <w:t>颗粒物</w:t>
                  </w:r>
                </w:p>
              </w:tc>
              <w:tc>
                <w:tcPr>
                  <w:tcW w:w="3441"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rFonts w:hint="eastAsia"/>
                      <w:color w:val="auto"/>
                    </w:rPr>
                    <w:t>《水泥工业大气污染物排放标准》（</w:t>
                  </w:r>
                  <w:r>
                    <w:rPr>
                      <w:color w:val="auto"/>
                    </w:rPr>
                    <w:t>GB 4915-2013</w:t>
                  </w:r>
                  <w:r>
                    <w:rPr>
                      <w:rFonts w:hint="eastAsia"/>
                      <w:color w:val="auto"/>
                    </w:rPr>
                    <w:t>）表</w:t>
                  </w:r>
                  <w:r>
                    <w:rPr>
                      <w:color w:val="auto"/>
                    </w:rPr>
                    <w:t>2</w:t>
                  </w:r>
                  <w:r>
                    <w:rPr>
                      <w:rFonts w:hint="eastAsia"/>
                      <w:color w:val="auto"/>
                    </w:rPr>
                    <w:t>标准限值</w:t>
                  </w:r>
                </w:p>
              </w:tc>
              <w:tc>
                <w:tcPr>
                  <w:tcW w:w="1070"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1</w:t>
                  </w:r>
                  <w:r>
                    <w:rPr>
                      <w:rFonts w:hint="eastAsia"/>
                      <w:color w:val="auto"/>
                    </w:rPr>
                    <w:t>次</w:t>
                  </w:r>
                  <w:r>
                    <w:rPr>
                      <w:color w:val="auto"/>
                    </w:rPr>
                    <w:t>/</w:t>
                  </w:r>
                  <w:r>
                    <w:rPr>
                      <w:rFonts w:hint="eastAsia"/>
                      <w:color w:val="auto"/>
                    </w:rPr>
                    <w:t>半年</w:t>
                  </w:r>
                </w:p>
              </w:tc>
              <w:tc>
                <w:tcPr>
                  <w:tcW w:w="1980" w:type="dxa"/>
                  <w:vMerge w:val="continue"/>
                  <w:tcBorders>
                    <w:top w:val="single" w:color="auto" w:sz="4" w:space="0"/>
                    <w:left w:val="single" w:color="auto" w:sz="4" w:space="0"/>
                    <w:bottom w:val="single" w:color="auto" w:sz="4" w:space="0"/>
                  </w:tcBorders>
                  <w:vAlign w:val="center"/>
                </w:tcPr>
                <w:p>
                  <w:pPr>
                    <w:pStyle w:val="205"/>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017" w:type="dxa"/>
                  <w:tcBorders>
                    <w:top w:val="single" w:color="auto" w:sz="4" w:space="0"/>
                    <w:bottom w:val="single" w:color="auto" w:sz="4" w:space="0"/>
                    <w:right w:val="single" w:color="auto" w:sz="4" w:space="0"/>
                  </w:tcBorders>
                  <w:vAlign w:val="center"/>
                </w:tcPr>
                <w:p>
                  <w:pPr>
                    <w:pStyle w:val="205"/>
                    <w:rPr>
                      <w:color w:val="auto"/>
                    </w:rPr>
                  </w:pPr>
                  <w:r>
                    <w:rPr>
                      <w:color w:val="auto"/>
                    </w:rPr>
                    <w:t>DA003</w:t>
                  </w:r>
                </w:p>
              </w:tc>
              <w:tc>
                <w:tcPr>
                  <w:tcW w:w="996"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rFonts w:hint="eastAsia"/>
                      <w:color w:val="auto"/>
                    </w:rPr>
                    <w:t>颗粒物</w:t>
                  </w:r>
                </w:p>
              </w:tc>
              <w:tc>
                <w:tcPr>
                  <w:tcW w:w="3441"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rFonts w:hint="eastAsia"/>
                      <w:color w:val="auto"/>
                    </w:rPr>
                    <w:t>《水泥工业大气污染物排放标准》（</w:t>
                  </w:r>
                  <w:r>
                    <w:rPr>
                      <w:color w:val="auto"/>
                    </w:rPr>
                    <w:t>GB 4915-2013</w:t>
                  </w:r>
                  <w:r>
                    <w:rPr>
                      <w:rFonts w:hint="eastAsia"/>
                      <w:color w:val="auto"/>
                    </w:rPr>
                    <w:t>）表</w:t>
                  </w:r>
                  <w:r>
                    <w:rPr>
                      <w:color w:val="auto"/>
                    </w:rPr>
                    <w:t>2</w:t>
                  </w:r>
                  <w:r>
                    <w:rPr>
                      <w:rFonts w:hint="eastAsia"/>
                      <w:color w:val="auto"/>
                    </w:rPr>
                    <w:t>标准限值</w:t>
                  </w:r>
                </w:p>
              </w:tc>
              <w:tc>
                <w:tcPr>
                  <w:tcW w:w="1070" w:type="dxa"/>
                  <w:tcBorders>
                    <w:top w:val="single" w:color="auto" w:sz="4" w:space="0"/>
                    <w:left w:val="single" w:color="auto" w:sz="4" w:space="0"/>
                    <w:bottom w:val="single" w:color="auto" w:sz="4" w:space="0"/>
                    <w:right w:val="single" w:color="auto" w:sz="4" w:space="0"/>
                  </w:tcBorders>
                  <w:vAlign w:val="center"/>
                </w:tcPr>
                <w:p>
                  <w:pPr>
                    <w:pStyle w:val="205"/>
                    <w:rPr>
                      <w:color w:val="auto"/>
                    </w:rPr>
                  </w:pPr>
                  <w:r>
                    <w:rPr>
                      <w:color w:val="auto"/>
                    </w:rPr>
                    <w:t>1</w:t>
                  </w:r>
                  <w:r>
                    <w:rPr>
                      <w:rFonts w:hint="eastAsia"/>
                      <w:color w:val="auto"/>
                    </w:rPr>
                    <w:t>次</w:t>
                  </w:r>
                  <w:r>
                    <w:rPr>
                      <w:color w:val="auto"/>
                    </w:rPr>
                    <w:t>/</w:t>
                  </w:r>
                  <w:r>
                    <w:rPr>
                      <w:rFonts w:hint="eastAsia"/>
                      <w:color w:val="auto"/>
                    </w:rPr>
                    <w:t>半年</w:t>
                  </w:r>
                </w:p>
              </w:tc>
              <w:tc>
                <w:tcPr>
                  <w:tcW w:w="1980" w:type="dxa"/>
                  <w:vMerge w:val="continue"/>
                  <w:tcBorders>
                    <w:top w:val="single" w:color="auto" w:sz="4" w:space="0"/>
                    <w:left w:val="single" w:color="auto" w:sz="4" w:space="0"/>
                    <w:bottom w:val="single" w:color="auto" w:sz="4" w:space="0"/>
                  </w:tcBorders>
                  <w:vAlign w:val="center"/>
                </w:tcPr>
                <w:p>
                  <w:pPr>
                    <w:pStyle w:val="205"/>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1017" w:type="dxa"/>
                  <w:tcBorders>
                    <w:top w:val="single" w:color="auto" w:sz="4" w:space="0"/>
                    <w:bottom w:val="single" w:color="auto" w:sz="12" w:space="0"/>
                    <w:right w:val="single" w:color="auto" w:sz="4" w:space="0"/>
                  </w:tcBorders>
                  <w:vAlign w:val="center"/>
                </w:tcPr>
                <w:p>
                  <w:pPr>
                    <w:pStyle w:val="205"/>
                    <w:rPr>
                      <w:color w:val="auto"/>
                    </w:rPr>
                  </w:pPr>
                  <w:r>
                    <w:rPr>
                      <w:rFonts w:hint="eastAsia"/>
                      <w:color w:val="auto"/>
                    </w:rPr>
                    <w:t>厂界</w:t>
                  </w:r>
                </w:p>
              </w:tc>
              <w:tc>
                <w:tcPr>
                  <w:tcW w:w="996" w:type="dxa"/>
                  <w:tcBorders>
                    <w:top w:val="single" w:color="auto" w:sz="4" w:space="0"/>
                    <w:left w:val="single" w:color="auto" w:sz="4" w:space="0"/>
                    <w:bottom w:val="single" w:color="auto" w:sz="12" w:space="0"/>
                    <w:right w:val="single" w:color="auto" w:sz="4" w:space="0"/>
                  </w:tcBorders>
                  <w:vAlign w:val="center"/>
                </w:tcPr>
                <w:p>
                  <w:pPr>
                    <w:pStyle w:val="205"/>
                    <w:rPr>
                      <w:color w:val="auto"/>
                    </w:rPr>
                  </w:pPr>
                  <w:r>
                    <w:rPr>
                      <w:rFonts w:hint="eastAsia"/>
                      <w:color w:val="auto"/>
                    </w:rPr>
                    <w:t>颗粒物</w:t>
                  </w:r>
                </w:p>
              </w:tc>
              <w:tc>
                <w:tcPr>
                  <w:tcW w:w="3441" w:type="dxa"/>
                  <w:tcBorders>
                    <w:top w:val="single" w:color="auto" w:sz="4" w:space="0"/>
                    <w:left w:val="single" w:color="auto" w:sz="4" w:space="0"/>
                    <w:bottom w:val="single" w:color="auto" w:sz="12" w:space="0"/>
                    <w:right w:val="single" w:color="auto" w:sz="4" w:space="0"/>
                  </w:tcBorders>
                  <w:vAlign w:val="center"/>
                </w:tcPr>
                <w:p>
                  <w:pPr>
                    <w:pStyle w:val="205"/>
                    <w:rPr>
                      <w:color w:val="auto"/>
                    </w:rPr>
                  </w:pPr>
                  <w:r>
                    <w:rPr>
                      <w:rFonts w:hint="eastAsia"/>
                      <w:color w:val="auto"/>
                    </w:rPr>
                    <w:t>《水泥工业大气污染物排放标准》（</w:t>
                  </w:r>
                  <w:r>
                    <w:rPr>
                      <w:color w:val="auto"/>
                    </w:rPr>
                    <w:t>GB 4915-2013</w:t>
                  </w:r>
                  <w:r>
                    <w:rPr>
                      <w:rFonts w:hint="eastAsia"/>
                      <w:color w:val="auto"/>
                    </w:rPr>
                    <w:t>）表</w:t>
                  </w:r>
                  <w:r>
                    <w:rPr>
                      <w:color w:val="auto"/>
                    </w:rPr>
                    <w:t>3</w:t>
                  </w:r>
                  <w:r>
                    <w:rPr>
                      <w:rFonts w:hint="eastAsia"/>
                      <w:color w:val="auto"/>
                    </w:rPr>
                    <w:t>标准限值</w:t>
                  </w:r>
                </w:p>
              </w:tc>
              <w:tc>
                <w:tcPr>
                  <w:tcW w:w="1070" w:type="dxa"/>
                  <w:tcBorders>
                    <w:top w:val="single" w:color="auto" w:sz="4" w:space="0"/>
                    <w:left w:val="single" w:color="auto" w:sz="4" w:space="0"/>
                    <w:bottom w:val="single" w:color="auto" w:sz="12" w:space="0"/>
                    <w:right w:val="single" w:color="auto" w:sz="4" w:space="0"/>
                  </w:tcBorders>
                  <w:vAlign w:val="center"/>
                </w:tcPr>
                <w:p>
                  <w:pPr>
                    <w:pStyle w:val="205"/>
                    <w:rPr>
                      <w:color w:val="auto"/>
                    </w:rPr>
                  </w:pPr>
                  <w:r>
                    <w:rPr>
                      <w:color w:val="auto"/>
                    </w:rPr>
                    <w:t>1</w:t>
                  </w:r>
                  <w:r>
                    <w:rPr>
                      <w:rFonts w:hint="eastAsia"/>
                      <w:color w:val="auto"/>
                    </w:rPr>
                    <w:t>次</w:t>
                  </w:r>
                  <w:r>
                    <w:rPr>
                      <w:color w:val="auto"/>
                    </w:rPr>
                    <w:t>/</w:t>
                  </w:r>
                  <w:r>
                    <w:rPr>
                      <w:rFonts w:hint="eastAsia"/>
                      <w:color w:val="auto"/>
                    </w:rPr>
                    <w:t>季度</w:t>
                  </w:r>
                </w:p>
              </w:tc>
              <w:tc>
                <w:tcPr>
                  <w:tcW w:w="1980" w:type="dxa"/>
                  <w:vMerge w:val="continue"/>
                  <w:tcBorders>
                    <w:top w:val="single" w:color="auto" w:sz="4" w:space="0"/>
                    <w:left w:val="single" w:color="auto" w:sz="4" w:space="0"/>
                    <w:bottom w:val="single" w:color="auto" w:sz="12" w:space="0"/>
                  </w:tcBorders>
                  <w:vAlign w:val="center"/>
                </w:tcPr>
                <w:p>
                  <w:pPr>
                    <w:pStyle w:val="96"/>
                    <w:widowControl w:val="0"/>
                    <w:ind w:left="0" w:firstLine="0" w:firstLineChars="0"/>
                    <w:rPr>
                      <w:color w:val="auto"/>
                      <w:szCs w:val="21"/>
                    </w:rPr>
                  </w:pPr>
                </w:p>
              </w:tc>
            </w:tr>
          </w:tbl>
          <w:p>
            <w:pPr>
              <w:pStyle w:val="116"/>
              <w:adjustRightInd/>
              <w:snapToGrid/>
              <w:spacing w:beforeLines="50"/>
              <w:rPr>
                <w:color w:val="auto"/>
              </w:rPr>
            </w:pPr>
            <w:r>
              <w:rPr>
                <w:color w:val="auto"/>
              </w:rPr>
              <w:t>4.2.3</w:t>
            </w:r>
            <w:r>
              <w:rPr>
                <w:rFonts w:hint="eastAsia"/>
                <w:color w:val="auto"/>
              </w:rPr>
              <w:t>运营期声环境影响分析及保护措施</w:t>
            </w:r>
          </w:p>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1</w:t>
            </w:r>
            <w:r>
              <w:rPr>
                <w:rFonts w:hint="eastAsia" w:ascii="Times New Roman" w:cs="Times New Roman"/>
                <w:b/>
                <w:bCs/>
                <w:color w:val="auto"/>
              </w:rPr>
              <w:t>）污染源强</w:t>
            </w:r>
          </w:p>
          <w:p>
            <w:pPr>
              <w:spacing w:line="360" w:lineRule="auto"/>
              <w:ind w:firstLine="555"/>
              <w:rPr>
                <w:color w:val="auto"/>
                <w:sz w:val="24"/>
                <w:szCs w:val="32"/>
              </w:rPr>
            </w:pPr>
            <w:r>
              <w:rPr>
                <w:rFonts w:hint="eastAsia"/>
                <w:color w:val="auto"/>
                <w:sz w:val="24"/>
                <w:szCs w:val="32"/>
              </w:rPr>
              <w:t>本项目生产过程中产生的噪声主要来源于颚式破碎机、圆锥破碎机、雷蒙磨、振动筛等，其声级在</w:t>
            </w:r>
            <w:r>
              <w:rPr>
                <w:color w:val="auto"/>
                <w:sz w:val="24"/>
                <w:szCs w:val="32"/>
              </w:rPr>
              <w:t>70</w:t>
            </w:r>
            <w:r>
              <w:rPr>
                <w:rFonts w:hint="eastAsia"/>
                <w:color w:val="auto"/>
                <w:sz w:val="24"/>
                <w:szCs w:val="32"/>
              </w:rPr>
              <w:t>～</w:t>
            </w:r>
            <w:r>
              <w:rPr>
                <w:color w:val="auto"/>
                <w:sz w:val="24"/>
                <w:szCs w:val="32"/>
              </w:rPr>
              <w:t>10</w:t>
            </w:r>
            <w:r>
              <w:rPr>
                <w:rFonts w:hint="eastAsia"/>
                <w:color w:val="auto"/>
                <w:sz w:val="24"/>
                <w:szCs w:val="32"/>
                <w:lang w:val="en-US" w:eastAsia="zh-CN"/>
              </w:rPr>
              <w:t>0</w:t>
            </w:r>
            <w:r>
              <w:rPr>
                <w:color w:val="auto"/>
                <w:sz w:val="24"/>
                <w:szCs w:val="32"/>
              </w:rPr>
              <w:t>dB(A)</w:t>
            </w:r>
            <w:r>
              <w:rPr>
                <w:rFonts w:hint="eastAsia"/>
                <w:color w:val="auto"/>
                <w:sz w:val="24"/>
                <w:szCs w:val="32"/>
              </w:rPr>
              <w:t>间（距声源</w:t>
            </w:r>
            <w:r>
              <w:rPr>
                <w:color w:val="auto"/>
                <w:sz w:val="24"/>
                <w:szCs w:val="32"/>
              </w:rPr>
              <w:t>1m</w:t>
            </w:r>
            <w:r>
              <w:rPr>
                <w:rFonts w:hint="eastAsia"/>
                <w:color w:val="auto"/>
                <w:sz w:val="24"/>
                <w:szCs w:val="32"/>
              </w:rPr>
              <w:t>处）</w:t>
            </w:r>
            <w:r>
              <w:rPr>
                <w:rFonts w:hint="eastAsia"/>
                <w:color w:val="auto"/>
                <w:sz w:val="24"/>
                <w:szCs w:val="32"/>
                <w:lang w:eastAsia="zh-CN"/>
              </w:rPr>
              <w:t>；</w:t>
            </w:r>
            <w:r>
              <w:rPr>
                <w:rFonts w:hint="eastAsia"/>
                <w:color w:val="auto"/>
                <w:sz w:val="24"/>
                <w:szCs w:val="32"/>
                <w:lang w:val="en-US" w:eastAsia="zh-CN"/>
              </w:rPr>
              <w:t>以及运输车辆产生的噪声。</w:t>
            </w:r>
            <w:r>
              <w:rPr>
                <w:rFonts w:hint="eastAsia"/>
                <w:color w:val="auto"/>
                <w:sz w:val="24"/>
                <w:szCs w:val="32"/>
              </w:rPr>
              <w:t>运营期间生产噪声采取设备基础减振、厂房隔声等综合措施进行降噪，降噪效果约为</w:t>
            </w:r>
            <w:r>
              <w:rPr>
                <w:rFonts w:hint="eastAsia"/>
                <w:color w:val="auto"/>
                <w:sz w:val="24"/>
                <w:szCs w:val="32"/>
                <w:lang w:val="en-US" w:eastAsia="zh-CN"/>
              </w:rPr>
              <w:t>15</w:t>
            </w:r>
            <w:r>
              <w:rPr>
                <w:color w:val="auto"/>
                <w:sz w:val="24"/>
                <w:szCs w:val="32"/>
              </w:rPr>
              <w:t>dB</w:t>
            </w:r>
            <w:r>
              <w:rPr>
                <w:rFonts w:hint="eastAsia"/>
                <w:color w:val="auto"/>
                <w:sz w:val="24"/>
                <w:szCs w:val="32"/>
              </w:rPr>
              <w:t>（</w:t>
            </w:r>
            <w:r>
              <w:rPr>
                <w:color w:val="auto"/>
                <w:sz w:val="24"/>
                <w:szCs w:val="32"/>
              </w:rPr>
              <w:t>A</w:t>
            </w:r>
            <w:r>
              <w:rPr>
                <w:rFonts w:hint="eastAsia"/>
                <w:color w:val="auto"/>
                <w:sz w:val="24"/>
                <w:szCs w:val="32"/>
              </w:rPr>
              <w:t>）</w:t>
            </w:r>
            <w:r>
              <w:rPr>
                <w:rFonts w:hint="eastAsia"/>
                <w:color w:val="auto"/>
                <w:sz w:val="24"/>
                <w:szCs w:val="32"/>
                <w:lang w:eastAsia="zh-CN"/>
              </w:rPr>
              <w:t>；</w:t>
            </w:r>
            <w:r>
              <w:rPr>
                <w:rFonts w:hint="eastAsia"/>
                <w:color w:val="auto"/>
                <w:sz w:val="24"/>
                <w:szCs w:val="32"/>
                <w:lang w:val="en-US" w:eastAsia="zh-CN"/>
              </w:rPr>
              <w:t>对于运输车辆要求减速慢行，禁止鸣笛</w:t>
            </w:r>
            <w:r>
              <w:rPr>
                <w:rFonts w:hint="eastAsia"/>
                <w:color w:val="auto"/>
                <w:sz w:val="24"/>
                <w:szCs w:val="32"/>
              </w:rPr>
              <w:t>。主要设备噪声级</w:t>
            </w:r>
            <w:bookmarkStart w:id="14" w:name="_Ref452668272"/>
            <w:bookmarkEnd w:id="14"/>
            <w:r>
              <w:rPr>
                <w:rFonts w:hint="eastAsia"/>
                <w:color w:val="auto"/>
                <w:sz w:val="24"/>
                <w:szCs w:val="32"/>
              </w:rPr>
              <w:t>见下表</w:t>
            </w:r>
            <w:r>
              <w:rPr>
                <w:color w:val="auto"/>
                <w:sz w:val="24"/>
                <w:szCs w:val="32"/>
              </w:rPr>
              <w:t>4.2-17</w:t>
            </w:r>
            <w:r>
              <w:rPr>
                <w:rFonts w:hint="eastAsia"/>
                <w:color w:val="auto"/>
                <w:sz w:val="24"/>
                <w:szCs w:val="32"/>
              </w:rPr>
              <w:t>。</w:t>
            </w:r>
          </w:p>
          <w:p>
            <w:pPr>
              <w:jc w:val="center"/>
              <w:rPr>
                <w:rFonts w:eastAsia="黑体"/>
                <w:color w:val="auto"/>
                <w:sz w:val="24"/>
              </w:rPr>
            </w:pPr>
            <w:bookmarkStart w:id="15" w:name="_Ref65696059"/>
            <w:r>
              <w:rPr>
                <w:rFonts w:hint="eastAsia" w:eastAsia="黑体"/>
                <w:color w:val="auto"/>
                <w:sz w:val="24"/>
              </w:rPr>
              <w:t>表</w:t>
            </w:r>
            <w:r>
              <w:rPr>
                <w:rFonts w:eastAsia="黑体"/>
                <w:color w:val="auto"/>
                <w:sz w:val="24"/>
              </w:rPr>
              <w:t xml:space="preserve">4.2-17  </w:t>
            </w:r>
            <w:r>
              <w:rPr>
                <w:rFonts w:hint="eastAsia" w:eastAsia="黑体"/>
                <w:color w:val="auto"/>
                <w:sz w:val="24"/>
              </w:rPr>
              <w:t>项目主要设备噪声一览表</w:t>
            </w:r>
            <w:bookmarkEnd w:id="15"/>
          </w:p>
          <w:tbl>
            <w:tblPr>
              <w:tblStyle w:val="27"/>
              <w:tblW w:w="850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080"/>
              <w:gridCol w:w="900"/>
              <w:gridCol w:w="1260"/>
              <w:gridCol w:w="1155"/>
              <w:gridCol w:w="1230"/>
              <w:gridCol w:w="954"/>
              <w:gridCol w:w="9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70" w:type="dxa"/>
                  <w:vMerge w:val="restart"/>
                  <w:tcBorders>
                    <w:tl2br w:val="nil"/>
                    <w:tr2bl w:val="nil"/>
                  </w:tcBorders>
                  <w:vAlign w:val="center"/>
                </w:tcPr>
                <w:p>
                  <w:pPr>
                    <w:pStyle w:val="205"/>
                    <w:rPr>
                      <w:color w:val="auto"/>
                    </w:rPr>
                  </w:pPr>
                  <w:r>
                    <w:rPr>
                      <w:rFonts w:hint="eastAsia"/>
                      <w:color w:val="auto"/>
                    </w:rPr>
                    <w:t>噪声源名称</w:t>
                  </w:r>
                </w:p>
              </w:tc>
              <w:tc>
                <w:tcPr>
                  <w:tcW w:w="1080" w:type="dxa"/>
                  <w:vMerge w:val="restart"/>
                  <w:tcBorders>
                    <w:tl2br w:val="nil"/>
                    <w:tr2bl w:val="nil"/>
                  </w:tcBorders>
                  <w:vAlign w:val="center"/>
                </w:tcPr>
                <w:p>
                  <w:pPr>
                    <w:pStyle w:val="205"/>
                    <w:rPr>
                      <w:color w:val="auto"/>
                    </w:rPr>
                  </w:pPr>
                  <w:r>
                    <w:rPr>
                      <w:rFonts w:hint="eastAsia"/>
                      <w:color w:val="auto"/>
                    </w:rPr>
                    <w:t>治理前声级</w:t>
                  </w:r>
                  <w:r>
                    <w:rPr>
                      <w:color w:val="auto"/>
                    </w:rPr>
                    <w:t>dB(A)</w:t>
                  </w:r>
                  <w:r>
                    <w:rPr>
                      <w:rFonts w:hint="eastAsia"/>
                      <w:color w:val="auto"/>
                    </w:rPr>
                    <w:t>（单台）</w:t>
                  </w:r>
                </w:p>
              </w:tc>
              <w:tc>
                <w:tcPr>
                  <w:tcW w:w="900" w:type="dxa"/>
                  <w:vMerge w:val="restart"/>
                  <w:tcBorders>
                    <w:tl2br w:val="nil"/>
                    <w:tr2bl w:val="nil"/>
                  </w:tcBorders>
                  <w:vAlign w:val="center"/>
                </w:tcPr>
                <w:p>
                  <w:pPr>
                    <w:pStyle w:val="205"/>
                    <w:rPr>
                      <w:color w:val="auto"/>
                    </w:rPr>
                  </w:pPr>
                  <w:r>
                    <w:rPr>
                      <w:rFonts w:hint="eastAsia"/>
                      <w:color w:val="auto"/>
                    </w:rPr>
                    <w:t>数量（台）</w:t>
                  </w:r>
                </w:p>
              </w:tc>
              <w:tc>
                <w:tcPr>
                  <w:tcW w:w="1260" w:type="dxa"/>
                  <w:vMerge w:val="restart"/>
                  <w:tcBorders>
                    <w:tl2br w:val="nil"/>
                    <w:tr2bl w:val="nil"/>
                  </w:tcBorders>
                  <w:vAlign w:val="center"/>
                </w:tcPr>
                <w:p>
                  <w:pPr>
                    <w:pStyle w:val="205"/>
                    <w:rPr>
                      <w:color w:val="auto"/>
                    </w:rPr>
                  </w:pPr>
                  <w:r>
                    <w:rPr>
                      <w:rFonts w:hint="eastAsia"/>
                      <w:color w:val="auto"/>
                    </w:rPr>
                    <w:t>治理措施</w:t>
                  </w:r>
                </w:p>
              </w:tc>
              <w:tc>
                <w:tcPr>
                  <w:tcW w:w="1155" w:type="dxa"/>
                  <w:vMerge w:val="restart"/>
                  <w:tcBorders>
                    <w:tl2br w:val="nil"/>
                    <w:tr2bl w:val="nil"/>
                  </w:tcBorders>
                  <w:vAlign w:val="center"/>
                </w:tcPr>
                <w:p>
                  <w:pPr>
                    <w:pStyle w:val="205"/>
                    <w:rPr>
                      <w:color w:val="auto"/>
                    </w:rPr>
                  </w:pPr>
                  <w:r>
                    <w:rPr>
                      <w:rFonts w:hint="eastAsia"/>
                      <w:color w:val="auto"/>
                    </w:rPr>
                    <w:t>降噪效果</w:t>
                  </w:r>
                  <w:r>
                    <w:rPr>
                      <w:color w:val="auto"/>
                    </w:rPr>
                    <w:t>dB(A)</w:t>
                  </w:r>
                </w:p>
              </w:tc>
              <w:tc>
                <w:tcPr>
                  <w:tcW w:w="1230" w:type="dxa"/>
                  <w:vMerge w:val="restart"/>
                  <w:tcBorders>
                    <w:tl2br w:val="nil"/>
                    <w:tr2bl w:val="nil"/>
                  </w:tcBorders>
                  <w:vAlign w:val="center"/>
                </w:tcPr>
                <w:p>
                  <w:pPr>
                    <w:pStyle w:val="205"/>
                    <w:rPr>
                      <w:color w:val="auto"/>
                    </w:rPr>
                  </w:pPr>
                  <w:r>
                    <w:rPr>
                      <w:rFonts w:hint="eastAsia"/>
                      <w:color w:val="auto"/>
                    </w:rPr>
                    <w:t>治理后声级</w:t>
                  </w:r>
                  <w:r>
                    <w:rPr>
                      <w:color w:val="auto"/>
                    </w:rPr>
                    <w:t>dB(A)</w:t>
                  </w:r>
                </w:p>
              </w:tc>
              <w:tc>
                <w:tcPr>
                  <w:tcW w:w="1908" w:type="dxa"/>
                  <w:gridSpan w:val="2"/>
                  <w:tcBorders>
                    <w:tl2br w:val="nil"/>
                    <w:tr2bl w:val="nil"/>
                  </w:tcBorders>
                  <w:vAlign w:val="center"/>
                </w:tcPr>
                <w:p>
                  <w:pPr>
                    <w:pStyle w:val="205"/>
                    <w:rPr>
                      <w:rFonts w:hint="default" w:eastAsia="宋体"/>
                      <w:color w:val="auto"/>
                      <w:lang w:val="en-US" w:eastAsia="zh-CN"/>
                    </w:rPr>
                  </w:pPr>
                  <w:r>
                    <w:rPr>
                      <w:rFonts w:hint="eastAsia"/>
                      <w:color w:val="auto"/>
                      <w:lang w:val="en-US" w:eastAsia="zh-CN"/>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970" w:type="dxa"/>
                  <w:vMerge w:val="continue"/>
                  <w:tcBorders>
                    <w:tl2br w:val="nil"/>
                    <w:tr2bl w:val="nil"/>
                  </w:tcBorders>
                  <w:vAlign w:val="center"/>
                </w:tcPr>
                <w:p>
                  <w:pPr>
                    <w:pStyle w:val="205"/>
                    <w:rPr>
                      <w:color w:val="auto"/>
                    </w:rPr>
                  </w:pPr>
                </w:p>
              </w:tc>
              <w:tc>
                <w:tcPr>
                  <w:tcW w:w="1080" w:type="dxa"/>
                  <w:vMerge w:val="continue"/>
                  <w:tcBorders>
                    <w:tl2br w:val="nil"/>
                    <w:tr2bl w:val="nil"/>
                  </w:tcBorders>
                  <w:vAlign w:val="center"/>
                </w:tcPr>
                <w:p>
                  <w:pPr>
                    <w:pStyle w:val="205"/>
                    <w:rPr>
                      <w:color w:val="auto"/>
                    </w:rPr>
                  </w:pPr>
                </w:p>
              </w:tc>
              <w:tc>
                <w:tcPr>
                  <w:tcW w:w="900" w:type="dxa"/>
                  <w:vMerge w:val="continue"/>
                  <w:tcBorders>
                    <w:tl2br w:val="nil"/>
                    <w:tr2bl w:val="nil"/>
                  </w:tcBorders>
                  <w:vAlign w:val="center"/>
                </w:tcPr>
                <w:p>
                  <w:pPr>
                    <w:pStyle w:val="205"/>
                    <w:rPr>
                      <w:color w:val="auto"/>
                    </w:rPr>
                  </w:pPr>
                </w:p>
              </w:tc>
              <w:tc>
                <w:tcPr>
                  <w:tcW w:w="1260" w:type="dxa"/>
                  <w:vMerge w:val="continue"/>
                  <w:tcBorders>
                    <w:tl2br w:val="nil"/>
                    <w:tr2bl w:val="nil"/>
                  </w:tcBorders>
                  <w:vAlign w:val="center"/>
                </w:tcPr>
                <w:p>
                  <w:pPr>
                    <w:pStyle w:val="205"/>
                    <w:rPr>
                      <w:color w:val="auto"/>
                    </w:rPr>
                  </w:pPr>
                </w:p>
              </w:tc>
              <w:tc>
                <w:tcPr>
                  <w:tcW w:w="1155" w:type="dxa"/>
                  <w:vMerge w:val="continue"/>
                  <w:tcBorders>
                    <w:tl2br w:val="nil"/>
                    <w:tr2bl w:val="nil"/>
                  </w:tcBorders>
                  <w:vAlign w:val="center"/>
                </w:tcPr>
                <w:p>
                  <w:pPr>
                    <w:pStyle w:val="205"/>
                    <w:rPr>
                      <w:color w:val="auto"/>
                    </w:rPr>
                  </w:pPr>
                </w:p>
              </w:tc>
              <w:tc>
                <w:tcPr>
                  <w:tcW w:w="1230" w:type="dxa"/>
                  <w:vMerge w:val="continue"/>
                  <w:tcBorders>
                    <w:tl2br w:val="nil"/>
                    <w:tr2bl w:val="nil"/>
                  </w:tcBorders>
                  <w:vAlign w:val="center"/>
                </w:tcPr>
                <w:p>
                  <w:pPr>
                    <w:pStyle w:val="205"/>
                    <w:rPr>
                      <w:color w:val="auto"/>
                    </w:rPr>
                  </w:pPr>
                </w:p>
              </w:tc>
              <w:tc>
                <w:tcPr>
                  <w:tcW w:w="954" w:type="dxa"/>
                  <w:tcBorders>
                    <w:tl2br w:val="nil"/>
                    <w:tr2bl w:val="nil"/>
                  </w:tcBorders>
                  <w:vAlign w:val="center"/>
                </w:tcPr>
                <w:p>
                  <w:pPr>
                    <w:pStyle w:val="205"/>
                    <w:rPr>
                      <w:rFonts w:hint="eastAsia" w:eastAsia="宋体"/>
                      <w:color w:val="auto"/>
                      <w:lang w:val="en-US" w:eastAsia="zh-CN"/>
                    </w:rPr>
                  </w:pPr>
                  <w:r>
                    <w:rPr>
                      <w:rFonts w:hint="eastAsia"/>
                      <w:color w:val="auto"/>
                      <w:lang w:val="en-US" w:eastAsia="zh-CN"/>
                    </w:rPr>
                    <w:t>昼间</w:t>
                  </w:r>
                </w:p>
              </w:tc>
              <w:tc>
                <w:tcPr>
                  <w:tcW w:w="954" w:type="dxa"/>
                  <w:tcBorders>
                    <w:tl2br w:val="nil"/>
                    <w:tr2bl w:val="nil"/>
                  </w:tcBorders>
                  <w:vAlign w:val="center"/>
                </w:tcPr>
                <w:p>
                  <w:pPr>
                    <w:pStyle w:val="205"/>
                    <w:rPr>
                      <w:rFonts w:hint="eastAsia" w:eastAsia="宋体"/>
                      <w:color w:val="auto"/>
                      <w:lang w:val="en-US" w:eastAsia="zh-CN"/>
                    </w:rPr>
                  </w:pPr>
                  <w:r>
                    <w:rPr>
                      <w:rFonts w:hint="eastAsia"/>
                      <w:color w:val="auto"/>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0" w:type="dxa"/>
                  <w:tcBorders>
                    <w:tl2br w:val="nil"/>
                    <w:tr2bl w:val="nil"/>
                  </w:tcBorders>
                  <w:vAlign w:val="center"/>
                </w:tcPr>
                <w:p>
                  <w:pPr>
                    <w:pStyle w:val="205"/>
                    <w:rPr>
                      <w:color w:val="auto"/>
                    </w:rPr>
                  </w:pPr>
                  <w:r>
                    <w:rPr>
                      <w:rFonts w:hint="eastAsia"/>
                      <w:color w:val="auto"/>
                    </w:rPr>
                    <w:t>鄂破机</w:t>
                  </w:r>
                </w:p>
              </w:tc>
              <w:tc>
                <w:tcPr>
                  <w:tcW w:w="1080" w:type="dxa"/>
                  <w:tcBorders>
                    <w:tl2br w:val="nil"/>
                    <w:tr2bl w:val="nil"/>
                  </w:tcBorders>
                  <w:vAlign w:val="center"/>
                </w:tcPr>
                <w:p>
                  <w:pPr>
                    <w:pStyle w:val="205"/>
                    <w:rPr>
                      <w:rFonts w:hint="eastAsia" w:eastAsia="宋体"/>
                      <w:color w:val="auto"/>
                      <w:lang w:eastAsia="zh-CN"/>
                    </w:rPr>
                  </w:pPr>
                  <w:r>
                    <w:rPr>
                      <w:color w:val="auto"/>
                    </w:rPr>
                    <w:t>10</w:t>
                  </w:r>
                  <w:r>
                    <w:rPr>
                      <w:rFonts w:hint="eastAsia"/>
                      <w:color w:val="auto"/>
                      <w:lang w:val="en-US" w:eastAsia="zh-CN"/>
                    </w:rPr>
                    <w:t>0</w:t>
                  </w:r>
                </w:p>
              </w:tc>
              <w:tc>
                <w:tcPr>
                  <w:tcW w:w="900" w:type="dxa"/>
                  <w:tcBorders>
                    <w:tl2br w:val="nil"/>
                    <w:tr2bl w:val="nil"/>
                  </w:tcBorders>
                  <w:vAlign w:val="center"/>
                </w:tcPr>
                <w:p>
                  <w:pPr>
                    <w:pStyle w:val="205"/>
                    <w:rPr>
                      <w:color w:val="auto"/>
                    </w:rPr>
                  </w:pPr>
                  <w:r>
                    <w:rPr>
                      <w:color w:val="auto"/>
                    </w:rPr>
                    <w:t>1</w:t>
                  </w:r>
                </w:p>
              </w:tc>
              <w:tc>
                <w:tcPr>
                  <w:tcW w:w="1260" w:type="dxa"/>
                  <w:tcBorders>
                    <w:tl2br w:val="nil"/>
                    <w:tr2bl w:val="nil"/>
                  </w:tcBorders>
                  <w:vAlign w:val="center"/>
                </w:tcPr>
                <w:p>
                  <w:pPr>
                    <w:pStyle w:val="205"/>
                    <w:rPr>
                      <w:color w:val="auto"/>
                    </w:rPr>
                  </w:pPr>
                  <w:r>
                    <w:rPr>
                      <w:rFonts w:hint="eastAsia"/>
                      <w:color w:val="auto"/>
                    </w:rPr>
                    <w:t>减振、隔声</w:t>
                  </w:r>
                </w:p>
              </w:tc>
              <w:tc>
                <w:tcPr>
                  <w:tcW w:w="1155" w:type="dxa"/>
                  <w:tcBorders>
                    <w:tl2br w:val="nil"/>
                    <w:tr2bl w:val="nil"/>
                  </w:tcBorders>
                  <w:vAlign w:val="center"/>
                </w:tcPr>
                <w:p>
                  <w:pPr>
                    <w:pStyle w:val="205"/>
                    <w:rPr>
                      <w:rFonts w:hint="default" w:eastAsia="宋体"/>
                      <w:color w:val="auto"/>
                      <w:lang w:val="en-US" w:eastAsia="zh-CN"/>
                    </w:rPr>
                  </w:pPr>
                  <w:r>
                    <w:rPr>
                      <w:rFonts w:hint="eastAsia"/>
                      <w:color w:val="auto"/>
                      <w:lang w:val="en-US" w:eastAsia="zh-CN"/>
                    </w:rPr>
                    <w:t>15</w:t>
                  </w:r>
                </w:p>
              </w:tc>
              <w:tc>
                <w:tcPr>
                  <w:tcW w:w="1230" w:type="dxa"/>
                  <w:tcBorders>
                    <w:tl2br w:val="nil"/>
                    <w:tr2bl w:val="nil"/>
                  </w:tcBorders>
                  <w:vAlign w:val="center"/>
                </w:tcPr>
                <w:p>
                  <w:pPr>
                    <w:pStyle w:val="205"/>
                    <w:rPr>
                      <w:rFonts w:hint="eastAsia" w:eastAsia="宋体"/>
                      <w:color w:val="auto"/>
                      <w:lang w:eastAsia="zh-CN"/>
                    </w:rPr>
                  </w:pPr>
                  <w:r>
                    <w:rPr>
                      <w:color w:val="auto"/>
                    </w:rPr>
                    <w:t>8</w:t>
                  </w:r>
                  <w:r>
                    <w:rPr>
                      <w:rFonts w:hint="eastAsia"/>
                      <w:color w:val="auto"/>
                      <w:lang w:val="en-US" w:eastAsia="zh-CN"/>
                    </w:rPr>
                    <w:t>5</w:t>
                  </w:r>
                </w:p>
              </w:tc>
              <w:tc>
                <w:tcPr>
                  <w:tcW w:w="954" w:type="dxa"/>
                  <w:tcBorders>
                    <w:tl2br w:val="nil"/>
                    <w:tr2bl w:val="nil"/>
                  </w:tcBorders>
                  <w:vAlign w:val="center"/>
                </w:tcPr>
                <w:p>
                  <w:pPr>
                    <w:pStyle w:val="205"/>
                    <w:rPr>
                      <w:color w:val="auto"/>
                    </w:rPr>
                  </w:pPr>
                  <w:r>
                    <w:rPr>
                      <w:rFonts w:hint="eastAsia"/>
                      <w:color w:val="auto"/>
                    </w:rPr>
                    <w:t>√</w:t>
                  </w:r>
                </w:p>
              </w:tc>
              <w:tc>
                <w:tcPr>
                  <w:tcW w:w="954" w:type="dxa"/>
                  <w:tcBorders>
                    <w:tl2br w:val="nil"/>
                    <w:tr2bl w:val="nil"/>
                  </w:tcBorders>
                  <w:vAlign w:val="center"/>
                </w:tcPr>
                <w:p>
                  <w:pPr>
                    <w:pStyle w:val="205"/>
                    <w:rPr>
                      <w:color w:val="auto"/>
                    </w:rPr>
                  </w:pPr>
                  <w:r>
                    <w:rPr>
                      <w:rFonts w:hint="eastAsia" w:ascii="微软雅黑" w:hAnsi="微软雅黑" w:eastAsia="微软雅黑" w:cs="微软雅黑"/>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0" w:type="dxa"/>
                  <w:tcBorders>
                    <w:tl2br w:val="nil"/>
                    <w:tr2bl w:val="nil"/>
                  </w:tcBorders>
                  <w:vAlign w:val="center"/>
                </w:tcPr>
                <w:p>
                  <w:pPr>
                    <w:pStyle w:val="205"/>
                    <w:rPr>
                      <w:color w:val="auto"/>
                    </w:rPr>
                  </w:pPr>
                  <w:r>
                    <w:rPr>
                      <w:rFonts w:hint="eastAsia"/>
                      <w:color w:val="auto"/>
                    </w:rPr>
                    <w:t>圆锥破碎机</w:t>
                  </w:r>
                </w:p>
              </w:tc>
              <w:tc>
                <w:tcPr>
                  <w:tcW w:w="1080" w:type="dxa"/>
                  <w:tcBorders>
                    <w:tl2br w:val="nil"/>
                    <w:tr2bl w:val="nil"/>
                  </w:tcBorders>
                  <w:vAlign w:val="center"/>
                </w:tcPr>
                <w:p>
                  <w:pPr>
                    <w:pStyle w:val="205"/>
                    <w:rPr>
                      <w:rFonts w:hint="eastAsia" w:eastAsia="宋体"/>
                      <w:color w:val="auto"/>
                      <w:lang w:eastAsia="zh-CN"/>
                    </w:rPr>
                  </w:pPr>
                  <w:r>
                    <w:rPr>
                      <w:color w:val="auto"/>
                    </w:rPr>
                    <w:t>8</w:t>
                  </w:r>
                  <w:r>
                    <w:rPr>
                      <w:rFonts w:hint="eastAsia"/>
                      <w:color w:val="auto"/>
                      <w:lang w:val="en-US" w:eastAsia="zh-CN"/>
                    </w:rPr>
                    <w:t>5</w:t>
                  </w:r>
                </w:p>
              </w:tc>
              <w:tc>
                <w:tcPr>
                  <w:tcW w:w="900" w:type="dxa"/>
                  <w:tcBorders>
                    <w:tl2br w:val="nil"/>
                    <w:tr2bl w:val="nil"/>
                  </w:tcBorders>
                  <w:vAlign w:val="center"/>
                </w:tcPr>
                <w:p>
                  <w:pPr>
                    <w:pStyle w:val="205"/>
                    <w:rPr>
                      <w:color w:val="auto"/>
                    </w:rPr>
                  </w:pPr>
                  <w:r>
                    <w:rPr>
                      <w:color w:val="auto"/>
                    </w:rPr>
                    <w:t>1</w:t>
                  </w:r>
                </w:p>
              </w:tc>
              <w:tc>
                <w:tcPr>
                  <w:tcW w:w="1260" w:type="dxa"/>
                  <w:tcBorders>
                    <w:tl2br w:val="nil"/>
                    <w:tr2bl w:val="nil"/>
                  </w:tcBorders>
                  <w:vAlign w:val="center"/>
                </w:tcPr>
                <w:p>
                  <w:pPr>
                    <w:pStyle w:val="205"/>
                    <w:rPr>
                      <w:color w:val="auto"/>
                    </w:rPr>
                  </w:pPr>
                  <w:r>
                    <w:rPr>
                      <w:rFonts w:hint="eastAsia"/>
                      <w:color w:val="auto"/>
                    </w:rPr>
                    <w:t>减振、隔声</w:t>
                  </w:r>
                </w:p>
              </w:tc>
              <w:tc>
                <w:tcPr>
                  <w:tcW w:w="1155" w:type="dxa"/>
                  <w:tcBorders>
                    <w:tl2br w:val="nil"/>
                    <w:tr2bl w:val="nil"/>
                  </w:tcBorders>
                  <w:vAlign w:val="center"/>
                </w:tcPr>
                <w:p>
                  <w:pPr>
                    <w:pStyle w:val="205"/>
                    <w:rPr>
                      <w:color w:val="auto"/>
                    </w:rPr>
                  </w:pPr>
                  <w:r>
                    <w:rPr>
                      <w:rFonts w:hint="eastAsia"/>
                      <w:color w:val="auto"/>
                      <w:lang w:val="en-US" w:eastAsia="zh-CN"/>
                    </w:rPr>
                    <w:t>15</w:t>
                  </w:r>
                </w:p>
              </w:tc>
              <w:tc>
                <w:tcPr>
                  <w:tcW w:w="1230" w:type="dxa"/>
                  <w:tcBorders>
                    <w:tl2br w:val="nil"/>
                    <w:tr2bl w:val="nil"/>
                  </w:tcBorders>
                  <w:vAlign w:val="center"/>
                </w:tcPr>
                <w:p>
                  <w:pPr>
                    <w:pStyle w:val="205"/>
                    <w:rPr>
                      <w:rFonts w:hint="default" w:eastAsia="宋体"/>
                      <w:color w:val="auto"/>
                      <w:lang w:val="en-US" w:eastAsia="zh-CN"/>
                    </w:rPr>
                  </w:pPr>
                  <w:r>
                    <w:rPr>
                      <w:rFonts w:hint="eastAsia"/>
                      <w:color w:val="auto"/>
                      <w:lang w:val="en-US" w:eastAsia="zh-CN"/>
                    </w:rPr>
                    <w:t>70</w:t>
                  </w:r>
                </w:p>
              </w:tc>
              <w:tc>
                <w:tcPr>
                  <w:tcW w:w="954" w:type="dxa"/>
                  <w:tcBorders>
                    <w:tl2br w:val="nil"/>
                    <w:tr2bl w:val="nil"/>
                  </w:tcBorders>
                  <w:vAlign w:val="center"/>
                </w:tcPr>
                <w:p>
                  <w:pPr>
                    <w:pStyle w:val="205"/>
                    <w:rPr>
                      <w:color w:val="auto"/>
                    </w:rPr>
                  </w:pPr>
                  <w:r>
                    <w:rPr>
                      <w:rFonts w:hint="eastAsia"/>
                      <w:color w:val="auto"/>
                    </w:rPr>
                    <w:t>√</w:t>
                  </w:r>
                </w:p>
              </w:tc>
              <w:tc>
                <w:tcPr>
                  <w:tcW w:w="954" w:type="dxa"/>
                  <w:tcBorders>
                    <w:tl2br w:val="nil"/>
                    <w:tr2bl w:val="nil"/>
                  </w:tcBorders>
                  <w:vAlign w:val="center"/>
                </w:tcPr>
                <w:p>
                  <w:pPr>
                    <w:pStyle w:val="205"/>
                    <w:rPr>
                      <w:color w:val="auto"/>
                    </w:rPr>
                  </w:pPr>
                  <w:r>
                    <w:rPr>
                      <w:rFonts w:hint="eastAsia" w:ascii="微软雅黑" w:hAnsi="微软雅黑" w:eastAsia="微软雅黑" w:cs="微软雅黑"/>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0" w:type="dxa"/>
                  <w:tcBorders>
                    <w:tl2br w:val="nil"/>
                    <w:tr2bl w:val="nil"/>
                  </w:tcBorders>
                  <w:vAlign w:val="center"/>
                </w:tcPr>
                <w:p>
                  <w:pPr>
                    <w:pStyle w:val="205"/>
                    <w:rPr>
                      <w:color w:val="auto"/>
                    </w:rPr>
                  </w:pPr>
                  <w:r>
                    <w:rPr>
                      <w:rFonts w:hint="eastAsia"/>
                      <w:color w:val="auto"/>
                    </w:rPr>
                    <w:t>振动筛</w:t>
                  </w:r>
                </w:p>
              </w:tc>
              <w:tc>
                <w:tcPr>
                  <w:tcW w:w="1080" w:type="dxa"/>
                  <w:tcBorders>
                    <w:tl2br w:val="nil"/>
                    <w:tr2bl w:val="nil"/>
                  </w:tcBorders>
                  <w:vAlign w:val="center"/>
                </w:tcPr>
                <w:p>
                  <w:pPr>
                    <w:pStyle w:val="205"/>
                    <w:rPr>
                      <w:color w:val="auto"/>
                    </w:rPr>
                  </w:pPr>
                  <w:r>
                    <w:rPr>
                      <w:color w:val="auto"/>
                    </w:rPr>
                    <w:t>80</w:t>
                  </w:r>
                </w:p>
              </w:tc>
              <w:tc>
                <w:tcPr>
                  <w:tcW w:w="900" w:type="dxa"/>
                  <w:tcBorders>
                    <w:tl2br w:val="nil"/>
                    <w:tr2bl w:val="nil"/>
                  </w:tcBorders>
                  <w:vAlign w:val="center"/>
                </w:tcPr>
                <w:p>
                  <w:pPr>
                    <w:pStyle w:val="205"/>
                    <w:rPr>
                      <w:color w:val="auto"/>
                    </w:rPr>
                  </w:pPr>
                  <w:r>
                    <w:rPr>
                      <w:color w:val="auto"/>
                    </w:rPr>
                    <w:t>1</w:t>
                  </w:r>
                </w:p>
              </w:tc>
              <w:tc>
                <w:tcPr>
                  <w:tcW w:w="1260" w:type="dxa"/>
                  <w:tcBorders>
                    <w:tl2br w:val="nil"/>
                    <w:tr2bl w:val="nil"/>
                  </w:tcBorders>
                  <w:vAlign w:val="center"/>
                </w:tcPr>
                <w:p>
                  <w:pPr>
                    <w:pStyle w:val="205"/>
                    <w:rPr>
                      <w:color w:val="auto"/>
                    </w:rPr>
                  </w:pPr>
                  <w:r>
                    <w:rPr>
                      <w:rFonts w:hint="eastAsia"/>
                      <w:color w:val="auto"/>
                    </w:rPr>
                    <w:t>减振、隔声</w:t>
                  </w:r>
                </w:p>
              </w:tc>
              <w:tc>
                <w:tcPr>
                  <w:tcW w:w="1155" w:type="dxa"/>
                  <w:tcBorders>
                    <w:tl2br w:val="nil"/>
                    <w:tr2bl w:val="nil"/>
                  </w:tcBorders>
                  <w:vAlign w:val="center"/>
                </w:tcPr>
                <w:p>
                  <w:pPr>
                    <w:pStyle w:val="205"/>
                    <w:rPr>
                      <w:color w:val="auto"/>
                    </w:rPr>
                  </w:pPr>
                  <w:r>
                    <w:rPr>
                      <w:rFonts w:hint="eastAsia"/>
                      <w:color w:val="auto"/>
                      <w:lang w:val="en-US" w:eastAsia="zh-CN"/>
                    </w:rPr>
                    <w:t>15</w:t>
                  </w:r>
                </w:p>
              </w:tc>
              <w:tc>
                <w:tcPr>
                  <w:tcW w:w="1230" w:type="dxa"/>
                  <w:tcBorders>
                    <w:tl2br w:val="nil"/>
                    <w:tr2bl w:val="nil"/>
                  </w:tcBorders>
                  <w:vAlign w:val="center"/>
                </w:tcPr>
                <w:p>
                  <w:pPr>
                    <w:pStyle w:val="205"/>
                    <w:rPr>
                      <w:rFonts w:hint="default" w:eastAsia="宋体"/>
                      <w:color w:val="auto"/>
                      <w:lang w:val="en-US" w:eastAsia="zh-CN"/>
                    </w:rPr>
                  </w:pPr>
                  <w:r>
                    <w:rPr>
                      <w:rFonts w:hint="eastAsia"/>
                      <w:color w:val="auto"/>
                      <w:lang w:val="en-US" w:eastAsia="zh-CN"/>
                    </w:rPr>
                    <w:t>65</w:t>
                  </w:r>
                </w:p>
              </w:tc>
              <w:tc>
                <w:tcPr>
                  <w:tcW w:w="954" w:type="dxa"/>
                  <w:tcBorders>
                    <w:tl2br w:val="nil"/>
                    <w:tr2bl w:val="nil"/>
                  </w:tcBorders>
                  <w:vAlign w:val="center"/>
                </w:tcPr>
                <w:p>
                  <w:pPr>
                    <w:pStyle w:val="205"/>
                    <w:rPr>
                      <w:color w:val="auto"/>
                    </w:rPr>
                  </w:pPr>
                  <w:r>
                    <w:rPr>
                      <w:rFonts w:hint="eastAsia"/>
                      <w:color w:val="auto"/>
                    </w:rPr>
                    <w:t>√</w:t>
                  </w:r>
                </w:p>
              </w:tc>
              <w:tc>
                <w:tcPr>
                  <w:tcW w:w="954" w:type="dxa"/>
                  <w:tcBorders>
                    <w:tl2br w:val="nil"/>
                    <w:tr2bl w:val="nil"/>
                  </w:tcBorders>
                  <w:vAlign w:val="center"/>
                </w:tcPr>
                <w:p>
                  <w:pPr>
                    <w:pStyle w:val="205"/>
                    <w:rPr>
                      <w:color w:val="auto"/>
                    </w:rPr>
                  </w:pPr>
                  <w:r>
                    <w:rPr>
                      <w:rFonts w:hint="eastAsia" w:ascii="微软雅黑" w:hAnsi="微软雅黑" w:eastAsia="微软雅黑" w:cs="微软雅黑"/>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0" w:type="dxa"/>
                  <w:tcBorders>
                    <w:tl2br w:val="nil"/>
                    <w:tr2bl w:val="nil"/>
                  </w:tcBorders>
                  <w:vAlign w:val="center"/>
                </w:tcPr>
                <w:p>
                  <w:pPr>
                    <w:pStyle w:val="205"/>
                    <w:rPr>
                      <w:color w:val="auto"/>
                    </w:rPr>
                  </w:pPr>
                  <w:r>
                    <w:rPr>
                      <w:rFonts w:hint="eastAsia"/>
                      <w:color w:val="auto"/>
                    </w:rPr>
                    <w:t>雷蒙磨</w:t>
                  </w:r>
                </w:p>
              </w:tc>
              <w:tc>
                <w:tcPr>
                  <w:tcW w:w="1080" w:type="dxa"/>
                  <w:tcBorders>
                    <w:tl2br w:val="nil"/>
                    <w:tr2bl w:val="nil"/>
                  </w:tcBorders>
                  <w:vAlign w:val="center"/>
                </w:tcPr>
                <w:p>
                  <w:pPr>
                    <w:pStyle w:val="205"/>
                    <w:rPr>
                      <w:rFonts w:hint="eastAsia" w:eastAsia="宋体"/>
                      <w:color w:val="auto"/>
                      <w:lang w:eastAsia="zh-CN"/>
                    </w:rPr>
                  </w:pPr>
                  <w:r>
                    <w:rPr>
                      <w:color w:val="auto"/>
                    </w:rPr>
                    <w:t>9</w:t>
                  </w:r>
                  <w:r>
                    <w:rPr>
                      <w:rFonts w:hint="eastAsia"/>
                      <w:color w:val="auto"/>
                      <w:lang w:val="en-US" w:eastAsia="zh-CN"/>
                    </w:rPr>
                    <w:t>5</w:t>
                  </w:r>
                </w:p>
              </w:tc>
              <w:tc>
                <w:tcPr>
                  <w:tcW w:w="900" w:type="dxa"/>
                  <w:tcBorders>
                    <w:tl2br w:val="nil"/>
                    <w:tr2bl w:val="nil"/>
                  </w:tcBorders>
                  <w:vAlign w:val="center"/>
                </w:tcPr>
                <w:p>
                  <w:pPr>
                    <w:pStyle w:val="205"/>
                    <w:rPr>
                      <w:color w:val="auto"/>
                    </w:rPr>
                  </w:pPr>
                  <w:r>
                    <w:rPr>
                      <w:color w:val="auto"/>
                    </w:rPr>
                    <w:t>2</w:t>
                  </w:r>
                </w:p>
              </w:tc>
              <w:tc>
                <w:tcPr>
                  <w:tcW w:w="1260" w:type="dxa"/>
                  <w:tcBorders>
                    <w:tl2br w:val="nil"/>
                    <w:tr2bl w:val="nil"/>
                  </w:tcBorders>
                  <w:vAlign w:val="center"/>
                </w:tcPr>
                <w:p>
                  <w:pPr>
                    <w:pStyle w:val="205"/>
                    <w:rPr>
                      <w:color w:val="auto"/>
                    </w:rPr>
                  </w:pPr>
                  <w:r>
                    <w:rPr>
                      <w:rFonts w:hint="eastAsia"/>
                      <w:color w:val="auto"/>
                    </w:rPr>
                    <w:t>减振、隔声</w:t>
                  </w:r>
                </w:p>
              </w:tc>
              <w:tc>
                <w:tcPr>
                  <w:tcW w:w="1155" w:type="dxa"/>
                  <w:tcBorders>
                    <w:tl2br w:val="nil"/>
                    <w:tr2bl w:val="nil"/>
                  </w:tcBorders>
                  <w:vAlign w:val="center"/>
                </w:tcPr>
                <w:p>
                  <w:pPr>
                    <w:pStyle w:val="205"/>
                    <w:rPr>
                      <w:color w:val="auto"/>
                    </w:rPr>
                  </w:pPr>
                  <w:r>
                    <w:rPr>
                      <w:rFonts w:hint="eastAsia"/>
                      <w:color w:val="auto"/>
                      <w:lang w:val="en-US" w:eastAsia="zh-CN"/>
                    </w:rPr>
                    <w:t>15</w:t>
                  </w:r>
                </w:p>
              </w:tc>
              <w:tc>
                <w:tcPr>
                  <w:tcW w:w="1230" w:type="dxa"/>
                  <w:tcBorders>
                    <w:tl2br w:val="nil"/>
                    <w:tr2bl w:val="nil"/>
                  </w:tcBorders>
                  <w:vAlign w:val="center"/>
                </w:tcPr>
                <w:p>
                  <w:pPr>
                    <w:pStyle w:val="205"/>
                    <w:rPr>
                      <w:rFonts w:hint="default" w:eastAsia="宋体"/>
                      <w:color w:val="auto"/>
                      <w:lang w:val="en-US" w:eastAsia="zh-CN"/>
                    </w:rPr>
                  </w:pPr>
                  <w:r>
                    <w:rPr>
                      <w:rFonts w:hint="eastAsia"/>
                      <w:color w:val="auto"/>
                      <w:lang w:val="en-US" w:eastAsia="zh-CN"/>
                    </w:rPr>
                    <w:t>80</w:t>
                  </w:r>
                </w:p>
              </w:tc>
              <w:tc>
                <w:tcPr>
                  <w:tcW w:w="954" w:type="dxa"/>
                  <w:tcBorders>
                    <w:tl2br w:val="nil"/>
                    <w:tr2bl w:val="nil"/>
                  </w:tcBorders>
                  <w:vAlign w:val="center"/>
                </w:tcPr>
                <w:p>
                  <w:pPr>
                    <w:pStyle w:val="205"/>
                    <w:rPr>
                      <w:color w:val="auto"/>
                    </w:rPr>
                  </w:pPr>
                  <w:r>
                    <w:rPr>
                      <w:rFonts w:hint="eastAsia"/>
                      <w:color w:val="auto"/>
                    </w:rPr>
                    <w:t>√</w:t>
                  </w:r>
                </w:p>
              </w:tc>
              <w:tc>
                <w:tcPr>
                  <w:tcW w:w="954" w:type="dxa"/>
                  <w:tcBorders>
                    <w:tl2br w:val="nil"/>
                    <w:tr2bl w:val="nil"/>
                  </w:tcBorders>
                  <w:vAlign w:val="center"/>
                </w:tcPr>
                <w:p>
                  <w:pPr>
                    <w:pStyle w:val="205"/>
                    <w:rPr>
                      <w:color w:val="auto"/>
                    </w:rPr>
                  </w:pPr>
                  <w:r>
                    <w:rPr>
                      <w:rFonts w:hint="eastAsia" w:ascii="微软雅黑" w:hAnsi="微软雅黑" w:eastAsia="微软雅黑" w:cs="微软雅黑"/>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0" w:type="dxa"/>
                  <w:tcBorders>
                    <w:tl2br w:val="nil"/>
                    <w:tr2bl w:val="nil"/>
                  </w:tcBorders>
                  <w:vAlign w:val="center"/>
                </w:tcPr>
                <w:p>
                  <w:pPr>
                    <w:pStyle w:val="205"/>
                    <w:rPr>
                      <w:color w:val="auto"/>
                    </w:rPr>
                  </w:pPr>
                  <w:r>
                    <w:rPr>
                      <w:rFonts w:hint="eastAsia"/>
                      <w:color w:val="auto"/>
                    </w:rPr>
                    <w:t>磨边倒角机</w:t>
                  </w:r>
                </w:p>
              </w:tc>
              <w:tc>
                <w:tcPr>
                  <w:tcW w:w="1080" w:type="dxa"/>
                  <w:tcBorders>
                    <w:tl2br w:val="nil"/>
                    <w:tr2bl w:val="nil"/>
                  </w:tcBorders>
                  <w:vAlign w:val="center"/>
                </w:tcPr>
                <w:p>
                  <w:pPr>
                    <w:pStyle w:val="205"/>
                    <w:rPr>
                      <w:rFonts w:hint="eastAsia" w:eastAsia="宋体"/>
                      <w:color w:val="auto"/>
                      <w:lang w:eastAsia="zh-CN"/>
                    </w:rPr>
                  </w:pPr>
                  <w:r>
                    <w:rPr>
                      <w:color w:val="auto"/>
                    </w:rPr>
                    <w:t>8</w:t>
                  </w:r>
                  <w:r>
                    <w:rPr>
                      <w:rFonts w:hint="eastAsia"/>
                      <w:color w:val="auto"/>
                      <w:lang w:val="en-US" w:eastAsia="zh-CN"/>
                    </w:rPr>
                    <w:t>5</w:t>
                  </w:r>
                </w:p>
              </w:tc>
              <w:tc>
                <w:tcPr>
                  <w:tcW w:w="900" w:type="dxa"/>
                  <w:tcBorders>
                    <w:tl2br w:val="nil"/>
                    <w:tr2bl w:val="nil"/>
                  </w:tcBorders>
                  <w:vAlign w:val="center"/>
                </w:tcPr>
                <w:p>
                  <w:pPr>
                    <w:pStyle w:val="205"/>
                    <w:rPr>
                      <w:color w:val="auto"/>
                    </w:rPr>
                  </w:pPr>
                  <w:r>
                    <w:rPr>
                      <w:color w:val="auto"/>
                    </w:rPr>
                    <w:t>2</w:t>
                  </w:r>
                </w:p>
              </w:tc>
              <w:tc>
                <w:tcPr>
                  <w:tcW w:w="1260" w:type="dxa"/>
                  <w:tcBorders>
                    <w:tl2br w:val="nil"/>
                    <w:tr2bl w:val="nil"/>
                  </w:tcBorders>
                  <w:vAlign w:val="center"/>
                </w:tcPr>
                <w:p>
                  <w:pPr>
                    <w:pStyle w:val="205"/>
                    <w:rPr>
                      <w:color w:val="auto"/>
                    </w:rPr>
                  </w:pPr>
                  <w:r>
                    <w:rPr>
                      <w:rFonts w:hint="eastAsia"/>
                      <w:color w:val="auto"/>
                    </w:rPr>
                    <w:t>减振、隔声</w:t>
                  </w:r>
                </w:p>
              </w:tc>
              <w:tc>
                <w:tcPr>
                  <w:tcW w:w="1155" w:type="dxa"/>
                  <w:tcBorders>
                    <w:tl2br w:val="nil"/>
                    <w:tr2bl w:val="nil"/>
                  </w:tcBorders>
                  <w:vAlign w:val="center"/>
                </w:tcPr>
                <w:p>
                  <w:pPr>
                    <w:pStyle w:val="205"/>
                    <w:rPr>
                      <w:color w:val="auto"/>
                    </w:rPr>
                  </w:pPr>
                  <w:r>
                    <w:rPr>
                      <w:rFonts w:hint="eastAsia"/>
                      <w:color w:val="auto"/>
                      <w:lang w:val="en-US" w:eastAsia="zh-CN"/>
                    </w:rPr>
                    <w:t>15</w:t>
                  </w:r>
                </w:p>
              </w:tc>
              <w:tc>
                <w:tcPr>
                  <w:tcW w:w="1230" w:type="dxa"/>
                  <w:tcBorders>
                    <w:tl2br w:val="nil"/>
                    <w:tr2bl w:val="nil"/>
                  </w:tcBorders>
                  <w:vAlign w:val="center"/>
                </w:tcPr>
                <w:p>
                  <w:pPr>
                    <w:pStyle w:val="205"/>
                    <w:rPr>
                      <w:rFonts w:hint="default" w:eastAsia="宋体"/>
                      <w:color w:val="auto"/>
                      <w:lang w:val="en-US" w:eastAsia="zh-CN"/>
                    </w:rPr>
                  </w:pPr>
                  <w:r>
                    <w:rPr>
                      <w:rFonts w:hint="eastAsia"/>
                      <w:color w:val="auto"/>
                      <w:lang w:val="en-US" w:eastAsia="zh-CN"/>
                    </w:rPr>
                    <w:t>70</w:t>
                  </w:r>
                </w:p>
              </w:tc>
              <w:tc>
                <w:tcPr>
                  <w:tcW w:w="954" w:type="dxa"/>
                  <w:tcBorders>
                    <w:tl2br w:val="nil"/>
                    <w:tr2bl w:val="nil"/>
                  </w:tcBorders>
                  <w:vAlign w:val="center"/>
                </w:tcPr>
                <w:p>
                  <w:pPr>
                    <w:pStyle w:val="205"/>
                    <w:rPr>
                      <w:color w:val="auto"/>
                    </w:rPr>
                  </w:pPr>
                  <w:r>
                    <w:rPr>
                      <w:rFonts w:hint="eastAsia"/>
                      <w:color w:val="auto"/>
                    </w:rPr>
                    <w:t>√</w:t>
                  </w:r>
                </w:p>
              </w:tc>
              <w:tc>
                <w:tcPr>
                  <w:tcW w:w="954" w:type="dxa"/>
                  <w:tcBorders>
                    <w:tl2br w:val="nil"/>
                    <w:tr2bl w:val="nil"/>
                  </w:tcBorders>
                  <w:vAlign w:val="center"/>
                </w:tcPr>
                <w:p>
                  <w:pPr>
                    <w:pStyle w:val="205"/>
                    <w:rPr>
                      <w:color w:val="auto"/>
                    </w:rPr>
                  </w:pPr>
                  <w:r>
                    <w:rPr>
                      <w:rFonts w:hint="eastAsia" w:ascii="微软雅黑" w:hAnsi="微软雅黑" w:eastAsia="微软雅黑" w:cs="微软雅黑"/>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0" w:type="dxa"/>
                  <w:tcBorders>
                    <w:tl2br w:val="nil"/>
                    <w:tr2bl w:val="nil"/>
                  </w:tcBorders>
                  <w:vAlign w:val="center"/>
                </w:tcPr>
                <w:p>
                  <w:pPr>
                    <w:pStyle w:val="205"/>
                    <w:rPr>
                      <w:color w:val="auto"/>
                    </w:rPr>
                  </w:pPr>
                  <w:r>
                    <w:rPr>
                      <w:rFonts w:hint="eastAsia"/>
                      <w:color w:val="auto"/>
                    </w:rPr>
                    <w:t>烘干机</w:t>
                  </w:r>
                </w:p>
              </w:tc>
              <w:tc>
                <w:tcPr>
                  <w:tcW w:w="1080" w:type="dxa"/>
                  <w:tcBorders>
                    <w:tl2br w:val="nil"/>
                    <w:tr2bl w:val="nil"/>
                  </w:tcBorders>
                  <w:vAlign w:val="center"/>
                </w:tcPr>
                <w:p>
                  <w:pPr>
                    <w:pStyle w:val="205"/>
                    <w:rPr>
                      <w:rFonts w:hint="default" w:eastAsia="宋体"/>
                      <w:color w:val="auto"/>
                      <w:lang w:val="en-US" w:eastAsia="zh-CN"/>
                    </w:rPr>
                  </w:pPr>
                  <w:r>
                    <w:rPr>
                      <w:rFonts w:hint="eastAsia"/>
                      <w:color w:val="auto"/>
                      <w:lang w:val="en-US" w:eastAsia="zh-CN"/>
                    </w:rPr>
                    <w:t>85</w:t>
                  </w:r>
                </w:p>
              </w:tc>
              <w:tc>
                <w:tcPr>
                  <w:tcW w:w="900" w:type="dxa"/>
                  <w:tcBorders>
                    <w:tl2br w:val="nil"/>
                    <w:tr2bl w:val="nil"/>
                  </w:tcBorders>
                  <w:vAlign w:val="center"/>
                </w:tcPr>
                <w:p>
                  <w:pPr>
                    <w:pStyle w:val="205"/>
                    <w:rPr>
                      <w:color w:val="auto"/>
                    </w:rPr>
                  </w:pPr>
                  <w:r>
                    <w:rPr>
                      <w:color w:val="auto"/>
                    </w:rPr>
                    <w:t>2</w:t>
                  </w:r>
                </w:p>
              </w:tc>
              <w:tc>
                <w:tcPr>
                  <w:tcW w:w="1260" w:type="dxa"/>
                  <w:tcBorders>
                    <w:tl2br w:val="nil"/>
                    <w:tr2bl w:val="nil"/>
                  </w:tcBorders>
                  <w:vAlign w:val="center"/>
                </w:tcPr>
                <w:p>
                  <w:pPr>
                    <w:pStyle w:val="205"/>
                    <w:rPr>
                      <w:color w:val="auto"/>
                    </w:rPr>
                  </w:pPr>
                  <w:r>
                    <w:rPr>
                      <w:rFonts w:hint="eastAsia"/>
                      <w:color w:val="auto"/>
                    </w:rPr>
                    <w:t>减振、隔声</w:t>
                  </w:r>
                </w:p>
              </w:tc>
              <w:tc>
                <w:tcPr>
                  <w:tcW w:w="1155" w:type="dxa"/>
                  <w:tcBorders>
                    <w:tl2br w:val="nil"/>
                    <w:tr2bl w:val="nil"/>
                  </w:tcBorders>
                  <w:vAlign w:val="center"/>
                </w:tcPr>
                <w:p>
                  <w:pPr>
                    <w:pStyle w:val="205"/>
                    <w:rPr>
                      <w:color w:val="auto"/>
                    </w:rPr>
                  </w:pPr>
                  <w:r>
                    <w:rPr>
                      <w:rFonts w:hint="eastAsia"/>
                      <w:color w:val="auto"/>
                      <w:lang w:val="en-US" w:eastAsia="zh-CN"/>
                    </w:rPr>
                    <w:t>15</w:t>
                  </w:r>
                </w:p>
              </w:tc>
              <w:tc>
                <w:tcPr>
                  <w:tcW w:w="1230" w:type="dxa"/>
                  <w:tcBorders>
                    <w:tl2br w:val="nil"/>
                    <w:tr2bl w:val="nil"/>
                  </w:tcBorders>
                  <w:vAlign w:val="center"/>
                </w:tcPr>
                <w:p>
                  <w:pPr>
                    <w:pStyle w:val="205"/>
                    <w:rPr>
                      <w:rFonts w:hint="default" w:eastAsia="宋体"/>
                      <w:color w:val="auto"/>
                      <w:lang w:val="en-US" w:eastAsia="zh-CN"/>
                    </w:rPr>
                  </w:pPr>
                  <w:r>
                    <w:rPr>
                      <w:rFonts w:hint="eastAsia"/>
                      <w:color w:val="auto"/>
                      <w:lang w:val="en-US" w:eastAsia="zh-CN"/>
                    </w:rPr>
                    <w:t>70</w:t>
                  </w:r>
                </w:p>
              </w:tc>
              <w:tc>
                <w:tcPr>
                  <w:tcW w:w="954" w:type="dxa"/>
                  <w:tcBorders>
                    <w:tl2br w:val="nil"/>
                    <w:tr2bl w:val="nil"/>
                  </w:tcBorders>
                  <w:vAlign w:val="center"/>
                </w:tcPr>
                <w:p>
                  <w:pPr>
                    <w:pStyle w:val="205"/>
                    <w:rPr>
                      <w:color w:val="auto"/>
                    </w:rPr>
                  </w:pPr>
                  <w:r>
                    <w:rPr>
                      <w:rFonts w:hint="eastAsia"/>
                      <w:color w:val="auto"/>
                    </w:rPr>
                    <w:t>√</w:t>
                  </w:r>
                </w:p>
              </w:tc>
              <w:tc>
                <w:tcPr>
                  <w:tcW w:w="954" w:type="dxa"/>
                  <w:tcBorders>
                    <w:tl2br w:val="nil"/>
                    <w:tr2bl w:val="nil"/>
                  </w:tcBorders>
                  <w:vAlign w:val="center"/>
                </w:tcPr>
                <w:p>
                  <w:pPr>
                    <w:pStyle w:val="205"/>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0" w:type="dxa"/>
                  <w:tcBorders>
                    <w:tl2br w:val="nil"/>
                    <w:tr2bl w:val="nil"/>
                  </w:tcBorders>
                  <w:vAlign w:val="center"/>
                </w:tcPr>
                <w:p>
                  <w:pPr>
                    <w:pStyle w:val="205"/>
                    <w:rPr>
                      <w:color w:val="auto"/>
                    </w:rPr>
                  </w:pPr>
                  <w:r>
                    <w:rPr>
                      <w:rFonts w:hint="eastAsia"/>
                      <w:color w:val="auto"/>
                    </w:rPr>
                    <w:t>空压机</w:t>
                  </w:r>
                </w:p>
              </w:tc>
              <w:tc>
                <w:tcPr>
                  <w:tcW w:w="1080" w:type="dxa"/>
                  <w:tcBorders>
                    <w:tl2br w:val="nil"/>
                    <w:tr2bl w:val="nil"/>
                  </w:tcBorders>
                  <w:vAlign w:val="center"/>
                </w:tcPr>
                <w:p>
                  <w:pPr>
                    <w:pStyle w:val="205"/>
                    <w:rPr>
                      <w:rFonts w:hint="eastAsia" w:eastAsia="宋体"/>
                      <w:color w:val="auto"/>
                      <w:lang w:eastAsia="zh-CN"/>
                    </w:rPr>
                  </w:pPr>
                  <w:r>
                    <w:rPr>
                      <w:color w:val="auto"/>
                    </w:rPr>
                    <w:t>9</w:t>
                  </w:r>
                  <w:r>
                    <w:rPr>
                      <w:rFonts w:hint="eastAsia"/>
                      <w:color w:val="auto"/>
                      <w:lang w:val="en-US" w:eastAsia="zh-CN"/>
                    </w:rPr>
                    <w:t>0</w:t>
                  </w:r>
                </w:p>
              </w:tc>
              <w:tc>
                <w:tcPr>
                  <w:tcW w:w="900" w:type="dxa"/>
                  <w:tcBorders>
                    <w:tl2br w:val="nil"/>
                    <w:tr2bl w:val="nil"/>
                  </w:tcBorders>
                  <w:vAlign w:val="center"/>
                </w:tcPr>
                <w:p>
                  <w:pPr>
                    <w:pStyle w:val="205"/>
                    <w:rPr>
                      <w:color w:val="auto"/>
                    </w:rPr>
                  </w:pPr>
                  <w:r>
                    <w:rPr>
                      <w:color w:val="auto"/>
                    </w:rPr>
                    <w:t>1</w:t>
                  </w:r>
                </w:p>
              </w:tc>
              <w:tc>
                <w:tcPr>
                  <w:tcW w:w="1260" w:type="dxa"/>
                  <w:tcBorders>
                    <w:tl2br w:val="nil"/>
                    <w:tr2bl w:val="nil"/>
                  </w:tcBorders>
                  <w:vAlign w:val="center"/>
                </w:tcPr>
                <w:p>
                  <w:pPr>
                    <w:pStyle w:val="205"/>
                    <w:rPr>
                      <w:color w:val="auto"/>
                    </w:rPr>
                  </w:pPr>
                  <w:r>
                    <w:rPr>
                      <w:rFonts w:hint="eastAsia"/>
                      <w:color w:val="auto"/>
                    </w:rPr>
                    <w:t>减振、隔声</w:t>
                  </w:r>
                </w:p>
              </w:tc>
              <w:tc>
                <w:tcPr>
                  <w:tcW w:w="1155" w:type="dxa"/>
                  <w:tcBorders>
                    <w:tl2br w:val="nil"/>
                    <w:tr2bl w:val="nil"/>
                  </w:tcBorders>
                  <w:vAlign w:val="center"/>
                </w:tcPr>
                <w:p>
                  <w:pPr>
                    <w:pStyle w:val="205"/>
                    <w:rPr>
                      <w:color w:val="auto"/>
                    </w:rPr>
                  </w:pPr>
                  <w:r>
                    <w:rPr>
                      <w:rFonts w:hint="eastAsia"/>
                      <w:color w:val="auto"/>
                      <w:lang w:val="en-US" w:eastAsia="zh-CN"/>
                    </w:rPr>
                    <w:t>15</w:t>
                  </w:r>
                </w:p>
              </w:tc>
              <w:tc>
                <w:tcPr>
                  <w:tcW w:w="1230" w:type="dxa"/>
                  <w:tcBorders>
                    <w:tl2br w:val="nil"/>
                    <w:tr2bl w:val="nil"/>
                  </w:tcBorders>
                  <w:vAlign w:val="center"/>
                </w:tcPr>
                <w:p>
                  <w:pPr>
                    <w:pStyle w:val="205"/>
                    <w:rPr>
                      <w:rFonts w:hint="eastAsia" w:eastAsia="宋体"/>
                      <w:color w:val="auto"/>
                      <w:lang w:eastAsia="zh-CN"/>
                    </w:rPr>
                  </w:pPr>
                  <w:r>
                    <w:rPr>
                      <w:color w:val="auto"/>
                    </w:rPr>
                    <w:t>7</w:t>
                  </w:r>
                  <w:r>
                    <w:rPr>
                      <w:rFonts w:hint="eastAsia"/>
                      <w:color w:val="auto"/>
                      <w:lang w:val="en-US" w:eastAsia="zh-CN"/>
                    </w:rPr>
                    <w:t>5</w:t>
                  </w:r>
                </w:p>
              </w:tc>
              <w:tc>
                <w:tcPr>
                  <w:tcW w:w="954" w:type="dxa"/>
                  <w:tcBorders>
                    <w:tl2br w:val="nil"/>
                    <w:tr2bl w:val="nil"/>
                  </w:tcBorders>
                  <w:vAlign w:val="center"/>
                </w:tcPr>
                <w:p>
                  <w:pPr>
                    <w:pStyle w:val="205"/>
                    <w:rPr>
                      <w:color w:val="auto"/>
                    </w:rPr>
                  </w:pPr>
                  <w:r>
                    <w:rPr>
                      <w:rFonts w:hint="eastAsia"/>
                      <w:color w:val="auto"/>
                    </w:rPr>
                    <w:t>√</w:t>
                  </w:r>
                </w:p>
              </w:tc>
              <w:tc>
                <w:tcPr>
                  <w:tcW w:w="954" w:type="dxa"/>
                  <w:tcBorders>
                    <w:tl2br w:val="nil"/>
                    <w:tr2bl w:val="nil"/>
                  </w:tcBorders>
                  <w:vAlign w:val="center"/>
                </w:tcPr>
                <w:p>
                  <w:pPr>
                    <w:pStyle w:val="205"/>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970" w:type="dxa"/>
                  <w:tcBorders>
                    <w:tl2br w:val="nil"/>
                    <w:tr2bl w:val="nil"/>
                  </w:tcBorders>
                  <w:vAlign w:val="center"/>
                </w:tcPr>
                <w:p>
                  <w:pPr>
                    <w:pStyle w:val="205"/>
                    <w:rPr>
                      <w:color w:val="auto"/>
                    </w:rPr>
                  </w:pPr>
                  <w:r>
                    <w:rPr>
                      <w:rFonts w:hint="eastAsia"/>
                      <w:color w:val="auto"/>
                    </w:rPr>
                    <w:t>提升机</w:t>
                  </w:r>
                </w:p>
              </w:tc>
              <w:tc>
                <w:tcPr>
                  <w:tcW w:w="1080" w:type="dxa"/>
                  <w:tcBorders>
                    <w:tl2br w:val="nil"/>
                    <w:tr2bl w:val="nil"/>
                  </w:tcBorders>
                  <w:vAlign w:val="center"/>
                </w:tcPr>
                <w:p>
                  <w:pPr>
                    <w:pStyle w:val="205"/>
                    <w:rPr>
                      <w:color w:val="auto"/>
                    </w:rPr>
                  </w:pPr>
                  <w:r>
                    <w:rPr>
                      <w:color w:val="auto"/>
                    </w:rPr>
                    <w:t>70</w:t>
                  </w:r>
                </w:p>
              </w:tc>
              <w:tc>
                <w:tcPr>
                  <w:tcW w:w="900" w:type="dxa"/>
                  <w:tcBorders>
                    <w:tl2br w:val="nil"/>
                    <w:tr2bl w:val="nil"/>
                  </w:tcBorders>
                  <w:vAlign w:val="center"/>
                </w:tcPr>
                <w:p>
                  <w:pPr>
                    <w:pStyle w:val="205"/>
                    <w:rPr>
                      <w:color w:val="auto"/>
                    </w:rPr>
                  </w:pPr>
                  <w:r>
                    <w:rPr>
                      <w:color w:val="auto"/>
                    </w:rPr>
                    <w:t>2</w:t>
                  </w:r>
                </w:p>
              </w:tc>
              <w:tc>
                <w:tcPr>
                  <w:tcW w:w="1260" w:type="dxa"/>
                  <w:tcBorders>
                    <w:tl2br w:val="nil"/>
                    <w:tr2bl w:val="nil"/>
                  </w:tcBorders>
                  <w:vAlign w:val="center"/>
                </w:tcPr>
                <w:p>
                  <w:pPr>
                    <w:pStyle w:val="205"/>
                    <w:rPr>
                      <w:color w:val="auto"/>
                    </w:rPr>
                  </w:pPr>
                  <w:r>
                    <w:rPr>
                      <w:rFonts w:hint="eastAsia"/>
                      <w:color w:val="auto"/>
                    </w:rPr>
                    <w:t>减振、隔声</w:t>
                  </w:r>
                </w:p>
              </w:tc>
              <w:tc>
                <w:tcPr>
                  <w:tcW w:w="1155" w:type="dxa"/>
                  <w:tcBorders>
                    <w:tl2br w:val="nil"/>
                    <w:tr2bl w:val="nil"/>
                  </w:tcBorders>
                  <w:vAlign w:val="center"/>
                </w:tcPr>
                <w:p>
                  <w:pPr>
                    <w:pStyle w:val="205"/>
                    <w:rPr>
                      <w:color w:val="auto"/>
                    </w:rPr>
                  </w:pPr>
                  <w:r>
                    <w:rPr>
                      <w:rFonts w:hint="eastAsia"/>
                      <w:color w:val="auto"/>
                      <w:lang w:val="en-US" w:eastAsia="zh-CN"/>
                    </w:rPr>
                    <w:t>15</w:t>
                  </w:r>
                </w:p>
              </w:tc>
              <w:tc>
                <w:tcPr>
                  <w:tcW w:w="1230" w:type="dxa"/>
                  <w:tcBorders>
                    <w:tl2br w:val="nil"/>
                    <w:tr2bl w:val="nil"/>
                  </w:tcBorders>
                  <w:vAlign w:val="center"/>
                </w:tcPr>
                <w:p>
                  <w:pPr>
                    <w:pStyle w:val="205"/>
                    <w:rPr>
                      <w:rFonts w:hint="eastAsia" w:eastAsia="宋体"/>
                      <w:color w:val="auto"/>
                      <w:lang w:eastAsia="zh-CN"/>
                    </w:rPr>
                  </w:pPr>
                  <w:r>
                    <w:rPr>
                      <w:color w:val="auto"/>
                    </w:rPr>
                    <w:t>5</w:t>
                  </w:r>
                  <w:r>
                    <w:rPr>
                      <w:rFonts w:hint="eastAsia"/>
                      <w:color w:val="auto"/>
                      <w:lang w:val="en-US" w:eastAsia="zh-CN"/>
                    </w:rPr>
                    <w:t>5</w:t>
                  </w:r>
                </w:p>
              </w:tc>
              <w:tc>
                <w:tcPr>
                  <w:tcW w:w="954" w:type="dxa"/>
                  <w:tcBorders>
                    <w:tl2br w:val="nil"/>
                    <w:tr2bl w:val="nil"/>
                  </w:tcBorders>
                  <w:vAlign w:val="center"/>
                </w:tcPr>
                <w:p>
                  <w:pPr>
                    <w:pStyle w:val="205"/>
                    <w:rPr>
                      <w:color w:val="auto"/>
                    </w:rPr>
                  </w:pPr>
                  <w:r>
                    <w:rPr>
                      <w:rFonts w:hint="eastAsia"/>
                      <w:color w:val="auto"/>
                    </w:rPr>
                    <w:t>√</w:t>
                  </w:r>
                </w:p>
              </w:tc>
              <w:tc>
                <w:tcPr>
                  <w:tcW w:w="954" w:type="dxa"/>
                  <w:tcBorders>
                    <w:tl2br w:val="nil"/>
                    <w:tr2bl w:val="nil"/>
                  </w:tcBorders>
                  <w:vAlign w:val="center"/>
                </w:tcPr>
                <w:p>
                  <w:pPr>
                    <w:pStyle w:val="205"/>
                    <w:rPr>
                      <w:color w:val="auto"/>
                    </w:rPr>
                  </w:pPr>
                  <w:r>
                    <w:rPr>
                      <w:rFonts w:hint="eastAsia" w:ascii="微软雅黑" w:hAnsi="微软雅黑" w:eastAsia="微软雅黑" w:cs="微软雅黑"/>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8503" w:type="dxa"/>
                  <w:gridSpan w:val="8"/>
                  <w:tcBorders>
                    <w:tl2br w:val="nil"/>
                    <w:tr2bl w:val="nil"/>
                  </w:tcBorders>
                  <w:vAlign w:val="center"/>
                </w:tcPr>
                <w:p>
                  <w:pPr>
                    <w:pStyle w:val="205"/>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微软雅黑" w:hAnsi="微软雅黑" w:eastAsia="微软雅黑" w:cs="微软雅黑"/>
                      <w:b/>
                      <w:bCs/>
                      <w:color w:val="auto"/>
                      <w:sz w:val="18"/>
                      <w:szCs w:val="21"/>
                      <w:lang w:val="en-US" w:eastAsia="zh-CN"/>
                    </w:rPr>
                  </w:pPr>
                  <w:r>
                    <w:rPr>
                      <w:rFonts w:hint="eastAsia"/>
                      <w:b/>
                      <w:bCs/>
                      <w:color w:val="auto"/>
                      <w:sz w:val="18"/>
                      <w:szCs w:val="21"/>
                      <w:lang w:val="en-US" w:eastAsia="zh-CN"/>
                    </w:rPr>
                    <w:t>注：车辆在厂区内减速慢行，行驶速度不高于20km/h，产生的噪声量较小。与生产设备对比，厂内汽车运输造成的噪声贡献值较小，忽略不计。</w:t>
                  </w:r>
                </w:p>
              </w:tc>
            </w:tr>
          </w:tbl>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2</w:t>
            </w:r>
            <w:r>
              <w:rPr>
                <w:rFonts w:hint="eastAsia" w:ascii="Times New Roman" w:cs="Times New Roman"/>
                <w:b/>
                <w:bCs/>
                <w:color w:val="auto"/>
              </w:rPr>
              <w:t>）噪声达标分析</w:t>
            </w:r>
          </w:p>
          <w:p>
            <w:pPr>
              <w:spacing w:line="360" w:lineRule="auto"/>
              <w:ind w:firstLine="555"/>
              <w:rPr>
                <w:color w:val="auto"/>
                <w:sz w:val="24"/>
                <w:szCs w:val="32"/>
              </w:rPr>
            </w:pPr>
            <w:r>
              <w:rPr>
                <w:rFonts w:hint="eastAsia"/>
                <w:color w:val="auto"/>
                <w:sz w:val="24"/>
                <w:szCs w:val="32"/>
              </w:rPr>
              <w:t>项目噪声预测模式采用《环境影响评价技术导则声环境》</w:t>
            </w:r>
            <w:r>
              <w:rPr>
                <w:color w:val="auto"/>
                <w:sz w:val="24"/>
                <w:szCs w:val="32"/>
              </w:rPr>
              <w:t>(HJ2.4-2021)</w:t>
            </w:r>
            <w:r>
              <w:rPr>
                <w:rFonts w:hint="eastAsia"/>
                <w:color w:val="auto"/>
                <w:sz w:val="24"/>
                <w:szCs w:val="32"/>
              </w:rPr>
              <w:t>中附录</w:t>
            </w:r>
            <w:r>
              <w:rPr>
                <w:color w:val="auto"/>
                <w:sz w:val="24"/>
                <w:szCs w:val="32"/>
              </w:rPr>
              <w:t>A</w:t>
            </w:r>
            <w:r>
              <w:rPr>
                <w:rFonts w:hint="eastAsia"/>
                <w:color w:val="auto"/>
                <w:sz w:val="24"/>
                <w:szCs w:val="32"/>
              </w:rPr>
              <w:t>户外声传播的衰减及附录</w:t>
            </w:r>
            <w:r>
              <w:rPr>
                <w:color w:val="auto"/>
                <w:sz w:val="24"/>
                <w:szCs w:val="32"/>
              </w:rPr>
              <w:t>B</w:t>
            </w:r>
            <w:r>
              <w:rPr>
                <w:rFonts w:hint="eastAsia"/>
                <w:color w:val="auto"/>
                <w:sz w:val="24"/>
                <w:szCs w:val="32"/>
              </w:rPr>
              <w:t>典型行业噪声预测模型进行分析。</w:t>
            </w:r>
          </w:p>
          <w:p>
            <w:pPr>
              <w:adjustRightInd w:val="0"/>
              <w:snapToGrid w:val="0"/>
              <w:spacing w:line="360" w:lineRule="auto"/>
              <w:ind w:firstLine="480"/>
              <w:rPr>
                <w:color w:val="auto"/>
                <w:sz w:val="24"/>
                <w:szCs w:val="32"/>
              </w:rPr>
            </w:pPr>
            <w:r>
              <w:rPr>
                <w:color w:val="auto"/>
                <w:sz w:val="24"/>
                <w:szCs w:val="32"/>
              </w:rPr>
              <w:t>1</w:t>
            </w:r>
            <w:r>
              <w:rPr>
                <w:rFonts w:hint="eastAsia"/>
                <w:color w:val="auto"/>
                <w:sz w:val="24"/>
                <w:szCs w:val="32"/>
              </w:rPr>
              <w:t>）室内声源等效室外声源声功率级计算方法</w:t>
            </w:r>
          </w:p>
          <w:p>
            <w:pPr>
              <w:adjustRightInd w:val="0"/>
              <w:snapToGrid w:val="0"/>
              <w:spacing w:line="360" w:lineRule="auto"/>
              <w:ind w:firstLine="480"/>
              <w:rPr>
                <w:color w:val="auto"/>
                <w:sz w:val="24"/>
                <w:szCs w:val="32"/>
              </w:rPr>
            </w:pPr>
            <w:r>
              <w:rPr>
                <w:rFonts w:hint="eastAsia"/>
                <w:color w:val="auto"/>
                <w:sz w:val="24"/>
                <w:szCs w:val="32"/>
              </w:rPr>
              <w:t>①如下图所示，声源位于室内，室内声源可采用等效室外声源声功率级法进行计算。设靠近开口处（或窗户）室内、室外某倍频带的声压级或</w:t>
            </w:r>
            <w:r>
              <w:rPr>
                <w:color w:val="auto"/>
                <w:sz w:val="24"/>
                <w:szCs w:val="32"/>
              </w:rPr>
              <w:t>A</w:t>
            </w:r>
            <w:r>
              <w:rPr>
                <w:rFonts w:hint="eastAsia"/>
                <w:color w:val="auto"/>
                <w:sz w:val="24"/>
                <w:szCs w:val="32"/>
              </w:rPr>
              <w:t>声级分别为</w:t>
            </w:r>
            <w:r>
              <w:rPr>
                <w:color w:val="auto"/>
                <w:sz w:val="24"/>
                <w:szCs w:val="32"/>
              </w:rPr>
              <w:t>Lp1</w:t>
            </w:r>
            <w:r>
              <w:rPr>
                <w:rFonts w:hint="eastAsia"/>
                <w:color w:val="auto"/>
                <w:sz w:val="24"/>
                <w:szCs w:val="32"/>
              </w:rPr>
              <w:t>和</w:t>
            </w:r>
            <w:r>
              <w:rPr>
                <w:color w:val="auto"/>
                <w:sz w:val="24"/>
                <w:szCs w:val="32"/>
              </w:rPr>
              <w:t>Lp2</w:t>
            </w:r>
            <w:r>
              <w:rPr>
                <w:rFonts w:hint="eastAsia"/>
                <w:color w:val="auto"/>
                <w:sz w:val="24"/>
                <w:szCs w:val="32"/>
              </w:rPr>
              <w:t>。若声源所在室内声场为近似扩散声场，则室外的倍频带声压级可按下式近似求出：</w:t>
            </w:r>
          </w:p>
          <w:p>
            <w:pPr>
              <w:adjustRightInd w:val="0"/>
              <w:snapToGrid w:val="0"/>
              <w:spacing w:line="360" w:lineRule="auto"/>
              <w:ind w:firstLine="480"/>
              <w:jc w:val="center"/>
              <w:rPr>
                <w:color w:val="auto"/>
                <w:sz w:val="24"/>
                <w:szCs w:val="32"/>
              </w:rPr>
            </w:pPr>
            <w:r>
              <w:rPr>
                <w:color w:val="auto"/>
                <w:sz w:val="24"/>
                <w:szCs w:val="32"/>
              </w:rPr>
              <w:drawing>
                <wp:inline distT="0" distB="0" distL="114300" distR="114300">
                  <wp:extent cx="1228725" cy="238125"/>
                  <wp:effectExtent l="0" t="0" r="9525" b="8255"/>
                  <wp:docPr id="4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8"/>
                          <pic:cNvPicPr>
                            <a:picLocks noChangeAspect="1"/>
                          </pic:cNvPicPr>
                        </pic:nvPicPr>
                        <pic:blipFill>
                          <a:blip r:embed="rId41"/>
                          <a:stretch>
                            <a:fillRect/>
                          </a:stretch>
                        </pic:blipFill>
                        <pic:spPr>
                          <a:xfrm>
                            <a:off x="0" y="0"/>
                            <a:ext cx="1228725" cy="238125"/>
                          </a:xfrm>
                          <a:prstGeom prst="rect">
                            <a:avLst/>
                          </a:prstGeom>
                          <a:noFill/>
                          <a:ln>
                            <a:noFill/>
                          </a:ln>
                        </pic:spPr>
                      </pic:pic>
                    </a:graphicData>
                  </a:graphic>
                </wp:inline>
              </w:drawing>
            </w:r>
          </w:p>
          <w:p>
            <w:pPr>
              <w:adjustRightInd w:val="0"/>
              <w:snapToGrid w:val="0"/>
              <w:spacing w:line="360" w:lineRule="auto"/>
              <w:ind w:firstLine="480"/>
              <w:rPr>
                <w:color w:val="auto"/>
                <w:sz w:val="24"/>
                <w:szCs w:val="32"/>
              </w:rPr>
            </w:pPr>
            <w:r>
              <w:rPr>
                <w:rFonts w:hint="eastAsia"/>
                <w:color w:val="auto"/>
                <w:sz w:val="24"/>
                <w:szCs w:val="32"/>
              </w:rPr>
              <w:t>式中：</w:t>
            </w:r>
          </w:p>
          <w:p>
            <w:pPr>
              <w:adjustRightInd w:val="0"/>
              <w:snapToGrid w:val="0"/>
              <w:spacing w:line="360" w:lineRule="auto"/>
              <w:ind w:firstLine="480"/>
              <w:rPr>
                <w:color w:val="auto"/>
                <w:sz w:val="24"/>
                <w:szCs w:val="32"/>
              </w:rPr>
            </w:pPr>
            <w:r>
              <w:rPr>
                <w:color w:val="auto"/>
                <w:sz w:val="24"/>
                <w:szCs w:val="32"/>
              </w:rPr>
              <w:t>Lp1—</w:t>
            </w:r>
            <w:r>
              <w:rPr>
                <w:rFonts w:hint="eastAsia"/>
                <w:color w:val="auto"/>
                <w:sz w:val="24"/>
                <w:szCs w:val="32"/>
              </w:rPr>
              <w:t>靠近开口处（或窗户）室内某倍频带的声压级或</w:t>
            </w:r>
            <w:r>
              <w:rPr>
                <w:color w:val="auto"/>
                <w:sz w:val="24"/>
                <w:szCs w:val="32"/>
              </w:rPr>
              <w:t>A</w:t>
            </w:r>
            <w:r>
              <w:rPr>
                <w:rFonts w:hint="eastAsia"/>
                <w:color w:val="auto"/>
                <w:sz w:val="24"/>
                <w:szCs w:val="32"/>
              </w:rPr>
              <w:t>声级，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Lp2—</w:t>
            </w:r>
            <w:r>
              <w:rPr>
                <w:rFonts w:hint="eastAsia"/>
                <w:color w:val="auto"/>
                <w:sz w:val="24"/>
                <w:szCs w:val="32"/>
              </w:rPr>
              <w:t>靠近开口处（或窗户）室外某倍频带的声压级或</w:t>
            </w:r>
            <w:r>
              <w:rPr>
                <w:color w:val="auto"/>
                <w:sz w:val="24"/>
                <w:szCs w:val="32"/>
              </w:rPr>
              <w:t>A</w:t>
            </w:r>
            <w:r>
              <w:rPr>
                <w:rFonts w:hint="eastAsia"/>
                <w:color w:val="auto"/>
                <w:sz w:val="24"/>
                <w:szCs w:val="32"/>
              </w:rPr>
              <w:t>声级，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TI—</w:t>
            </w:r>
            <w:r>
              <w:rPr>
                <w:rFonts w:hint="eastAsia"/>
                <w:color w:val="auto"/>
                <w:sz w:val="24"/>
                <w:szCs w:val="32"/>
              </w:rPr>
              <w:t>隔墙（或窗户）倍频带或</w:t>
            </w:r>
            <w:r>
              <w:rPr>
                <w:color w:val="auto"/>
                <w:sz w:val="24"/>
                <w:szCs w:val="32"/>
              </w:rPr>
              <w:t>A</w:t>
            </w:r>
            <w:r>
              <w:rPr>
                <w:rFonts w:hint="eastAsia"/>
                <w:color w:val="auto"/>
                <w:sz w:val="24"/>
                <w:szCs w:val="32"/>
              </w:rPr>
              <w:t>声级的隔声量，</w:t>
            </w:r>
            <w:r>
              <w:rPr>
                <w:color w:val="auto"/>
                <w:sz w:val="24"/>
                <w:szCs w:val="32"/>
              </w:rPr>
              <w:t>dB</w:t>
            </w:r>
            <w:r>
              <w:rPr>
                <w:rFonts w:hint="eastAsia"/>
                <w:color w:val="auto"/>
                <w:sz w:val="24"/>
                <w:szCs w:val="32"/>
              </w:rPr>
              <w:t>。</w:t>
            </w:r>
          </w:p>
          <w:p>
            <w:pPr>
              <w:adjustRightInd w:val="0"/>
              <w:snapToGrid w:val="0"/>
              <w:spacing w:line="360" w:lineRule="auto"/>
              <w:ind w:firstLine="480"/>
              <w:jc w:val="center"/>
              <w:rPr>
                <w:color w:val="auto"/>
                <w:sz w:val="24"/>
                <w:szCs w:val="32"/>
              </w:rPr>
            </w:pPr>
            <w:r>
              <w:rPr>
                <w:color w:val="auto"/>
                <w:sz w:val="24"/>
                <w:szCs w:val="32"/>
              </w:rPr>
              <w:drawing>
                <wp:inline distT="0" distB="0" distL="114300" distR="114300">
                  <wp:extent cx="2038350" cy="1123950"/>
                  <wp:effectExtent l="0" t="0" r="0" b="0"/>
                  <wp:docPr id="4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97"/>
                          <pic:cNvPicPr>
                            <a:picLocks noChangeAspect="1"/>
                          </pic:cNvPicPr>
                        </pic:nvPicPr>
                        <pic:blipFill>
                          <a:blip r:embed="rId42"/>
                          <a:stretch>
                            <a:fillRect/>
                          </a:stretch>
                        </pic:blipFill>
                        <pic:spPr>
                          <a:xfrm>
                            <a:off x="0" y="0"/>
                            <a:ext cx="2038350" cy="1123950"/>
                          </a:xfrm>
                          <a:prstGeom prst="rect">
                            <a:avLst/>
                          </a:prstGeom>
                          <a:noFill/>
                          <a:ln>
                            <a:noFill/>
                          </a:ln>
                        </pic:spPr>
                      </pic:pic>
                    </a:graphicData>
                  </a:graphic>
                </wp:inline>
              </w:drawing>
            </w:r>
          </w:p>
          <w:p>
            <w:pPr>
              <w:spacing w:afterLines="50"/>
              <w:jc w:val="center"/>
              <w:rPr>
                <w:b/>
                <w:bCs/>
                <w:color w:val="auto"/>
                <w:sz w:val="24"/>
              </w:rPr>
            </w:pPr>
            <w:r>
              <w:rPr>
                <w:rFonts w:hint="eastAsia"/>
                <w:b/>
                <w:bCs/>
                <w:color w:val="auto"/>
                <w:sz w:val="24"/>
              </w:rPr>
              <w:t>图</w:t>
            </w:r>
            <w:r>
              <w:rPr>
                <w:b/>
                <w:bCs/>
                <w:color w:val="auto"/>
                <w:sz w:val="24"/>
              </w:rPr>
              <w:t xml:space="preserve">4.4-2 </w:t>
            </w:r>
            <w:r>
              <w:rPr>
                <w:rFonts w:hint="eastAsia"/>
                <w:b/>
                <w:bCs/>
                <w:color w:val="auto"/>
                <w:sz w:val="24"/>
              </w:rPr>
              <w:t>室内声源等效室外声源图例</w:t>
            </w:r>
          </w:p>
          <w:p>
            <w:pPr>
              <w:adjustRightInd w:val="0"/>
              <w:snapToGrid w:val="0"/>
              <w:spacing w:line="360" w:lineRule="auto"/>
              <w:ind w:firstLine="480"/>
              <w:rPr>
                <w:color w:val="auto"/>
                <w:sz w:val="24"/>
                <w:szCs w:val="32"/>
              </w:rPr>
            </w:pPr>
            <w:r>
              <w:rPr>
                <w:rFonts w:hint="eastAsia"/>
                <w:color w:val="auto"/>
                <w:sz w:val="24"/>
                <w:szCs w:val="32"/>
              </w:rPr>
              <w:t>②按下式计算某一室内声源靠近围护结构处产生的倍频带声压级或</w:t>
            </w:r>
            <w:r>
              <w:rPr>
                <w:color w:val="auto"/>
                <w:sz w:val="24"/>
                <w:szCs w:val="32"/>
              </w:rPr>
              <w:t>A</w:t>
            </w:r>
            <w:r>
              <w:rPr>
                <w:rFonts w:hint="eastAsia"/>
                <w:color w:val="auto"/>
                <w:sz w:val="24"/>
                <w:szCs w:val="32"/>
              </w:rPr>
              <w:t>声级：</w:t>
            </w:r>
          </w:p>
          <w:p>
            <w:pPr>
              <w:adjustRightInd w:val="0"/>
              <w:snapToGrid w:val="0"/>
              <w:spacing w:line="360" w:lineRule="auto"/>
              <w:ind w:firstLine="480"/>
              <w:jc w:val="center"/>
              <w:rPr>
                <w:color w:val="auto"/>
                <w:sz w:val="24"/>
                <w:szCs w:val="32"/>
              </w:rPr>
            </w:pPr>
            <w:r>
              <w:rPr>
                <w:color w:val="auto"/>
                <w:sz w:val="24"/>
                <w:szCs w:val="32"/>
              </w:rPr>
              <w:drawing>
                <wp:inline distT="0" distB="0" distL="114300" distR="114300">
                  <wp:extent cx="1714500" cy="485775"/>
                  <wp:effectExtent l="0" t="0" r="0" b="8890"/>
                  <wp:docPr id="46"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0"/>
                          <pic:cNvPicPr>
                            <a:picLocks noChangeAspect="1"/>
                          </pic:cNvPicPr>
                        </pic:nvPicPr>
                        <pic:blipFill>
                          <a:blip r:embed="rId43"/>
                          <a:stretch>
                            <a:fillRect/>
                          </a:stretch>
                        </pic:blipFill>
                        <pic:spPr>
                          <a:xfrm>
                            <a:off x="0" y="0"/>
                            <a:ext cx="1714500" cy="485775"/>
                          </a:xfrm>
                          <a:prstGeom prst="rect">
                            <a:avLst/>
                          </a:prstGeom>
                          <a:noFill/>
                          <a:ln>
                            <a:noFill/>
                          </a:ln>
                        </pic:spPr>
                      </pic:pic>
                    </a:graphicData>
                  </a:graphic>
                </wp:inline>
              </w:drawing>
            </w:r>
          </w:p>
          <w:p>
            <w:pPr>
              <w:adjustRightInd w:val="0"/>
              <w:snapToGrid w:val="0"/>
              <w:spacing w:line="360" w:lineRule="auto"/>
              <w:ind w:firstLine="480"/>
              <w:rPr>
                <w:color w:val="auto"/>
                <w:sz w:val="24"/>
                <w:szCs w:val="32"/>
              </w:rPr>
            </w:pPr>
            <w:r>
              <w:rPr>
                <w:rFonts w:hint="eastAsia"/>
                <w:color w:val="auto"/>
                <w:sz w:val="24"/>
                <w:szCs w:val="32"/>
              </w:rPr>
              <w:t>式中：</w:t>
            </w:r>
          </w:p>
          <w:p>
            <w:pPr>
              <w:adjustRightInd w:val="0"/>
              <w:snapToGrid w:val="0"/>
              <w:spacing w:line="360" w:lineRule="auto"/>
              <w:ind w:firstLine="480"/>
              <w:rPr>
                <w:color w:val="auto"/>
                <w:sz w:val="24"/>
                <w:szCs w:val="32"/>
              </w:rPr>
            </w:pPr>
            <w:r>
              <w:rPr>
                <w:color w:val="auto"/>
                <w:sz w:val="24"/>
                <w:szCs w:val="32"/>
              </w:rPr>
              <w:t>Lp1—</w:t>
            </w:r>
            <w:r>
              <w:rPr>
                <w:rFonts w:hint="eastAsia"/>
                <w:color w:val="auto"/>
                <w:sz w:val="24"/>
                <w:szCs w:val="32"/>
              </w:rPr>
              <w:t>靠近开口处（或窗户）室内某倍频带的声压级或</w:t>
            </w:r>
            <w:r>
              <w:rPr>
                <w:color w:val="auto"/>
                <w:sz w:val="24"/>
                <w:szCs w:val="32"/>
              </w:rPr>
              <w:t>A</w:t>
            </w:r>
            <w:r>
              <w:rPr>
                <w:rFonts w:hint="eastAsia"/>
                <w:color w:val="auto"/>
                <w:sz w:val="24"/>
                <w:szCs w:val="32"/>
              </w:rPr>
              <w:t>声级，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Lw—</w:t>
            </w:r>
            <w:r>
              <w:rPr>
                <w:rFonts w:hint="eastAsia"/>
                <w:color w:val="auto"/>
                <w:sz w:val="24"/>
                <w:szCs w:val="32"/>
              </w:rPr>
              <w:t>点声源声功率级（</w:t>
            </w:r>
            <w:r>
              <w:rPr>
                <w:color w:val="auto"/>
                <w:sz w:val="24"/>
                <w:szCs w:val="32"/>
              </w:rPr>
              <w:t>A</w:t>
            </w:r>
            <w:r>
              <w:rPr>
                <w:rFonts w:hint="eastAsia"/>
                <w:color w:val="auto"/>
                <w:sz w:val="24"/>
                <w:szCs w:val="32"/>
              </w:rPr>
              <w:t>计权或倍频带），</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Q—</w:t>
            </w:r>
            <w:r>
              <w:rPr>
                <w:rFonts w:hint="eastAsia"/>
                <w:color w:val="auto"/>
                <w:sz w:val="24"/>
                <w:szCs w:val="32"/>
              </w:rPr>
              <w:t>指向性因数；通常对无指向性声源，当声源放在房间中心时，</w:t>
            </w:r>
            <w:r>
              <w:rPr>
                <w:color w:val="auto"/>
                <w:sz w:val="24"/>
                <w:szCs w:val="32"/>
              </w:rPr>
              <w:t>Q=1</w:t>
            </w:r>
            <w:r>
              <w:rPr>
                <w:rFonts w:hint="eastAsia"/>
                <w:color w:val="auto"/>
                <w:sz w:val="24"/>
                <w:szCs w:val="32"/>
              </w:rPr>
              <w:t>；当放在一面墙的中心时，</w:t>
            </w:r>
            <w:r>
              <w:rPr>
                <w:color w:val="auto"/>
                <w:sz w:val="24"/>
                <w:szCs w:val="32"/>
              </w:rPr>
              <w:t>Q=2</w:t>
            </w:r>
            <w:r>
              <w:rPr>
                <w:rFonts w:hint="eastAsia"/>
                <w:color w:val="auto"/>
                <w:sz w:val="24"/>
                <w:szCs w:val="32"/>
              </w:rPr>
              <w:t>；当放在两面墙夹角处时，</w:t>
            </w:r>
            <w:r>
              <w:rPr>
                <w:color w:val="auto"/>
                <w:sz w:val="24"/>
                <w:szCs w:val="32"/>
              </w:rPr>
              <w:t>Q=4</w:t>
            </w:r>
            <w:r>
              <w:rPr>
                <w:rFonts w:hint="eastAsia"/>
                <w:color w:val="auto"/>
                <w:sz w:val="24"/>
                <w:szCs w:val="32"/>
              </w:rPr>
              <w:t>；当放在三面墙夹角处时，</w:t>
            </w:r>
            <w:r>
              <w:rPr>
                <w:color w:val="auto"/>
                <w:sz w:val="24"/>
                <w:szCs w:val="32"/>
              </w:rPr>
              <w:t>Q=8</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R—</w:t>
            </w:r>
            <w:r>
              <w:rPr>
                <w:rFonts w:hint="eastAsia"/>
                <w:color w:val="auto"/>
                <w:sz w:val="24"/>
                <w:szCs w:val="32"/>
              </w:rPr>
              <w:t>房间常数；</w:t>
            </w:r>
            <w:r>
              <w:rPr>
                <w:color w:val="auto"/>
                <w:sz w:val="24"/>
                <w:szCs w:val="32"/>
              </w:rPr>
              <w:t>R=Sa/(1-a)</w:t>
            </w:r>
            <w:r>
              <w:rPr>
                <w:rFonts w:hint="eastAsia"/>
                <w:color w:val="auto"/>
                <w:sz w:val="24"/>
                <w:szCs w:val="32"/>
              </w:rPr>
              <w:t>，</w:t>
            </w:r>
            <w:r>
              <w:rPr>
                <w:color w:val="auto"/>
                <w:sz w:val="24"/>
                <w:szCs w:val="32"/>
              </w:rPr>
              <w:t>s</w:t>
            </w:r>
            <w:r>
              <w:rPr>
                <w:rFonts w:hint="eastAsia"/>
                <w:color w:val="auto"/>
                <w:sz w:val="24"/>
                <w:szCs w:val="32"/>
              </w:rPr>
              <w:t>为房间内表面面积，</w:t>
            </w:r>
            <w:r>
              <w:rPr>
                <w:color w:val="auto"/>
                <w:sz w:val="24"/>
                <w:szCs w:val="32"/>
              </w:rPr>
              <w:t>m</w:t>
            </w:r>
            <w:r>
              <w:rPr>
                <w:color w:val="auto"/>
                <w:sz w:val="24"/>
                <w:szCs w:val="32"/>
                <w:vertAlign w:val="superscript"/>
              </w:rPr>
              <w:t>2</w:t>
            </w:r>
            <w:r>
              <w:rPr>
                <w:rFonts w:hint="eastAsia"/>
                <w:color w:val="auto"/>
                <w:sz w:val="24"/>
                <w:szCs w:val="32"/>
              </w:rPr>
              <w:t>；</w:t>
            </w:r>
            <w:r>
              <w:rPr>
                <w:color w:val="auto"/>
                <w:sz w:val="24"/>
                <w:szCs w:val="32"/>
              </w:rPr>
              <w:t>a</w:t>
            </w:r>
            <w:r>
              <w:rPr>
                <w:rFonts w:hint="eastAsia"/>
                <w:color w:val="auto"/>
                <w:sz w:val="24"/>
                <w:szCs w:val="32"/>
              </w:rPr>
              <w:t>为平均吸声系数；</w:t>
            </w:r>
          </w:p>
          <w:p>
            <w:pPr>
              <w:adjustRightInd w:val="0"/>
              <w:snapToGrid w:val="0"/>
              <w:spacing w:line="360" w:lineRule="auto"/>
              <w:ind w:firstLine="480"/>
              <w:rPr>
                <w:color w:val="auto"/>
                <w:sz w:val="24"/>
                <w:szCs w:val="32"/>
              </w:rPr>
            </w:pPr>
            <w:r>
              <w:rPr>
                <w:color w:val="auto"/>
                <w:sz w:val="24"/>
                <w:szCs w:val="32"/>
              </w:rPr>
              <w:t>r—</w:t>
            </w:r>
            <w:r>
              <w:rPr>
                <w:rFonts w:hint="eastAsia"/>
                <w:color w:val="auto"/>
                <w:sz w:val="24"/>
                <w:szCs w:val="32"/>
              </w:rPr>
              <w:t>声源到靠近围护结构某点处的距离，</w:t>
            </w:r>
            <w:r>
              <w:rPr>
                <w:color w:val="auto"/>
                <w:sz w:val="24"/>
                <w:szCs w:val="32"/>
              </w:rPr>
              <w:t>m</w:t>
            </w:r>
            <w:r>
              <w:rPr>
                <w:rFonts w:hint="eastAsia"/>
                <w:color w:val="auto"/>
                <w:sz w:val="24"/>
                <w:szCs w:val="32"/>
              </w:rPr>
              <w:t>。</w:t>
            </w:r>
          </w:p>
          <w:p>
            <w:pPr>
              <w:adjustRightInd w:val="0"/>
              <w:snapToGrid w:val="0"/>
              <w:spacing w:line="360" w:lineRule="auto"/>
              <w:ind w:firstLine="480"/>
              <w:rPr>
                <w:color w:val="auto"/>
                <w:sz w:val="24"/>
                <w:szCs w:val="32"/>
              </w:rPr>
            </w:pPr>
            <w:r>
              <w:rPr>
                <w:rFonts w:hint="eastAsia"/>
                <w:color w:val="auto"/>
                <w:sz w:val="24"/>
                <w:szCs w:val="32"/>
              </w:rPr>
              <w:t>③按下式计算出所有室内声源在靠近围护结构处产生的</w:t>
            </w:r>
            <w:r>
              <w:rPr>
                <w:color w:val="auto"/>
                <w:sz w:val="24"/>
                <w:szCs w:val="32"/>
              </w:rPr>
              <w:t>i</w:t>
            </w:r>
            <w:r>
              <w:rPr>
                <w:rFonts w:hint="eastAsia"/>
                <w:color w:val="auto"/>
                <w:sz w:val="24"/>
                <w:szCs w:val="32"/>
              </w:rPr>
              <w:t>倍频带叠加声压级：</w:t>
            </w:r>
          </w:p>
          <w:p>
            <w:pPr>
              <w:adjustRightInd w:val="0"/>
              <w:snapToGrid w:val="0"/>
              <w:spacing w:line="360" w:lineRule="auto"/>
              <w:ind w:firstLine="480"/>
              <w:jc w:val="center"/>
              <w:rPr>
                <w:color w:val="auto"/>
                <w:sz w:val="24"/>
                <w:szCs w:val="32"/>
              </w:rPr>
            </w:pPr>
            <w:r>
              <w:rPr>
                <w:color w:val="auto"/>
                <w:sz w:val="24"/>
                <w:szCs w:val="32"/>
              </w:rPr>
              <w:drawing>
                <wp:inline distT="0" distB="0" distL="114300" distR="114300">
                  <wp:extent cx="1685925" cy="485775"/>
                  <wp:effectExtent l="0" t="0" r="9525" b="8890"/>
                  <wp:docPr id="4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1"/>
                          <pic:cNvPicPr>
                            <a:picLocks noChangeAspect="1"/>
                          </pic:cNvPicPr>
                        </pic:nvPicPr>
                        <pic:blipFill>
                          <a:blip r:embed="rId44"/>
                          <a:stretch>
                            <a:fillRect/>
                          </a:stretch>
                        </pic:blipFill>
                        <pic:spPr>
                          <a:xfrm>
                            <a:off x="0" y="0"/>
                            <a:ext cx="1685925" cy="485775"/>
                          </a:xfrm>
                          <a:prstGeom prst="rect">
                            <a:avLst/>
                          </a:prstGeom>
                          <a:noFill/>
                          <a:ln>
                            <a:noFill/>
                          </a:ln>
                        </pic:spPr>
                      </pic:pic>
                    </a:graphicData>
                  </a:graphic>
                </wp:inline>
              </w:drawing>
            </w:r>
          </w:p>
          <w:p>
            <w:pPr>
              <w:adjustRightInd w:val="0"/>
              <w:snapToGrid w:val="0"/>
              <w:spacing w:line="360" w:lineRule="auto"/>
              <w:ind w:firstLine="480"/>
              <w:rPr>
                <w:color w:val="auto"/>
                <w:sz w:val="24"/>
                <w:szCs w:val="32"/>
              </w:rPr>
            </w:pPr>
            <w:r>
              <w:rPr>
                <w:rFonts w:hint="eastAsia"/>
                <w:color w:val="auto"/>
                <w:sz w:val="24"/>
                <w:szCs w:val="32"/>
              </w:rPr>
              <w:t>式中：</w:t>
            </w:r>
          </w:p>
          <w:p>
            <w:pPr>
              <w:adjustRightInd w:val="0"/>
              <w:snapToGrid w:val="0"/>
              <w:spacing w:line="360" w:lineRule="auto"/>
              <w:ind w:firstLine="480"/>
              <w:rPr>
                <w:color w:val="auto"/>
                <w:sz w:val="24"/>
                <w:szCs w:val="32"/>
              </w:rPr>
            </w:pPr>
            <w:r>
              <w:rPr>
                <w:color w:val="auto"/>
                <w:sz w:val="24"/>
                <w:szCs w:val="32"/>
              </w:rPr>
              <w:t>Lp1i(T)—</w:t>
            </w:r>
            <w:r>
              <w:rPr>
                <w:rFonts w:hint="eastAsia"/>
                <w:color w:val="auto"/>
                <w:sz w:val="24"/>
                <w:szCs w:val="32"/>
              </w:rPr>
              <w:t>靠近围护结构处室内</w:t>
            </w:r>
            <w:r>
              <w:rPr>
                <w:color w:val="auto"/>
                <w:sz w:val="24"/>
                <w:szCs w:val="32"/>
              </w:rPr>
              <w:t>N</w:t>
            </w:r>
            <w:r>
              <w:rPr>
                <w:rFonts w:hint="eastAsia"/>
                <w:color w:val="auto"/>
                <w:sz w:val="24"/>
                <w:szCs w:val="32"/>
              </w:rPr>
              <w:t>个声源</w:t>
            </w:r>
            <w:r>
              <w:rPr>
                <w:color w:val="auto"/>
                <w:sz w:val="24"/>
                <w:szCs w:val="32"/>
              </w:rPr>
              <w:t>i</w:t>
            </w:r>
            <w:r>
              <w:rPr>
                <w:rFonts w:hint="eastAsia"/>
                <w:color w:val="auto"/>
                <w:sz w:val="24"/>
                <w:szCs w:val="32"/>
              </w:rPr>
              <w:t>倍频带的叠加声压级，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Lp1ij—</w:t>
            </w:r>
            <w:r>
              <w:rPr>
                <w:rFonts w:hint="eastAsia"/>
                <w:color w:val="auto"/>
                <w:sz w:val="24"/>
                <w:szCs w:val="32"/>
              </w:rPr>
              <w:t>室内</w:t>
            </w:r>
            <w:r>
              <w:rPr>
                <w:color w:val="auto"/>
                <w:sz w:val="24"/>
                <w:szCs w:val="32"/>
              </w:rPr>
              <w:t>j</w:t>
            </w:r>
            <w:r>
              <w:rPr>
                <w:rFonts w:hint="eastAsia"/>
                <w:color w:val="auto"/>
                <w:sz w:val="24"/>
                <w:szCs w:val="32"/>
              </w:rPr>
              <w:t>声源</w:t>
            </w:r>
            <w:r>
              <w:rPr>
                <w:color w:val="auto"/>
                <w:sz w:val="24"/>
                <w:szCs w:val="32"/>
              </w:rPr>
              <w:t>i</w:t>
            </w:r>
            <w:r>
              <w:rPr>
                <w:rFonts w:hint="eastAsia"/>
                <w:color w:val="auto"/>
                <w:sz w:val="24"/>
                <w:szCs w:val="32"/>
              </w:rPr>
              <w:t>倍频带的声压级，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N—</w:t>
            </w:r>
            <w:r>
              <w:rPr>
                <w:rFonts w:hint="eastAsia"/>
                <w:color w:val="auto"/>
                <w:sz w:val="24"/>
                <w:szCs w:val="32"/>
              </w:rPr>
              <w:t>室内声源总数。</w:t>
            </w:r>
          </w:p>
          <w:p>
            <w:pPr>
              <w:adjustRightInd w:val="0"/>
              <w:snapToGrid w:val="0"/>
              <w:spacing w:line="360" w:lineRule="auto"/>
              <w:ind w:firstLine="480"/>
              <w:rPr>
                <w:color w:val="auto"/>
                <w:sz w:val="24"/>
                <w:szCs w:val="32"/>
              </w:rPr>
            </w:pPr>
            <w:r>
              <w:rPr>
                <w:rFonts w:hint="eastAsia"/>
                <w:color w:val="auto"/>
                <w:sz w:val="24"/>
                <w:szCs w:val="32"/>
              </w:rPr>
              <w:t>④在室内近似为扩散声场时，按下式计算出室外靠近围护结构处的声压级：</w:t>
            </w:r>
          </w:p>
          <w:p>
            <w:pPr>
              <w:adjustRightInd w:val="0"/>
              <w:snapToGrid w:val="0"/>
              <w:spacing w:line="360" w:lineRule="auto"/>
              <w:ind w:firstLine="480"/>
              <w:jc w:val="center"/>
              <w:rPr>
                <w:color w:val="auto"/>
                <w:sz w:val="24"/>
                <w:szCs w:val="32"/>
              </w:rPr>
            </w:pPr>
            <w:r>
              <w:rPr>
                <w:color w:val="auto"/>
                <w:sz w:val="24"/>
                <w:szCs w:val="32"/>
              </w:rPr>
              <w:drawing>
                <wp:inline distT="0" distB="0" distL="114300" distR="114300">
                  <wp:extent cx="1781175" cy="238125"/>
                  <wp:effectExtent l="0" t="0" r="9525" b="8255"/>
                  <wp:docPr id="48"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2"/>
                          <pic:cNvPicPr>
                            <a:picLocks noChangeAspect="1"/>
                          </pic:cNvPicPr>
                        </pic:nvPicPr>
                        <pic:blipFill>
                          <a:blip r:embed="rId45"/>
                          <a:stretch>
                            <a:fillRect/>
                          </a:stretch>
                        </pic:blipFill>
                        <pic:spPr>
                          <a:xfrm>
                            <a:off x="0" y="0"/>
                            <a:ext cx="1781175" cy="238125"/>
                          </a:xfrm>
                          <a:prstGeom prst="rect">
                            <a:avLst/>
                          </a:prstGeom>
                          <a:noFill/>
                          <a:ln>
                            <a:noFill/>
                          </a:ln>
                        </pic:spPr>
                      </pic:pic>
                    </a:graphicData>
                  </a:graphic>
                </wp:inline>
              </w:drawing>
            </w:r>
          </w:p>
          <w:p>
            <w:pPr>
              <w:adjustRightInd w:val="0"/>
              <w:snapToGrid w:val="0"/>
              <w:spacing w:line="360" w:lineRule="auto"/>
              <w:ind w:firstLine="480"/>
              <w:rPr>
                <w:color w:val="auto"/>
                <w:sz w:val="24"/>
                <w:szCs w:val="32"/>
              </w:rPr>
            </w:pPr>
            <w:r>
              <w:rPr>
                <w:rFonts w:hint="eastAsia"/>
                <w:color w:val="auto"/>
                <w:sz w:val="24"/>
                <w:szCs w:val="32"/>
              </w:rPr>
              <w:t>式中：</w:t>
            </w:r>
          </w:p>
          <w:p>
            <w:pPr>
              <w:adjustRightInd w:val="0"/>
              <w:snapToGrid w:val="0"/>
              <w:spacing w:line="360" w:lineRule="auto"/>
              <w:ind w:firstLine="480"/>
              <w:rPr>
                <w:color w:val="auto"/>
                <w:sz w:val="24"/>
                <w:szCs w:val="32"/>
              </w:rPr>
            </w:pPr>
            <w:r>
              <w:rPr>
                <w:color w:val="auto"/>
                <w:sz w:val="24"/>
                <w:szCs w:val="32"/>
              </w:rPr>
              <w:t>Lp2i(T)—</w:t>
            </w:r>
            <w:r>
              <w:rPr>
                <w:rFonts w:hint="eastAsia"/>
                <w:color w:val="auto"/>
                <w:sz w:val="24"/>
                <w:szCs w:val="32"/>
              </w:rPr>
              <w:t>靠近围护结构处室外</w:t>
            </w:r>
            <w:r>
              <w:rPr>
                <w:color w:val="auto"/>
                <w:sz w:val="24"/>
                <w:szCs w:val="32"/>
              </w:rPr>
              <w:t>N</w:t>
            </w:r>
            <w:r>
              <w:rPr>
                <w:rFonts w:hint="eastAsia"/>
                <w:color w:val="auto"/>
                <w:sz w:val="24"/>
                <w:szCs w:val="32"/>
              </w:rPr>
              <w:t>个声源</w:t>
            </w:r>
            <w:r>
              <w:rPr>
                <w:color w:val="auto"/>
                <w:sz w:val="24"/>
                <w:szCs w:val="32"/>
              </w:rPr>
              <w:t>i</w:t>
            </w:r>
            <w:r>
              <w:rPr>
                <w:rFonts w:hint="eastAsia"/>
                <w:color w:val="auto"/>
                <w:sz w:val="24"/>
                <w:szCs w:val="32"/>
              </w:rPr>
              <w:t>倍频带的叠加声压级，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Lp1i(T)—</w:t>
            </w:r>
            <w:r>
              <w:rPr>
                <w:rFonts w:hint="eastAsia"/>
                <w:color w:val="auto"/>
                <w:sz w:val="24"/>
                <w:szCs w:val="32"/>
              </w:rPr>
              <w:t>靠近围护结构处室内</w:t>
            </w:r>
            <w:r>
              <w:rPr>
                <w:color w:val="auto"/>
                <w:sz w:val="24"/>
                <w:szCs w:val="32"/>
              </w:rPr>
              <w:t>N</w:t>
            </w:r>
            <w:r>
              <w:rPr>
                <w:rFonts w:hint="eastAsia"/>
                <w:color w:val="auto"/>
                <w:sz w:val="24"/>
                <w:szCs w:val="32"/>
              </w:rPr>
              <w:t>个声源</w:t>
            </w:r>
            <w:r>
              <w:rPr>
                <w:color w:val="auto"/>
                <w:sz w:val="24"/>
                <w:szCs w:val="32"/>
              </w:rPr>
              <w:t>i</w:t>
            </w:r>
            <w:r>
              <w:rPr>
                <w:rFonts w:hint="eastAsia"/>
                <w:color w:val="auto"/>
                <w:sz w:val="24"/>
                <w:szCs w:val="32"/>
              </w:rPr>
              <w:t>倍频带的叠加声压级，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TLi—</w:t>
            </w:r>
            <w:r>
              <w:rPr>
                <w:rFonts w:hint="eastAsia"/>
                <w:color w:val="auto"/>
                <w:sz w:val="24"/>
                <w:szCs w:val="32"/>
              </w:rPr>
              <w:t>围护结构</w:t>
            </w:r>
            <w:r>
              <w:rPr>
                <w:color w:val="auto"/>
                <w:sz w:val="24"/>
                <w:szCs w:val="32"/>
              </w:rPr>
              <w:t>i</w:t>
            </w:r>
            <w:r>
              <w:rPr>
                <w:rFonts w:hint="eastAsia"/>
                <w:color w:val="auto"/>
                <w:sz w:val="24"/>
                <w:szCs w:val="32"/>
              </w:rPr>
              <w:t>倍频带的隔声量，</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rFonts w:hint="eastAsia"/>
                <w:color w:val="auto"/>
                <w:sz w:val="24"/>
                <w:szCs w:val="32"/>
              </w:rPr>
              <w:t>⑤按下式将室外声源的声压级和透声面积换算成等效的室外声源，计算出中心位置位于透声面积（</w:t>
            </w:r>
            <w:r>
              <w:rPr>
                <w:color w:val="auto"/>
                <w:sz w:val="24"/>
                <w:szCs w:val="32"/>
              </w:rPr>
              <w:t>S</w:t>
            </w:r>
            <w:r>
              <w:rPr>
                <w:rFonts w:hint="eastAsia"/>
                <w:color w:val="auto"/>
                <w:sz w:val="24"/>
                <w:szCs w:val="32"/>
              </w:rPr>
              <w:t>）处的等效声源的倍频带的声功率级</w:t>
            </w:r>
            <w:r>
              <w:rPr>
                <w:color w:val="auto"/>
                <w:sz w:val="24"/>
                <w:szCs w:val="32"/>
              </w:rPr>
              <w:softHyphen/>
            </w:r>
            <w:r>
              <w:rPr>
                <w:color w:val="auto"/>
                <w:sz w:val="24"/>
                <w:szCs w:val="32"/>
              </w:rPr>
              <w:softHyphen/>
            </w:r>
            <w:r>
              <w:rPr>
                <w:rFonts w:hint="eastAsia"/>
                <w:color w:val="auto"/>
                <w:sz w:val="24"/>
                <w:szCs w:val="32"/>
              </w:rPr>
              <w:t>：</w:t>
            </w:r>
          </w:p>
          <w:p>
            <w:pPr>
              <w:adjustRightInd w:val="0"/>
              <w:snapToGrid w:val="0"/>
              <w:spacing w:line="360" w:lineRule="auto"/>
              <w:ind w:firstLine="480"/>
              <w:jc w:val="center"/>
              <w:rPr>
                <w:color w:val="auto"/>
                <w:sz w:val="24"/>
                <w:szCs w:val="32"/>
              </w:rPr>
            </w:pPr>
            <w:r>
              <w:rPr>
                <w:color w:val="auto"/>
                <w:sz w:val="24"/>
                <w:szCs w:val="32"/>
              </w:rPr>
              <w:drawing>
                <wp:inline distT="0" distB="0" distL="114300" distR="114300">
                  <wp:extent cx="1333500" cy="238125"/>
                  <wp:effectExtent l="0" t="0" r="0" b="8255"/>
                  <wp:docPr id="49"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3"/>
                          <pic:cNvPicPr>
                            <a:picLocks noChangeAspect="1"/>
                          </pic:cNvPicPr>
                        </pic:nvPicPr>
                        <pic:blipFill>
                          <a:blip r:embed="rId46"/>
                          <a:stretch>
                            <a:fillRect/>
                          </a:stretch>
                        </pic:blipFill>
                        <pic:spPr>
                          <a:xfrm>
                            <a:off x="0" y="0"/>
                            <a:ext cx="1333500" cy="238125"/>
                          </a:xfrm>
                          <a:prstGeom prst="rect">
                            <a:avLst/>
                          </a:prstGeom>
                          <a:noFill/>
                          <a:ln>
                            <a:noFill/>
                          </a:ln>
                        </pic:spPr>
                      </pic:pic>
                    </a:graphicData>
                  </a:graphic>
                </wp:inline>
              </w:drawing>
            </w:r>
          </w:p>
          <w:p>
            <w:pPr>
              <w:adjustRightInd w:val="0"/>
              <w:snapToGrid w:val="0"/>
              <w:spacing w:line="360" w:lineRule="auto"/>
              <w:ind w:firstLine="480"/>
              <w:rPr>
                <w:color w:val="auto"/>
                <w:sz w:val="24"/>
                <w:szCs w:val="32"/>
              </w:rPr>
            </w:pPr>
            <w:r>
              <w:rPr>
                <w:rFonts w:hint="eastAsia"/>
                <w:color w:val="auto"/>
                <w:sz w:val="24"/>
                <w:szCs w:val="32"/>
              </w:rPr>
              <w:t>式中：</w:t>
            </w:r>
          </w:p>
          <w:p>
            <w:pPr>
              <w:adjustRightInd w:val="0"/>
              <w:snapToGrid w:val="0"/>
              <w:spacing w:line="360" w:lineRule="auto"/>
              <w:ind w:firstLine="480"/>
              <w:rPr>
                <w:color w:val="auto"/>
                <w:sz w:val="24"/>
                <w:szCs w:val="32"/>
              </w:rPr>
            </w:pPr>
            <w:r>
              <w:rPr>
                <w:color w:val="auto"/>
                <w:sz w:val="24"/>
                <w:szCs w:val="32"/>
              </w:rPr>
              <w:t>Lw—</w:t>
            </w:r>
            <w:r>
              <w:rPr>
                <w:rFonts w:hint="eastAsia"/>
                <w:color w:val="auto"/>
                <w:sz w:val="24"/>
                <w:szCs w:val="32"/>
              </w:rPr>
              <w:t>中心位置位于透声面积</w:t>
            </w:r>
            <w:r>
              <w:rPr>
                <w:color w:val="auto"/>
                <w:sz w:val="24"/>
                <w:szCs w:val="32"/>
              </w:rPr>
              <w:t>(S)</w:t>
            </w:r>
            <w:r>
              <w:rPr>
                <w:rFonts w:hint="eastAsia"/>
                <w:color w:val="auto"/>
                <w:sz w:val="24"/>
                <w:szCs w:val="32"/>
              </w:rPr>
              <w:t>处的等效声源的倍频带声功率级，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Lp2(T)—</w:t>
            </w:r>
            <w:r>
              <w:rPr>
                <w:rFonts w:hint="eastAsia"/>
                <w:color w:val="auto"/>
                <w:sz w:val="24"/>
                <w:szCs w:val="32"/>
              </w:rPr>
              <w:t>靠近围护结构处室外声源的声压级，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S</w:t>
            </w:r>
            <w:r>
              <w:rPr>
                <w:rFonts w:hint="eastAsia"/>
                <w:color w:val="auto"/>
                <w:sz w:val="24"/>
                <w:szCs w:val="32"/>
              </w:rPr>
              <w:t>透声面积，</w:t>
            </w:r>
            <w:r>
              <w:rPr>
                <w:color w:val="auto"/>
                <w:sz w:val="24"/>
                <w:szCs w:val="32"/>
              </w:rPr>
              <w:t>m</w:t>
            </w:r>
            <w:r>
              <w:rPr>
                <w:color w:val="auto"/>
                <w:sz w:val="24"/>
                <w:szCs w:val="32"/>
                <w:vertAlign w:val="superscript"/>
              </w:rPr>
              <w:t>2</w:t>
            </w:r>
            <w:r>
              <w:rPr>
                <w:rFonts w:hint="eastAsia"/>
                <w:color w:val="auto"/>
                <w:sz w:val="24"/>
                <w:szCs w:val="32"/>
              </w:rPr>
              <w:t>。</w:t>
            </w:r>
          </w:p>
          <w:p>
            <w:pPr>
              <w:spacing w:line="360" w:lineRule="auto"/>
              <w:ind w:firstLine="480" w:firstLineChars="200"/>
              <w:rPr>
                <w:color w:val="auto"/>
                <w:sz w:val="24"/>
                <w:szCs w:val="32"/>
              </w:rPr>
            </w:pPr>
            <w:r>
              <w:rPr>
                <w:color w:val="auto"/>
                <w:sz w:val="24"/>
                <w:szCs w:val="32"/>
              </w:rPr>
              <w:t>2</w:t>
            </w:r>
            <w:r>
              <w:rPr>
                <w:rFonts w:hint="eastAsia"/>
                <w:color w:val="auto"/>
                <w:sz w:val="24"/>
                <w:szCs w:val="32"/>
              </w:rPr>
              <w:t>）户外声传播的衰减</w:t>
            </w:r>
          </w:p>
          <w:p>
            <w:pPr>
              <w:spacing w:line="360" w:lineRule="auto"/>
              <w:ind w:firstLine="480" w:firstLineChars="200"/>
              <w:rPr>
                <w:color w:val="auto"/>
                <w:sz w:val="24"/>
                <w:szCs w:val="32"/>
              </w:rPr>
            </w:pPr>
            <w:r>
              <w:rPr>
                <w:rFonts w:hint="eastAsia"/>
                <w:color w:val="auto"/>
                <w:sz w:val="24"/>
                <w:szCs w:val="32"/>
              </w:rPr>
              <w:t>户外声传播衰减包括几何发散</w:t>
            </w:r>
            <w:r>
              <w:rPr>
                <w:color w:val="auto"/>
                <w:sz w:val="24"/>
                <w:szCs w:val="32"/>
              </w:rPr>
              <w:t>(Adiv)</w:t>
            </w:r>
            <w:r>
              <w:rPr>
                <w:rFonts w:hint="eastAsia"/>
                <w:color w:val="auto"/>
                <w:sz w:val="24"/>
                <w:szCs w:val="32"/>
              </w:rPr>
              <w:t>、大气吸收</w:t>
            </w:r>
            <w:r>
              <w:rPr>
                <w:color w:val="auto"/>
                <w:sz w:val="24"/>
                <w:szCs w:val="32"/>
              </w:rPr>
              <w:t>(Aatm)</w:t>
            </w:r>
            <w:r>
              <w:rPr>
                <w:rFonts w:hint="eastAsia"/>
                <w:color w:val="auto"/>
                <w:sz w:val="24"/>
                <w:szCs w:val="32"/>
              </w:rPr>
              <w:t>、地面效应</w:t>
            </w:r>
            <w:r>
              <w:rPr>
                <w:color w:val="auto"/>
                <w:sz w:val="24"/>
                <w:szCs w:val="32"/>
              </w:rPr>
              <w:t>(Agr)</w:t>
            </w:r>
            <w:r>
              <w:rPr>
                <w:rFonts w:hint="eastAsia"/>
                <w:color w:val="auto"/>
                <w:sz w:val="24"/>
                <w:szCs w:val="32"/>
              </w:rPr>
              <w:t>、障碍物屏蔽</w:t>
            </w:r>
            <w:r>
              <w:rPr>
                <w:color w:val="auto"/>
                <w:sz w:val="24"/>
                <w:szCs w:val="32"/>
              </w:rPr>
              <w:t>(Abar)</w:t>
            </w:r>
            <w:r>
              <w:rPr>
                <w:rFonts w:hint="eastAsia"/>
                <w:color w:val="auto"/>
                <w:sz w:val="24"/>
                <w:szCs w:val="32"/>
              </w:rPr>
              <w:t>、其他多方面效应</w:t>
            </w:r>
            <w:r>
              <w:rPr>
                <w:color w:val="auto"/>
                <w:sz w:val="24"/>
                <w:szCs w:val="32"/>
              </w:rPr>
              <w:t>(Amisc)</w:t>
            </w:r>
            <w:r>
              <w:rPr>
                <w:rFonts w:hint="eastAsia"/>
                <w:color w:val="auto"/>
                <w:sz w:val="24"/>
                <w:szCs w:val="32"/>
              </w:rPr>
              <w:t>引起的衰减。</w:t>
            </w:r>
          </w:p>
          <w:p>
            <w:pPr>
              <w:spacing w:line="360" w:lineRule="auto"/>
              <w:ind w:firstLine="480" w:firstLineChars="200"/>
              <w:rPr>
                <w:color w:val="auto"/>
                <w:sz w:val="24"/>
                <w:szCs w:val="32"/>
              </w:rPr>
            </w:pPr>
            <w:r>
              <w:rPr>
                <w:rFonts w:hint="eastAsia"/>
                <w:color w:val="auto"/>
                <w:sz w:val="24"/>
                <w:szCs w:val="32"/>
              </w:rPr>
              <w:t>①基本公式</w:t>
            </w:r>
          </w:p>
          <w:p>
            <w:pPr>
              <w:spacing w:line="360" w:lineRule="auto"/>
              <w:ind w:firstLine="480" w:firstLineChars="200"/>
              <w:rPr>
                <w:color w:val="auto"/>
                <w:sz w:val="24"/>
                <w:szCs w:val="32"/>
              </w:rPr>
            </w:pPr>
            <w:r>
              <w:rPr>
                <w:rFonts w:hint="eastAsia"/>
                <w:color w:val="auto"/>
                <w:sz w:val="24"/>
                <w:szCs w:val="32"/>
              </w:rPr>
              <w:t>某个声源在预测点处声压级的计算公式如下：</w:t>
            </w:r>
          </w:p>
          <w:p>
            <w:pPr>
              <w:adjustRightInd w:val="0"/>
              <w:snapToGrid w:val="0"/>
              <w:spacing w:line="360" w:lineRule="auto"/>
              <w:ind w:firstLine="480"/>
              <w:jc w:val="center"/>
              <w:rPr>
                <w:color w:val="auto"/>
                <w:sz w:val="24"/>
                <w:szCs w:val="32"/>
              </w:rPr>
            </w:pPr>
            <w:r>
              <w:rPr>
                <w:color w:val="auto"/>
                <w:sz w:val="24"/>
                <w:szCs w:val="32"/>
              </w:rPr>
              <w:t>Lp(r)</w:t>
            </w:r>
            <w:r>
              <w:rPr>
                <w:rFonts w:hint="eastAsia"/>
                <w:color w:val="auto"/>
                <w:sz w:val="24"/>
                <w:szCs w:val="32"/>
              </w:rPr>
              <w:t>＝</w:t>
            </w:r>
            <w:r>
              <w:rPr>
                <w:color w:val="auto"/>
                <w:sz w:val="24"/>
                <w:szCs w:val="32"/>
              </w:rPr>
              <w:t>Lw+DC</w:t>
            </w:r>
            <w:r>
              <w:rPr>
                <w:rFonts w:hint="eastAsia"/>
                <w:color w:val="auto"/>
                <w:sz w:val="24"/>
                <w:szCs w:val="32"/>
              </w:rPr>
              <w:t>－</w:t>
            </w:r>
            <w:r>
              <w:rPr>
                <w:color w:val="auto"/>
                <w:sz w:val="24"/>
                <w:szCs w:val="32"/>
              </w:rPr>
              <w:t>(Adiv</w:t>
            </w:r>
            <w:r>
              <w:rPr>
                <w:rFonts w:hint="eastAsia"/>
                <w:color w:val="auto"/>
                <w:sz w:val="24"/>
                <w:szCs w:val="32"/>
              </w:rPr>
              <w:t>＋</w:t>
            </w:r>
            <w:r>
              <w:rPr>
                <w:color w:val="auto"/>
                <w:sz w:val="24"/>
                <w:szCs w:val="32"/>
              </w:rPr>
              <w:t>Aatm</w:t>
            </w:r>
            <w:r>
              <w:rPr>
                <w:rFonts w:hint="eastAsia"/>
                <w:color w:val="auto"/>
                <w:sz w:val="24"/>
                <w:szCs w:val="32"/>
              </w:rPr>
              <w:t>＋</w:t>
            </w:r>
            <w:r>
              <w:rPr>
                <w:color w:val="auto"/>
                <w:sz w:val="24"/>
                <w:szCs w:val="32"/>
              </w:rPr>
              <w:t>Agr</w:t>
            </w:r>
            <w:r>
              <w:rPr>
                <w:rFonts w:hint="eastAsia"/>
                <w:color w:val="auto"/>
                <w:sz w:val="24"/>
                <w:szCs w:val="32"/>
              </w:rPr>
              <w:t>＋</w:t>
            </w:r>
            <w:r>
              <w:rPr>
                <w:color w:val="auto"/>
                <w:sz w:val="24"/>
                <w:szCs w:val="32"/>
              </w:rPr>
              <w:t>Abar</w:t>
            </w:r>
            <w:r>
              <w:rPr>
                <w:rFonts w:hint="eastAsia"/>
                <w:color w:val="auto"/>
                <w:sz w:val="24"/>
                <w:szCs w:val="32"/>
              </w:rPr>
              <w:t>＋</w:t>
            </w:r>
            <w:r>
              <w:rPr>
                <w:color w:val="auto"/>
                <w:sz w:val="24"/>
                <w:szCs w:val="32"/>
              </w:rPr>
              <w:t>Amisc)</w:t>
            </w:r>
          </w:p>
          <w:p>
            <w:pPr>
              <w:adjustRightInd w:val="0"/>
              <w:snapToGrid w:val="0"/>
              <w:spacing w:line="360" w:lineRule="auto"/>
              <w:ind w:firstLine="480"/>
              <w:jc w:val="center"/>
              <w:rPr>
                <w:color w:val="auto"/>
                <w:sz w:val="24"/>
                <w:szCs w:val="32"/>
              </w:rPr>
            </w:pPr>
            <w:r>
              <w:rPr>
                <w:color w:val="auto"/>
                <w:sz w:val="24"/>
                <w:szCs w:val="32"/>
              </w:rPr>
              <w:t>Lp(r)</w:t>
            </w:r>
            <w:r>
              <w:rPr>
                <w:rFonts w:hint="eastAsia"/>
                <w:color w:val="auto"/>
                <w:sz w:val="24"/>
                <w:szCs w:val="32"/>
              </w:rPr>
              <w:t>＝</w:t>
            </w:r>
            <w:r>
              <w:rPr>
                <w:color w:val="auto"/>
                <w:sz w:val="24"/>
                <w:szCs w:val="32"/>
              </w:rPr>
              <w:t>Lp(r0)+DC</w:t>
            </w:r>
            <w:r>
              <w:rPr>
                <w:rFonts w:hint="eastAsia"/>
                <w:color w:val="auto"/>
                <w:sz w:val="24"/>
                <w:szCs w:val="32"/>
              </w:rPr>
              <w:t>－</w:t>
            </w:r>
            <w:r>
              <w:rPr>
                <w:color w:val="auto"/>
                <w:sz w:val="24"/>
                <w:szCs w:val="32"/>
              </w:rPr>
              <w:t>(Adiv</w:t>
            </w:r>
            <w:r>
              <w:rPr>
                <w:rFonts w:hint="eastAsia"/>
                <w:color w:val="auto"/>
                <w:sz w:val="24"/>
                <w:szCs w:val="32"/>
              </w:rPr>
              <w:t>＋</w:t>
            </w:r>
            <w:r>
              <w:rPr>
                <w:color w:val="auto"/>
                <w:sz w:val="24"/>
                <w:szCs w:val="32"/>
              </w:rPr>
              <w:t>Aatm</w:t>
            </w:r>
            <w:r>
              <w:rPr>
                <w:rFonts w:hint="eastAsia"/>
                <w:color w:val="auto"/>
                <w:sz w:val="24"/>
                <w:szCs w:val="32"/>
              </w:rPr>
              <w:t>＋</w:t>
            </w:r>
            <w:r>
              <w:rPr>
                <w:color w:val="auto"/>
                <w:sz w:val="24"/>
                <w:szCs w:val="32"/>
              </w:rPr>
              <w:t>Agr</w:t>
            </w:r>
            <w:r>
              <w:rPr>
                <w:rFonts w:hint="eastAsia"/>
                <w:color w:val="auto"/>
                <w:sz w:val="24"/>
                <w:szCs w:val="32"/>
              </w:rPr>
              <w:t>＋</w:t>
            </w:r>
            <w:r>
              <w:rPr>
                <w:color w:val="auto"/>
                <w:sz w:val="24"/>
                <w:szCs w:val="32"/>
              </w:rPr>
              <w:t>Abar</w:t>
            </w:r>
            <w:r>
              <w:rPr>
                <w:rFonts w:hint="eastAsia"/>
                <w:color w:val="auto"/>
                <w:sz w:val="24"/>
                <w:szCs w:val="32"/>
              </w:rPr>
              <w:t>＋</w:t>
            </w:r>
            <w:r>
              <w:rPr>
                <w:color w:val="auto"/>
                <w:sz w:val="24"/>
                <w:szCs w:val="32"/>
              </w:rPr>
              <w:t>Amisc)</w:t>
            </w:r>
          </w:p>
          <w:p>
            <w:pPr>
              <w:adjustRightInd w:val="0"/>
              <w:snapToGrid w:val="0"/>
              <w:spacing w:line="360" w:lineRule="auto"/>
              <w:ind w:firstLine="480"/>
              <w:rPr>
                <w:color w:val="auto"/>
                <w:sz w:val="24"/>
                <w:szCs w:val="32"/>
              </w:rPr>
            </w:pPr>
            <w:r>
              <w:rPr>
                <w:rFonts w:hint="eastAsia"/>
                <w:color w:val="auto"/>
                <w:sz w:val="24"/>
                <w:szCs w:val="32"/>
              </w:rPr>
              <w:t>式中：</w:t>
            </w:r>
          </w:p>
          <w:p>
            <w:pPr>
              <w:adjustRightInd w:val="0"/>
              <w:snapToGrid w:val="0"/>
              <w:spacing w:line="360" w:lineRule="auto"/>
              <w:ind w:firstLine="480"/>
              <w:rPr>
                <w:color w:val="auto"/>
                <w:sz w:val="24"/>
                <w:szCs w:val="32"/>
              </w:rPr>
            </w:pPr>
            <w:r>
              <w:rPr>
                <w:color w:val="auto"/>
                <w:sz w:val="24"/>
                <w:szCs w:val="32"/>
              </w:rPr>
              <w:t>Lp(r)—</w:t>
            </w:r>
            <w:r>
              <w:rPr>
                <w:rFonts w:hint="eastAsia"/>
                <w:color w:val="auto"/>
                <w:sz w:val="24"/>
                <w:szCs w:val="32"/>
              </w:rPr>
              <w:t>预测点处声压级，</w:t>
            </w:r>
            <w:r>
              <w:rPr>
                <w:color w:val="auto"/>
                <w:sz w:val="24"/>
                <w:szCs w:val="32"/>
              </w:rPr>
              <w:t>dB</w:t>
            </w:r>
            <w:r>
              <w:rPr>
                <w:rFonts w:hint="eastAsia"/>
                <w:color w:val="auto"/>
                <w:sz w:val="24"/>
                <w:szCs w:val="32"/>
              </w:rPr>
              <w:t>；</w:t>
            </w:r>
            <w:r>
              <w:rPr>
                <w:color w:val="auto"/>
                <w:sz w:val="24"/>
                <w:szCs w:val="32"/>
              </w:rPr>
              <w:t xml:space="preserve"> </w:t>
            </w:r>
          </w:p>
          <w:p>
            <w:pPr>
              <w:adjustRightInd w:val="0"/>
              <w:snapToGrid w:val="0"/>
              <w:spacing w:line="360" w:lineRule="auto"/>
              <w:ind w:firstLine="480"/>
              <w:rPr>
                <w:color w:val="auto"/>
                <w:sz w:val="24"/>
                <w:szCs w:val="32"/>
              </w:rPr>
            </w:pPr>
            <w:r>
              <w:rPr>
                <w:color w:val="auto"/>
                <w:sz w:val="24"/>
                <w:szCs w:val="32"/>
              </w:rPr>
              <w:t>L</w:t>
            </w:r>
            <w:r>
              <w:rPr>
                <w:color w:val="auto"/>
                <w:sz w:val="24"/>
                <w:szCs w:val="32"/>
              </w:rPr>
              <w:softHyphen/>
            </w:r>
            <w:r>
              <w:rPr>
                <w:color w:val="auto"/>
                <w:sz w:val="24"/>
                <w:szCs w:val="32"/>
              </w:rPr>
              <w:softHyphen/>
            </w:r>
            <w:r>
              <w:rPr>
                <w:color w:val="auto"/>
                <w:sz w:val="24"/>
                <w:szCs w:val="32"/>
              </w:rPr>
              <w:t>w—</w:t>
            </w:r>
            <w:r>
              <w:rPr>
                <w:rFonts w:hint="eastAsia"/>
                <w:color w:val="auto"/>
                <w:sz w:val="24"/>
                <w:szCs w:val="32"/>
              </w:rPr>
              <w:t>由点声源产生的声功率级</w:t>
            </w:r>
            <w:r>
              <w:rPr>
                <w:color w:val="auto"/>
                <w:sz w:val="24"/>
                <w:szCs w:val="32"/>
              </w:rPr>
              <w:t>(A</w:t>
            </w:r>
            <w:r>
              <w:rPr>
                <w:rFonts w:hint="eastAsia"/>
                <w:color w:val="auto"/>
                <w:sz w:val="24"/>
                <w:szCs w:val="32"/>
              </w:rPr>
              <w:t>计权或倍频带</w:t>
            </w:r>
            <w:r>
              <w:rPr>
                <w:color w:val="auto"/>
                <w:sz w:val="24"/>
                <w:szCs w:val="32"/>
              </w:rPr>
              <w:t>)</w:t>
            </w:r>
            <w:r>
              <w:rPr>
                <w:rFonts w:hint="eastAsia"/>
                <w:color w:val="auto"/>
                <w:sz w:val="24"/>
                <w:szCs w:val="32"/>
              </w:rPr>
              <w:t>，</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Lp(r0)—</w:t>
            </w:r>
            <w:r>
              <w:rPr>
                <w:rFonts w:hint="eastAsia"/>
                <w:color w:val="auto"/>
                <w:sz w:val="24"/>
                <w:szCs w:val="32"/>
              </w:rPr>
              <w:t>参考位置</w:t>
            </w:r>
            <w:r>
              <w:rPr>
                <w:color w:val="auto"/>
                <w:sz w:val="24"/>
                <w:szCs w:val="32"/>
              </w:rPr>
              <w:t>r0</w:t>
            </w:r>
            <w:r>
              <w:rPr>
                <w:rFonts w:hint="eastAsia"/>
                <w:color w:val="auto"/>
                <w:sz w:val="24"/>
                <w:szCs w:val="32"/>
              </w:rPr>
              <w:t>处的声压级，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Dc—</w:t>
            </w:r>
            <w:r>
              <w:rPr>
                <w:rFonts w:hint="eastAsia"/>
                <w:color w:val="auto"/>
                <w:sz w:val="24"/>
                <w:szCs w:val="32"/>
              </w:rPr>
              <w:t>指向性校正，它描述点声源的等效连续声压级与产生声功率级</w:t>
            </w:r>
            <w:r>
              <w:rPr>
                <w:color w:val="auto"/>
                <w:sz w:val="24"/>
                <w:szCs w:val="32"/>
              </w:rPr>
              <w:t>Lw</w:t>
            </w:r>
            <w:r>
              <w:rPr>
                <w:rFonts w:hint="eastAsia"/>
                <w:color w:val="auto"/>
                <w:sz w:val="24"/>
                <w:szCs w:val="32"/>
              </w:rPr>
              <w:t>的全向点声源在规定方向的声级的偏差程度，</w:t>
            </w:r>
            <w:r>
              <w:rPr>
                <w:color w:val="auto"/>
                <w:sz w:val="24"/>
                <w:szCs w:val="32"/>
              </w:rPr>
              <w:t>dB</w:t>
            </w:r>
            <w:r>
              <w:rPr>
                <w:rFonts w:hint="eastAsia"/>
                <w:color w:val="auto"/>
                <w:sz w:val="24"/>
                <w:szCs w:val="32"/>
              </w:rPr>
              <w:t>；</w:t>
            </w:r>
            <w:r>
              <w:rPr>
                <w:color w:val="auto"/>
                <w:sz w:val="24"/>
                <w:szCs w:val="32"/>
              </w:rPr>
              <w:t xml:space="preserve"> </w:t>
            </w:r>
          </w:p>
          <w:p>
            <w:pPr>
              <w:adjustRightInd w:val="0"/>
              <w:snapToGrid w:val="0"/>
              <w:spacing w:line="360" w:lineRule="auto"/>
              <w:ind w:firstLine="480"/>
              <w:rPr>
                <w:color w:val="auto"/>
                <w:sz w:val="24"/>
                <w:szCs w:val="32"/>
              </w:rPr>
            </w:pPr>
            <w:r>
              <w:rPr>
                <w:color w:val="auto"/>
                <w:sz w:val="24"/>
                <w:szCs w:val="32"/>
              </w:rPr>
              <w:t>Adiv—</w:t>
            </w:r>
            <w:r>
              <w:rPr>
                <w:rFonts w:hint="eastAsia"/>
                <w:color w:val="auto"/>
                <w:sz w:val="24"/>
                <w:szCs w:val="32"/>
              </w:rPr>
              <w:t>几何发散引起的衰减，</w:t>
            </w:r>
            <w:r>
              <w:rPr>
                <w:color w:val="auto"/>
                <w:sz w:val="24"/>
                <w:szCs w:val="32"/>
              </w:rPr>
              <w:t>dB</w:t>
            </w:r>
            <w:r>
              <w:rPr>
                <w:rFonts w:hint="eastAsia"/>
                <w:color w:val="auto"/>
                <w:sz w:val="24"/>
                <w:szCs w:val="32"/>
              </w:rPr>
              <w:t>；</w:t>
            </w:r>
            <w:r>
              <w:rPr>
                <w:color w:val="auto"/>
                <w:sz w:val="24"/>
                <w:szCs w:val="32"/>
              </w:rPr>
              <w:t xml:space="preserve"> </w:t>
            </w:r>
          </w:p>
          <w:p>
            <w:pPr>
              <w:adjustRightInd w:val="0"/>
              <w:snapToGrid w:val="0"/>
              <w:spacing w:line="360" w:lineRule="auto"/>
              <w:ind w:firstLine="480"/>
              <w:rPr>
                <w:color w:val="auto"/>
                <w:sz w:val="24"/>
                <w:szCs w:val="32"/>
              </w:rPr>
            </w:pPr>
            <w:r>
              <w:rPr>
                <w:color w:val="auto"/>
                <w:sz w:val="24"/>
                <w:szCs w:val="32"/>
              </w:rPr>
              <w:t>Aatm—</w:t>
            </w:r>
            <w:r>
              <w:rPr>
                <w:rFonts w:hint="eastAsia"/>
                <w:color w:val="auto"/>
                <w:sz w:val="24"/>
                <w:szCs w:val="32"/>
              </w:rPr>
              <w:t>大气吸收引起的衰减，</w:t>
            </w:r>
            <w:r>
              <w:rPr>
                <w:color w:val="auto"/>
                <w:sz w:val="24"/>
                <w:szCs w:val="32"/>
              </w:rPr>
              <w:t>dB</w:t>
            </w:r>
            <w:r>
              <w:rPr>
                <w:rFonts w:hint="eastAsia"/>
                <w:color w:val="auto"/>
                <w:sz w:val="24"/>
                <w:szCs w:val="32"/>
              </w:rPr>
              <w:t>；</w:t>
            </w:r>
            <w:r>
              <w:rPr>
                <w:color w:val="auto"/>
                <w:sz w:val="24"/>
                <w:szCs w:val="32"/>
              </w:rPr>
              <w:t xml:space="preserve"> </w:t>
            </w:r>
          </w:p>
          <w:p>
            <w:pPr>
              <w:adjustRightInd w:val="0"/>
              <w:snapToGrid w:val="0"/>
              <w:spacing w:line="360" w:lineRule="auto"/>
              <w:ind w:firstLine="480"/>
              <w:rPr>
                <w:color w:val="auto"/>
                <w:sz w:val="24"/>
                <w:szCs w:val="32"/>
              </w:rPr>
            </w:pPr>
            <w:r>
              <w:rPr>
                <w:color w:val="auto"/>
                <w:sz w:val="24"/>
                <w:szCs w:val="32"/>
              </w:rPr>
              <w:t>Agr—</w:t>
            </w:r>
            <w:r>
              <w:rPr>
                <w:rFonts w:hint="eastAsia"/>
                <w:color w:val="auto"/>
                <w:sz w:val="24"/>
                <w:szCs w:val="32"/>
              </w:rPr>
              <w:t>地面效应引起的衰减，</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Abar—</w:t>
            </w:r>
            <w:r>
              <w:rPr>
                <w:rFonts w:hint="eastAsia"/>
                <w:color w:val="auto"/>
                <w:sz w:val="24"/>
                <w:szCs w:val="32"/>
              </w:rPr>
              <w:t>障碍物屏蔽引起的衰减，</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Amisc—</w:t>
            </w:r>
            <w:r>
              <w:rPr>
                <w:rFonts w:hint="eastAsia"/>
                <w:color w:val="auto"/>
                <w:sz w:val="24"/>
                <w:szCs w:val="32"/>
              </w:rPr>
              <w:t>其他多方面效应引起的衰减，</w:t>
            </w:r>
            <w:r>
              <w:rPr>
                <w:color w:val="auto"/>
                <w:sz w:val="24"/>
                <w:szCs w:val="32"/>
              </w:rPr>
              <w:t>dB</w:t>
            </w:r>
            <w:r>
              <w:rPr>
                <w:rFonts w:hint="eastAsia"/>
                <w:color w:val="auto"/>
                <w:sz w:val="24"/>
                <w:szCs w:val="32"/>
              </w:rPr>
              <w:t>。</w:t>
            </w:r>
          </w:p>
          <w:p>
            <w:pPr>
              <w:spacing w:line="360" w:lineRule="auto"/>
              <w:ind w:firstLine="480" w:firstLineChars="200"/>
              <w:rPr>
                <w:color w:val="auto"/>
                <w:sz w:val="24"/>
                <w:szCs w:val="32"/>
              </w:rPr>
            </w:pPr>
            <w:r>
              <w:rPr>
                <w:rFonts w:hint="eastAsia"/>
                <w:color w:val="auto"/>
                <w:sz w:val="24"/>
                <w:szCs w:val="32"/>
              </w:rPr>
              <w:t>②预测点的</w:t>
            </w:r>
            <w:r>
              <w:rPr>
                <w:color w:val="auto"/>
                <w:sz w:val="24"/>
                <w:szCs w:val="32"/>
              </w:rPr>
              <w:t>A</w:t>
            </w:r>
            <w:r>
              <w:rPr>
                <w:rFonts w:hint="eastAsia"/>
                <w:color w:val="auto"/>
                <w:sz w:val="24"/>
                <w:szCs w:val="32"/>
              </w:rPr>
              <w:t>声级</w:t>
            </w:r>
            <w:r>
              <w:rPr>
                <w:color w:val="auto"/>
                <w:sz w:val="24"/>
                <w:szCs w:val="32"/>
              </w:rPr>
              <w:t>LA(r)</w:t>
            </w:r>
            <w:r>
              <w:rPr>
                <w:rFonts w:hint="eastAsia"/>
                <w:color w:val="auto"/>
                <w:sz w:val="24"/>
                <w:szCs w:val="32"/>
              </w:rPr>
              <w:t>可按下式计算，即将</w:t>
            </w:r>
            <w:r>
              <w:rPr>
                <w:color w:val="auto"/>
                <w:sz w:val="24"/>
                <w:szCs w:val="32"/>
              </w:rPr>
              <w:t>8</w:t>
            </w:r>
            <w:r>
              <w:rPr>
                <w:rFonts w:hint="eastAsia"/>
                <w:color w:val="auto"/>
                <w:sz w:val="24"/>
                <w:szCs w:val="32"/>
              </w:rPr>
              <w:t>个倍频带声压级合成，计算出预测点的</w:t>
            </w:r>
            <w:r>
              <w:rPr>
                <w:color w:val="auto"/>
                <w:sz w:val="24"/>
                <w:szCs w:val="32"/>
              </w:rPr>
              <w:t>A</w:t>
            </w:r>
            <w:r>
              <w:rPr>
                <w:rFonts w:hint="eastAsia"/>
                <w:color w:val="auto"/>
                <w:sz w:val="24"/>
                <w:szCs w:val="32"/>
              </w:rPr>
              <w:t>声级</w:t>
            </w:r>
            <w:r>
              <w:rPr>
                <w:color w:val="auto"/>
                <w:sz w:val="24"/>
                <w:szCs w:val="32"/>
              </w:rPr>
              <w:t>[LA(r)]</w:t>
            </w:r>
            <w:r>
              <w:rPr>
                <w:rFonts w:hint="eastAsia"/>
                <w:color w:val="auto"/>
                <w:sz w:val="24"/>
                <w:szCs w:val="32"/>
              </w:rPr>
              <w:t>。</w:t>
            </w:r>
          </w:p>
          <w:p>
            <w:pPr>
              <w:spacing w:line="360" w:lineRule="auto"/>
              <w:ind w:firstLine="88" w:firstLineChars="37"/>
              <w:jc w:val="center"/>
              <w:rPr>
                <w:color w:val="auto"/>
                <w:sz w:val="24"/>
                <w:szCs w:val="32"/>
              </w:rPr>
            </w:pPr>
            <w:r>
              <w:rPr>
                <w:color w:val="auto"/>
                <w:sz w:val="24"/>
                <w:szCs w:val="32"/>
              </w:rPr>
              <w:drawing>
                <wp:inline distT="0" distB="0" distL="114300" distR="114300">
                  <wp:extent cx="1924050" cy="409575"/>
                  <wp:effectExtent l="0" t="0" r="0" b="9525"/>
                  <wp:docPr id="5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8"/>
                          <pic:cNvPicPr>
                            <a:picLocks noChangeAspect="1"/>
                          </pic:cNvPicPr>
                        </pic:nvPicPr>
                        <pic:blipFill>
                          <a:blip r:embed="rId47"/>
                          <a:stretch>
                            <a:fillRect/>
                          </a:stretch>
                        </pic:blipFill>
                        <pic:spPr>
                          <a:xfrm>
                            <a:off x="0" y="0"/>
                            <a:ext cx="1924050" cy="409575"/>
                          </a:xfrm>
                          <a:prstGeom prst="rect">
                            <a:avLst/>
                          </a:prstGeom>
                          <a:noFill/>
                          <a:ln>
                            <a:noFill/>
                          </a:ln>
                        </pic:spPr>
                      </pic:pic>
                    </a:graphicData>
                  </a:graphic>
                </wp:inline>
              </w:drawing>
            </w:r>
          </w:p>
          <w:p>
            <w:pPr>
              <w:adjustRightInd w:val="0"/>
              <w:snapToGrid w:val="0"/>
              <w:spacing w:line="360" w:lineRule="auto"/>
              <w:ind w:firstLine="480"/>
              <w:rPr>
                <w:color w:val="auto"/>
                <w:sz w:val="24"/>
                <w:szCs w:val="32"/>
              </w:rPr>
            </w:pPr>
            <w:r>
              <w:rPr>
                <w:rFonts w:hint="eastAsia"/>
                <w:color w:val="auto"/>
                <w:sz w:val="24"/>
                <w:szCs w:val="32"/>
              </w:rPr>
              <w:t>式中：</w:t>
            </w:r>
          </w:p>
          <w:p>
            <w:pPr>
              <w:adjustRightInd w:val="0"/>
              <w:snapToGrid w:val="0"/>
              <w:spacing w:line="360" w:lineRule="auto"/>
              <w:ind w:firstLine="480"/>
              <w:rPr>
                <w:color w:val="auto"/>
                <w:sz w:val="24"/>
                <w:szCs w:val="32"/>
              </w:rPr>
            </w:pPr>
            <w:r>
              <w:rPr>
                <w:color w:val="auto"/>
                <w:sz w:val="24"/>
                <w:szCs w:val="32"/>
              </w:rPr>
              <w:t>LA(r)—</w:t>
            </w:r>
            <w:r>
              <w:rPr>
                <w:rFonts w:hint="eastAsia"/>
                <w:color w:val="auto"/>
                <w:sz w:val="24"/>
                <w:szCs w:val="32"/>
              </w:rPr>
              <w:t>距声源</w:t>
            </w:r>
            <w:r>
              <w:rPr>
                <w:color w:val="auto"/>
                <w:sz w:val="24"/>
                <w:szCs w:val="32"/>
              </w:rPr>
              <w:t>r</w:t>
            </w:r>
            <w:r>
              <w:rPr>
                <w:rFonts w:hint="eastAsia"/>
                <w:color w:val="auto"/>
                <w:sz w:val="24"/>
                <w:szCs w:val="32"/>
              </w:rPr>
              <w:t>处的</w:t>
            </w:r>
            <w:r>
              <w:rPr>
                <w:color w:val="auto"/>
                <w:sz w:val="24"/>
                <w:szCs w:val="32"/>
              </w:rPr>
              <w:t>A</w:t>
            </w:r>
            <w:r>
              <w:rPr>
                <w:rFonts w:hint="eastAsia"/>
                <w:color w:val="auto"/>
                <w:sz w:val="24"/>
                <w:szCs w:val="32"/>
              </w:rPr>
              <w:t>声级，</w:t>
            </w:r>
            <w:r>
              <w:rPr>
                <w:color w:val="auto"/>
                <w:sz w:val="24"/>
                <w:szCs w:val="32"/>
              </w:rPr>
              <w:t>dB(A)</w:t>
            </w:r>
            <w:r>
              <w:rPr>
                <w:rFonts w:hint="eastAsia"/>
                <w:color w:val="auto"/>
                <w:sz w:val="24"/>
                <w:szCs w:val="32"/>
              </w:rPr>
              <w:t>；</w:t>
            </w:r>
          </w:p>
          <w:p>
            <w:pPr>
              <w:adjustRightInd w:val="0"/>
              <w:snapToGrid w:val="0"/>
              <w:spacing w:line="360" w:lineRule="auto"/>
              <w:ind w:firstLine="480"/>
              <w:rPr>
                <w:color w:val="auto"/>
                <w:sz w:val="24"/>
                <w:szCs w:val="32"/>
              </w:rPr>
            </w:pPr>
            <w:r>
              <w:rPr>
                <w:color w:val="auto"/>
                <w:sz w:val="24"/>
                <w:szCs w:val="32"/>
              </w:rPr>
              <w:t>Lpi(r)—</w:t>
            </w:r>
            <w:r>
              <w:rPr>
                <w:rFonts w:hint="eastAsia"/>
                <w:color w:val="auto"/>
                <w:sz w:val="24"/>
                <w:szCs w:val="32"/>
              </w:rPr>
              <w:t>预测点</w:t>
            </w:r>
            <w:r>
              <w:rPr>
                <w:color w:val="auto"/>
                <w:sz w:val="24"/>
                <w:szCs w:val="32"/>
              </w:rPr>
              <w:t>(r)</w:t>
            </w:r>
            <w:r>
              <w:rPr>
                <w:rFonts w:hint="eastAsia"/>
                <w:color w:val="auto"/>
                <w:sz w:val="24"/>
                <w:szCs w:val="32"/>
              </w:rPr>
              <w:t>处，第</w:t>
            </w:r>
            <w:r>
              <w:rPr>
                <w:color w:val="auto"/>
                <w:sz w:val="24"/>
                <w:szCs w:val="32"/>
              </w:rPr>
              <w:t>i</w:t>
            </w:r>
            <w:r>
              <w:rPr>
                <w:rFonts w:hint="eastAsia"/>
                <w:color w:val="auto"/>
                <w:sz w:val="24"/>
                <w:szCs w:val="32"/>
              </w:rPr>
              <w:t>倍频带声压级，</w:t>
            </w:r>
            <w:r>
              <w:rPr>
                <w:color w:val="auto"/>
                <w:sz w:val="24"/>
                <w:szCs w:val="32"/>
              </w:rPr>
              <w:t>dB</w:t>
            </w:r>
            <w:r>
              <w:rPr>
                <w:rFonts w:hint="eastAsia"/>
                <w:color w:val="auto"/>
                <w:sz w:val="24"/>
                <w:szCs w:val="32"/>
              </w:rPr>
              <w:t>；</w:t>
            </w:r>
          </w:p>
          <w:p>
            <w:pPr>
              <w:adjustRightInd w:val="0"/>
              <w:snapToGrid w:val="0"/>
              <w:spacing w:line="360" w:lineRule="auto"/>
              <w:ind w:firstLine="480"/>
              <w:rPr>
                <w:color w:val="auto"/>
                <w:sz w:val="24"/>
                <w:szCs w:val="32"/>
              </w:rPr>
            </w:pPr>
            <w:r>
              <w:rPr>
                <w:rFonts w:hint="eastAsia"/>
                <w:color w:val="auto"/>
                <w:sz w:val="24"/>
                <w:szCs w:val="32"/>
              </w:rPr>
              <w:t>△</w:t>
            </w:r>
            <w:r>
              <w:rPr>
                <w:color w:val="auto"/>
                <w:sz w:val="24"/>
                <w:szCs w:val="32"/>
              </w:rPr>
              <w:t>Li—i</w:t>
            </w:r>
            <w:r>
              <w:rPr>
                <w:rFonts w:hint="eastAsia"/>
                <w:color w:val="auto"/>
                <w:sz w:val="24"/>
                <w:szCs w:val="32"/>
              </w:rPr>
              <w:t>倍频带</w:t>
            </w:r>
            <w:r>
              <w:rPr>
                <w:color w:val="auto"/>
                <w:sz w:val="24"/>
                <w:szCs w:val="32"/>
              </w:rPr>
              <w:t>A</w:t>
            </w:r>
            <w:r>
              <w:rPr>
                <w:rFonts w:hint="eastAsia"/>
                <w:color w:val="auto"/>
                <w:sz w:val="24"/>
                <w:szCs w:val="32"/>
              </w:rPr>
              <w:t>计算网络修正值，</w:t>
            </w:r>
            <w:r>
              <w:rPr>
                <w:color w:val="auto"/>
                <w:sz w:val="24"/>
                <w:szCs w:val="32"/>
              </w:rPr>
              <w:t>dB(</w:t>
            </w:r>
            <w:r>
              <w:rPr>
                <w:rFonts w:hint="eastAsia"/>
                <w:color w:val="auto"/>
                <w:sz w:val="24"/>
                <w:szCs w:val="32"/>
              </w:rPr>
              <w:t>根据导则附录</w:t>
            </w:r>
            <w:r>
              <w:rPr>
                <w:color w:val="auto"/>
                <w:sz w:val="24"/>
                <w:szCs w:val="32"/>
              </w:rPr>
              <w:t>B</w:t>
            </w:r>
            <w:r>
              <w:rPr>
                <w:rFonts w:hint="eastAsia"/>
                <w:color w:val="auto"/>
                <w:sz w:val="24"/>
                <w:szCs w:val="32"/>
              </w:rPr>
              <w:t>计算</w:t>
            </w:r>
            <w:r>
              <w:rPr>
                <w:color w:val="auto"/>
                <w:sz w:val="24"/>
                <w:szCs w:val="32"/>
              </w:rPr>
              <w:t>)</w:t>
            </w:r>
            <w:r>
              <w:rPr>
                <w:rFonts w:hint="eastAsia"/>
                <w:color w:val="auto"/>
                <w:sz w:val="24"/>
                <w:szCs w:val="32"/>
              </w:rPr>
              <w:t>。</w:t>
            </w:r>
          </w:p>
          <w:p>
            <w:pPr>
              <w:adjustRightInd w:val="0"/>
              <w:snapToGrid w:val="0"/>
              <w:spacing w:line="360" w:lineRule="auto"/>
              <w:ind w:firstLine="480"/>
              <w:rPr>
                <w:color w:val="auto"/>
                <w:sz w:val="24"/>
                <w:szCs w:val="32"/>
              </w:rPr>
            </w:pPr>
            <w:r>
              <w:rPr>
                <w:rFonts w:hint="eastAsia"/>
                <w:color w:val="auto"/>
                <w:sz w:val="24"/>
                <w:szCs w:val="32"/>
              </w:rPr>
              <w:t>衰减项计算按导则附录</w:t>
            </w:r>
            <w:r>
              <w:rPr>
                <w:color w:val="auto"/>
                <w:sz w:val="24"/>
                <w:szCs w:val="32"/>
              </w:rPr>
              <w:t>A</w:t>
            </w:r>
            <w:r>
              <w:rPr>
                <w:rFonts w:hint="eastAsia"/>
                <w:color w:val="auto"/>
                <w:sz w:val="24"/>
                <w:szCs w:val="32"/>
              </w:rPr>
              <w:t>中</w:t>
            </w:r>
            <w:r>
              <w:rPr>
                <w:color w:val="auto"/>
                <w:sz w:val="24"/>
                <w:szCs w:val="32"/>
              </w:rPr>
              <w:t>A.3</w:t>
            </w:r>
            <w:r>
              <w:rPr>
                <w:rFonts w:hint="eastAsia"/>
                <w:color w:val="auto"/>
                <w:sz w:val="24"/>
                <w:szCs w:val="32"/>
              </w:rPr>
              <w:t>相关模式计算。</w:t>
            </w:r>
          </w:p>
          <w:p>
            <w:pPr>
              <w:adjustRightInd w:val="0"/>
              <w:snapToGrid w:val="0"/>
              <w:spacing w:line="360" w:lineRule="auto"/>
              <w:ind w:firstLine="480"/>
              <w:rPr>
                <w:color w:val="auto"/>
                <w:sz w:val="24"/>
                <w:szCs w:val="32"/>
              </w:rPr>
            </w:pPr>
            <w:r>
              <w:rPr>
                <w:color w:val="auto"/>
                <w:sz w:val="24"/>
                <w:szCs w:val="32"/>
              </w:rPr>
              <w:t>3</w:t>
            </w:r>
            <w:r>
              <w:rPr>
                <w:rFonts w:hint="eastAsia"/>
                <w:color w:val="auto"/>
                <w:sz w:val="24"/>
                <w:szCs w:val="32"/>
              </w:rPr>
              <w:t>）噪声贡献值计算</w:t>
            </w:r>
          </w:p>
          <w:p>
            <w:pPr>
              <w:adjustRightInd w:val="0"/>
              <w:snapToGrid w:val="0"/>
              <w:spacing w:line="360" w:lineRule="auto"/>
              <w:ind w:firstLine="480"/>
              <w:rPr>
                <w:color w:val="auto"/>
                <w:sz w:val="24"/>
                <w:szCs w:val="32"/>
              </w:rPr>
            </w:pPr>
            <w:r>
              <w:rPr>
                <w:rFonts w:hint="eastAsia"/>
                <w:color w:val="auto"/>
                <w:sz w:val="24"/>
                <w:szCs w:val="32"/>
              </w:rPr>
              <w:t>设第</w:t>
            </w:r>
            <w:r>
              <w:rPr>
                <w:color w:val="auto"/>
                <w:sz w:val="24"/>
                <w:szCs w:val="32"/>
              </w:rPr>
              <w:t>i</w:t>
            </w:r>
            <w:r>
              <w:rPr>
                <w:rFonts w:hint="eastAsia"/>
                <w:color w:val="auto"/>
                <w:sz w:val="24"/>
                <w:szCs w:val="32"/>
              </w:rPr>
              <w:t>个室外声源在预测点产生的</w:t>
            </w:r>
            <w:r>
              <w:rPr>
                <w:color w:val="auto"/>
                <w:sz w:val="24"/>
                <w:szCs w:val="32"/>
              </w:rPr>
              <w:t>A</w:t>
            </w:r>
            <w:r>
              <w:rPr>
                <w:rFonts w:hint="eastAsia"/>
                <w:color w:val="auto"/>
                <w:sz w:val="24"/>
                <w:szCs w:val="32"/>
              </w:rPr>
              <w:t>声级为</w:t>
            </w:r>
            <w:r>
              <w:rPr>
                <w:color w:val="auto"/>
                <w:sz w:val="24"/>
                <w:szCs w:val="32"/>
              </w:rPr>
              <w:t>LAi</w:t>
            </w:r>
            <w:r>
              <w:rPr>
                <w:rFonts w:hint="eastAsia"/>
                <w:color w:val="auto"/>
                <w:sz w:val="24"/>
                <w:szCs w:val="32"/>
              </w:rPr>
              <w:t>，在</w:t>
            </w:r>
            <w:r>
              <w:rPr>
                <w:color w:val="auto"/>
                <w:sz w:val="24"/>
                <w:szCs w:val="32"/>
              </w:rPr>
              <w:t>T</w:t>
            </w:r>
            <w:r>
              <w:rPr>
                <w:rFonts w:hint="eastAsia"/>
                <w:color w:val="auto"/>
                <w:sz w:val="24"/>
                <w:szCs w:val="32"/>
              </w:rPr>
              <w:t>时间内该声源工作时间为</w:t>
            </w:r>
            <w:r>
              <w:rPr>
                <w:color w:val="auto"/>
                <w:sz w:val="24"/>
                <w:szCs w:val="32"/>
              </w:rPr>
              <w:t>ti</w:t>
            </w:r>
            <w:r>
              <w:rPr>
                <w:rFonts w:hint="eastAsia"/>
                <w:color w:val="auto"/>
                <w:sz w:val="24"/>
                <w:szCs w:val="32"/>
              </w:rPr>
              <w:t>；第</w:t>
            </w:r>
            <w:r>
              <w:rPr>
                <w:color w:val="auto"/>
                <w:sz w:val="24"/>
                <w:szCs w:val="32"/>
              </w:rPr>
              <w:t>j</w:t>
            </w:r>
            <w:r>
              <w:rPr>
                <w:rFonts w:hint="eastAsia"/>
                <w:color w:val="auto"/>
                <w:sz w:val="24"/>
                <w:szCs w:val="32"/>
              </w:rPr>
              <w:t>个等效室外声源在预测点产生的</w:t>
            </w:r>
            <w:r>
              <w:rPr>
                <w:color w:val="auto"/>
                <w:sz w:val="24"/>
                <w:szCs w:val="32"/>
              </w:rPr>
              <w:t>A</w:t>
            </w:r>
            <w:r>
              <w:rPr>
                <w:rFonts w:hint="eastAsia"/>
                <w:color w:val="auto"/>
                <w:sz w:val="24"/>
                <w:szCs w:val="32"/>
              </w:rPr>
              <w:t>声级为</w:t>
            </w:r>
            <w:r>
              <w:rPr>
                <w:color w:val="auto"/>
                <w:sz w:val="24"/>
                <w:szCs w:val="32"/>
              </w:rPr>
              <w:t>LAj</w:t>
            </w:r>
            <w:r>
              <w:rPr>
                <w:rFonts w:hint="eastAsia"/>
                <w:color w:val="auto"/>
                <w:sz w:val="24"/>
                <w:szCs w:val="32"/>
              </w:rPr>
              <w:t>，在</w:t>
            </w:r>
            <w:r>
              <w:rPr>
                <w:color w:val="auto"/>
                <w:sz w:val="24"/>
                <w:szCs w:val="32"/>
              </w:rPr>
              <w:t>T</w:t>
            </w:r>
            <w:r>
              <w:rPr>
                <w:rFonts w:hint="eastAsia"/>
                <w:color w:val="auto"/>
                <w:sz w:val="24"/>
                <w:szCs w:val="32"/>
              </w:rPr>
              <w:t>时间内该声源工作时间为</w:t>
            </w:r>
            <w:r>
              <w:rPr>
                <w:color w:val="auto"/>
                <w:sz w:val="24"/>
                <w:szCs w:val="32"/>
              </w:rPr>
              <w:t>t j</w:t>
            </w:r>
            <w:r>
              <w:rPr>
                <w:rFonts w:hint="eastAsia"/>
                <w:color w:val="auto"/>
                <w:sz w:val="24"/>
                <w:szCs w:val="32"/>
              </w:rPr>
              <w:t>，则拟建工程声源对预测点产生的贡献值</w:t>
            </w:r>
            <w:r>
              <w:rPr>
                <w:color w:val="auto"/>
                <w:sz w:val="24"/>
                <w:szCs w:val="32"/>
              </w:rPr>
              <w:t>(Leqg)</w:t>
            </w:r>
            <w:r>
              <w:rPr>
                <w:rFonts w:hint="eastAsia"/>
                <w:color w:val="auto"/>
                <w:sz w:val="24"/>
                <w:szCs w:val="32"/>
              </w:rPr>
              <w:t>为：</w:t>
            </w:r>
          </w:p>
          <w:p>
            <w:pPr>
              <w:spacing w:line="360" w:lineRule="auto"/>
              <w:ind w:firstLine="555"/>
              <w:jc w:val="center"/>
              <w:rPr>
                <w:color w:val="auto"/>
                <w:sz w:val="24"/>
                <w:szCs w:val="32"/>
              </w:rPr>
            </w:pPr>
            <w:r>
              <w:rPr>
                <w:color w:val="auto"/>
                <w:sz w:val="24"/>
                <w:szCs w:val="32"/>
              </w:rPr>
              <w:drawing>
                <wp:inline distT="0" distB="0" distL="114300" distR="114300">
                  <wp:extent cx="2333625" cy="485775"/>
                  <wp:effectExtent l="0" t="0" r="9525" b="9525"/>
                  <wp:docPr id="51"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95"/>
                          <pic:cNvPicPr>
                            <a:picLocks noChangeAspect="1"/>
                          </pic:cNvPicPr>
                        </pic:nvPicPr>
                        <pic:blipFill>
                          <a:blip r:embed="rId48"/>
                          <a:stretch>
                            <a:fillRect/>
                          </a:stretch>
                        </pic:blipFill>
                        <pic:spPr>
                          <a:xfrm>
                            <a:off x="0" y="0"/>
                            <a:ext cx="2333625" cy="485775"/>
                          </a:xfrm>
                          <a:prstGeom prst="rect">
                            <a:avLst/>
                          </a:prstGeom>
                          <a:noFill/>
                          <a:ln>
                            <a:noFill/>
                          </a:ln>
                        </pic:spPr>
                      </pic:pic>
                    </a:graphicData>
                  </a:graphic>
                </wp:inline>
              </w:drawing>
            </w:r>
          </w:p>
          <w:p>
            <w:pPr>
              <w:spacing w:line="360" w:lineRule="auto"/>
              <w:ind w:firstLine="480" w:firstLineChars="200"/>
              <w:rPr>
                <w:color w:val="auto"/>
                <w:sz w:val="24"/>
                <w:szCs w:val="32"/>
              </w:rPr>
            </w:pPr>
            <w:r>
              <w:rPr>
                <w:rFonts w:hint="eastAsia"/>
                <w:color w:val="auto"/>
                <w:sz w:val="24"/>
                <w:szCs w:val="32"/>
              </w:rPr>
              <w:t>式中：</w:t>
            </w:r>
            <w:r>
              <w:rPr>
                <w:color w:val="auto"/>
                <w:sz w:val="24"/>
                <w:szCs w:val="32"/>
              </w:rPr>
              <w:t>Leqg——</w:t>
            </w:r>
            <w:r>
              <w:rPr>
                <w:rFonts w:hint="eastAsia"/>
                <w:color w:val="auto"/>
                <w:sz w:val="24"/>
                <w:szCs w:val="32"/>
              </w:rPr>
              <w:t>建设项目声源在预测点产生的噪声贡献值，</w:t>
            </w:r>
            <w:r>
              <w:rPr>
                <w:color w:val="auto"/>
                <w:sz w:val="24"/>
                <w:szCs w:val="32"/>
              </w:rPr>
              <w:t>dB(A)</w:t>
            </w:r>
            <w:r>
              <w:rPr>
                <w:rFonts w:hint="eastAsia"/>
                <w:color w:val="auto"/>
                <w:sz w:val="24"/>
                <w:szCs w:val="32"/>
              </w:rPr>
              <w:t>；</w:t>
            </w:r>
            <w:r>
              <w:rPr>
                <w:color w:val="auto"/>
                <w:sz w:val="24"/>
                <w:szCs w:val="32"/>
              </w:rPr>
              <w:t xml:space="preserve"> </w:t>
            </w:r>
          </w:p>
          <w:p>
            <w:pPr>
              <w:spacing w:line="360" w:lineRule="auto"/>
              <w:ind w:firstLine="1200" w:firstLineChars="500"/>
              <w:rPr>
                <w:color w:val="auto"/>
                <w:sz w:val="24"/>
                <w:szCs w:val="32"/>
              </w:rPr>
            </w:pPr>
            <w:r>
              <w:rPr>
                <w:color w:val="auto"/>
                <w:sz w:val="24"/>
                <w:szCs w:val="32"/>
              </w:rPr>
              <w:t>T——</w:t>
            </w:r>
            <w:r>
              <w:rPr>
                <w:rFonts w:hint="eastAsia"/>
                <w:color w:val="auto"/>
                <w:sz w:val="24"/>
                <w:szCs w:val="32"/>
              </w:rPr>
              <w:t>用于计算等效声级的时间，</w:t>
            </w:r>
            <w:r>
              <w:rPr>
                <w:color w:val="auto"/>
                <w:sz w:val="24"/>
                <w:szCs w:val="32"/>
              </w:rPr>
              <w:t>s</w:t>
            </w:r>
            <w:r>
              <w:rPr>
                <w:rFonts w:hint="eastAsia"/>
                <w:color w:val="auto"/>
                <w:sz w:val="24"/>
                <w:szCs w:val="32"/>
              </w:rPr>
              <w:t>；</w:t>
            </w:r>
            <w:r>
              <w:rPr>
                <w:color w:val="auto"/>
                <w:sz w:val="24"/>
                <w:szCs w:val="32"/>
              </w:rPr>
              <w:t xml:space="preserve"> </w:t>
            </w:r>
          </w:p>
          <w:p>
            <w:pPr>
              <w:spacing w:line="360" w:lineRule="auto"/>
              <w:ind w:firstLine="1200" w:firstLineChars="500"/>
              <w:rPr>
                <w:color w:val="auto"/>
                <w:sz w:val="24"/>
                <w:szCs w:val="32"/>
              </w:rPr>
            </w:pPr>
            <w:r>
              <w:rPr>
                <w:color w:val="auto"/>
                <w:sz w:val="24"/>
                <w:szCs w:val="32"/>
              </w:rPr>
              <w:t>N——</w:t>
            </w:r>
            <w:r>
              <w:rPr>
                <w:rFonts w:hint="eastAsia"/>
                <w:color w:val="auto"/>
                <w:sz w:val="24"/>
                <w:szCs w:val="32"/>
              </w:rPr>
              <w:t>室外声源个数；</w:t>
            </w:r>
            <w:r>
              <w:rPr>
                <w:color w:val="auto"/>
                <w:sz w:val="24"/>
                <w:szCs w:val="32"/>
              </w:rPr>
              <w:t xml:space="preserve"> </w:t>
            </w:r>
          </w:p>
          <w:p>
            <w:pPr>
              <w:spacing w:line="360" w:lineRule="auto"/>
              <w:ind w:firstLine="1200" w:firstLineChars="500"/>
              <w:rPr>
                <w:color w:val="auto"/>
                <w:sz w:val="24"/>
                <w:szCs w:val="32"/>
              </w:rPr>
            </w:pPr>
            <w:r>
              <w:rPr>
                <w:color w:val="auto"/>
                <w:sz w:val="24"/>
                <w:szCs w:val="32"/>
              </w:rPr>
              <w:t>ti——</w:t>
            </w:r>
            <w:r>
              <w:rPr>
                <w:rFonts w:hint="eastAsia"/>
                <w:color w:val="auto"/>
                <w:sz w:val="24"/>
                <w:szCs w:val="32"/>
              </w:rPr>
              <w:t>在</w:t>
            </w:r>
            <w:r>
              <w:rPr>
                <w:color w:val="auto"/>
                <w:sz w:val="24"/>
                <w:szCs w:val="32"/>
              </w:rPr>
              <w:t>T</w:t>
            </w:r>
            <w:r>
              <w:rPr>
                <w:rFonts w:hint="eastAsia"/>
                <w:color w:val="auto"/>
                <w:sz w:val="24"/>
                <w:szCs w:val="32"/>
              </w:rPr>
              <w:t>时间内</w:t>
            </w:r>
            <w:r>
              <w:rPr>
                <w:color w:val="auto"/>
                <w:sz w:val="24"/>
                <w:szCs w:val="32"/>
              </w:rPr>
              <w:t>i</w:t>
            </w:r>
            <w:r>
              <w:rPr>
                <w:rFonts w:hint="eastAsia"/>
                <w:color w:val="auto"/>
                <w:sz w:val="24"/>
                <w:szCs w:val="32"/>
              </w:rPr>
              <w:t>声源工作时间，</w:t>
            </w:r>
            <w:r>
              <w:rPr>
                <w:color w:val="auto"/>
                <w:sz w:val="24"/>
                <w:szCs w:val="32"/>
              </w:rPr>
              <w:t>s</w:t>
            </w:r>
            <w:r>
              <w:rPr>
                <w:rFonts w:hint="eastAsia"/>
                <w:color w:val="auto"/>
                <w:sz w:val="24"/>
                <w:szCs w:val="32"/>
              </w:rPr>
              <w:t>；</w:t>
            </w:r>
            <w:r>
              <w:rPr>
                <w:color w:val="auto"/>
                <w:sz w:val="24"/>
                <w:szCs w:val="32"/>
              </w:rPr>
              <w:t xml:space="preserve"> </w:t>
            </w:r>
          </w:p>
          <w:p>
            <w:pPr>
              <w:spacing w:line="360" w:lineRule="auto"/>
              <w:ind w:firstLine="1200" w:firstLineChars="500"/>
              <w:rPr>
                <w:color w:val="auto"/>
                <w:sz w:val="24"/>
                <w:szCs w:val="32"/>
              </w:rPr>
            </w:pPr>
            <w:r>
              <w:rPr>
                <w:color w:val="auto"/>
                <w:sz w:val="24"/>
                <w:szCs w:val="32"/>
              </w:rPr>
              <w:t>M——</w:t>
            </w:r>
            <w:r>
              <w:rPr>
                <w:rFonts w:hint="eastAsia"/>
                <w:color w:val="auto"/>
                <w:sz w:val="24"/>
                <w:szCs w:val="32"/>
              </w:rPr>
              <w:t>等效室外声源个数；</w:t>
            </w:r>
            <w:r>
              <w:rPr>
                <w:color w:val="auto"/>
                <w:sz w:val="24"/>
                <w:szCs w:val="32"/>
              </w:rPr>
              <w:t xml:space="preserve"> </w:t>
            </w:r>
          </w:p>
          <w:p>
            <w:pPr>
              <w:spacing w:line="360" w:lineRule="auto"/>
              <w:ind w:firstLine="1200" w:firstLineChars="500"/>
              <w:rPr>
                <w:color w:val="auto"/>
                <w:sz w:val="24"/>
                <w:szCs w:val="32"/>
              </w:rPr>
            </w:pPr>
            <w:r>
              <w:rPr>
                <w:color w:val="auto"/>
                <w:sz w:val="24"/>
                <w:szCs w:val="32"/>
              </w:rPr>
              <w:t>tj ——</w:t>
            </w:r>
            <w:r>
              <w:rPr>
                <w:rFonts w:hint="eastAsia"/>
                <w:color w:val="auto"/>
                <w:sz w:val="24"/>
                <w:szCs w:val="32"/>
              </w:rPr>
              <w:t>在</w:t>
            </w:r>
            <w:r>
              <w:rPr>
                <w:color w:val="auto"/>
                <w:sz w:val="24"/>
                <w:szCs w:val="32"/>
              </w:rPr>
              <w:t>T</w:t>
            </w:r>
            <w:r>
              <w:rPr>
                <w:rFonts w:hint="eastAsia"/>
                <w:color w:val="auto"/>
                <w:sz w:val="24"/>
                <w:szCs w:val="32"/>
              </w:rPr>
              <w:t>时间内</w:t>
            </w:r>
            <w:r>
              <w:rPr>
                <w:color w:val="auto"/>
                <w:sz w:val="24"/>
                <w:szCs w:val="32"/>
              </w:rPr>
              <w:t>j</w:t>
            </w:r>
            <w:r>
              <w:rPr>
                <w:rFonts w:hint="eastAsia"/>
                <w:color w:val="auto"/>
                <w:sz w:val="24"/>
                <w:szCs w:val="32"/>
              </w:rPr>
              <w:t>声源工作时间，</w:t>
            </w:r>
            <w:r>
              <w:rPr>
                <w:color w:val="auto"/>
                <w:sz w:val="24"/>
                <w:szCs w:val="32"/>
              </w:rPr>
              <w:t>s</w:t>
            </w:r>
            <w:r>
              <w:rPr>
                <w:rFonts w:hint="eastAsia"/>
                <w:color w:val="auto"/>
                <w:sz w:val="24"/>
                <w:szCs w:val="32"/>
              </w:rPr>
              <w:t>。</w:t>
            </w:r>
          </w:p>
          <w:p>
            <w:pPr>
              <w:spacing w:line="360" w:lineRule="auto"/>
              <w:ind w:firstLine="480" w:firstLineChars="200"/>
              <w:rPr>
                <w:color w:val="auto"/>
                <w:sz w:val="24"/>
                <w:szCs w:val="32"/>
              </w:rPr>
            </w:pPr>
            <w:r>
              <w:rPr>
                <w:color w:val="auto"/>
                <w:sz w:val="24"/>
                <w:szCs w:val="32"/>
              </w:rPr>
              <w:t>4</w:t>
            </w:r>
            <w:r>
              <w:rPr>
                <w:rFonts w:hint="eastAsia"/>
                <w:color w:val="auto"/>
                <w:sz w:val="24"/>
                <w:szCs w:val="32"/>
              </w:rPr>
              <w:t>）噪声预测值计算</w:t>
            </w:r>
          </w:p>
          <w:p>
            <w:pPr>
              <w:spacing w:line="360" w:lineRule="auto"/>
              <w:ind w:firstLine="480" w:firstLineChars="200"/>
              <w:rPr>
                <w:color w:val="auto"/>
                <w:sz w:val="24"/>
                <w:szCs w:val="32"/>
              </w:rPr>
            </w:pPr>
            <w:r>
              <w:rPr>
                <w:rFonts w:hint="eastAsia"/>
                <w:color w:val="auto"/>
                <w:sz w:val="24"/>
                <w:szCs w:val="32"/>
              </w:rPr>
              <w:t>预测点的贡献值和背景值按能量叠加方法计算得到的声级，计算公式：</w:t>
            </w:r>
          </w:p>
          <w:p>
            <w:pPr>
              <w:spacing w:line="360" w:lineRule="auto"/>
              <w:ind w:firstLine="1680" w:firstLineChars="700"/>
              <w:rPr>
                <w:color w:val="auto"/>
                <w:sz w:val="24"/>
                <w:szCs w:val="32"/>
              </w:rPr>
            </w:pPr>
            <w:r>
              <w:rPr>
                <w:color w:val="auto"/>
                <w:sz w:val="24"/>
                <w:szCs w:val="32"/>
              </w:rPr>
              <w:drawing>
                <wp:inline distT="0" distB="0" distL="114300" distR="114300">
                  <wp:extent cx="1876425" cy="304800"/>
                  <wp:effectExtent l="0" t="0" r="9525" b="0"/>
                  <wp:docPr id="5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6"/>
                          <pic:cNvPicPr>
                            <a:picLocks noChangeAspect="1"/>
                          </pic:cNvPicPr>
                        </pic:nvPicPr>
                        <pic:blipFill>
                          <a:blip r:embed="rId49"/>
                          <a:stretch>
                            <a:fillRect/>
                          </a:stretch>
                        </pic:blipFill>
                        <pic:spPr>
                          <a:xfrm>
                            <a:off x="0" y="0"/>
                            <a:ext cx="1876425" cy="304800"/>
                          </a:xfrm>
                          <a:prstGeom prst="rect">
                            <a:avLst/>
                          </a:prstGeom>
                          <a:noFill/>
                          <a:ln>
                            <a:noFill/>
                          </a:ln>
                        </pic:spPr>
                      </pic:pic>
                    </a:graphicData>
                  </a:graphic>
                </wp:inline>
              </w:drawing>
            </w:r>
            <w:r>
              <w:rPr>
                <w:color w:val="auto"/>
                <w:sz w:val="24"/>
                <w:szCs w:val="32"/>
              </w:rPr>
              <w:t xml:space="preserve">            (2)</w:t>
            </w:r>
          </w:p>
          <w:p>
            <w:pPr>
              <w:spacing w:line="360" w:lineRule="auto"/>
              <w:ind w:firstLine="480"/>
              <w:rPr>
                <w:color w:val="auto"/>
                <w:sz w:val="24"/>
                <w:szCs w:val="32"/>
              </w:rPr>
            </w:pPr>
            <w:r>
              <w:rPr>
                <w:rFonts w:hint="eastAsia"/>
                <w:color w:val="auto"/>
                <w:sz w:val="24"/>
                <w:szCs w:val="32"/>
              </w:rPr>
              <w:t>式中：</w:t>
            </w:r>
          </w:p>
          <w:p>
            <w:pPr>
              <w:spacing w:line="360" w:lineRule="auto"/>
              <w:ind w:firstLine="480"/>
              <w:rPr>
                <w:color w:val="auto"/>
                <w:sz w:val="24"/>
                <w:szCs w:val="32"/>
              </w:rPr>
            </w:pPr>
            <w:r>
              <w:rPr>
                <w:color w:val="auto"/>
                <w:sz w:val="24"/>
                <w:szCs w:val="32"/>
              </w:rPr>
              <w:t>Leq—</w:t>
            </w:r>
            <w:r>
              <w:rPr>
                <w:rFonts w:hint="eastAsia"/>
                <w:color w:val="auto"/>
                <w:sz w:val="24"/>
                <w:szCs w:val="32"/>
              </w:rPr>
              <w:t>预测点的噪声预测值，</w:t>
            </w:r>
            <w:r>
              <w:rPr>
                <w:color w:val="auto"/>
                <w:sz w:val="24"/>
                <w:szCs w:val="32"/>
              </w:rPr>
              <w:t>dB</w:t>
            </w:r>
            <w:r>
              <w:rPr>
                <w:rFonts w:hint="eastAsia"/>
                <w:color w:val="auto"/>
                <w:sz w:val="24"/>
                <w:szCs w:val="32"/>
              </w:rPr>
              <w:t>；</w:t>
            </w:r>
          </w:p>
          <w:p>
            <w:pPr>
              <w:spacing w:line="360" w:lineRule="auto"/>
              <w:ind w:firstLine="480"/>
              <w:rPr>
                <w:color w:val="auto"/>
                <w:sz w:val="24"/>
                <w:szCs w:val="32"/>
              </w:rPr>
            </w:pPr>
            <w:r>
              <w:rPr>
                <w:color w:val="auto"/>
                <w:sz w:val="24"/>
                <w:szCs w:val="32"/>
              </w:rPr>
              <w:t>Leqg—</w:t>
            </w:r>
            <w:r>
              <w:rPr>
                <w:rFonts w:hint="eastAsia"/>
                <w:color w:val="auto"/>
                <w:sz w:val="24"/>
                <w:szCs w:val="32"/>
              </w:rPr>
              <w:t>建设项目声源在预测点产生的噪声贡献值，</w:t>
            </w:r>
            <w:r>
              <w:rPr>
                <w:color w:val="auto"/>
                <w:sz w:val="24"/>
                <w:szCs w:val="32"/>
              </w:rPr>
              <w:t>dB</w:t>
            </w:r>
            <w:r>
              <w:rPr>
                <w:rFonts w:hint="eastAsia"/>
                <w:color w:val="auto"/>
                <w:sz w:val="24"/>
                <w:szCs w:val="32"/>
              </w:rPr>
              <w:t>；</w:t>
            </w:r>
          </w:p>
          <w:p>
            <w:pPr>
              <w:spacing w:line="360" w:lineRule="auto"/>
              <w:ind w:firstLine="480"/>
              <w:rPr>
                <w:color w:val="auto"/>
                <w:sz w:val="24"/>
                <w:szCs w:val="32"/>
              </w:rPr>
            </w:pPr>
            <w:r>
              <w:rPr>
                <w:color w:val="auto"/>
                <w:sz w:val="24"/>
                <w:szCs w:val="32"/>
              </w:rPr>
              <w:t>Leqb—</w:t>
            </w:r>
            <w:r>
              <w:rPr>
                <w:rFonts w:hint="eastAsia"/>
                <w:color w:val="auto"/>
                <w:sz w:val="24"/>
                <w:szCs w:val="32"/>
              </w:rPr>
              <w:t>预测点的背景噪声值，</w:t>
            </w:r>
            <w:r>
              <w:rPr>
                <w:color w:val="auto"/>
                <w:sz w:val="24"/>
                <w:szCs w:val="32"/>
              </w:rPr>
              <w:t>dB</w:t>
            </w:r>
            <w:r>
              <w:rPr>
                <w:rFonts w:hint="eastAsia"/>
                <w:color w:val="auto"/>
                <w:sz w:val="24"/>
                <w:szCs w:val="32"/>
              </w:rPr>
              <w:t>。</w:t>
            </w:r>
          </w:p>
          <w:p>
            <w:pPr>
              <w:snapToGrid w:val="0"/>
              <w:spacing w:line="360" w:lineRule="auto"/>
              <w:ind w:right="11" w:firstLine="480" w:firstLineChars="200"/>
              <w:rPr>
                <w:color w:val="auto"/>
                <w:sz w:val="24"/>
                <w:szCs w:val="32"/>
              </w:rPr>
            </w:pPr>
            <w:r>
              <w:rPr>
                <w:color w:val="auto"/>
                <w:sz w:val="24"/>
                <w:szCs w:val="32"/>
              </w:rPr>
              <w:t>5</w:t>
            </w:r>
            <w:r>
              <w:rPr>
                <w:rFonts w:hint="eastAsia"/>
                <w:color w:val="auto"/>
                <w:sz w:val="24"/>
                <w:szCs w:val="32"/>
              </w:rPr>
              <w:t>）隔声量的确定</w:t>
            </w:r>
          </w:p>
          <w:p>
            <w:pPr>
              <w:snapToGrid w:val="0"/>
              <w:spacing w:line="360" w:lineRule="auto"/>
              <w:ind w:right="11" w:firstLine="480" w:firstLineChars="200"/>
              <w:rPr>
                <w:color w:val="auto"/>
                <w:sz w:val="24"/>
                <w:szCs w:val="32"/>
              </w:rPr>
            </w:pPr>
            <w:r>
              <w:rPr>
                <w:rFonts w:hint="eastAsia"/>
                <w:color w:val="auto"/>
                <w:sz w:val="24"/>
                <w:szCs w:val="32"/>
              </w:rPr>
              <w:t>项目主要噪声设备大多设置于各建构筑物内，设备噪声经墙体隔声，设备基础减振后，可削减</w:t>
            </w:r>
            <w:r>
              <w:rPr>
                <w:rFonts w:hint="eastAsia"/>
                <w:color w:val="auto"/>
                <w:sz w:val="24"/>
                <w:szCs w:val="32"/>
                <w:lang w:val="en-US" w:eastAsia="zh-CN"/>
              </w:rPr>
              <w:t>15</w:t>
            </w:r>
            <w:r>
              <w:rPr>
                <w:color w:val="auto"/>
                <w:sz w:val="24"/>
                <w:szCs w:val="32"/>
              </w:rPr>
              <w:t>dB(A)</w:t>
            </w:r>
            <w:r>
              <w:rPr>
                <w:rFonts w:hint="eastAsia"/>
                <w:color w:val="auto"/>
                <w:sz w:val="24"/>
                <w:szCs w:val="32"/>
              </w:rPr>
              <w:t>左右。</w:t>
            </w:r>
          </w:p>
          <w:p>
            <w:pPr>
              <w:snapToGrid w:val="0"/>
              <w:spacing w:line="360" w:lineRule="auto"/>
              <w:ind w:right="11" w:firstLine="480" w:firstLineChars="200"/>
              <w:rPr>
                <w:color w:val="auto"/>
                <w:sz w:val="24"/>
                <w:szCs w:val="32"/>
              </w:rPr>
            </w:pPr>
            <w:r>
              <w:rPr>
                <w:color w:val="auto"/>
                <w:sz w:val="24"/>
                <w:szCs w:val="32"/>
              </w:rPr>
              <w:t>6</w:t>
            </w:r>
            <w:r>
              <w:rPr>
                <w:rFonts w:hint="eastAsia"/>
                <w:color w:val="auto"/>
                <w:sz w:val="24"/>
                <w:szCs w:val="32"/>
              </w:rPr>
              <w:t>）预测结果</w:t>
            </w:r>
          </w:p>
          <w:p>
            <w:pPr>
              <w:spacing w:line="360" w:lineRule="auto"/>
              <w:ind w:firstLine="482"/>
              <w:rPr>
                <w:color w:val="auto"/>
                <w:sz w:val="24"/>
                <w:szCs w:val="32"/>
              </w:rPr>
            </w:pPr>
            <w:r>
              <w:rPr>
                <w:rFonts w:hint="eastAsia"/>
                <w:color w:val="auto"/>
                <w:sz w:val="24"/>
                <w:szCs w:val="32"/>
                <w:lang w:val="zh-CN"/>
              </w:rPr>
              <w:t>利用上述模式计算本项目噪声源同时工作时，预测到厂界的噪声最大值及位置，预测结果见表</w:t>
            </w:r>
            <w:r>
              <w:rPr>
                <w:color w:val="auto"/>
                <w:sz w:val="24"/>
                <w:szCs w:val="32"/>
              </w:rPr>
              <w:t>4.2-18</w:t>
            </w:r>
            <w:r>
              <w:rPr>
                <w:rFonts w:hint="eastAsia"/>
                <w:color w:val="auto"/>
                <w:sz w:val="24"/>
                <w:szCs w:val="32"/>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4.2-18  </w:t>
            </w:r>
            <w:r>
              <w:rPr>
                <w:rFonts w:hint="eastAsia" w:eastAsia="黑体"/>
                <w:color w:val="auto"/>
                <w:sz w:val="24"/>
              </w:rPr>
              <w:t>噪声预测结果一览表</w:t>
            </w:r>
            <w:r>
              <w:rPr>
                <w:rFonts w:eastAsia="黑体"/>
                <w:color w:val="auto"/>
                <w:sz w:val="24"/>
              </w:rPr>
              <w:t xml:space="preserve">   </w:t>
            </w:r>
            <w:r>
              <w:rPr>
                <w:rFonts w:hint="eastAsia" w:eastAsia="黑体"/>
                <w:color w:val="auto"/>
                <w:sz w:val="24"/>
              </w:rPr>
              <w:t>单位：</w:t>
            </w:r>
            <w:r>
              <w:rPr>
                <w:rFonts w:eastAsia="黑体"/>
                <w:color w:val="auto"/>
                <w:sz w:val="24"/>
              </w:rPr>
              <w:t>dB</w:t>
            </w:r>
          </w:p>
          <w:tbl>
            <w:tblPr>
              <w:tblStyle w:val="27"/>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78"/>
              <w:gridCol w:w="1196"/>
              <w:gridCol w:w="950"/>
              <w:gridCol w:w="966"/>
              <w:gridCol w:w="959"/>
              <w:gridCol w:w="1512"/>
              <w:gridCol w:w="1075"/>
              <w:gridCol w:w="11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410" w:hRule="atLeast"/>
                <w:jc w:val="center"/>
              </w:trPr>
              <w:tc>
                <w:tcPr>
                  <w:tcW w:w="678" w:type="dxa"/>
                  <w:vMerge w:val="restart"/>
                  <w:tcBorders>
                    <w:top w:val="single" w:color="auto" w:sz="12" w:space="0"/>
                    <w:bottom w:val="single" w:color="auto" w:sz="6" w:space="0"/>
                    <w:right w:val="single" w:color="auto" w:sz="6" w:space="0"/>
                  </w:tcBorders>
                  <w:vAlign w:val="center"/>
                </w:tcPr>
                <w:p>
                  <w:pPr>
                    <w:pStyle w:val="205"/>
                    <w:rPr>
                      <w:color w:val="auto"/>
                    </w:rPr>
                  </w:pPr>
                  <w:r>
                    <w:rPr>
                      <w:rFonts w:hint="eastAsia"/>
                      <w:color w:val="auto"/>
                    </w:rPr>
                    <w:t>序号</w:t>
                  </w:r>
                </w:p>
              </w:tc>
              <w:tc>
                <w:tcPr>
                  <w:tcW w:w="1196" w:type="dxa"/>
                  <w:vMerge w:val="restart"/>
                  <w:tcBorders>
                    <w:top w:val="single" w:color="auto" w:sz="12" w:space="0"/>
                    <w:left w:val="single" w:color="auto" w:sz="6" w:space="0"/>
                    <w:bottom w:val="single" w:color="auto" w:sz="6" w:space="0"/>
                    <w:right w:val="single" w:color="auto" w:sz="6" w:space="0"/>
                  </w:tcBorders>
                  <w:vAlign w:val="center"/>
                </w:tcPr>
                <w:p>
                  <w:pPr>
                    <w:pStyle w:val="205"/>
                    <w:rPr>
                      <w:color w:val="auto"/>
                    </w:rPr>
                  </w:pPr>
                  <w:r>
                    <w:rPr>
                      <w:rFonts w:hint="eastAsia"/>
                      <w:color w:val="auto"/>
                    </w:rPr>
                    <w:t>点位</w:t>
                  </w:r>
                </w:p>
              </w:tc>
              <w:tc>
                <w:tcPr>
                  <w:tcW w:w="1916" w:type="dxa"/>
                  <w:gridSpan w:val="2"/>
                  <w:tcBorders>
                    <w:top w:val="single" w:color="auto" w:sz="12" w:space="0"/>
                    <w:left w:val="single" w:color="auto" w:sz="6" w:space="0"/>
                    <w:bottom w:val="single" w:color="auto" w:sz="6" w:space="0"/>
                    <w:right w:val="single" w:color="auto" w:sz="6" w:space="0"/>
                  </w:tcBorders>
                  <w:vAlign w:val="center"/>
                </w:tcPr>
                <w:p>
                  <w:pPr>
                    <w:pStyle w:val="205"/>
                    <w:rPr>
                      <w:color w:val="auto"/>
                    </w:rPr>
                  </w:pPr>
                  <w:r>
                    <w:rPr>
                      <w:rFonts w:hint="eastAsia"/>
                      <w:color w:val="auto"/>
                    </w:rPr>
                    <w:t>叠加噪声源</w:t>
                  </w:r>
                  <w:r>
                    <w:rPr>
                      <w:color w:val="auto"/>
                    </w:rPr>
                    <w:t>dB(A)</w:t>
                  </w:r>
                </w:p>
              </w:tc>
              <w:tc>
                <w:tcPr>
                  <w:tcW w:w="959" w:type="dxa"/>
                  <w:vMerge w:val="restart"/>
                  <w:tcBorders>
                    <w:top w:val="single" w:color="auto" w:sz="12" w:space="0"/>
                    <w:left w:val="single" w:color="auto" w:sz="6" w:space="0"/>
                    <w:bottom w:val="single" w:color="auto" w:sz="6" w:space="0"/>
                    <w:right w:val="single" w:color="auto" w:sz="6" w:space="0"/>
                  </w:tcBorders>
                  <w:vAlign w:val="center"/>
                </w:tcPr>
                <w:p>
                  <w:pPr>
                    <w:pStyle w:val="205"/>
                    <w:rPr>
                      <w:color w:val="auto"/>
                    </w:rPr>
                  </w:pPr>
                  <w:r>
                    <w:rPr>
                      <w:rFonts w:hint="eastAsia"/>
                      <w:color w:val="auto"/>
                    </w:rPr>
                    <w:t>衰减量</w:t>
                  </w:r>
                  <w:r>
                    <w:rPr>
                      <w:color w:val="auto"/>
                    </w:rPr>
                    <w:t>dB(A)</w:t>
                  </w:r>
                </w:p>
              </w:tc>
              <w:tc>
                <w:tcPr>
                  <w:tcW w:w="1512" w:type="dxa"/>
                  <w:vMerge w:val="restart"/>
                  <w:tcBorders>
                    <w:top w:val="single" w:color="auto" w:sz="12" w:space="0"/>
                    <w:left w:val="single" w:color="auto" w:sz="6" w:space="0"/>
                    <w:bottom w:val="single" w:color="auto" w:sz="6" w:space="0"/>
                    <w:right w:val="single" w:color="auto" w:sz="6" w:space="0"/>
                  </w:tcBorders>
                  <w:vAlign w:val="center"/>
                </w:tcPr>
                <w:p>
                  <w:pPr>
                    <w:pStyle w:val="205"/>
                    <w:rPr>
                      <w:color w:val="auto"/>
                    </w:rPr>
                  </w:pPr>
                  <w:r>
                    <w:rPr>
                      <w:rFonts w:hint="eastAsia"/>
                      <w:color w:val="auto"/>
                    </w:rPr>
                    <w:t>与预测点距离</w:t>
                  </w:r>
                  <w:r>
                    <w:rPr>
                      <w:color w:val="auto"/>
                    </w:rPr>
                    <w:t>(m)</w:t>
                  </w:r>
                </w:p>
              </w:tc>
              <w:tc>
                <w:tcPr>
                  <w:tcW w:w="2243" w:type="dxa"/>
                  <w:gridSpan w:val="2"/>
                  <w:tcBorders>
                    <w:top w:val="single" w:color="auto" w:sz="12" w:space="0"/>
                    <w:left w:val="single" w:color="auto" w:sz="6" w:space="0"/>
                    <w:bottom w:val="single" w:color="auto" w:sz="6" w:space="0"/>
                  </w:tcBorders>
                  <w:vAlign w:val="center"/>
                </w:tcPr>
                <w:p>
                  <w:pPr>
                    <w:pStyle w:val="205"/>
                    <w:rPr>
                      <w:color w:val="auto"/>
                    </w:rPr>
                  </w:pPr>
                  <w:r>
                    <w:rPr>
                      <w:rFonts w:hint="eastAsia"/>
                      <w:color w:val="auto"/>
                    </w:rPr>
                    <w:t>贡献值</w:t>
                  </w:r>
                  <w:r>
                    <w:rPr>
                      <w:color w:val="auto"/>
                    </w:rPr>
                    <w:t>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68" w:hRule="atLeast"/>
                <w:jc w:val="center"/>
              </w:trPr>
              <w:tc>
                <w:tcPr>
                  <w:tcW w:w="678" w:type="dxa"/>
                  <w:vMerge w:val="continue"/>
                  <w:tcBorders>
                    <w:top w:val="single" w:color="auto" w:sz="6" w:space="0"/>
                    <w:bottom w:val="single" w:color="auto" w:sz="6" w:space="0"/>
                    <w:right w:val="single" w:color="auto" w:sz="6" w:space="0"/>
                  </w:tcBorders>
                  <w:vAlign w:val="center"/>
                </w:tcPr>
                <w:p>
                  <w:pPr>
                    <w:pStyle w:val="205"/>
                    <w:rPr>
                      <w:color w:val="auto"/>
                    </w:rPr>
                  </w:pPr>
                </w:p>
              </w:tc>
              <w:tc>
                <w:tcPr>
                  <w:tcW w:w="1196"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950"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rFonts w:hint="eastAsia"/>
                      <w:color w:val="auto"/>
                    </w:rPr>
                    <w:t>昼间</w:t>
                  </w:r>
                </w:p>
              </w:tc>
              <w:tc>
                <w:tcPr>
                  <w:tcW w:w="966"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rFonts w:hint="eastAsia"/>
                      <w:color w:val="auto"/>
                    </w:rPr>
                    <w:t>夜间</w:t>
                  </w:r>
                </w:p>
              </w:tc>
              <w:tc>
                <w:tcPr>
                  <w:tcW w:w="959"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1512"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1075"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rFonts w:hint="eastAsia"/>
                      <w:color w:val="auto"/>
                    </w:rPr>
                    <w:t>昼间</w:t>
                  </w:r>
                </w:p>
              </w:tc>
              <w:tc>
                <w:tcPr>
                  <w:tcW w:w="1168" w:type="dxa"/>
                  <w:tcBorders>
                    <w:top w:val="single" w:color="auto" w:sz="6" w:space="0"/>
                    <w:left w:val="single" w:color="auto" w:sz="6" w:space="0"/>
                    <w:bottom w:val="single" w:color="auto" w:sz="6" w:space="0"/>
                  </w:tcBorders>
                  <w:vAlign w:val="center"/>
                </w:tcPr>
                <w:p>
                  <w:pPr>
                    <w:pStyle w:val="205"/>
                    <w:rPr>
                      <w:color w:val="auto"/>
                    </w:rPr>
                  </w:pPr>
                  <w:r>
                    <w:rPr>
                      <w:rFonts w:hint="eastAsia"/>
                      <w:color w:val="auto"/>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94" w:hRule="atLeast"/>
                <w:jc w:val="center"/>
              </w:trPr>
              <w:tc>
                <w:tcPr>
                  <w:tcW w:w="678" w:type="dxa"/>
                  <w:tcBorders>
                    <w:top w:val="single" w:color="auto" w:sz="6" w:space="0"/>
                    <w:bottom w:val="single" w:color="auto" w:sz="6" w:space="0"/>
                    <w:right w:val="single" w:color="auto" w:sz="6" w:space="0"/>
                  </w:tcBorders>
                  <w:vAlign w:val="center"/>
                </w:tcPr>
                <w:p>
                  <w:pPr>
                    <w:pStyle w:val="205"/>
                    <w:rPr>
                      <w:color w:val="auto"/>
                    </w:rPr>
                  </w:pPr>
                  <w:bookmarkStart w:id="16" w:name="OLE_LINK14" w:colFirst="6" w:colLast="6"/>
                  <w:bookmarkStart w:id="17" w:name="OLE_LINK2" w:colFirst="5" w:colLast="5"/>
                  <w:bookmarkStart w:id="18" w:name="OLE_LINK3" w:colFirst="6" w:colLast="6"/>
                  <w:bookmarkStart w:id="19" w:name="OLE_LINK11" w:colFirst="5" w:colLast="5"/>
                  <w:bookmarkStart w:id="20" w:name="OLE_LINK13" w:colFirst="5" w:colLast="6"/>
                  <w:r>
                    <w:rPr>
                      <w:color w:val="auto"/>
                    </w:rPr>
                    <w:t>1</w:t>
                  </w:r>
                </w:p>
              </w:tc>
              <w:tc>
                <w:tcPr>
                  <w:tcW w:w="1196"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rFonts w:hint="eastAsia"/>
                      <w:color w:val="auto"/>
                    </w:rPr>
                    <w:t>东侧场界</w:t>
                  </w:r>
                </w:p>
              </w:tc>
              <w:tc>
                <w:tcPr>
                  <w:tcW w:w="950" w:type="dxa"/>
                  <w:vMerge w:val="restart"/>
                  <w:tcBorders>
                    <w:top w:val="single" w:color="auto" w:sz="6" w:space="0"/>
                    <w:left w:val="single" w:color="auto" w:sz="6" w:space="0"/>
                    <w:bottom w:val="single" w:color="auto" w:sz="6" w:space="0"/>
                    <w:right w:val="single" w:color="auto" w:sz="6" w:space="0"/>
                  </w:tcBorders>
                  <w:vAlign w:val="center"/>
                </w:tcPr>
                <w:p>
                  <w:pPr>
                    <w:pStyle w:val="205"/>
                    <w:rPr>
                      <w:rFonts w:hint="default" w:eastAsia="宋体"/>
                      <w:color w:val="auto"/>
                      <w:lang w:val="en-US" w:eastAsia="zh-CN"/>
                    </w:rPr>
                  </w:pPr>
                  <w:r>
                    <w:rPr>
                      <w:rFonts w:hint="eastAsia"/>
                      <w:color w:val="auto"/>
                      <w:lang w:val="en-US" w:eastAsia="zh-CN"/>
                    </w:rPr>
                    <w:t>102.8</w:t>
                  </w:r>
                </w:p>
              </w:tc>
              <w:tc>
                <w:tcPr>
                  <w:tcW w:w="966" w:type="dxa"/>
                  <w:vMerge w:val="restart"/>
                  <w:tcBorders>
                    <w:top w:val="single" w:color="auto" w:sz="6" w:space="0"/>
                    <w:left w:val="single" w:color="auto" w:sz="6" w:space="0"/>
                    <w:bottom w:val="single" w:color="auto" w:sz="6" w:space="0"/>
                    <w:right w:val="single" w:color="auto" w:sz="6" w:space="0"/>
                  </w:tcBorders>
                  <w:vAlign w:val="center"/>
                </w:tcPr>
                <w:p>
                  <w:pPr>
                    <w:pStyle w:val="205"/>
                    <w:rPr>
                      <w:rFonts w:hint="default" w:eastAsia="宋体"/>
                      <w:color w:val="auto"/>
                      <w:lang w:val="en-US" w:eastAsia="zh-CN"/>
                    </w:rPr>
                  </w:pPr>
                  <w:r>
                    <w:rPr>
                      <w:rFonts w:hint="eastAsia"/>
                      <w:color w:val="auto"/>
                      <w:lang w:val="en-US" w:eastAsia="zh-CN"/>
                    </w:rPr>
                    <w:t>90.1</w:t>
                  </w:r>
                </w:p>
              </w:tc>
              <w:tc>
                <w:tcPr>
                  <w:tcW w:w="959" w:type="dxa"/>
                  <w:vMerge w:val="restart"/>
                  <w:tcBorders>
                    <w:top w:val="single" w:color="auto" w:sz="6" w:space="0"/>
                    <w:left w:val="single" w:color="auto" w:sz="6" w:space="0"/>
                    <w:bottom w:val="single" w:color="auto" w:sz="6" w:space="0"/>
                    <w:right w:val="single" w:color="auto" w:sz="6" w:space="0"/>
                  </w:tcBorders>
                  <w:vAlign w:val="center"/>
                </w:tcPr>
                <w:p>
                  <w:pPr>
                    <w:pStyle w:val="205"/>
                    <w:rPr>
                      <w:rFonts w:hint="default" w:eastAsia="宋体"/>
                      <w:color w:val="auto"/>
                      <w:lang w:val="en-US" w:eastAsia="zh-CN"/>
                    </w:rPr>
                  </w:pPr>
                  <w:r>
                    <w:rPr>
                      <w:rFonts w:hint="eastAsia"/>
                      <w:color w:val="auto"/>
                      <w:lang w:val="en-US" w:eastAsia="zh-CN"/>
                    </w:rPr>
                    <w:t>15</w:t>
                  </w:r>
                </w:p>
              </w:tc>
              <w:tc>
                <w:tcPr>
                  <w:tcW w:w="1512"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color w:val="auto"/>
                    </w:rPr>
                    <w:t>71</w:t>
                  </w:r>
                </w:p>
              </w:tc>
              <w:tc>
                <w:tcPr>
                  <w:tcW w:w="1075" w:type="dxa"/>
                  <w:tcBorders>
                    <w:top w:val="single" w:color="auto" w:sz="6" w:space="0"/>
                    <w:left w:val="single" w:color="auto" w:sz="6" w:space="0"/>
                    <w:bottom w:val="single" w:color="auto" w:sz="6" w:space="0"/>
                    <w:right w:val="single" w:color="auto" w:sz="6" w:space="0"/>
                  </w:tcBorders>
                  <w:vAlign w:val="center"/>
                </w:tcPr>
                <w:p>
                  <w:pPr>
                    <w:pStyle w:val="205"/>
                    <w:rPr>
                      <w:rFonts w:hint="default" w:eastAsia="宋体"/>
                      <w:color w:val="auto"/>
                      <w:lang w:val="en-US" w:eastAsia="zh-CN"/>
                    </w:rPr>
                  </w:pPr>
                  <w:r>
                    <w:rPr>
                      <w:rFonts w:hint="eastAsia"/>
                      <w:color w:val="auto"/>
                      <w:lang w:val="en-US" w:eastAsia="zh-CN"/>
                    </w:rPr>
                    <w:t>50.8</w:t>
                  </w:r>
                </w:p>
              </w:tc>
              <w:tc>
                <w:tcPr>
                  <w:tcW w:w="1168" w:type="dxa"/>
                  <w:tcBorders>
                    <w:top w:val="single" w:color="auto" w:sz="6" w:space="0"/>
                    <w:left w:val="single" w:color="auto" w:sz="6" w:space="0"/>
                    <w:bottom w:val="single" w:color="auto" w:sz="6" w:space="0"/>
                  </w:tcBorders>
                  <w:vAlign w:val="center"/>
                </w:tcPr>
                <w:p>
                  <w:pPr>
                    <w:pStyle w:val="205"/>
                    <w:rPr>
                      <w:rFonts w:hint="default" w:eastAsia="宋体"/>
                      <w:color w:val="auto"/>
                      <w:lang w:val="en-US" w:eastAsia="zh-CN"/>
                    </w:rPr>
                  </w:pPr>
                  <w:r>
                    <w:rPr>
                      <w:rFonts w:hint="eastAsia"/>
                      <w:color w:val="auto"/>
                      <w:lang w:val="en-US" w:eastAsia="zh-CN"/>
                    </w:rPr>
                    <w:t>38.1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73" w:hRule="atLeast"/>
                <w:jc w:val="center"/>
              </w:trPr>
              <w:tc>
                <w:tcPr>
                  <w:tcW w:w="678" w:type="dxa"/>
                  <w:tcBorders>
                    <w:top w:val="single" w:color="auto" w:sz="6" w:space="0"/>
                    <w:bottom w:val="single" w:color="auto" w:sz="6" w:space="0"/>
                    <w:right w:val="single" w:color="auto" w:sz="6" w:space="0"/>
                  </w:tcBorders>
                  <w:vAlign w:val="center"/>
                </w:tcPr>
                <w:p>
                  <w:pPr>
                    <w:pStyle w:val="205"/>
                    <w:rPr>
                      <w:color w:val="auto"/>
                    </w:rPr>
                  </w:pPr>
                  <w:r>
                    <w:rPr>
                      <w:color w:val="auto"/>
                    </w:rPr>
                    <w:t>2</w:t>
                  </w:r>
                </w:p>
              </w:tc>
              <w:tc>
                <w:tcPr>
                  <w:tcW w:w="1196"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rFonts w:hint="eastAsia"/>
                      <w:color w:val="auto"/>
                    </w:rPr>
                    <w:t>南侧场界</w:t>
                  </w:r>
                </w:p>
              </w:tc>
              <w:tc>
                <w:tcPr>
                  <w:tcW w:w="950"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966"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959"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1512"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color w:val="auto"/>
                    </w:rPr>
                    <w:t>63</w:t>
                  </w:r>
                </w:p>
              </w:tc>
              <w:tc>
                <w:tcPr>
                  <w:tcW w:w="1075" w:type="dxa"/>
                  <w:tcBorders>
                    <w:top w:val="single" w:color="auto" w:sz="6" w:space="0"/>
                    <w:left w:val="single" w:color="auto" w:sz="6" w:space="0"/>
                    <w:bottom w:val="single" w:color="auto" w:sz="6" w:space="0"/>
                    <w:right w:val="single" w:color="auto" w:sz="6" w:space="0"/>
                  </w:tcBorders>
                  <w:vAlign w:val="center"/>
                </w:tcPr>
                <w:p>
                  <w:pPr>
                    <w:pStyle w:val="205"/>
                    <w:rPr>
                      <w:rFonts w:hint="default" w:eastAsia="宋体"/>
                      <w:color w:val="auto"/>
                      <w:lang w:val="en-US" w:eastAsia="zh-CN"/>
                    </w:rPr>
                  </w:pPr>
                  <w:r>
                    <w:rPr>
                      <w:rFonts w:hint="eastAsia"/>
                      <w:color w:val="auto"/>
                      <w:lang w:val="en-US" w:eastAsia="zh-CN"/>
                    </w:rPr>
                    <w:t>51.8</w:t>
                  </w:r>
                </w:p>
              </w:tc>
              <w:tc>
                <w:tcPr>
                  <w:tcW w:w="1168" w:type="dxa"/>
                  <w:tcBorders>
                    <w:top w:val="single" w:color="auto" w:sz="6" w:space="0"/>
                    <w:left w:val="single" w:color="auto" w:sz="6" w:space="0"/>
                    <w:bottom w:val="single" w:color="auto" w:sz="6" w:space="0"/>
                  </w:tcBorders>
                  <w:vAlign w:val="center"/>
                </w:tcPr>
                <w:p>
                  <w:pPr>
                    <w:pStyle w:val="205"/>
                    <w:rPr>
                      <w:color w:val="auto"/>
                    </w:rPr>
                  </w:pPr>
                  <w:r>
                    <w:rPr>
                      <w:rFonts w:hint="eastAsia"/>
                      <w:color w:val="auto"/>
                      <w:lang w:val="en-US" w:eastAsia="zh-CN"/>
                    </w:rPr>
                    <w:t>39.1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49" w:hRule="atLeast"/>
                <w:jc w:val="center"/>
              </w:trPr>
              <w:tc>
                <w:tcPr>
                  <w:tcW w:w="678" w:type="dxa"/>
                  <w:tcBorders>
                    <w:top w:val="single" w:color="auto" w:sz="6" w:space="0"/>
                    <w:bottom w:val="single" w:color="auto" w:sz="6" w:space="0"/>
                    <w:right w:val="single" w:color="auto" w:sz="6" w:space="0"/>
                  </w:tcBorders>
                  <w:vAlign w:val="center"/>
                </w:tcPr>
                <w:p>
                  <w:pPr>
                    <w:pStyle w:val="205"/>
                    <w:rPr>
                      <w:color w:val="auto"/>
                    </w:rPr>
                  </w:pPr>
                  <w:r>
                    <w:rPr>
                      <w:color w:val="auto"/>
                    </w:rPr>
                    <w:t>3</w:t>
                  </w:r>
                </w:p>
              </w:tc>
              <w:tc>
                <w:tcPr>
                  <w:tcW w:w="1196"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rFonts w:hint="eastAsia"/>
                      <w:color w:val="auto"/>
                    </w:rPr>
                    <w:t>西侧场界</w:t>
                  </w:r>
                </w:p>
              </w:tc>
              <w:tc>
                <w:tcPr>
                  <w:tcW w:w="950"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966"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959" w:type="dxa"/>
                  <w:vMerge w:val="continue"/>
                  <w:tcBorders>
                    <w:top w:val="single" w:color="auto" w:sz="6" w:space="0"/>
                    <w:left w:val="single" w:color="auto" w:sz="6" w:space="0"/>
                    <w:bottom w:val="single" w:color="auto" w:sz="6" w:space="0"/>
                    <w:right w:val="single" w:color="auto" w:sz="6" w:space="0"/>
                  </w:tcBorders>
                  <w:vAlign w:val="center"/>
                </w:tcPr>
                <w:p>
                  <w:pPr>
                    <w:pStyle w:val="205"/>
                    <w:rPr>
                      <w:color w:val="auto"/>
                    </w:rPr>
                  </w:pPr>
                </w:p>
              </w:tc>
              <w:tc>
                <w:tcPr>
                  <w:tcW w:w="1512" w:type="dxa"/>
                  <w:tcBorders>
                    <w:top w:val="single" w:color="auto" w:sz="6" w:space="0"/>
                    <w:left w:val="single" w:color="auto" w:sz="6" w:space="0"/>
                    <w:bottom w:val="single" w:color="auto" w:sz="6" w:space="0"/>
                    <w:right w:val="single" w:color="auto" w:sz="6" w:space="0"/>
                  </w:tcBorders>
                  <w:vAlign w:val="center"/>
                </w:tcPr>
                <w:p>
                  <w:pPr>
                    <w:pStyle w:val="205"/>
                    <w:rPr>
                      <w:color w:val="auto"/>
                    </w:rPr>
                  </w:pPr>
                  <w:r>
                    <w:rPr>
                      <w:color w:val="auto"/>
                    </w:rPr>
                    <w:t>51</w:t>
                  </w:r>
                </w:p>
              </w:tc>
              <w:tc>
                <w:tcPr>
                  <w:tcW w:w="1075" w:type="dxa"/>
                  <w:tcBorders>
                    <w:top w:val="single" w:color="auto" w:sz="6" w:space="0"/>
                    <w:left w:val="single" w:color="auto" w:sz="6" w:space="0"/>
                    <w:bottom w:val="single" w:color="auto" w:sz="6" w:space="0"/>
                    <w:right w:val="single" w:color="auto" w:sz="6" w:space="0"/>
                  </w:tcBorders>
                  <w:vAlign w:val="center"/>
                </w:tcPr>
                <w:p>
                  <w:pPr>
                    <w:pStyle w:val="205"/>
                    <w:rPr>
                      <w:rFonts w:hint="default" w:eastAsia="宋体"/>
                      <w:color w:val="auto"/>
                      <w:lang w:val="en-US" w:eastAsia="zh-CN"/>
                    </w:rPr>
                  </w:pPr>
                  <w:r>
                    <w:rPr>
                      <w:rFonts w:hint="eastAsia"/>
                      <w:color w:val="auto"/>
                      <w:lang w:val="en-US" w:eastAsia="zh-CN"/>
                    </w:rPr>
                    <w:t>53.6</w:t>
                  </w:r>
                </w:p>
              </w:tc>
              <w:tc>
                <w:tcPr>
                  <w:tcW w:w="1168" w:type="dxa"/>
                  <w:tcBorders>
                    <w:top w:val="single" w:color="auto" w:sz="6" w:space="0"/>
                    <w:left w:val="single" w:color="auto" w:sz="6" w:space="0"/>
                    <w:bottom w:val="single" w:color="auto" w:sz="6" w:space="0"/>
                  </w:tcBorders>
                  <w:vAlign w:val="center"/>
                </w:tcPr>
                <w:p>
                  <w:pPr>
                    <w:pStyle w:val="205"/>
                    <w:rPr>
                      <w:rFonts w:hint="default" w:eastAsia="宋体"/>
                      <w:color w:val="auto"/>
                      <w:lang w:val="en-US" w:eastAsia="zh-CN"/>
                    </w:rPr>
                  </w:pPr>
                  <w:r>
                    <w:rPr>
                      <w:rFonts w:hint="eastAsia"/>
                      <w:color w:val="auto"/>
                      <w:lang w:val="en-US" w:eastAsia="zh-CN"/>
                    </w:rPr>
                    <w:t>40.9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cantSplit/>
                <w:trHeight w:val="399" w:hRule="atLeast"/>
                <w:jc w:val="center"/>
              </w:trPr>
              <w:tc>
                <w:tcPr>
                  <w:tcW w:w="678" w:type="dxa"/>
                  <w:tcBorders>
                    <w:top w:val="single" w:color="auto" w:sz="6" w:space="0"/>
                    <w:bottom w:val="single" w:color="auto" w:sz="12" w:space="0"/>
                    <w:right w:val="single" w:color="auto" w:sz="6" w:space="0"/>
                  </w:tcBorders>
                  <w:vAlign w:val="center"/>
                </w:tcPr>
                <w:p>
                  <w:pPr>
                    <w:pStyle w:val="205"/>
                    <w:rPr>
                      <w:color w:val="auto"/>
                    </w:rPr>
                  </w:pPr>
                  <w:r>
                    <w:rPr>
                      <w:color w:val="auto"/>
                    </w:rPr>
                    <w:t>4</w:t>
                  </w:r>
                </w:p>
              </w:tc>
              <w:tc>
                <w:tcPr>
                  <w:tcW w:w="1196" w:type="dxa"/>
                  <w:tcBorders>
                    <w:top w:val="single" w:color="auto" w:sz="6" w:space="0"/>
                    <w:left w:val="single" w:color="auto" w:sz="6" w:space="0"/>
                    <w:bottom w:val="single" w:color="auto" w:sz="12" w:space="0"/>
                    <w:right w:val="single" w:color="auto" w:sz="6" w:space="0"/>
                  </w:tcBorders>
                  <w:vAlign w:val="center"/>
                </w:tcPr>
                <w:p>
                  <w:pPr>
                    <w:pStyle w:val="205"/>
                    <w:rPr>
                      <w:color w:val="auto"/>
                    </w:rPr>
                  </w:pPr>
                  <w:r>
                    <w:rPr>
                      <w:rFonts w:hint="eastAsia"/>
                      <w:color w:val="auto"/>
                    </w:rPr>
                    <w:t>北侧场界</w:t>
                  </w:r>
                </w:p>
              </w:tc>
              <w:tc>
                <w:tcPr>
                  <w:tcW w:w="950" w:type="dxa"/>
                  <w:vMerge w:val="continue"/>
                  <w:tcBorders>
                    <w:top w:val="single" w:color="auto" w:sz="6" w:space="0"/>
                    <w:left w:val="single" w:color="auto" w:sz="6" w:space="0"/>
                    <w:bottom w:val="single" w:color="auto" w:sz="12" w:space="0"/>
                    <w:right w:val="single" w:color="auto" w:sz="6" w:space="0"/>
                  </w:tcBorders>
                  <w:vAlign w:val="center"/>
                </w:tcPr>
                <w:p>
                  <w:pPr>
                    <w:pStyle w:val="205"/>
                    <w:rPr>
                      <w:color w:val="auto"/>
                    </w:rPr>
                  </w:pPr>
                </w:p>
              </w:tc>
              <w:tc>
                <w:tcPr>
                  <w:tcW w:w="966" w:type="dxa"/>
                  <w:vMerge w:val="continue"/>
                  <w:tcBorders>
                    <w:top w:val="single" w:color="auto" w:sz="6" w:space="0"/>
                    <w:left w:val="single" w:color="auto" w:sz="6" w:space="0"/>
                    <w:bottom w:val="single" w:color="auto" w:sz="12" w:space="0"/>
                    <w:right w:val="single" w:color="auto" w:sz="6" w:space="0"/>
                  </w:tcBorders>
                  <w:vAlign w:val="center"/>
                </w:tcPr>
                <w:p>
                  <w:pPr>
                    <w:pStyle w:val="205"/>
                    <w:rPr>
                      <w:color w:val="auto"/>
                    </w:rPr>
                  </w:pPr>
                </w:p>
              </w:tc>
              <w:tc>
                <w:tcPr>
                  <w:tcW w:w="959" w:type="dxa"/>
                  <w:vMerge w:val="continue"/>
                  <w:tcBorders>
                    <w:top w:val="single" w:color="auto" w:sz="6" w:space="0"/>
                    <w:left w:val="single" w:color="auto" w:sz="6" w:space="0"/>
                    <w:bottom w:val="single" w:color="auto" w:sz="12" w:space="0"/>
                    <w:right w:val="single" w:color="auto" w:sz="6" w:space="0"/>
                  </w:tcBorders>
                  <w:vAlign w:val="center"/>
                </w:tcPr>
                <w:p>
                  <w:pPr>
                    <w:pStyle w:val="205"/>
                    <w:rPr>
                      <w:color w:val="auto"/>
                    </w:rPr>
                  </w:pPr>
                </w:p>
              </w:tc>
              <w:tc>
                <w:tcPr>
                  <w:tcW w:w="1512" w:type="dxa"/>
                  <w:tcBorders>
                    <w:top w:val="single" w:color="auto" w:sz="6" w:space="0"/>
                    <w:left w:val="single" w:color="auto" w:sz="6" w:space="0"/>
                    <w:bottom w:val="single" w:color="auto" w:sz="12" w:space="0"/>
                    <w:right w:val="single" w:color="auto" w:sz="6" w:space="0"/>
                  </w:tcBorders>
                  <w:vAlign w:val="center"/>
                </w:tcPr>
                <w:p>
                  <w:pPr>
                    <w:pStyle w:val="205"/>
                    <w:rPr>
                      <w:color w:val="auto"/>
                    </w:rPr>
                  </w:pPr>
                  <w:r>
                    <w:rPr>
                      <w:color w:val="auto"/>
                    </w:rPr>
                    <w:t>63</w:t>
                  </w:r>
                </w:p>
              </w:tc>
              <w:tc>
                <w:tcPr>
                  <w:tcW w:w="1075" w:type="dxa"/>
                  <w:tcBorders>
                    <w:top w:val="single" w:color="auto" w:sz="6" w:space="0"/>
                    <w:left w:val="single" w:color="auto" w:sz="6" w:space="0"/>
                    <w:bottom w:val="single" w:color="auto" w:sz="12" w:space="0"/>
                    <w:right w:val="single" w:color="auto" w:sz="6" w:space="0"/>
                  </w:tcBorders>
                  <w:vAlign w:val="center"/>
                </w:tcPr>
                <w:p>
                  <w:pPr>
                    <w:pStyle w:val="205"/>
                    <w:rPr>
                      <w:color w:val="auto"/>
                    </w:rPr>
                  </w:pPr>
                  <w:r>
                    <w:rPr>
                      <w:rFonts w:hint="eastAsia"/>
                      <w:color w:val="auto"/>
                      <w:lang w:val="en-US" w:eastAsia="zh-CN"/>
                    </w:rPr>
                    <w:t>51.8</w:t>
                  </w:r>
                </w:p>
              </w:tc>
              <w:tc>
                <w:tcPr>
                  <w:tcW w:w="1168" w:type="dxa"/>
                  <w:tcBorders>
                    <w:top w:val="single" w:color="auto" w:sz="6" w:space="0"/>
                    <w:left w:val="single" w:color="auto" w:sz="6" w:space="0"/>
                    <w:bottom w:val="single" w:color="auto" w:sz="12" w:space="0"/>
                  </w:tcBorders>
                  <w:vAlign w:val="center"/>
                </w:tcPr>
                <w:p>
                  <w:pPr>
                    <w:pStyle w:val="205"/>
                    <w:rPr>
                      <w:rFonts w:hint="default" w:eastAsia="宋体"/>
                      <w:color w:val="auto"/>
                      <w:lang w:val="en-US" w:eastAsia="zh-CN"/>
                    </w:rPr>
                  </w:pPr>
                  <w:r>
                    <w:rPr>
                      <w:rFonts w:hint="eastAsia"/>
                      <w:color w:val="auto"/>
                      <w:lang w:val="en-US" w:eastAsia="zh-CN"/>
                    </w:rPr>
                    <w:t>39.1</w:t>
                  </w:r>
                </w:p>
              </w:tc>
            </w:tr>
            <w:bookmarkEnd w:id="16"/>
            <w:bookmarkEnd w:id="17"/>
            <w:bookmarkEnd w:id="18"/>
            <w:bookmarkEnd w:id="19"/>
            <w:bookmarkEnd w:id="20"/>
          </w:tbl>
          <w:p>
            <w:pPr>
              <w:spacing w:beforeLines="50" w:line="360" w:lineRule="auto"/>
              <w:ind w:firstLine="482"/>
              <w:rPr>
                <w:color w:val="auto"/>
                <w:sz w:val="24"/>
                <w:szCs w:val="32"/>
              </w:rPr>
            </w:pPr>
            <w:r>
              <w:rPr>
                <w:rFonts w:hint="eastAsia"/>
                <w:color w:val="auto"/>
                <w:sz w:val="24"/>
                <w:szCs w:val="32"/>
              </w:rPr>
              <w:t>由贡献值与现状值进行叠加预测结果可以看出，建设项目营运期厂界四周噪声值可满足《工业企业厂界环境噪声排放标准》（</w:t>
            </w:r>
            <w:r>
              <w:rPr>
                <w:color w:val="auto"/>
                <w:sz w:val="24"/>
                <w:szCs w:val="32"/>
              </w:rPr>
              <w:t>GB12348-2008</w:t>
            </w:r>
            <w:r>
              <w:rPr>
                <w:rFonts w:hint="eastAsia"/>
                <w:color w:val="auto"/>
                <w:sz w:val="24"/>
                <w:szCs w:val="32"/>
              </w:rPr>
              <w:t>）中</w:t>
            </w:r>
            <w:r>
              <w:rPr>
                <w:color w:val="auto"/>
                <w:sz w:val="24"/>
                <w:szCs w:val="32"/>
              </w:rPr>
              <w:t>3</w:t>
            </w:r>
            <w:r>
              <w:rPr>
                <w:rFonts w:hint="eastAsia"/>
                <w:color w:val="auto"/>
                <w:sz w:val="24"/>
                <w:szCs w:val="32"/>
              </w:rPr>
              <w:t>类标准（昼间≤</w:t>
            </w:r>
            <w:r>
              <w:rPr>
                <w:color w:val="auto"/>
                <w:sz w:val="24"/>
                <w:szCs w:val="32"/>
              </w:rPr>
              <w:t>65dB</w:t>
            </w:r>
            <w:r>
              <w:rPr>
                <w:rFonts w:hint="eastAsia"/>
                <w:color w:val="auto"/>
                <w:sz w:val="24"/>
                <w:szCs w:val="32"/>
              </w:rPr>
              <w:t>（</w:t>
            </w:r>
            <w:r>
              <w:rPr>
                <w:color w:val="auto"/>
                <w:sz w:val="24"/>
                <w:szCs w:val="32"/>
              </w:rPr>
              <w:t>A</w:t>
            </w:r>
            <w:r>
              <w:rPr>
                <w:rFonts w:hint="eastAsia"/>
                <w:color w:val="auto"/>
                <w:sz w:val="24"/>
                <w:szCs w:val="32"/>
              </w:rPr>
              <w:t>），夜间≤</w:t>
            </w:r>
            <w:r>
              <w:rPr>
                <w:color w:val="auto"/>
                <w:sz w:val="24"/>
                <w:szCs w:val="32"/>
              </w:rPr>
              <w:t>55dB</w:t>
            </w:r>
            <w:r>
              <w:rPr>
                <w:rFonts w:hint="eastAsia"/>
                <w:color w:val="auto"/>
                <w:sz w:val="24"/>
                <w:szCs w:val="32"/>
              </w:rPr>
              <w:t>（</w:t>
            </w:r>
            <w:r>
              <w:rPr>
                <w:color w:val="auto"/>
                <w:sz w:val="24"/>
                <w:szCs w:val="32"/>
              </w:rPr>
              <w:t>A</w:t>
            </w:r>
            <w:r>
              <w:rPr>
                <w:rFonts w:hint="eastAsia"/>
                <w:color w:val="auto"/>
                <w:sz w:val="24"/>
                <w:szCs w:val="32"/>
              </w:rPr>
              <w:t>））要求，项目周边</w:t>
            </w:r>
            <w:r>
              <w:rPr>
                <w:color w:val="auto"/>
                <w:sz w:val="24"/>
                <w:szCs w:val="32"/>
              </w:rPr>
              <w:t>50m</w:t>
            </w:r>
            <w:r>
              <w:rPr>
                <w:rFonts w:hint="eastAsia"/>
                <w:color w:val="auto"/>
                <w:sz w:val="24"/>
                <w:szCs w:val="32"/>
              </w:rPr>
              <w:t>范围内无声环境敏感点，因此，项目生产设备噪声对周边声环境影响较小。</w:t>
            </w:r>
          </w:p>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3</w:t>
            </w:r>
            <w:r>
              <w:rPr>
                <w:rFonts w:hint="eastAsia" w:ascii="Times New Roman" w:cs="Times New Roman"/>
                <w:b/>
                <w:bCs/>
                <w:color w:val="auto"/>
              </w:rPr>
              <w:t>）治理措施可行性</w:t>
            </w:r>
          </w:p>
          <w:p>
            <w:pPr>
              <w:pStyle w:val="113"/>
              <w:spacing w:line="360" w:lineRule="auto"/>
              <w:ind w:firstLine="31680"/>
              <w:rPr>
                <w:color w:val="auto"/>
              </w:rPr>
            </w:pPr>
            <w:r>
              <w:rPr>
                <w:rFonts w:hint="eastAsia"/>
                <w:color w:val="auto"/>
              </w:rPr>
              <w:t>本项目从合理布局、技术防治、管理措施等方面采取有效防噪措施：</w:t>
            </w:r>
          </w:p>
          <w:p>
            <w:pPr>
              <w:pStyle w:val="113"/>
              <w:spacing w:line="360" w:lineRule="auto"/>
              <w:ind w:firstLine="31680"/>
              <w:rPr>
                <w:color w:val="auto"/>
              </w:rPr>
            </w:pPr>
            <w:r>
              <w:rPr>
                <w:color w:val="auto"/>
              </w:rPr>
              <w:t>1</w:t>
            </w:r>
            <w:r>
              <w:rPr>
                <w:rFonts w:hint="eastAsia"/>
                <w:color w:val="auto"/>
              </w:rPr>
              <w:t>）合理布局：</w:t>
            </w:r>
          </w:p>
          <w:p>
            <w:pPr>
              <w:pStyle w:val="113"/>
              <w:spacing w:line="360" w:lineRule="auto"/>
              <w:ind w:firstLine="31680"/>
              <w:rPr>
                <w:color w:val="auto"/>
              </w:rPr>
            </w:pPr>
            <w:r>
              <w:rPr>
                <w:rFonts w:hint="eastAsia"/>
                <w:color w:val="auto"/>
              </w:rPr>
              <w:t>将高噪声设备集中布置车间厂房内或设备房内，并尽量远离厂界，无露天生产；生产车间在生产作业时尽量关闭门窗；在管道布置、设计及支吊架选择上注意防震、防冲击，以减少噪声对环境的影响。</w:t>
            </w:r>
          </w:p>
          <w:p>
            <w:pPr>
              <w:pStyle w:val="113"/>
              <w:spacing w:line="360" w:lineRule="auto"/>
              <w:ind w:firstLine="31680"/>
              <w:rPr>
                <w:color w:val="auto"/>
              </w:rPr>
            </w:pPr>
            <w:r>
              <w:rPr>
                <w:color w:val="auto"/>
              </w:rPr>
              <w:t>2</w:t>
            </w:r>
            <w:r>
              <w:rPr>
                <w:rFonts w:hint="eastAsia"/>
                <w:color w:val="auto"/>
              </w:rPr>
              <w:t>）技术防治：</w:t>
            </w:r>
          </w:p>
          <w:p>
            <w:pPr>
              <w:pStyle w:val="113"/>
              <w:spacing w:line="360" w:lineRule="auto"/>
              <w:ind w:firstLine="31680"/>
              <w:rPr>
                <w:color w:val="auto"/>
              </w:rPr>
            </w:pPr>
            <w:r>
              <w:rPr>
                <w:rFonts w:hint="eastAsia"/>
                <w:color w:val="auto"/>
              </w:rPr>
              <w:t>①选用低噪声、环保型、节能型生产设备，对高噪声的设备设置底座基础减震；</w:t>
            </w:r>
          </w:p>
          <w:p>
            <w:pPr>
              <w:pStyle w:val="113"/>
              <w:spacing w:line="360" w:lineRule="auto"/>
              <w:ind w:firstLine="31680"/>
              <w:rPr>
                <w:color w:val="auto"/>
              </w:rPr>
            </w:pPr>
            <w:r>
              <w:rPr>
                <w:rFonts w:hint="eastAsia"/>
                <w:color w:val="auto"/>
              </w:rPr>
              <w:t>②将高噪声设备置于室内，合理布局车间生产设备，设备不紧贴墙布置，尽量远离窗门；</w:t>
            </w:r>
          </w:p>
          <w:p>
            <w:pPr>
              <w:pStyle w:val="113"/>
              <w:spacing w:line="360" w:lineRule="auto"/>
              <w:ind w:firstLine="31680"/>
              <w:rPr>
                <w:color w:val="auto"/>
              </w:rPr>
            </w:pPr>
            <w:r>
              <w:rPr>
                <w:rFonts w:hint="eastAsia"/>
                <w:color w:val="auto"/>
              </w:rPr>
              <w:t>③定期检查设备，注意设备的维护，使设备处于良好的运行状态，减轻非正常运行产生的噪声污染，实行文明生产；</w:t>
            </w:r>
          </w:p>
          <w:p>
            <w:pPr>
              <w:pStyle w:val="113"/>
              <w:spacing w:line="360" w:lineRule="auto"/>
              <w:ind w:firstLine="31680"/>
              <w:rPr>
                <w:rFonts w:hint="default"/>
                <w:color w:val="auto"/>
                <w:lang w:val="en-US" w:eastAsia="zh-CN"/>
              </w:rPr>
            </w:pPr>
            <w:r>
              <w:rPr>
                <w:rFonts w:hint="eastAsia"/>
                <w:color w:val="auto"/>
              </w:rPr>
              <w:t>④加强厂区周边绿化，既美化环境又起到一定的吸声降噪作用</w:t>
            </w:r>
            <w:r>
              <w:rPr>
                <w:rFonts w:hint="eastAsia"/>
                <w:color w:val="auto"/>
                <w:sz w:val="24"/>
                <w:szCs w:val="32"/>
                <w:lang w:val="en-US" w:eastAsia="zh-CN"/>
              </w:rPr>
              <w:t>。</w:t>
            </w:r>
          </w:p>
          <w:p>
            <w:pPr>
              <w:pStyle w:val="113"/>
              <w:spacing w:line="360" w:lineRule="auto"/>
              <w:ind w:firstLine="31680"/>
              <w:rPr>
                <w:color w:val="auto"/>
              </w:rPr>
            </w:pPr>
            <w:r>
              <w:rPr>
                <w:color w:val="auto"/>
              </w:rPr>
              <w:t>3</w:t>
            </w:r>
            <w:r>
              <w:rPr>
                <w:rFonts w:hint="eastAsia"/>
                <w:color w:val="auto"/>
              </w:rPr>
              <w:t>）管理措施：</w:t>
            </w:r>
          </w:p>
          <w:p>
            <w:pPr>
              <w:pStyle w:val="113"/>
              <w:spacing w:line="360" w:lineRule="auto"/>
              <w:ind w:firstLine="31680"/>
              <w:rPr>
                <w:color w:val="auto"/>
              </w:rPr>
            </w:pPr>
            <w:r>
              <w:rPr>
                <w:rFonts w:hint="eastAsia"/>
                <w:color w:val="auto"/>
              </w:rPr>
              <w:t>日常尽可能关闭门窗生产；加强宣传，做到文明生产，禁止工作人员喧哗；为减轻运输车辆对区域声环境的影响，建议对运输车辆加强管理和维护，保持车辆良好工况，运输车辆</w:t>
            </w:r>
            <w:r>
              <w:rPr>
                <w:rFonts w:hint="eastAsia"/>
                <w:color w:val="auto"/>
                <w:lang w:val="en-US" w:eastAsia="zh-CN"/>
              </w:rPr>
              <w:t>厂区行驶及</w:t>
            </w:r>
            <w:r>
              <w:rPr>
                <w:rFonts w:hint="eastAsia"/>
                <w:color w:val="auto"/>
              </w:rPr>
              <w:t>经过周围噪声敏感区时，应限制车速、禁鸣喇叭，尽量避免夜间运输；定期检查设备，加强设备维护，使设备处于良好的运行状态，避免和减轻非正常运行时产生的噪声。</w:t>
            </w:r>
          </w:p>
          <w:p>
            <w:pPr>
              <w:pStyle w:val="113"/>
              <w:spacing w:line="360" w:lineRule="auto"/>
              <w:ind w:firstLine="31680"/>
              <w:rPr>
                <w:color w:val="auto"/>
              </w:rPr>
            </w:pPr>
            <w:r>
              <w:rPr>
                <w:color w:val="auto"/>
              </w:rPr>
              <w:t>4</w:t>
            </w:r>
            <w:r>
              <w:rPr>
                <w:rFonts w:hint="eastAsia"/>
                <w:color w:val="auto"/>
              </w:rPr>
              <w:t>）可行性分析</w:t>
            </w:r>
          </w:p>
          <w:p>
            <w:pPr>
              <w:pStyle w:val="113"/>
              <w:spacing w:line="360" w:lineRule="auto"/>
              <w:ind w:firstLine="31680"/>
              <w:jc w:val="both"/>
              <w:rPr>
                <w:color w:val="auto"/>
              </w:rPr>
            </w:pPr>
            <w:r>
              <w:rPr>
                <w:rFonts w:hint="eastAsia"/>
                <w:color w:val="auto"/>
              </w:rPr>
              <w:t>根据噪声预测分析结果，通过采取设备减振、厂房隔声、绿化降噪等综合治理措施后，项目各厂界噪声均可满足《工业企业厂界环境噪声排放标准》（</w:t>
            </w:r>
            <w:r>
              <w:rPr>
                <w:color w:val="auto"/>
              </w:rPr>
              <w:t>GB12348-2008</w:t>
            </w:r>
            <w:r>
              <w:rPr>
                <w:rFonts w:hint="eastAsia"/>
                <w:color w:val="auto"/>
              </w:rPr>
              <w:t>）中</w:t>
            </w:r>
            <w:r>
              <w:rPr>
                <w:color w:val="auto"/>
              </w:rPr>
              <w:t>3</w:t>
            </w:r>
            <w:r>
              <w:rPr>
                <w:rFonts w:hint="eastAsia"/>
                <w:color w:val="auto"/>
              </w:rPr>
              <w:t>类标准，生产噪声对周边环境较小，措施可行。</w:t>
            </w:r>
          </w:p>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4</w:t>
            </w:r>
            <w:r>
              <w:rPr>
                <w:rFonts w:hint="eastAsia" w:ascii="Times New Roman" w:cs="Times New Roman"/>
                <w:b/>
                <w:bCs/>
                <w:color w:val="auto"/>
              </w:rPr>
              <w:t>）监测计划</w:t>
            </w:r>
          </w:p>
          <w:p>
            <w:pPr>
              <w:jc w:val="center"/>
              <w:rPr>
                <w:rFonts w:eastAsia="黑体"/>
                <w:color w:val="auto"/>
                <w:sz w:val="24"/>
              </w:rPr>
            </w:pPr>
            <w:r>
              <w:rPr>
                <w:rFonts w:hint="eastAsia" w:eastAsia="黑体"/>
                <w:color w:val="auto"/>
                <w:sz w:val="24"/>
              </w:rPr>
              <w:t>表</w:t>
            </w:r>
            <w:r>
              <w:rPr>
                <w:rFonts w:eastAsia="黑体"/>
                <w:color w:val="auto"/>
                <w:sz w:val="24"/>
              </w:rPr>
              <w:t xml:space="preserve">4.2-19  </w:t>
            </w:r>
            <w:r>
              <w:rPr>
                <w:rFonts w:hint="eastAsia" w:eastAsia="黑体"/>
                <w:color w:val="auto"/>
                <w:sz w:val="24"/>
              </w:rPr>
              <w:t>噪声监测计划</w:t>
            </w:r>
          </w:p>
          <w:tbl>
            <w:tblPr>
              <w:tblStyle w:val="27"/>
              <w:tblW w:w="850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307"/>
              <w:gridCol w:w="3877"/>
              <w:gridCol w:w="17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81" w:type="dxa"/>
                  <w:tcBorders>
                    <w:top w:val="single" w:color="auto" w:sz="12" w:space="0"/>
                    <w:bottom w:val="single" w:color="auto" w:sz="4" w:space="0"/>
                    <w:right w:val="single" w:color="auto" w:sz="4" w:space="0"/>
                  </w:tcBorders>
                  <w:vAlign w:val="center"/>
                </w:tcPr>
                <w:p>
                  <w:pPr>
                    <w:pStyle w:val="205"/>
                    <w:rPr>
                      <w:color w:val="auto"/>
                    </w:rPr>
                  </w:pPr>
                  <w:r>
                    <w:rPr>
                      <w:rFonts w:hint="eastAsia"/>
                      <w:color w:val="auto"/>
                    </w:rPr>
                    <w:t>监测点位</w:t>
                  </w:r>
                </w:p>
              </w:tc>
              <w:tc>
                <w:tcPr>
                  <w:tcW w:w="1307"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监测项目</w:t>
                  </w:r>
                </w:p>
              </w:tc>
              <w:tc>
                <w:tcPr>
                  <w:tcW w:w="3877" w:type="dxa"/>
                  <w:tcBorders>
                    <w:top w:val="single" w:color="auto" w:sz="12" w:space="0"/>
                    <w:left w:val="single" w:color="auto" w:sz="4" w:space="0"/>
                    <w:bottom w:val="single" w:color="auto" w:sz="4" w:space="0"/>
                    <w:right w:val="single" w:color="auto" w:sz="4" w:space="0"/>
                  </w:tcBorders>
                  <w:vAlign w:val="center"/>
                </w:tcPr>
                <w:p>
                  <w:pPr>
                    <w:pStyle w:val="205"/>
                    <w:rPr>
                      <w:color w:val="auto"/>
                    </w:rPr>
                  </w:pPr>
                  <w:r>
                    <w:rPr>
                      <w:rFonts w:hint="eastAsia"/>
                      <w:color w:val="auto"/>
                    </w:rPr>
                    <w:t>执行标准</w:t>
                  </w:r>
                </w:p>
              </w:tc>
              <w:tc>
                <w:tcPr>
                  <w:tcW w:w="1739" w:type="dxa"/>
                  <w:tcBorders>
                    <w:top w:val="single" w:color="auto" w:sz="12" w:space="0"/>
                    <w:left w:val="single" w:color="auto" w:sz="4" w:space="0"/>
                    <w:bottom w:val="single" w:color="auto" w:sz="4" w:space="0"/>
                  </w:tcBorders>
                  <w:vAlign w:val="center"/>
                </w:tcPr>
                <w:p>
                  <w:pPr>
                    <w:pStyle w:val="205"/>
                    <w:rPr>
                      <w:color w:val="auto"/>
                    </w:rPr>
                  </w:pPr>
                  <w:r>
                    <w:rPr>
                      <w:rFonts w:hint="eastAsia"/>
                      <w:color w:val="auto"/>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1581" w:type="dxa"/>
                  <w:tcBorders>
                    <w:top w:val="single" w:color="auto" w:sz="4" w:space="0"/>
                    <w:bottom w:val="single" w:color="auto" w:sz="12" w:space="0"/>
                    <w:right w:val="single" w:color="auto" w:sz="4" w:space="0"/>
                  </w:tcBorders>
                  <w:vAlign w:val="center"/>
                </w:tcPr>
                <w:p>
                  <w:pPr>
                    <w:pStyle w:val="205"/>
                    <w:rPr>
                      <w:color w:val="auto"/>
                    </w:rPr>
                  </w:pPr>
                  <w:r>
                    <w:rPr>
                      <w:rFonts w:hint="eastAsia"/>
                      <w:color w:val="auto"/>
                    </w:rPr>
                    <w:t>厂界四周</w:t>
                  </w:r>
                </w:p>
              </w:tc>
              <w:tc>
                <w:tcPr>
                  <w:tcW w:w="1307" w:type="dxa"/>
                  <w:tcBorders>
                    <w:top w:val="single" w:color="auto" w:sz="4" w:space="0"/>
                    <w:left w:val="single" w:color="auto" w:sz="4" w:space="0"/>
                    <w:bottom w:val="single" w:color="auto" w:sz="12" w:space="0"/>
                    <w:right w:val="single" w:color="auto" w:sz="4" w:space="0"/>
                  </w:tcBorders>
                  <w:vAlign w:val="center"/>
                </w:tcPr>
                <w:p>
                  <w:pPr>
                    <w:pStyle w:val="205"/>
                    <w:rPr>
                      <w:color w:val="auto"/>
                    </w:rPr>
                  </w:pPr>
                  <w:r>
                    <w:rPr>
                      <w:rFonts w:hint="eastAsia"/>
                      <w:color w:val="auto"/>
                    </w:rPr>
                    <w:t>昼间、夜间噪声</w:t>
                  </w:r>
                </w:p>
              </w:tc>
              <w:tc>
                <w:tcPr>
                  <w:tcW w:w="3877" w:type="dxa"/>
                  <w:tcBorders>
                    <w:top w:val="single" w:color="auto" w:sz="4" w:space="0"/>
                    <w:left w:val="single" w:color="auto" w:sz="4" w:space="0"/>
                    <w:bottom w:val="single" w:color="auto" w:sz="12" w:space="0"/>
                    <w:right w:val="single" w:color="auto" w:sz="4" w:space="0"/>
                  </w:tcBorders>
                  <w:vAlign w:val="center"/>
                </w:tcPr>
                <w:p>
                  <w:pPr>
                    <w:pStyle w:val="205"/>
                    <w:rPr>
                      <w:color w:val="auto"/>
                    </w:rPr>
                  </w:pPr>
                  <w:r>
                    <w:rPr>
                      <w:rFonts w:hint="eastAsia"/>
                      <w:color w:val="auto"/>
                    </w:rPr>
                    <w:t>《工业企业厂界环境噪声排放标准》</w:t>
                  </w:r>
                  <w:r>
                    <w:rPr>
                      <w:color w:val="auto"/>
                    </w:rPr>
                    <w:t>(GB12348-2008)3</w:t>
                  </w:r>
                  <w:r>
                    <w:rPr>
                      <w:rFonts w:hint="eastAsia"/>
                      <w:color w:val="auto"/>
                    </w:rPr>
                    <w:t>类</w:t>
                  </w:r>
                </w:p>
              </w:tc>
              <w:tc>
                <w:tcPr>
                  <w:tcW w:w="1739" w:type="dxa"/>
                  <w:tcBorders>
                    <w:top w:val="single" w:color="auto" w:sz="4" w:space="0"/>
                    <w:left w:val="single" w:color="auto" w:sz="4" w:space="0"/>
                    <w:bottom w:val="single" w:color="auto" w:sz="12" w:space="0"/>
                  </w:tcBorders>
                  <w:vAlign w:val="center"/>
                </w:tcPr>
                <w:p>
                  <w:pPr>
                    <w:pStyle w:val="205"/>
                    <w:rPr>
                      <w:color w:val="auto"/>
                    </w:rPr>
                  </w:pPr>
                  <w:r>
                    <w:rPr>
                      <w:color w:val="auto"/>
                    </w:rPr>
                    <w:t>1</w:t>
                  </w:r>
                  <w:r>
                    <w:rPr>
                      <w:rFonts w:hint="eastAsia"/>
                      <w:color w:val="auto"/>
                    </w:rPr>
                    <w:t>次</w:t>
                  </w:r>
                  <w:r>
                    <w:rPr>
                      <w:color w:val="auto"/>
                    </w:rPr>
                    <w:t>/</w:t>
                  </w:r>
                  <w:r>
                    <w:rPr>
                      <w:rFonts w:hint="eastAsia"/>
                      <w:color w:val="auto"/>
                    </w:rPr>
                    <w:t>季度</w:t>
                  </w:r>
                </w:p>
              </w:tc>
            </w:tr>
          </w:tbl>
          <w:p>
            <w:pPr>
              <w:pStyle w:val="116"/>
              <w:adjustRightInd/>
              <w:snapToGrid/>
              <w:spacing w:beforeLines="50"/>
              <w:rPr>
                <w:color w:val="auto"/>
              </w:rPr>
            </w:pPr>
            <w:r>
              <w:rPr>
                <w:color w:val="auto"/>
              </w:rPr>
              <w:t>4.2.4</w:t>
            </w:r>
            <w:r>
              <w:rPr>
                <w:rFonts w:hint="eastAsia"/>
                <w:color w:val="auto"/>
              </w:rPr>
              <w:t>运营期固体废物环境影响分析及保护措施</w:t>
            </w:r>
          </w:p>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1</w:t>
            </w:r>
            <w:r>
              <w:rPr>
                <w:rFonts w:hint="eastAsia" w:ascii="Times New Roman" w:cs="Times New Roman"/>
                <w:b/>
                <w:bCs/>
                <w:color w:val="auto"/>
              </w:rPr>
              <w:t>）污染源强</w:t>
            </w:r>
          </w:p>
          <w:p>
            <w:pPr>
              <w:pStyle w:val="136"/>
              <w:adjustRightInd/>
              <w:snapToGrid/>
              <w:ind w:firstLine="31680"/>
              <w:rPr>
                <w:color w:val="auto"/>
              </w:rPr>
            </w:pPr>
            <w:r>
              <w:rPr>
                <w:color w:val="auto"/>
              </w:rPr>
              <w:t>1</w:t>
            </w:r>
            <w:r>
              <w:rPr>
                <w:rFonts w:hint="eastAsia"/>
                <w:color w:val="auto"/>
              </w:rPr>
              <w:t>）粉尘</w:t>
            </w:r>
          </w:p>
          <w:p>
            <w:pPr>
              <w:pStyle w:val="136"/>
              <w:adjustRightInd/>
              <w:snapToGrid/>
              <w:ind w:firstLine="31680"/>
              <w:rPr>
                <w:color w:val="auto"/>
              </w:rPr>
            </w:pPr>
            <w:r>
              <w:rPr>
                <w:rFonts w:hint="eastAsia"/>
                <w:color w:val="auto"/>
              </w:rPr>
              <w:t>项目生产过程中产生的一般工业固体废物为除尘器收集的粉尘。经污染源核算，项目除尘器收集的粉尘及飘落车间的粉尘总量为</w:t>
            </w:r>
            <w:r>
              <w:rPr>
                <w:color w:val="auto"/>
              </w:rPr>
              <w:t>59.602t/a</w:t>
            </w:r>
            <w:r>
              <w:rPr>
                <w:rFonts w:hint="eastAsia"/>
                <w:color w:val="auto"/>
              </w:rPr>
              <w:t>，其主要成分为项目石英粉与磨边产生的粉尘，可满足项目生产使用，经收集后全部回用于生产工序中，不外排。</w:t>
            </w:r>
          </w:p>
          <w:p>
            <w:pPr>
              <w:pStyle w:val="136"/>
              <w:adjustRightInd/>
              <w:snapToGrid/>
              <w:ind w:firstLine="31680"/>
              <w:rPr>
                <w:color w:val="auto"/>
              </w:rPr>
            </w:pPr>
            <w:r>
              <w:rPr>
                <w:color w:val="auto"/>
              </w:rPr>
              <w:t>2</w:t>
            </w:r>
            <w:r>
              <w:rPr>
                <w:rFonts w:hint="eastAsia"/>
                <w:color w:val="auto"/>
              </w:rPr>
              <w:t>）边角料</w:t>
            </w:r>
          </w:p>
          <w:p>
            <w:pPr>
              <w:topLinePunct/>
              <w:adjustRightInd w:val="0"/>
              <w:snapToGrid w:val="0"/>
              <w:spacing w:line="360" w:lineRule="auto"/>
              <w:ind w:firstLine="480" w:firstLineChars="200"/>
              <w:rPr>
                <w:color w:val="auto"/>
                <w:sz w:val="24"/>
              </w:rPr>
            </w:pPr>
            <w:r>
              <w:rPr>
                <w:rFonts w:hint="eastAsia"/>
                <w:color w:val="auto"/>
                <w:kern w:val="0"/>
                <w:sz w:val="24"/>
              </w:rPr>
              <w:t>边角料主要来源</w:t>
            </w:r>
            <w:r>
              <w:rPr>
                <w:rFonts w:hint="eastAsia"/>
                <w:color w:val="auto"/>
                <w:kern w:val="0"/>
                <w:sz w:val="24"/>
                <w:lang w:val="zh-CN"/>
              </w:rPr>
              <w:t>纵切、横切，磨边倒角</w:t>
            </w:r>
            <w:r>
              <w:rPr>
                <w:rFonts w:hint="eastAsia"/>
                <w:color w:val="auto"/>
                <w:kern w:val="0"/>
                <w:sz w:val="24"/>
              </w:rPr>
              <w:t>等工序，</w:t>
            </w:r>
            <w:r>
              <w:rPr>
                <w:rFonts w:hint="eastAsia"/>
                <w:color w:val="auto"/>
                <w:sz w:val="24"/>
              </w:rPr>
              <w:t>参照《排放源统计调查产排污核算方法和系数手册》的“</w:t>
            </w:r>
            <w:r>
              <w:rPr>
                <w:color w:val="auto"/>
                <w:sz w:val="24"/>
              </w:rPr>
              <w:t xml:space="preserve">3024 </w:t>
            </w:r>
            <w:r>
              <w:rPr>
                <w:rFonts w:hint="eastAsia"/>
                <w:color w:val="auto"/>
                <w:sz w:val="24"/>
              </w:rPr>
              <w:t>轻质建筑材料制品制造行业系数表”中“切割成型”一般固废的产污系数</w:t>
            </w:r>
            <w:r>
              <w:rPr>
                <w:color w:val="auto"/>
                <w:sz w:val="24"/>
              </w:rPr>
              <w:t>0.05t/t-</w:t>
            </w:r>
            <w:r>
              <w:rPr>
                <w:rFonts w:hint="eastAsia"/>
                <w:color w:val="auto"/>
                <w:sz w:val="24"/>
              </w:rPr>
              <w:t>产品。本项目设计年产硅酸钙板产品重量约</w:t>
            </w:r>
            <w:r>
              <w:rPr>
                <w:color w:val="auto"/>
                <w:sz w:val="24"/>
              </w:rPr>
              <w:t>40</w:t>
            </w:r>
            <w:r>
              <w:rPr>
                <w:rFonts w:hint="eastAsia"/>
                <w:color w:val="auto"/>
                <w:sz w:val="24"/>
              </w:rPr>
              <w:t>万吨，计算得边角料产生量为</w:t>
            </w:r>
            <w:r>
              <w:rPr>
                <w:color w:val="auto"/>
                <w:sz w:val="24"/>
              </w:rPr>
              <w:t>2</w:t>
            </w:r>
            <w:r>
              <w:rPr>
                <w:rFonts w:hint="eastAsia"/>
                <w:color w:val="auto"/>
                <w:sz w:val="24"/>
              </w:rPr>
              <w:t>万吨</w:t>
            </w:r>
            <w:r>
              <w:rPr>
                <w:color w:val="auto"/>
                <w:sz w:val="24"/>
              </w:rPr>
              <w:t>/</w:t>
            </w:r>
            <w:r>
              <w:rPr>
                <w:rFonts w:hint="eastAsia"/>
                <w:color w:val="auto"/>
                <w:sz w:val="24"/>
              </w:rPr>
              <w:t>年。边角料及时收集后回用生产，不外排。</w:t>
            </w:r>
          </w:p>
          <w:p>
            <w:pPr>
              <w:topLinePunct/>
              <w:adjustRightInd w:val="0"/>
              <w:snapToGrid w:val="0"/>
              <w:spacing w:line="360" w:lineRule="auto"/>
              <w:ind w:firstLine="480" w:firstLineChars="200"/>
              <w:rPr>
                <w:snapToGrid w:val="0"/>
                <w:color w:val="auto"/>
                <w:kern w:val="0"/>
                <w:sz w:val="24"/>
              </w:rPr>
            </w:pPr>
            <w:r>
              <w:rPr>
                <w:snapToGrid w:val="0"/>
                <w:color w:val="auto"/>
                <w:kern w:val="0"/>
                <w:sz w:val="24"/>
              </w:rPr>
              <w:t>3</w:t>
            </w:r>
            <w:r>
              <w:rPr>
                <w:rFonts w:hint="eastAsia"/>
                <w:snapToGrid w:val="0"/>
                <w:color w:val="auto"/>
                <w:kern w:val="0"/>
                <w:sz w:val="24"/>
              </w:rPr>
              <w:t>）沉淀池污泥</w:t>
            </w:r>
          </w:p>
          <w:p>
            <w:pPr>
              <w:pStyle w:val="81"/>
              <w:ind w:firstLine="31680"/>
              <w:rPr>
                <w:color w:val="auto"/>
                <w:kern w:val="2"/>
                <w:szCs w:val="24"/>
              </w:rPr>
            </w:pPr>
            <w:r>
              <w:rPr>
                <w:rFonts w:hint="eastAsia"/>
                <w:color w:val="auto"/>
                <w:kern w:val="2"/>
                <w:szCs w:val="24"/>
              </w:rPr>
              <w:t>项目车辆冲洗废水经隔油沉淀过程中会产生</w:t>
            </w:r>
            <w:r>
              <w:rPr>
                <w:rFonts w:hint="eastAsia"/>
                <w:snapToGrid w:val="0"/>
                <w:color w:val="auto"/>
                <w:szCs w:val="24"/>
              </w:rPr>
              <w:t>沉淀池污泥</w:t>
            </w:r>
            <w:r>
              <w:rPr>
                <w:rFonts w:hint="eastAsia"/>
                <w:color w:val="auto"/>
                <w:kern w:val="2"/>
                <w:szCs w:val="24"/>
              </w:rPr>
              <w:t>，类比同类型项目，</w:t>
            </w:r>
            <w:r>
              <w:rPr>
                <w:rFonts w:hint="eastAsia"/>
                <w:snapToGrid w:val="0"/>
                <w:color w:val="auto"/>
                <w:szCs w:val="24"/>
              </w:rPr>
              <w:t>沉淀池污泥</w:t>
            </w:r>
            <w:r>
              <w:rPr>
                <w:rFonts w:hint="eastAsia"/>
                <w:color w:val="auto"/>
                <w:kern w:val="2"/>
                <w:szCs w:val="24"/>
              </w:rPr>
              <w:t>产生量约为</w:t>
            </w:r>
            <w:r>
              <w:rPr>
                <w:color w:val="auto"/>
                <w:kern w:val="2"/>
                <w:szCs w:val="24"/>
              </w:rPr>
              <w:t>4.0t/a</w:t>
            </w:r>
            <w:r>
              <w:rPr>
                <w:rFonts w:hint="eastAsia"/>
                <w:color w:val="auto"/>
                <w:szCs w:val="24"/>
              </w:rPr>
              <w:t>，</w:t>
            </w:r>
            <w:r>
              <w:rPr>
                <w:rFonts w:hint="eastAsia"/>
                <w:color w:val="auto"/>
                <w:kern w:val="2"/>
                <w:szCs w:val="24"/>
              </w:rPr>
              <w:t>沉淀</w:t>
            </w:r>
            <w:r>
              <w:rPr>
                <w:rFonts w:hint="eastAsia"/>
                <w:snapToGrid w:val="0"/>
                <w:color w:val="auto"/>
                <w:szCs w:val="24"/>
              </w:rPr>
              <w:t>池</w:t>
            </w:r>
            <w:r>
              <w:rPr>
                <w:rFonts w:hint="eastAsia"/>
                <w:color w:val="auto"/>
                <w:kern w:val="2"/>
                <w:szCs w:val="24"/>
              </w:rPr>
              <w:t>污泥收集后外卖综合处置。</w:t>
            </w:r>
          </w:p>
          <w:p>
            <w:pPr>
              <w:topLinePunct/>
              <w:adjustRightInd w:val="0"/>
              <w:snapToGrid w:val="0"/>
              <w:spacing w:line="360" w:lineRule="auto"/>
              <w:ind w:firstLine="480" w:firstLineChars="200"/>
              <w:rPr>
                <w:snapToGrid w:val="0"/>
                <w:color w:val="auto"/>
                <w:kern w:val="0"/>
                <w:sz w:val="24"/>
              </w:rPr>
            </w:pPr>
            <w:r>
              <w:rPr>
                <w:snapToGrid w:val="0"/>
                <w:color w:val="auto"/>
                <w:kern w:val="0"/>
                <w:sz w:val="24"/>
              </w:rPr>
              <w:t>4</w:t>
            </w:r>
            <w:r>
              <w:rPr>
                <w:rFonts w:hint="eastAsia"/>
                <w:snapToGrid w:val="0"/>
                <w:color w:val="auto"/>
                <w:kern w:val="0"/>
                <w:sz w:val="24"/>
              </w:rPr>
              <w:t>）隔油池油污</w:t>
            </w:r>
          </w:p>
          <w:p>
            <w:pPr>
              <w:pStyle w:val="81"/>
              <w:ind w:firstLine="31680"/>
              <w:rPr>
                <w:color w:val="auto"/>
              </w:rPr>
            </w:pPr>
            <w:r>
              <w:rPr>
                <w:rFonts w:hint="eastAsia"/>
                <w:color w:val="auto"/>
                <w:kern w:val="2"/>
                <w:szCs w:val="24"/>
              </w:rPr>
              <w:t>项目车辆冲洗废水经隔油沉淀过程中会产生</w:t>
            </w:r>
            <w:r>
              <w:rPr>
                <w:rFonts w:hint="eastAsia"/>
                <w:snapToGrid w:val="0"/>
                <w:color w:val="auto"/>
                <w:szCs w:val="24"/>
              </w:rPr>
              <w:t>隔油池油污</w:t>
            </w:r>
            <w:r>
              <w:rPr>
                <w:rFonts w:hint="eastAsia"/>
                <w:color w:val="auto"/>
                <w:kern w:val="2"/>
                <w:szCs w:val="24"/>
              </w:rPr>
              <w:t>，类比同类型项目，</w:t>
            </w:r>
            <w:r>
              <w:rPr>
                <w:rFonts w:hint="eastAsia"/>
                <w:snapToGrid w:val="0"/>
                <w:color w:val="auto"/>
                <w:szCs w:val="24"/>
              </w:rPr>
              <w:t>隔油池油污</w:t>
            </w:r>
            <w:r>
              <w:rPr>
                <w:rFonts w:hint="eastAsia"/>
                <w:color w:val="auto"/>
                <w:kern w:val="2"/>
                <w:szCs w:val="24"/>
              </w:rPr>
              <w:t>产生量约为</w:t>
            </w:r>
            <w:r>
              <w:rPr>
                <w:color w:val="auto"/>
                <w:kern w:val="2"/>
                <w:szCs w:val="24"/>
              </w:rPr>
              <w:t>0.1t/a</w:t>
            </w:r>
            <w:r>
              <w:rPr>
                <w:rFonts w:hint="eastAsia"/>
                <w:color w:val="auto"/>
                <w:szCs w:val="24"/>
              </w:rPr>
              <w:t>，属于《</w:t>
            </w:r>
            <w:r>
              <w:rPr>
                <w:rFonts w:hint="eastAsia"/>
                <w:color w:val="auto"/>
                <w:kern w:val="2"/>
                <w:szCs w:val="24"/>
              </w:rPr>
              <w:t>国家危险废物名录》（</w:t>
            </w:r>
            <w:r>
              <w:rPr>
                <w:color w:val="auto"/>
                <w:kern w:val="2"/>
                <w:szCs w:val="24"/>
              </w:rPr>
              <w:t>2021</w:t>
            </w:r>
            <w:r>
              <w:rPr>
                <w:rFonts w:hint="eastAsia"/>
                <w:color w:val="auto"/>
                <w:kern w:val="2"/>
                <w:szCs w:val="24"/>
              </w:rPr>
              <w:t>年版）中“</w:t>
            </w:r>
            <w:r>
              <w:rPr>
                <w:color w:val="auto"/>
                <w:kern w:val="2"/>
                <w:szCs w:val="24"/>
              </w:rPr>
              <w:t xml:space="preserve">HW08 </w:t>
            </w:r>
            <w:r>
              <w:rPr>
                <w:rFonts w:hint="eastAsia"/>
                <w:color w:val="auto"/>
                <w:kern w:val="2"/>
                <w:szCs w:val="24"/>
              </w:rPr>
              <w:t>废矿物油与含矿物油废物”，废物代码为</w:t>
            </w:r>
            <w:r>
              <w:rPr>
                <w:color w:val="auto"/>
                <w:kern w:val="2"/>
                <w:szCs w:val="24"/>
              </w:rPr>
              <w:t>“900-210-08”</w:t>
            </w:r>
            <w:r>
              <w:rPr>
                <w:rFonts w:hint="eastAsia"/>
                <w:color w:val="auto"/>
                <w:kern w:val="2"/>
                <w:szCs w:val="24"/>
              </w:rPr>
              <w:t>，</w:t>
            </w:r>
            <w:r>
              <w:rPr>
                <w:rFonts w:hint="eastAsia"/>
                <w:color w:val="auto"/>
                <w:szCs w:val="24"/>
              </w:rPr>
              <w:t>暂存于危废暂存间，定期委托有资质单位处置。</w:t>
            </w:r>
          </w:p>
          <w:p>
            <w:pPr>
              <w:pStyle w:val="81"/>
              <w:ind w:firstLine="31680"/>
              <w:rPr>
                <w:color w:val="auto"/>
              </w:rPr>
            </w:pPr>
            <w:r>
              <w:rPr>
                <w:color w:val="auto"/>
              </w:rPr>
              <w:t>5</w:t>
            </w:r>
            <w:r>
              <w:rPr>
                <w:rFonts w:hint="eastAsia"/>
                <w:color w:val="auto"/>
              </w:rPr>
              <w:t>）生活垃圾</w:t>
            </w:r>
          </w:p>
          <w:p>
            <w:pPr>
              <w:pStyle w:val="113"/>
              <w:spacing w:line="360" w:lineRule="auto"/>
              <w:ind w:firstLine="31680"/>
              <w:rPr>
                <w:color w:val="auto"/>
              </w:rPr>
            </w:pPr>
            <w:r>
              <w:rPr>
                <w:rFonts w:hint="eastAsia"/>
                <w:color w:val="auto"/>
              </w:rPr>
              <w:t>项目职工人数</w:t>
            </w:r>
            <w:r>
              <w:rPr>
                <w:color w:val="auto"/>
              </w:rPr>
              <w:t>20</w:t>
            </w:r>
            <w:r>
              <w:rPr>
                <w:rFonts w:hint="eastAsia"/>
                <w:color w:val="auto"/>
              </w:rPr>
              <w:t>人，其中</w:t>
            </w:r>
            <w:r>
              <w:rPr>
                <w:color w:val="auto"/>
              </w:rPr>
              <w:t>5</w:t>
            </w:r>
            <w:r>
              <w:rPr>
                <w:rFonts w:hint="eastAsia"/>
                <w:color w:val="auto"/>
              </w:rPr>
              <w:t>人住厂，</w:t>
            </w:r>
            <w:r>
              <w:rPr>
                <w:color w:val="auto"/>
              </w:rPr>
              <w:t>15</w:t>
            </w:r>
            <w:r>
              <w:rPr>
                <w:rFonts w:hint="eastAsia"/>
                <w:color w:val="auto"/>
              </w:rPr>
              <w:t>人不住厂。住厂员工生活垃圾产生量按</w:t>
            </w:r>
            <w:r>
              <w:rPr>
                <w:color w:val="auto"/>
              </w:rPr>
              <w:t>1.0kg/</w:t>
            </w:r>
            <w:r>
              <w:rPr>
                <w:rFonts w:hint="eastAsia"/>
                <w:color w:val="auto"/>
              </w:rPr>
              <w:t>人</w:t>
            </w:r>
            <w:r>
              <w:rPr>
                <w:color w:val="auto"/>
              </w:rPr>
              <w:t>·d</w:t>
            </w:r>
            <w:r>
              <w:rPr>
                <w:rFonts w:hint="eastAsia"/>
                <w:color w:val="auto"/>
              </w:rPr>
              <w:t>计，不住厂员工按</w:t>
            </w:r>
            <w:r>
              <w:rPr>
                <w:color w:val="auto"/>
              </w:rPr>
              <w:t>0.6kg/</w:t>
            </w:r>
            <w:r>
              <w:rPr>
                <w:rFonts w:hint="eastAsia"/>
                <w:color w:val="auto"/>
              </w:rPr>
              <w:t>人</w:t>
            </w:r>
            <w:r>
              <w:rPr>
                <w:color w:val="auto"/>
              </w:rPr>
              <w:t>·d</w:t>
            </w:r>
            <w:r>
              <w:rPr>
                <w:rFonts w:hint="eastAsia"/>
                <w:color w:val="auto"/>
              </w:rPr>
              <w:t>计，项目年生产</w:t>
            </w:r>
            <w:r>
              <w:rPr>
                <w:color w:val="auto"/>
              </w:rPr>
              <w:t>300</w:t>
            </w:r>
            <w:r>
              <w:rPr>
                <w:rFonts w:hint="eastAsia"/>
                <w:color w:val="auto"/>
              </w:rPr>
              <w:t>天，运营期生活垃圾产生量为</w:t>
            </w:r>
            <w:r>
              <w:rPr>
                <w:color w:val="auto"/>
              </w:rPr>
              <w:t>5.4t/a</w:t>
            </w:r>
            <w:r>
              <w:rPr>
                <w:rFonts w:hint="eastAsia"/>
                <w:color w:val="auto"/>
              </w:rPr>
              <w:t>，项目产生的生活垃圾经收集后由当地环卫部门统一清运、处置。</w:t>
            </w:r>
          </w:p>
          <w:p>
            <w:pPr>
              <w:pStyle w:val="136"/>
              <w:adjustRightInd/>
              <w:snapToGrid/>
              <w:ind w:firstLine="31680"/>
              <w:rPr>
                <w:color w:val="auto"/>
              </w:rPr>
            </w:pPr>
            <w:r>
              <w:rPr>
                <w:color w:val="auto"/>
              </w:rPr>
              <w:t>6</w:t>
            </w:r>
            <w:r>
              <w:rPr>
                <w:rFonts w:hint="eastAsia"/>
                <w:color w:val="auto"/>
              </w:rPr>
              <w:t>）废机油</w:t>
            </w:r>
          </w:p>
          <w:p>
            <w:pPr>
              <w:pStyle w:val="136"/>
              <w:adjustRightInd/>
              <w:snapToGrid/>
              <w:ind w:firstLine="31680"/>
              <w:rPr>
                <w:color w:val="auto"/>
              </w:rPr>
            </w:pPr>
            <w:r>
              <w:rPr>
                <w:rFonts w:hint="eastAsia"/>
                <w:color w:val="auto"/>
              </w:rPr>
              <w:t>项目生产过程中对设备维护保养，会产生一定废机油。据建设单位提供设备维护参数，机油更换量约</w:t>
            </w:r>
            <w:r>
              <w:rPr>
                <w:color w:val="auto"/>
              </w:rPr>
              <w:t>0.01t/</w:t>
            </w:r>
            <w:r>
              <w:rPr>
                <w:rFonts w:hint="eastAsia"/>
                <w:color w:val="auto"/>
              </w:rPr>
              <w:t>月，则废机油产生量</w:t>
            </w:r>
            <w:r>
              <w:rPr>
                <w:color w:val="auto"/>
              </w:rPr>
              <w:t>0.12t/a</w:t>
            </w:r>
            <w:r>
              <w:rPr>
                <w:rFonts w:hint="eastAsia"/>
                <w:color w:val="auto"/>
              </w:rPr>
              <w:t>。根据《国家危险废物名录》（</w:t>
            </w:r>
            <w:r>
              <w:rPr>
                <w:color w:val="auto"/>
              </w:rPr>
              <w:t>2021</w:t>
            </w:r>
            <w:r>
              <w:rPr>
                <w:rFonts w:hint="eastAsia"/>
                <w:color w:val="auto"/>
              </w:rPr>
              <w:t>年版），废机油属于危险废物（废物代码：</w:t>
            </w:r>
            <w:r>
              <w:rPr>
                <w:color w:val="auto"/>
              </w:rPr>
              <w:t xml:space="preserve">HW08 </w:t>
            </w:r>
            <w:r>
              <w:rPr>
                <w:rFonts w:hint="eastAsia"/>
                <w:color w:val="auto"/>
              </w:rPr>
              <w:t>废矿物油与含油废物</w:t>
            </w:r>
            <w:r>
              <w:rPr>
                <w:color w:val="auto"/>
              </w:rPr>
              <w:t xml:space="preserve"> 900-214-08</w:t>
            </w:r>
            <w:r>
              <w:rPr>
                <w:rFonts w:hint="eastAsia"/>
                <w:color w:val="auto"/>
              </w:rPr>
              <w:t>）。</w:t>
            </w:r>
          </w:p>
          <w:p>
            <w:pPr>
              <w:pStyle w:val="99"/>
              <w:ind w:firstLine="31680"/>
              <w:rPr>
                <w:color w:val="auto"/>
              </w:rPr>
            </w:pPr>
            <w:r>
              <w:rPr>
                <w:rFonts w:hint="eastAsia"/>
                <w:color w:val="auto"/>
              </w:rPr>
              <w:t>本项目固体废物产生及处置情况一览表见表</w:t>
            </w:r>
            <w:r>
              <w:rPr>
                <w:color w:val="auto"/>
              </w:rPr>
              <w:t>4.2-20</w:t>
            </w:r>
            <w:r>
              <w:rPr>
                <w:rFonts w:hint="eastAsia"/>
                <w:color w:val="auto"/>
              </w:rPr>
              <w:t>。</w:t>
            </w:r>
          </w:p>
          <w:p>
            <w:pPr>
              <w:jc w:val="center"/>
              <w:rPr>
                <w:rFonts w:hint="eastAsia" w:eastAsia="黑体"/>
                <w:color w:val="auto"/>
                <w:sz w:val="24"/>
              </w:rPr>
            </w:pPr>
          </w:p>
          <w:p>
            <w:pPr>
              <w:pStyle w:val="2"/>
              <w:rPr>
                <w:rFonts w:hint="eastAsia"/>
                <w:color w:val="auto"/>
              </w:rPr>
            </w:pPr>
          </w:p>
          <w:p>
            <w:pPr>
              <w:jc w:val="center"/>
              <w:rPr>
                <w:rFonts w:eastAsia="黑体"/>
                <w:color w:val="auto"/>
                <w:sz w:val="24"/>
              </w:rPr>
            </w:pPr>
            <w:r>
              <w:rPr>
                <w:rFonts w:hint="eastAsia" w:eastAsia="黑体"/>
                <w:color w:val="auto"/>
                <w:sz w:val="24"/>
              </w:rPr>
              <w:t>表</w:t>
            </w:r>
            <w:r>
              <w:rPr>
                <w:rFonts w:eastAsia="黑体"/>
                <w:color w:val="auto"/>
                <w:sz w:val="24"/>
              </w:rPr>
              <w:t xml:space="preserve">4.2-20  </w:t>
            </w:r>
            <w:r>
              <w:rPr>
                <w:rFonts w:hint="eastAsia" w:eastAsia="黑体"/>
                <w:color w:val="auto"/>
                <w:sz w:val="24"/>
              </w:rPr>
              <w:t>固体废物利用处置方式评价表</w:t>
            </w:r>
          </w:p>
          <w:tbl>
            <w:tblPr>
              <w:tblStyle w:val="27"/>
              <w:tblW w:w="850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5"/>
              <w:gridCol w:w="760"/>
              <w:gridCol w:w="561"/>
              <w:gridCol w:w="1655"/>
              <w:gridCol w:w="983"/>
              <w:gridCol w:w="807"/>
              <w:gridCol w:w="843"/>
              <w:gridCol w:w="760"/>
              <w:gridCol w:w="504"/>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3" w:hRule="atLeast"/>
                <w:jc w:val="center"/>
              </w:trPr>
              <w:tc>
                <w:tcPr>
                  <w:tcW w:w="655" w:type="dxa"/>
                  <w:tcBorders>
                    <w:top w:val="single" w:color="auto" w:sz="12" w:space="0"/>
                    <w:bottom w:val="single" w:color="auto" w:sz="4" w:space="0"/>
                    <w:right w:val="single" w:color="auto" w:sz="4" w:space="0"/>
                  </w:tcBorders>
                  <w:vAlign w:val="center"/>
                </w:tcPr>
                <w:p>
                  <w:pPr>
                    <w:pStyle w:val="121"/>
                    <w:rPr>
                      <w:color w:val="auto"/>
                      <w:szCs w:val="21"/>
                    </w:rPr>
                  </w:pPr>
                  <w:r>
                    <w:rPr>
                      <w:rFonts w:hint="eastAsia"/>
                      <w:color w:val="auto"/>
                      <w:szCs w:val="21"/>
                    </w:rPr>
                    <w:t>产生环节</w:t>
                  </w:r>
                </w:p>
              </w:tc>
              <w:tc>
                <w:tcPr>
                  <w:tcW w:w="760" w:type="dxa"/>
                  <w:tcBorders>
                    <w:top w:val="single" w:color="auto" w:sz="12"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名称</w:t>
                  </w:r>
                </w:p>
              </w:tc>
              <w:tc>
                <w:tcPr>
                  <w:tcW w:w="561" w:type="dxa"/>
                  <w:tcBorders>
                    <w:top w:val="single" w:color="auto" w:sz="12"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物理性状</w:t>
                  </w:r>
                </w:p>
              </w:tc>
              <w:tc>
                <w:tcPr>
                  <w:tcW w:w="1655" w:type="dxa"/>
                  <w:tcBorders>
                    <w:top w:val="single" w:color="auto" w:sz="12"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属性</w:t>
                  </w:r>
                </w:p>
              </w:tc>
              <w:tc>
                <w:tcPr>
                  <w:tcW w:w="983" w:type="dxa"/>
                  <w:tcBorders>
                    <w:top w:val="single" w:color="auto" w:sz="12"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有毒有害物质名称</w:t>
                  </w:r>
                </w:p>
              </w:tc>
              <w:tc>
                <w:tcPr>
                  <w:tcW w:w="807" w:type="dxa"/>
                  <w:tcBorders>
                    <w:top w:val="single" w:color="auto" w:sz="12"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环境危险特性</w:t>
                  </w:r>
                </w:p>
              </w:tc>
              <w:tc>
                <w:tcPr>
                  <w:tcW w:w="843" w:type="dxa"/>
                  <w:tcBorders>
                    <w:top w:val="single" w:color="auto" w:sz="12"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产生量</w:t>
                  </w:r>
                </w:p>
                <w:p>
                  <w:pPr>
                    <w:pStyle w:val="121"/>
                    <w:rPr>
                      <w:color w:val="auto"/>
                      <w:szCs w:val="21"/>
                    </w:rPr>
                  </w:pPr>
                  <w:r>
                    <w:rPr>
                      <w:rFonts w:hint="eastAsia"/>
                      <w:color w:val="auto"/>
                      <w:szCs w:val="21"/>
                    </w:rPr>
                    <w:t>（</w:t>
                  </w:r>
                  <w:r>
                    <w:rPr>
                      <w:color w:val="auto"/>
                      <w:szCs w:val="21"/>
                    </w:rPr>
                    <w:t>t/a</w:t>
                  </w:r>
                  <w:r>
                    <w:rPr>
                      <w:rFonts w:hint="eastAsia"/>
                      <w:color w:val="auto"/>
                      <w:szCs w:val="21"/>
                    </w:rPr>
                    <w:t>）</w:t>
                  </w:r>
                </w:p>
              </w:tc>
              <w:tc>
                <w:tcPr>
                  <w:tcW w:w="760" w:type="dxa"/>
                  <w:tcBorders>
                    <w:top w:val="single" w:color="auto" w:sz="12"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贮存方式</w:t>
                  </w:r>
                </w:p>
              </w:tc>
              <w:tc>
                <w:tcPr>
                  <w:tcW w:w="504" w:type="dxa"/>
                  <w:tcBorders>
                    <w:top w:val="single" w:color="auto" w:sz="12"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储存</w:t>
                  </w:r>
                </w:p>
                <w:p>
                  <w:pPr>
                    <w:pStyle w:val="121"/>
                    <w:rPr>
                      <w:color w:val="auto"/>
                      <w:szCs w:val="21"/>
                    </w:rPr>
                  </w:pPr>
                  <w:r>
                    <w:rPr>
                      <w:rFonts w:hint="eastAsia"/>
                      <w:color w:val="auto"/>
                      <w:szCs w:val="21"/>
                    </w:rPr>
                    <w:t>周期</w:t>
                  </w:r>
                </w:p>
              </w:tc>
              <w:tc>
                <w:tcPr>
                  <w:tcW w:w="973" w:type="dxa"/>
                  <w:tcBorders>
                    <w:top w:val="single" w:color="auto" w:sz="12" w:space="0"/>
                    <w:left w:val="single" w:color="auto" w:sz="4" w:space="0"/>
                    <w:bottom w:val="single" w:color="auto" w:sz="4" w:space="0"/>
                  </w:tcBorders>
                  <w:vAlign w:val="center"/>
                </w:tcPr>
                <w:p>
                  <w:pPr>
                    <w:pStyle w:val="121"/>
                    <w:rPr>
                      <w:color w:val="auto"/>
                      <w:szCs w:val="21"/>
                    </w:rPr>
                  </w:pPr>
                  <w:r>
                    <w:rPr>
                      <w:rFonts w:hint="eastAsia"/>
                      <w:color w:val="auto"/>
                      <w:szCs w:val="21"/>
                    </w:rPr>
                    <w:t>处置方式及去向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5" w:type="dxa"/>
                  <w:tcBorders>
                    <w:top w:val="single" w:color="auto" w:sz="4" w:space="0"/>
                    <w:bottom w:val="single" w:color="auto" w:sz="4" w:space="0"/>
                    <w:right w:val="single" w:color="auto" w:sz="4" w:space="0"/>
                  </w:tcBorders>
                  <w:vAlign w:val="center"/>
                </w:tcPr>
                <w:p>
                  <w:pPr>
                    <w:pStyle w:val="121"/>
                    <w:rPr>
                      <w:color w:val="auto"/>
                      <w:szCs w:val="21"/>
                      <w:lang w:val="en-US"/>
                    </w:rPr>
                  </w:pPr>
                  <w:r>
                    <w:rPr>
                      <w:rFonts w:hint="eastAsia"/>
                      <w:color w:val="auto"/>
                      <w:szCs w:val="21"/>
                    </w:rPr>
                    <w:t>废气处理</w:t>
                  </w:r>
                </w:p>
              </w:tc>
              <w:tc>
                <w:tcPr>
                  <w:tcW w:w="760"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lang w:val="en-US"/>
                    </w:rPr>
                  </w:pPr>
                  <w:r>
                    <w:rPr>
                      <w:rFonts w:hint="eastAsia"/>
                      <w:color w:val="auto"/>
                      <w:szCs w:val="21"/>
                      <w:lang w:val="en-US"/>
                    </w:rPr>
                    <w:t>粉尘</w:t>
                  </w:r>
                </w:p>
              </w:tc>
              <w:tc>
                <w:tcPr>
                  <w:tcW w:w="561"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固</w:t>
                  </w:r>
                </w:p>
              </w:tc>
              <w:tc>
                <w:tcPr>
                  <w:tcW w:w="1655"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一般工业固废</w:t>
                  </w:r>
                </w:p>
              </w:tc>
              <w:tc>
                <w:tcPr>
                  <w:tcW w:w="983"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color w:val="auto"/>
                    </w:rPr>
                    <w:t>/</w:t>
                  </w:r>
                </w:p>
              </w:tc>
              <w:tc>
                <w:tcPr>
                  <w:tcW w:w="807"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color w:val="auto"/>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lang w:val="en-US"/>
                    </w:rPr>
                  </w:pPr>
                  <w:r>
                    <w:rPr>
                      <w:color w:val="auto"/>
                      <w:szCs w:val="21"/>
                      <w:lang w:val="en-US"/>
                    </w:rPr>
                    <w:t>59.602</w:t>
                  </w:r>
                </w:p>
              </w:tc>
              <w:tc>
                <w:tcPr>
                  <w:tcW w:w="760"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袋装</w:t>
                  </w:r>
                </w:p>
              </w:tc>
              <w:tc>
                <w:tcPr>
                  <w:tcW w:w="504"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color w:val="auto"/>
                      <w:szCs w:val="21"/>
                      <w:lang w:val="en-US"/>
                    </w:rPr>
                    <w:t>/</w:t>
                  </w:r>
                </w:p>
              </w:tc>
              <w:tc>
                <w:tcPr>
                  <w:tcW w:w="973" w:type="dxa"/>
                  <w:tcBorders>
                    <w:top w:val="single" w:color="auto" w:sz="4" w:space="0"/>
                    <w:left w:val="single" w:color="auto" w:sz="4" w:space="0"/>
                    <w:bottom w:val="single" w:color="auto" w:sz="4" w:space="0"/>
                  </w:tcBorders>
                  <w:vAlign w:val="center"/>
                </w:tcPr>
                <w:p>
                  <w:pPr>
                    <w:pStyle w:val="121"/>
                    <w:rPr>
                      <w:color w:val="auto"/>
                      <w:szCs w:val="21"/>
                    </w:rPr>
                  </w:pPr>
                  <w:r>
                    <w:rPr>
                      <w:rFonts w:hint="eastAsia"/>
                      <w:color w:val="auto"/>
                      <w:szCs w:val="21"/>
                      <w:lang w:val="en-US"/>
                    </w:rPr>
                    <w:t>回用生产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5" w:type="dxa"/>
                  <w:tcBorders>
                    <w:top w:val="single" w:color="auto" w:sz="4" w:space="0"/>
                    <w:bottom w:val="single" w:color="auto" w:sz="4" w:space="0"/>
                    <w:right w:val="single" w:color="auto" w:sz="4" w:space="0"/>
                  </w:tcBorders>
                  <w:vAlign w:val="center"/>
                </w:tcPr>
                <w:p>
                  <w:pPr>
                    <w:pStyle w:val="121"/>
                    <w:rPr>
                      <w:color w:val="auto"/>
                      <w:szCs w:val="21"/>
                      <w:lang w:val="zh-CN"/>
                    </w:rPr>
                  </w:pPr>
                  <w:r>
                    <w:rPr>
                      <w:rFonts w:hint="eastAsia"/>
                      <w:color w:val="auto"/>
                      <w:szCs w:val="21"/>
                      <w:lang w:val="zh-CN"/>
                    </w:rPr>
                    <w:t>纵切、横切，磨边倒角</w:t>
                  </w:r>
                </w:p>
              </w:tc>
              <w:tc>
                <w:tcPr>
                  <w:tcW w:w="760"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lang w:val="en-US"/>
                    </w:rPr>
                  </w:pPr>
                  <w:r>
                    <w:rPr>
                      <w:rFonts w:hint="eastAsia"/>
                      <w:color w:val="auto"/>
                      <w:szCs w:val="21"/>
                      <w:lang w:val="en-US"/>
                    </w:rPr>
                    <w:t>边角料</w:t>
                  </w:r>
                </w:p>
              </w:tc>
              <w:tc>
                <w:tcPr>
                  <w:tcW w:w="561"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固</w:t>
                  </w:r>
                </w:p>
              </w:tc>
              <w:tc>
                <w:tcPr>
                  <w:tcW w:w="1655"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一般工业固废</w:t>
                  </w:r>
                </w:p>
              </w:tc>
              <w:tc>
                <w:tcPr>
                  <w:tcW w:w="983"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color w:val="auto"/>
                    </w:rPr>
                    <w:t>/</w:t>
                  </w:r>
                </w:p>
              </w:tc>
              <w:tc>
                <w:tcPr>
                  <w:tcW w:w="807"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color w:val="auto"/>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lang w:val="en-US"/>
                    </w:rPr>
                  </w:pPr>
                  <w:r>
                    <w:rPr>
                      <w:color w:val="auto"/>
                      <w:szCs w:val="21"/>
                      <w:lang w:val="en-US"/>
                    </w:rPr>
                    <w:t>20000</w:t>
                  </w:r>
                </w:p>
              </w:tc>
              <w:tc>
                <w:tcPr>
                  <w:tcW w:w="760"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color w:val="auto"/>
                      <w:szCs w:val="21"/>
                      <w:lang w:val="en-US"/>
                    </w:rPr>
                    <w:t>/</w:t>
                  </w:r>
                </w:p>
              </w:tc>
              <w:tc>
                <w:tcPr>
                  <w:tcW w:w="504"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lang w:val="en-US"/>
                    </w:rPr>
                  </w:pPr>
                  <w:r>
                    <w:rPr>
                      <w:color w:val="auto"/>
                      <w:szCs w:val="21"/>
                      <w:lang w:val="en-US"/>
                    </w:rPr>
                    <w:t>/</w:t>
                  </w:r>
                </w:p>
              </w:tc>
              <w:tc>
                <w:tcPr>
                  <w:tcW w:w="973" w:type="dxa"/>
                  <w:tcBorders>
                    <w:top w:val="single" w:color="auto" w:sz="4" w:space="0"/>
                    <w:left w:val="single" w:color="auto" w:sz="4" w:space="0"/>
                    <w:bottom w:val="single" w:color="auto" w:sz="4" w:space="0"/>
                  </w:tcBorders>
                  <w:vAlign w:val="center"/>
                </w:tcPr>
                <w:p>
                  <w:pPr>
                    <w:pStyle w:val="121"/>
                    <w:rPr>
                      <w:color w:val="auto"/>
                      <w:szCs w:val="21"/>
                      <w:lang w:val="en-US"/>
                    </w:rPr>
                  </w:pPr>
                  <w:r>
                    <w:rPr>
                      <w:rFonts w:hint="eastAsia"/>
                      <w:color w:val="auto"/>
                      <w:szCs w:val="21"/>
                      <w:lang w:val="en-US"/>
                    </w:rPr>
                    <w:t>回用生产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5" w:type="dxa"/>
                  <w:vMerge w:val="restart"/>
                  <w:tcBorders>
                    <w:top w:val="single" w:color="auto" w:sz="4" w:space="0"/>
                    <w:bottom w:val="single" w:color="auto" w:sz="4" w:space="0"/>
                    <w:right w:val="single" w:color="auto" w:sz="4" w:space="0"/>
                  </w:tcBorders>
                  <w:vAlign w:val="center"/>
                </w:tcPr>
                <w:p>
                  <w:pPr>
                    <w:pStyle w:val="121"/>
                    <w:rPr>
                      <w:color w:val="auto"/>
                      <w:szCs w:val="21"/>
                      <w:lang w:val="en-US"/>
                    </w:rPr>
                  </w:pPr>
                  <w:r>
                    <w:rPr>
                      <w:rFonts w:hint="eastAsia"/>
                      <w:color w:val="auto"/>
                      <w:szCs w:val="21"/>
                      <w:lang w:val="en-US"/>
                    </w:rPr>
                    <w:t>车辆冲洗</w:t>
                  </w:r>
                </w:p>
              </w:tc>
              <w:tc>
                <w:tcPr>
                  <w:tcW w:w="760"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lang w:val="en-US"/>
                    </w:rPr>
                  </w:pPr>
                  <w:r>
                    <w:rPr>
                      <w:rFonts w:hint="eastAsia"/>
                      <w:color w:val="auto"/>
                      <w:szCs w:val="21"/>
                      <w:lang w:val="en-US"/>
                    </w:rPr>
                    <w:t>污泥</w:t>
                  </w:r>
                </w:p>
              </w:tc>
              <w:tc>
                <w:tcPr>
                  <w:tcW w:w="561"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固</w:t>
                  </w:r>
                </w:p>
              </w:tc>
              <w:tc>
                <w:tcPr>
                  <w:tcW w:w="1655"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一般工业固废</w:t>
                  </w:r>
                </w:p>
              </w:tc>
              <w:tc>
                <w:tcPr>
                  <w:tcW w:w="983"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color w:val="auto"/>
                    </w:rPr>
                    <w:t>/</w:t>
                  </w:r>
                </w:p>
              </w:tc>
              <w:tc>
                <w:tcPr>
                  <w:tcW w:w="807"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color w:val="auto"/>
                      <w:szCs w:val="21"/>
                    </w:rPr>
                    <w:t>/</w:t>
                  </w:r>
                </w:p>
              </w:tc>
              <w:tc>
                <w:tcPr>
                  <w:tcW w:w="843"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lang w:val="en-US"/>
                    </w:rPr>
                  </w:pPr>
                  <w:r>
                    <w:rPr>
                      <w:color w:val="auto"/>
                      <w:szCs w:val="21"/>
                      <w:lang w:val="en-US"/>
                    </w:rPr>
                    <w:t>4.0</w:t>
                  </w:r>
                </w:p>
              </w:tc>
              <w:tc>
                <w:tcPr>
                  <w:tcW w:w="760"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rPr>
                  </w:pPr>
                  <w:r>
                    <w:rPr>
                      <w:rFonts w:hint="eastAsia"/>
                      <w:color w:val="auto"/>
                      <w:szCs w:val="21"/>
                    </w:rPr>
                    <w:t>袋装</w:t>
                  </w:r>
                </w:p>
              </w:tc>
              <w:tc>
                <w:tcPr>
                  <w:tcW w:w="504" w:type="dxa"/>
                  <w:tcBorders>
                    <w:top w:val="single" w:color="auto" w:sz="4" w:space="0"/>
                    <w:left w:val="single" w:color="auto" w:sz="4" w:space="0"/>
                    <w:bottom w:val="single" w:color="auto" w:sz="4" w:space="0"/>
                    <w:right w:val="single" w:color="auto" w:sz="4" w:space="0"/>
                  </w:tcBorders>
                  <w:vAlign w:val="center"/>
                </w:tcPr>
                <w:p>
                  <w:pPr>
                    <w:pStyle w:val="121"/>
                    <w:rPr>
                      <w:color w:val="auto"/>
                      <w:szCs w:val="21"/>
                      <w:lang w:val="en-US"/>
                    </w:rPr>
                  </w:pPr>
                  <w:r>
                    <w:rPr>
                      <w:color w:val="auto"/>
                      <w:szCs w:val="21"/>
                      <w:lang w:val="en-US"/>
                    </w:rPr>
                    <w:t>/</w:t>
                  </w:r>
                </w:p>
              </w:tc>
              <w:tc>
                <w:tcPr>
                  <w:tcW w:w="973" w:type="dxa"/>
                  <w:tcBorders>
                    <w:top w:val="single" w:color="auto" w:sz="4" w:space="0"/>
                    <w:left w:val="single" w:color="auto" w:sz="4" w:space="0"/>
                    <w:bottom w:val="single" w:color="auto" w:sz="4" w:space="0"/>
                  </w:tcBorders>
                  <w:vAlign w:val="center"/>
                </w:tcPr>
                <w:p>
                  <w:pPr>
                    <w:pStyle w:val="121"/>
                    <w:rPr>
                      <w:color w:val="auto"/>
                      <w:szCs w:val="21"/>
                      <w:lang w:val="en-US"/>
                    </w:rPr>
                  </w:pPr>
                  <w:r>
                    <w:rPr>
                      <w:rFonts w:hint="eastAsia"/>
                      <w:color w:val="auto"/>
                      <w:szCs w:val="21"/>
                      <w:lang w:val="en-US"/>
                    </w:rPr>
                    <w:t>外卖综合处置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8" w:hRule="atLeast"/>
                <w:jc w:val="center"/>
              </w:trPr>
              <w:tc>
                <w:tcPr>
                  <w:tcW w:w="655" w:type="dxa"/>
                  <w:vMerge w:val="continue"/>
                  <w:tcBorders>
                    <w:top w:val="single" w:color="auto" w:sz="4" w:space="0"/>
                    <w:bottom w:val="single" w:color="auto" w:sz="4" w:space="0"/>
                    <w:right w:val="single" w:color="auto" w:sz="4" w:space="0"/>
                  </w:tcBorders>
                  <w:vAlign w:val="center"/>
                </w:tcPr>
                <w:p>
                  <w:pPr>
                    <w:pStyle w:val="170"/>
                    <w:rPr>
                      <w:color w:val="auto"/>
                    </w:rPr>
                  </w:pPr>
                </w:p>
              </w:tc>
              <w:tc>
                <w:tcPr>
                  <w:tcW w:w="760"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kern w:val="0"/>
                    </w:rPr>
                    <w:t>油污</w:t>
                  </w:r>
                </w:p>
              </w:tc>
              <w:tc>
                <w:tcPr>
                  <w:tcW w:w="561"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固</w:t>
                  </w:r>
                </w:p>
              </w:tc>
              <w:tc>
                <w:tcPr>
                  <w:tcW w:w="1655"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危险废物</w:t>
                  </w:r>
                  <w:r>
                    <w:rPr>
                      <w:color w:val="auto"/>
                    </w:rPr>
                    <w:t>HW08/900-210-08</w:t>
                  </w:r>
                </w:p>
              </w:tc>
              <w:tc>
                <w:tcPr>
                  <w:tcW w:w="983"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废矿物油</w:t>
                  </w:r>
                </w:p>
              </w:tc>
              <w:tc>
                <w:tcPr>
                  <w:tcW w:w="807"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毒性、易燃性</w:t>
                  </w:r>
                </w:p>
              </w:tc>
              <w:tc>
                <w:tcPr>
                  <w:tcW w:w="843"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color w:val="auto"/>
                    </w:rPr>
                    <w:t>0.1</w:t>
                  </w:r>
                </w:p>
              </w:tc>
              <w:tc>
                <w:tcPr>
                  <w:tcW w:w="760"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桶装</w:t>
                  </w:r>
                  <w:r>
                    <w:rPr>
                      <w:color w:val="auto"/>
                    </w:rPr>
                    <w:t>/</w:t>
                  </w:r>
                  <w:r>
                    <w:rPr>
                      <w:rFonts w:hint="eastAsia"/>
                      <w:color w:val="auto"/>
                    </w:rPr>
                    <w:t>危废间</w:t>
                  </w:r>
                </w:p>
              </w:tc>
              <w:tc>
                <w:tcPr>
                  <w:tcW w:w="504"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color w:val="auto"/>
                    </w:rPr>
                    <w:t>1</w:t>
                  </w:r>
                  <w:r>
                    <w:rPr>
                      <w:rFonts w:hint="eastAsia"/>
                      <w:color w:val="auto"/>
                    </w:rPr>
                    <w:t>年</w:t>
                  </w:r>
                </w:p>
              </w:tc>
              <w:tc>
                <w:tcPr>
                  <w:tcW w:w="973" w:type="dxa"/>
                  <w:vMerge w:val="restart"/>
                  <w:tcBorders>
                    <w:top w:val="single" w:color="auto" w:sz="4" w:space="0"/>
                    <w:left w:val="single" w:color="auto" w:sz="4" w:space="0"/>
                    <w:bottom w:val="single" w:color="auto" w:sz="4" w:space="0"/>
                  </w:tcBorders>
                  <w:vAlign w:val="center"/>
                </w:tcPr>
                <w:p>
                  <w:pPr>
                    <w:pStyle w:val="170"/>
                    <w:rPr>
                      <w:color w:val="auto"/>
                    </w:rPr>
                  </w:pPr>
                  <w:r>
                    <w:rPr>
                      <w:rFonts w:hint="eastAsia"/>
                      <w:color w:val="auto"/>
                    </w:rPr>
                    <w:t>委托有关单位进行外运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5" w:type="dxa"/>
                  <w:tcBorders>
                    <w:top w:val="single" w:color="auto" w:sz="4" w:space="0"/>
                    <w:bottom w:val="single" w:color="auto" w:sz="4" w:space="0"/>
                    <w:right w:val="single" w:color="auto" w:sz="4" w:space="0"/>
                  </w:tcBorders>
                  <w:vAlign w:val="center"/>
                </w:tcPr>
                <w:p>
                  <w:pPr>
                    <w:pStyle w:val="170"/>
                    <w:rPr>
                      <w:color w:val="auto"/>
                    </w:rPr>
                  </w:pPr>
                  <w:r>
                    <w:rPr>
                      <w:rFonts w:hint="eastAsia"/>
                      <w:color w:val="auto"/>
                    </w:rPr>
                    <w:t>设备维护</w:t>
                  </w:r>
                </w:p>
              </w:tc>
              <w:tc>
                <w:tcPr>
                  <w:tcW w:w="760"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废机油</w:t>
                  </w:r>
                </w:p>
              </w:tc>
              <w:tc>
                <w:tcPr>
                  <w:tcW w:w="561"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固</w:t>
                  </w:r>
                </w:p>
              </w:tc>
              <w:tc>
                <w:tcPr>
                  <w:tcW w:w="1655"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危险废物</w:t>
                  </w:r>
                  <w:r>
                    <w:rPr>
                      <w:color w:val="auto"/>
                    </w:rPr>
                    <w:t>HW08/900-249-08</w:t>
                  </w:r>
                </w:p>
              </w:tc>
              <w:tc>
                <w:tcPr>
                  <w:tcW w:w="983"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废矿物油</w:t>
                  </w:r>
                </w:p>
              </w:tc>
              <w:tc>
                <w:tcPr>
                  <w:tcW w:w="807"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毒性、易燃性</w:t>
                  </w:r>
                </w:p>
              </w:tc>
              <w:tc>
                <w:tcPr>
                  <w:tcW w:w="843"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color w:val="auto"/>
                    </w:rPr>
                    <w:t>0.12</w:t>
                  </w:r>
                </w:p>
              </w:tc>
              <w:tc>
                <w:tcPr>
                  <w:tcW w:w="760"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rFonts w:hint="eastAsia"/>
                      <w:color w:val="auto"/>
                    </w:rPr>
                    <w:t>桶装</w:t>
                  </w:r>
                  <w:r>
                    <w:rPr>
                      <w:color w:val="auto"/>
                    </w:rPr>
                    <w:t>/</w:t>
                  </w:r>
                  <w:r>
                    <w:rPr>
                      <w:rFonts w:hint="eastAsia"/>
                      <w:color w:val="auto"/>
                    </w:rPr>
                    <w:t>危废间</w:t>
                  </w:r>
                </w:p>
              </w:tc>
              <w:tc>
                <w:tcPr>
                  <w:tcW w:w="504" w:type="dxa"/>
                  <w:tcBorders>
                    <w:top w:val="single" w:color="auto" w:sz="4" w:space="0"/>
                    <w:left w:val="single" w:color="auto" w:sz="4" w:space="0"/>
                    <w:bottom w:val="single" w:color="auto" w:sz="4" w:space="0"/>
                    <w:right w:val="single" w:color="auto" w:sz="4" w:space="0"/>
                  </w:tcBorders>
                  <w:vAlign w:val="center"/>
                </w:tcPr>
                <w:p>
                  <w:pPr>
                    <w:pStyle w:val="170"/>
                    <w:rPr>
                      <w:color w:val="auto"/>
                    </w:rPr>
                  </w:pPr>
                  <w:r>
                    <w:rPr>
                      <w:color w:val="auto"/>
                    </w:rPr>
                    <w:t>1</w:t>
                  </w:r>
                  <w:r>
                    <w:rPr>
                      <w:rFonts w:hint="eastAsia"/>
                      <w:color w:val="auto"/>
                    </w:rPr>
                    <w:t>年</w:t>
                  </w:r>
                </w:p>
              </w:tc>
              <w:tc>
                <w:tcPr>
                  <w:tcW w:w="973" w:type="dxa"/>
                  <w:vMerge w:val="continue"/>
                  <w:tcBorders>
                    <w:top w:val="single" w:color="auto" w:sz="4" w:space="0"/>
                    <w:left w:val="single" w:color="auto" w:sz="4" w:space="0"/>
                    <w:bottom w:val="single" w:color="auto" w:sz="4" w:space="0"/>
                  </w:tcBorders>
                  <w:vAlign w:val="center"/>
                </w:tcPr>
                <w:p>
                  <w:pPr>
                    <w:pStyle w:val="170"/>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5" w:type="dxa"/>
                  <w:tcBorders>
                    <w:top w:val="single" w:color="auto" w:sz="4" w:space="0"/>
                    <w:bottom w:val="single" w:color="auto" w:sz="12" w:space="0"/>
                    <w:right w:val="single" w:color="auto" w:sz="4" w:space="0"/>
                  </w:tcBorders>
                  <w:vAlign w:val="center"/>
                </w:tcPr>
                <w:p>
                  <w:pPr>
                    <w:pStyle w:val="121"/>
                    <w:rPr>
                      <w:color w:val="auto"/>
                      <w:szCs w:val="21"/>
                      <w:lang w:val="en-US"/>
                    </w:rPr>
                  </w:pPr>
                  <w:r>
                    <w:rPr>
                      <w:rFonts w:hint="eastAsia"/>
                      <w:color w:val="auto"/>
                      <w:szCs w:val="21"/>
                    </w:rPr>
                    <w:t>员工生活</w:t>
                  </w:r>
                </w:p>
              </w:tc>
              <w:tc>
                <w:tcPr>
                  <w:tcW w:w="760" w:type="dxa"/>
                  <w:tcBorders>
                    <w:top w:val="single" w:color="auto" w:sz="4" w:space="0"/>
                    <w:left w:val="single" w:color="auto" w:sz="4" w:space="0"/>
                    <w:bottom w:val="single" w:color="auto" w:sz="12" w:space="0"/>
                    <w:right w:val="single" w:color="auto" w:sz="4" w:space="0"/>
                  </w:tcBorders>
                  <w:vAlign w:val="center"/>
                </w:tcPr>
                <w:p>
                  <w:pPr>
                    <w:pStyle w:val="121"/>
                    <w:rPr>
                      <w:color w:val="auto"/>
                      <w:szCs w:val="21"/>
                      <w:lang w:val="en-US"/>
                    </w:rPr>
                  </w:pPr>
                  <w:r>
                    <w:rPr>
                      <w:rFonts w:hint="eastAsia"/>
                      <w:color w:val="auto"/>
                      <w:szCs w:val="21"/>
                    </w:rPr>
                    <w:t>生活垃圾</w:t>
                  </w:r>
                </w:p>
              </w:tc>
              <w:tc>
                <w:tcPr>
                  <w:tcW w:w="561" w:type="dxa"/>
                  <w:tcBorders>
                    <w:top w:val="single" w:color="auto" w:sz="4" w:space="0"/>
                    <w:left w:val="single" w:color="auto" w:sz="4" w:space="0"/>
                    <w:bottom w:val="single" w:color="auto" w:sz="12" w:space="0"/>
                    <w:right w:val="single" w:color="auto" w:sz="4" w:space="0"/>
                  </w:tcBorders>
                  <w:vAlign w:val="center"/>
                </w:tcPr>
                <w:p>
                  <w:pPr>
                    <w:pStyle w:val="121"/>
                    <w:rPr>
                      <w:color w:val="auto"/>
                      <w:szCs w:val="21"/>
                      <w:lang w:val="en-US"/>
                    </w:rPr>
                  </w:pPr>
                  <w:r>
                    <w:rPr>
                      <w:color w:val="auto"/>
                      <w:szCs w:val="21"/>
                    </w:rPr>
                    <w:t>/</w:t>
                  </w:r>
                </w:p>
              </w:tc>
              <w:tc>
                <w:tcPr>
                  <w:tcW w:w="1655" w:type="dxa"/>
                  <w:tcBorders>
                    <w:top w:val="single" w:color="auto" w:sz="4" w:space="0"/>
                    <w:left w:val="single" w:color="auto" w:sz="4" w:space="0"/>
                    <w:bottom w:val="single" w:color="auto" w:sz="12" w:space="0"/>
                    <w:right w:val="single" w:color="auto" w:sz="4" w:space="0"/>
                  </w:tcBorders>
                  <w:vAlign w:val="center"/>
                </w:tcPr>
                <w:p>
                  <w:pPr>
                    <w:pStyle w:val="121"/>
                    <w:rPr>
                      <w:color w:val="auto"/>
                      <w:szCs w:val="21"/>
                      <w:lang w:val="en-US"/>
                    </w:rPr>
                  </w:pPr>
                  <w:r>
                    <w:rPr>
                      <w:rFonts w:hint="eastAsia"/>
                      <w:color w:val="auto"/>
                      <w:szCs w:val="21"/>
                    </w:rPr>
                    <w:t>一般固废</w:t>
                  </w:r>
                </w:p>
              </w:tc>
              <w:tc>
                <w:tcPr>
                  <w:tcW w:w="983" w:type="dxa"/>
                  <w:tcBorders>
                    <w:top w:val="single" w:color="auto" w:sz="4" w:space="0"/>
                    <w:left w:val="single" w:color="auto" w:sz="4" w:space="0"/>
                    <w:bottom w:val="single" w:color="auto" w:sz="12" w:space="0"/>
                    <w:right w:val="single" w:color="auto" w:sz="4" w:space="0"/>
                  </w:tcBorders>
                  <w:vAlign w:val="center"/>
                </w:tcPr>
                <w:p>
                  <w:pPr>
                    <w:pStyle w:val="121"/>
                    <w:rPr>
                      <w:color w:val="auto"/>
                      <w:szCs w:val="21"/>
                      <w:lang w:val="en-US"/>
                    </w:rPr>
                  </w:pPr>
                  <w:r>
                    <w:rPr>
                      <w:color w:val="auto"/>
                      <w:szCs w:val="21"/>
                    </w:rPr>
                    <w:t>/</w:t>
                  </w:r>
                </w:p>
              </w:tc>
              <w:tc>
                <w:tcPr>
                  <w:tcW w:w="807" w:type="dxa"/>
                  <w:tcBorders>
                    <w:top w:val="single" w:color="auto" w:sz="4" w:space="0"/>
                    <w:left w:val="single" w:color="auto" w:sz="4" w:space="0"/>
                    <w:bottom w:val="single" w:color="auto" w:sz="12" w:space="0"/>
                    <w:right w:val="single" w:color="auto" w:sz="4" w:space="0"/>
                  </w:tcBorders>
                  <w:vAlign w:val="center"/>
                </w:tcPr>
                <w:p>
                  <w:pPr>
                    <w:pStyle w:val="121"/>
                    <w:rPr>
                      <w:color w:val="auto"/>
                      <w:szCs w:val="21"/>
                      <w:lang w:val="en-US"/>
                    </w:rPr>
                  </w:pPr>
                  <w:r>
                    <w:rPr>
                      <w:color w:val="auto"/>
                      <w:szCs w:val="21"/>
                    </w:rPr>
                    <w:t>/</w:t>
                  </w:r>
                </w:p>
              </w:tc>
              <w:tc>
                <w:tcPr>
                  <w:tcW w:w="843" w:type="dxa"/>
                  <w:tcBorders>
                    <w:top w:val="single" w:color="auto" w:sz="4" w:space="0"/>
                    <w:left w:val="single" w:color="auto" w:sz="4" w:space="0"/>
                    <w:bottom w:val="single" w:color="auto" w:sz="12" w:space="0"/>
                    <w:right w:val="single" w:color="auto" w:sz="4" w:space="0"/>
                  </w:tcBorders>
                  <w:vAlign w:val="center"/>
                </w:tcPr>
                <w:p>
                  <w:pPr>
                    <w:pStyle w:val="121"/>
                    <w:rPr>
                      <w:color w:val="auto"/>
                      <w:szCs w:val="21"/>
                      <w:lang w:val="en-US"/>
                    </w:rPr>
                  </w:pPr>
                  <w:r>
                    <w:rPr>
                      <w:color w:val="auto"/>
                      <w:szCs w:val="21"/>
                      <w:lang w:val="en-US"/>
                    </w:rPr>
                    <w:t>5.4</w:t>
                  </w:r>
                </w:p>
              </w:tc>
              <w:tc>
                <w:tcPr>
                  <w:tcW w:w="760" w:type="dxa"/>
                  <w:tcBorders>
                    <w:top w:val="single" w:color="auto" w:sz="4" w:space="0"/>
                    <w:left w:val="single" w:color="auto" w:sz="4" w:space="0"/>
                    <w:bottom w:val="single" w:color="auto" w:sz="12" w:space="0"/>
                    <w:right w:val="single" w:color="auto" w:sz="4" w:space="0"/>
                  </w:tcBorders>
                  <w:vAlign w:val="center"/>
                </w:tcPr>
                <w:p>
                  <w:pPr>
                    <w:pStyle w:val="121"/>
                    <w:rPr>
                      <w:color w:val="auto"/>
                      <w:szCs w:val="21"/>
                      <w:lang w:val="en-US"/>
                    </w:rPr>
                  </w:pPr>
                  <w:r>
                    <w:rPr>
                      <w:rFonts w:hint="eastAsia"/>
                      <w:color w:val="auto"/>
                      <w:szCs w:val="21"/>
                    </w:rPr>
                    <w:t>设置定点投放垃圾桶</w:t>
                  </w:r>
                </w:p>
              </w:tc>
              <w:tc>
                <w:tcPr>
                  <w:tcW w:w="504" w:type="dxa"/>
                  <w:tcBorders>
                    <w:top w:val="single" w:color="auto" w:sz="4" w:space="0"/>
                    <w:left w:val="single" w:color="auto" w:sz="4" w:space="0"/>
                    <w:bottom w:val="single" w:color="auto" w:sz="12" w:space="0"/>
                    <w:right w:val="single" w:color="auto" w:sz="4" w:space="0"/>
                  </w:tcBorders>
                  <w:vAlign w:val="center"/>
                </w:tcPr>
                <w:p>
                  <w:pPr>
                    <w:pStyle w:val="121"/>
                    <w:rPr>
                      <w:color w:val="auto"/>
                      <w:szCs w:val="21"/>
                      <w:lang w:val="en-US"/>
                    </w:rPr>
                  </w:pPr>
                  <w:r>
                    <w:rPr>
                      <w:rFonts w:hint="eastAsia"/>
                      <w:color w:val="auto"/>
                      <w:szCs w:val="21"/>
                    </w:rPr>
                    <w:t>一天</w:t>
                  </w:r>
                </w:p>
              </w:tc>
              <w:tc>
                <w:tcPr>
                  <w:tcW w:w="973" w:type="dxa"/>
                  <w:tcBorders>
                    <w:top w:val="single" w:color="auto" w:sz="4" w:space="0"/>
                    <w:left w:val="single" w:color="auto" w:sz="4" w:space="0"/>
                    <w:bottom w:val="single" w:color="auto" w:sz="12" w:space="0"/>
                  </w:tcBorders>
                  <w:vAlign w:val="center"/>
                </w:tcPr>
                <w:p>
                  <w:pPr>
                    <w:pStyle w:val="121"/>
                    <w:rPr>
                      <w:color w:val="auto"/>
                      <w:szCs w:val="21"/>
                      <w:lang w:val="en-US"/>
                    </w:rPr>
                  </w:pPr>
                  <w:r>
                    <w:rPr>
                      <w:rFonts w:hint="eastAsia"/>
                      <w:color w:val="auto"/>
                      <w:szCs w:val="21"/>
                    </w:rPr>
                    <w:t>委托环卫部门统一清运</w:t>
                  </w:r>
                </w:p>
              </w:tc>
            </w:tr>
          </w:tbl>
          <w:p>
            <w:pPr>
              <w:pStyle w:val="124"/>
              <w:spacing w:line="360" w:lineRule="auto"/>
              <w:ind w:firstLine="241" w:firstLineChars="100"/>
              <w:rPr>
                <w:rFonts w:ascii="Times New Roman" w:cs="Times New Roman"/>
                <w:b/>
                <w:bCs/>
                <w:color w:val="auto"/>
              </w:rPr>
            </w:pPr>
            <w:r>
              <w:rPr>
                <w:rFonts w:hint="eastAsia" w:ascii="Times New Roman" w:cs="Times New Roman"/>
                <w:b/>
                <w:bCs/>
                <w:color w:val="auto"/>
              </w:rPr>
              <w:t>（</w:t>
            </w:r>
            <w:r>
              <w:rPr>
                <w:rFonts w:ascii="Times New Roman" w:cs="Times New Roman"/>
                <w:b/>
                <w:bCs/>
                <w:color w:val="auto"/>
              </w:rPr>
              <w:t>2</w:t>
            </w:r>
            <w:r>
              <w:rPr>
                <w:rFonts w:hint="eastAsia" w:ascii="Times New Roman" w:cs="Times New Roman"/>
                <w:b/>
                <w:bCs/>
                <w:color w:val="auto"/>
              </w:rPr>
              <w:t>）固体废物管理要求</w:t>
            </w:r>
            <w:r>
              <w:rPr>
                <w:rFonts w:ascii="Times New Roman" w:cs="Times New Roman"/>
                <w:b/>
                <w:bCs/>
                <w:color w:val="auto"/>
              </w:rPr>
              <w:t xml:space="preserve"> </w:t>
            </w:r>
          </w:p>
          <w:p>
            <w:pPr>
              <w:pStyle w:val="99"/>
              <w:adjustRightInd/>
              <w:snapToGrid/>
              <w:ind w:firstLine="31680"/>
              <w:rPr>
                <w:color w:val="auto"/>
              </w:rPr>
            </w:pPr>
            <w:r>
              <w:rPr>
                <w:color w:val="auto"/>
              </w:rPr>
              <w:t>1</w:t>
            </w:r>
            <w:r>
              <w:rPr>
                <w:rFonts w:hint="eastAsia"/>
                <w:color w:val="auto"/>
              </w:rPr>
              <w:t>）一般工业固体废物的贮存和管理</w:t>
            </w:r>
          </w:p>
          <w:p>
            <w:pPr>
              <w:pStyle w:val="99"/>
              <w:adjustRightInd/>
              <w:snapToGrid/>
              <w:ind w:firstLine="31680"/>
              <w:rPr>
                <w:color w:val="auto"/>
              </w:rPr>
            </w:pPr>
            <w:r>
              <w:rPr>
                <w:rFonts w:hint="eastAsia"/>
                <w:color w:val="auto"/>
              </w:rPr>
              <w:t>根据国家《一般工业固体废物贮存和填埋污染控制标准》（</w:t>
            </w:r>
            <w:r>
              <w:rPr>
                <w:color w:val="auto"/>
              </w:rPr>
              <w:t>GB18599-2020</w:t>
            </w:r>
            <w:r>
              <w:rPr>
                <w:rFonts w:hint="eastAsia"/>
                <w:color w:val="auto"/>
              </w:rPr>
              <w:t>）中的要求，一般工业固体废物的贮存和管理应做到：</w:t>
            </w:r>
          </w:p>
          <w:p>
            <w:pPr>
              <w:pStyle w:val="113"/>
              <w:spacing w:line="360" w:lineRule="auto"/>
              <w:ind w:firstLineChars="0"/>
              <w:jc w:val="both"/>
              <w:rPr>
                <w:color w:val="auto"/>
              </w:rPr>
            </w:pPr>
            <w:r>
              <w:rPr>
                <w:rFonts w:hint="eastAsia"/>
                <w:color w:val="auto"/>
              </w:rPr>
              <w:t>①不允许将危险废物和生活垃圾混入；</w:t>
            </w:r>
          </w:p>
          <w:p>
            <w:pPr>
              <w:pStyle w:val="113"/>
              <w:spacing w:line="360" w:lineRule="auto"/>
              <w:ind w:firstLine="31680"/>
              <w:jc w:val="both"/>
              <w:rPr>
                <w:color w:val="auto"/>
              </w:rPr>
            </w:pPr>
            <w:r>
              <w:rPr>
                <w:rFonts w:hint="eastAsia"/>
                <w:color w:val="auto"/>
              </w:rPr>
              <w:t>②尽量将可利用的一般工业固体废物回收、利用；</w:t>
            </w:r>
          </w:p>
          <w:p>
            <w:pPr>
              <w:pStyle w:val="113"/>
              <w:spacing w:line="360" w:lineRule="auto"/>
              <w:ind w:firstLineChars="0"/>
              <w:jc w:val="both"/>
              <w:rPr>
                <w:color w:val="auto"/>
              </w:rPr>
            </w:pPr>
            <w:r>
              <w:rPr>
                <w:rFonts w:hint="eastAsia"/>
                <w:color w:val="auto"/>
              </w:rPr>
              <w:t>③不相容的一般工业固体废物应设置不同的分区进行贮存；</w:t>
            </w:r>
          </w:p>
          <w:p>
            <w:pPr>
              <w:pStyle w:val="113"/>
              <w:spacing w:line="360" w:lineRule="auto"/>
              <w:ind w:firstLineChars="0"/>
              <w:jc w:val="both"/>
              <w:rPr>
                <w:color w:val="auto"/>
              </w:rPr>
            </w:pPr>
            <w:r>
              <w:rPr>
                <w:rFonts w:hint="eastAsia"/>
                <w:color w:val="auto"/>
              </w:rPr>
              <w:t>④将固废暂存间设置于厂房内，以防止雨水冲刷，雨水应通过场地四周导流渠流向雨水排放管。</w:t>
            </w:r>
          </w:p>
          <w:p>
            <w:pPr>
              <w:pStyle w:val="113"/>
              <w:spacing w:line="360" w:lineRule="auto"/>
              <w:ind w:firstLineChars="0"/>
              <w:jc w:val="both"/>
              <w:rPr>
                <w:color w:val="auto"/>
              </w:rPr>
            </w:pPr>
            <w:r>
              <w:rPr>
                <w:rFonts w:hint="eastAsia"/>
                <w:color w:val="auto"/>
              </w:rPr>
              <w:t>⑤固废暂存间场地应采用水泥铺设地面，以防渗漏。</w:t>
            </w:r>
          </w:p>
          <w:p>
            <w:pPr>
              <w:pStyle w:val="113"/>
              <w:spacing w:line="360" w:lineRule="auto"/>
              <w:ind w:firstLine="31680"/>
              <w:jc w:val="both"/>
              <w:rPr>
                <w:color w:val="auto"/>
              </w:rPr>
            </w:pPr>
            <w:r>
              <w:rPr>
                <w:rFonts w:hint="eastAsia"/>
                <w:color w:val="auto"/>
              </w:rPr>
              <w:t>⑥为加强管理监督，固废暂存间应按《环境保护图形标志－固体废物贮存（处置）场所》（</w:t>
            </w:r>
            <w:r>
              <w:rPr>
                <w:color w:val="auto"/>
              </w:rPr>
              <w:t>GB15562.2-1995</w:t>
            </w:r>
            <w:r>
              <w:rPr>
                <w:rFonts w:hint="eastAsia"/>
                <w:color w:val="auto"/>
              </w:rPr>
              <w:t>，</w:t>
            </w:r>
            <w:r>
              <w:rPr>
                <w:color w:val="auto"/>
              </w:rPr>
              <w:t>2023</w:t>
            </w:r>
            <w:r>
              <w:rPr>
                <w:rFonts w:hint="eastAsia"/>
                <w:color w:val="auto"/>
              </w:rPr>
              <w:t>修改单）设置环境保护图形标志，并定期检查和维护。</w:t>
            </w:r>
          </w:p>
          <w:p>
            <w:pPr>
              <w:pStyle w:val="113"/>
              <w:spacing w:line="360" w:lineRule="auto"/>
              <w:ind w:firstLine="31680"/>
              <w:jc w:val="both"/>
              <w:rPr>
                <w:color w:val="auto"/>
              </w:rPr>
            </w:pPr>
            <w:r>
              <w:rPr>
                <w:rFonts w:hint="eastAsia"/>
                <w:color w:val="auto"/>
              </w:rPr>
              <w:t>⑦暂存间的运行应建立档案管理制度，并按照国家档案管理等法律法规进行整理和归档，永久保存。</w:t>
            </w:r>
          </w:p>
          <w:p>
            <w:pPr>
              <w:pStyle w:val="113"/>
              <w:spacing w:line="360" w:lineRule="auto"/>
              <w:ind w:firstLine="31680"/>
              <w:jc w:val="both"/>
              <w:rPr>
                <w:color w:val="auto"/>
              </w:rPr>
            </w:pPr>
            <w:r>
              <w:rPr>
                <w:rFonts w:hint="eastAsia"/>
                <w:color w:val="auto"/>
              </w:rPr>
              <w:t>（</w:t>
            </w:r>
            <w:r>
              <w:rPr>
                <w:color w:val="auto"/>
              </w:rPr>
              <w:t>2</w:t>
            </w:r>
            <w:r>
              <w:rPr>
                <w:rFonts w:hint="eastAsia"/>
                <w:color w:val="auto"/>
              </w:rPr>
              <w:t>）危险废物的贮存和管理</w:t>
            </w:r>
          </w:p>
          <w:p>
            <w:pPr>
              <w:pStyle w:val="113"/>
              <w:spacing w:line="360" w:lineRule="auto"/>
              <w:ind w:firstLine="31680"/>
              <w:jc w:val="both"/>
              <w:rPr>
                <w:color w:val="auto"/>
              </w:rPr>
            </w:pPr>
            <w:r>
              <w:rPr>
                <w:rFonts w:hint="eastAsia"/>
                <w:color w:val="auto"/>
              </w:rPr>
              <w:t>危险废物的收集和贮存应遵循以下要求：</w:t>
            </w:r>
          </w:p>
          <w:p>
            <w:pPr>
              <w:pStyle w:val="99"/>
              <w:ind w:firstLine="31680"/>
              <w:rPr>
                <w:color w:val="auto"/>
              </w:rPr>
            </w:pPr>
            <w:r>
              <w:rPr>
                <w:rFonts w:hint="eastAsia"/>
                <w:color w:val="auto"/>
              </w:rPr>
              <w:t>①危险废物的收集容器和临时贮存场所应严格按照《危险废物贮存污染控制标准》（</w:t>
            </w:r>
            <w:r>
              <w:rPr>
                <w:color w:val="auto"/>
              </w:rPr>
              <w:t>GB18597-2023</w:t>
            </w:r>
            <w:r>
              <w:rPr>
                <w:rFonts w:hint="eastAsia"/>
                <w:color w:val="auto"/>
              </w:rPr>
              <w:t>）中的有关规定执行。贮存区必须按</w:t>
            </w:r>
            <w:r>
              <w:rPr>
                <w:color w:val="auto"/>
              </w:rPr>
              <w:t>GB15562.2</w:t>
            </w:r>
            <w:r>
              <w:rPr>
                <w:rFonts w:hint="eastAsia"/>
                <w:color w:val="auto"/>
              </w:rPr>
              <w:t>的规定设置警示标志，并具有防雨淋、防日晒、防渗漏措施，且危险废物要有专用的收集容器，定期对所贮存的危险废物贮存设施进行检查，发现破损，应及时采取措施。根据业主介绍，按照《危险废物污染防治技术政策》（环发【</w:t>
            </w:r>
            <w:r>
              <w:rPr>
                <w:color w:val="auto"/>
              </w:rPr>
              <w:t>2001</w:t>
            </w:r>
            <w:r>
              <w:rPr>
                <w:rFonts w:hint="eastAsia"/>
                <w:color w:val="auto"/>
              </w:rPr>
              <w:t>】</w:t>
            </w:r>
            <w:r>
              <w:rPr>
                <w:color w:val="auto"/>
              </w:rPr>
              <w:t>199</w:t>
            </w:r>
            <w:r>
              <w:rPr>
                <w:rFonts w:hint="eastAsia"/>
                <w:color w:val="auto"/>
              </w:rPr>
              <w:t>号）、《危险废物贮存污染控制标准》（</w:t>
            </w:r>
            <w:r>
              <w:rPr>
                <w:color w:val="auto"/>
              </w:rPr>
              <w:t>GB18597-2023</w:t>
            </w:r>
            <w:r>
              <w:rPr>
                <w:rFonts w:hint="eastAsia"/>
                <w:color w:val="auto"/>
              </w:rPr>
              <w:t>）及《建设项目危险废物环境影响评价指南》（</w:t>
            </w:r>
            <w:r>
              <w:rPr>
                <w:color w:val="auto"/>
              </w:rPr>
              <w:t>2017.10.1</w:t>
            </w:r>
            <w:r>
              <w:rPr>
                <w:rFonts w:hint="eastAsia"/>
                <w:color w:val="auto"/>
              </w:rPr>
              <w:t>实施）等文件、技术规范要求设置危险废物临时贮存间。</w:t>
            </w:r>
          </w:p>
          <w:p>
            <w:pPr>
              <w:pStyle w:val="99"/>
              <w:ind w:firstLine="31680"/>
              <w:rPr>
                <w:color w:val="auto"/>
              </w:rPr>
            </w:pPr>
            <w:r>
              <w:rPr>
                <w:rFonts w:hint="eastAsia"/>
                <w:color w:val="auto"/>
              </w:rPr>
              <w:t>危险废物临时贮存的几点要求：</w:t>
            </w:r>
          </w:p>
          <w:p>
            <w:pPr>
              <w:pStyle w:val="99"/>
              <w:ind w:firstLine="31680"/>
              <w:rPr>
                <w:color w:val="auto"/>
              </w:rPr>
            </w:pPr>
            <w:r>
              <w:rPr>
                <w:color w:val="auto"/>
              </w:rPr>
              <w:t>A</w:t>
            </w:r>
            <w:r>
              <w:rPr>
                <w:rFonts w:hint="eastAsia"/>
                <w:color w:val="auto"/>
              </w:rPr>
              <w:t>、危险废物在收集时，应清楚废物的类别及主要成分，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pStyle w:val="99"/>
              <w:ind w:firstLine="31680"/>
              <w:rPr>
                <w:color w:val="auto"/>
              </w:rPr>
            </w:pPr>
            <w:r>
              <w:rPr>
                <w:color w:val="auto"/>
              </w:rPr>
              <w:t>B</w:t>
            </w:r>
            <w:r>
              <w:rPr>
                <w:rFonts w:hint="eastAsia"/>
                <w:color w:val="auto"/>
              </w:rPr>
              <w:t>、按《环境保护图形标识</w:t>
            </w:r>
            <w:r>
              <w:rPr>
                <w:color w:val="auto"/>
              </w:rPr>
              <w:t>—</w:t>
            </w:r>
            <w:r>
              <w:rPr>
                <w:rFonts w:hint="eastAsia"/>
                <w:color w:val="auto"/>
              </w:rPr>
              <w:t>固体废物贮存（处置）场》（</w:t>
            </w:r>
            <w:r>
              <w:rPr>
                <w:color w:val="auto"/>
              </w:rPr>
              <w:t>GB15562.2</w:t>
            </w:r>
            <w:r>
              <w:rPr>
                <w:rFonts w:hint="eastAsia"/>
                <w:color w:val="auto"/>
              </w:rPr>
              <w:t>）在收集场所醒目的地方设置危险废物警告标识。</w:t>
            </w:r>
          </w:p>
          <w:p>
            <w:pPr>
              <w:pStyle w:val="99"/>
              <w:ind w:firstLine="31680"/>
              <w:rPr>
                <w:color w:val="auto"/>
              </w:rPr>
            </w:pPr>
            <w:r>
              <w:rPr>
                <w:color w:val="auto"/>
              </w:rPr>
              <w:t>C</w:t>
            </w:r>
            <w:r>
              <w:rPr>
                <w:rFonts w:hint="eastAsia"/>
                <w:color w:val="auto"/>
              </w:rPr>
              <w:t>、由专人负责管理。危险废物按不同名录分类分区堆放，并做好隔离、防水、防晒、防雨、防渗、防火处理。</w:t>
            </w:r>
          </w:p>
          <w:p>
            <w:pPr>
              <w:pStyle w:val="99"/>
              <w:ind w:firstLine="31680"/>
              <w:rPr>
                <w:color w:val="auto"/>
              </w:rPr>
            </w:pPr>
            <w:r>
              <w:rPr>
                <w:color w:val="auto"/>
              </w:rPr>
              <w:t>D</w:t>
            </w:r>
            <w:r>
              <w:rPr>
                <w:rFonts w:hint="eastAsia"/>
                <w:color w:val="auto"/>
              </w:rPr>
              <w:t>、应配备通讯设备、照明设施、安全防护服装及工具，并设有报警装置和应急防护设施。</w:t>
            </w:r>
          </w:p>
          <w:p>
            <w:pPr>
              <w:pStyle w:val="99"/>
              <w:ind w:firstLine="31680"/>
              <w:rPr>
                <w:color w:val="auto"/>
              </w:rPr>
            </w:pPr>
            <w:r>
              <w:rPr>
                <w:color w:val="auto"/>
              </w:rPr>
              <w:t>E</w:t>
            </w:r>
            <w:r>
              <w:rPr>
                <w:rFonts w:hint="eastAsia"/>
                <w:color w:val="auto"/>
              </w:rPr>
              <w:t>、贮存区内禁止混放不相容危险废物；禁止危险废物混入非危险废物中贮存；危险废物按种类分别存放，且不同类废物间有明显的间隔（如过道等）。</w:t>
            </w:r>
          </w:p>
          <w:p>
            <w:pPr>
              <w:pStyle w:val="99"/>
              <w:ind w:firstLine="31680"/>
              <w:rPr>
                <w:color w:val="auto"/>
              </w:rPr>
            </w:pPr>
            <w:r>
              <w:rPr>
                <w:color w:val="auto"/>
              </w:rPr>
              <w:t>F</w:t>
            </w:r>
            <w:r>
              <w:rPr>
                <w:rFonts w:hint="eastAsia"/>
                <w:color w:val="auto"/>
              </w:rPr>
              <w:t>、危险废物临时贮存场所的地面和裙脚要用坚固、防渗的材料建造；该贮存场所的地面与裙脚围建一定的空间，该容积不低于堵截最大容器的最大储量或总储量的</w:t>
            </w:r>
            <w:r>
              <w:rPr>
                <w:color w:val="auto"/>
              </w:rPr>
              <w:t>1/5</w:t>
            </w:r>
            <w:r>
              <w:rPr>
                <w:rFonts w:hint="eastAsia"/>
                <w:color w:val="auto"/>
              </w:rPr>
              <w:t>贮存场所需设液体收集装置、气体导出口及气体净化装置；贮存装载液体、半固体危险废物容器的地方，必须有耐腐蚀的硬化地面且表面无裂隙。贮存设施应注意安全照明等问题；不相容的危险废物分开存放，并设有隔离间；基础防渗层为至少</w:t>
            </w:r>
            <w:r>
              <w:rPr>
                <w:color w:val="auto"/>
              </w:rPr>
              <w:t>1m</w:t>
            </w:r>
            <w:r>
              <w:rPr>
                <w:rFonts w:hint="eastAsia"/>
                <w:color w:val="auto"/>
              </w:rPr>
              <w:t>厚黏土层（渗透系数≤</w:t>
            </w:r>
            <w:r>
              <w:rPr>
                <w:color w:val="auto"/>
              </w:rPr>
              <w:t>10</w:t>
            </w:r>
            <w:r>
              <w:rPr>
                <w:color w:val="auto"/>
                <w:vertAlign w:val="superscript"/>
              </w:rPr>
              <w:t>-7</w:t>
            </w:r>
            <w:r>
              <w:rPr>
                <w:color w:val="auto"/>
              </w:rPr>
              <w:t>cm/s</w:t>
            </w:r>
            <w:r>
              <w:rPr>
                <w:rFonts w:hint="eastAsia"/>
                <w:color w:val="auto"/>
              </w:rPr>
              <w:t>），或</w:t>
            </w:r>
            <w:r>
              <w:rPr>
                <w:color w:val="auto"/>
              </w:rPr>
              <w:t>2mm</w:t>
            </w:r>
            <w:r>
              <w:rPr>
                <w:rFonts w:hint="eastAsia"/>
                <w:color w:val="auto"/>
              </w:rPr>
              <w:t>厚高密度聚乙烯，或至少</w:t>
            </w:r>
            <w:r>
              <w:rPr>
                <w:color w:val="auto"/>
              </w:rPr>
              <w:t>2mm</w:t>
            </w:r>
            <w:r>
              <w:rPr>
                <w:rFonts w:hint="eastAsia"/>
                <w:color w:val="auto"/>
              </w:rPr>
              <w:t>厚的其他人工材料，渗透系数≤</w:t>
            </w:r>
            <w:r>
              <w:rPr>
                <w:color w:val="auto"/>
              </w:rPr>
              <w:t>10</w:t>
            </w:r>
            <w:r>
              <w:rPr>
                <w:color w:val="auto"/>
                <w:vertAlign w:val="superscript"/>
              </w:rPr>
              <w:t>-10</w:t>
            </w:r>
            <w:r>
              <w:rPr>
                <w:color w:val="auto"/>
              </w:rPr>
              <w:t>cm/s</w:t>
            </w:r>
            <w:r>
              <w:rPr>
                <w:rFonts w:hint="eastAsia"/>
                <w:color w:val="auto"/>
              </w:rPr>
              <w:t>。具体设计原则参见《危险废物贮存污染控制标准》（</w:t>
            </w:r>
            <w:r>
              <w:rPr>
                <w:color w:val="auto"/>
              </w:rPr>
              <w:t>GB18597-2023</w:t>
            </w:r>
            <w:r>
              <w:rPr>
                <w:rFonts w:hint="eastAsia"/>
                <w:color w:val="auto"/>
              </w:rPr>
              <w:t>）。</w:t>
            </w:r>
          </w:p>
          <w:p>
            <w:pPr>
              <w:pStyle w:val="99"/>
              <w:ind w:firstLine="31680"/>
              <w:rPr>
                <w:color w:val="auto"/>
              </w:rPr>
            </w:pPr>
            <w:r>
              <w:rPr>
                <w:rFonts w:hint="eastAsia"/>
                <w:color w:val="auto"/>
              </w:rPr>
              <w:t>②建立危险废物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w:t>
            </w:r>
            <w:r>
              <w:rPr>
                <w:color w:val="auto"/>
              </w:rPr>
              <w:t>GB18597-2023</w:t>
            </w:r>
            <w:r>
              <w:rPr>
                <w:rFonts w:hint="eastAsia"/>
                <w:color w:val="auto"/>
              </w:rPr>
              <w:t>）和《危险废物转移管理办法》要求执行。建设单位应强化废物产生、收集、贮放各环节的管理，各种固体废物按照类别分类存放，避免固体废物在厂区内散失、渗漏，达到无害化的目的，避免产生二次污染。</w:t>
            </w:r>
          </w:p>
          <w:p>
            <w:pPr>
              <w:pStyle w:val="99"/>
              <w:ind w:firstLine="31680"/>
              <w:rPr>
                <w:color w:val="auto"/>
              </w:rPr>
            </w:pPr>
            <w:r>
              <w:rPr>
                <w:rFonts w:hint="eastAsia"/>
                <w:color w:val="auto"/>
              </w:rPr>
              <w:t>危险废物的运输采取危险废物转移“电子联单”制度，保证运输安全，防止非法转移和非法处置，保证危险废物的安全监控，防止危险废物污染事故发生。</w:t>
            </w:r>
          </w:p>
          <w:p>
            <w:pPr>
              <w:pStyle w:val="99"/>
              <w:ind w:firstLine="31680"/>
              <w:rPr>
                <w:color w:val="auto"/>
              </w:rPr>
            </w:pPr>
            <w:r>
              <w:rPr>
                <w:rFonts w:hint="eastAsia"/>
                <w:color w:val="auto"/>
              </w:rPr>
              <w:t>“电子联单”应通过福建省固体废物环境监管平台申请电子联单，危险废物产生者及其他需要转移危险废物的单位在转移危险废物之前，须按照国家有关规定报批危险废物转移计划。经批准后，通过《信息系统》申请电子联单。</w:t>
            </w:r>
          </w:p>
          <w:p>
            <w:pPr>
              <w:pStyle w:val="99"/>
              <w:ind w:firstLine="31680"/>
              <w:rPr>
                <w:color w:val="auto"/>
              </w:rPr>
            </w:pPr>
            <w:r>
              <w:rPr>
                <w:rFonts w:hint="eastAsia"/>
                <w:color w:val="auto"/>
              </w:rPr>
              <w:t>③应将危险废物提供或者委托给有危险废物经营许可证的单位从事利用和处置，并签订处置合同。同时应加强对运输单位及处置单位的跟踪检查，控制运输过程中的环境风险。</w:t>
            </w:r>
          </w:p>
          <w:p>
            <w:pPr>
              <w:pStyle w:val="116"/>
              <w:adjustRightInd/>
              <w:snapToGrid/>
              <w:spacing w:beforeLines="50"/>
              <w:rPr>
                <w:color w:val="auto"/>
              </w:rPr>
            </w:pPr>
            <w:r>
              <w:rPr>
                <w:color w:val="auto"/>
              </w:rPr>
              <w:t>4.2.5</w:t>
            </w:r>
            <w:r>
              <w:rPr>
                <w:rFonts w:hint="eastAsia"/>
                <w:color w:val="auto"/>
              </w:rPr>
              <w:t>地下水、土壤环境影响分析</w:t>
            </w:r>
          </w:p>
          <w:p>
            <w:pPr>
              <w:pStyle w:val="99"/>
              <w:ind w:firstLine="31680"/>
              <w:rPr>
                <w:color w:val="auto"/>
              </w:rPr>
            </w:pPr>
            <w:r>
              <w:rPr>
                <w:rFonts w:hint="eastAsia"/>
                <w:color w:val="auto"/>
              </w:rPr>
              <w:t>（</w:t>
            </w:r>
            <w:r>
              <w:rPr>
                <w:color w:val="auto"/>
              </w:rPr>
              <w:t>1</w:t>
            </w:r>
            <w:r>
              <w:rPr>
                <w:rFonts w:hint="eastAsia"/>
                <w:color w:val="auto"/>
              </w:rPr>
              <w:t>）地下水</w:t>
            </w:r>
          </w:p>
          <w:p>
            <w:pPr>
              <w:pStyle w:val="67"/>
              <w:ind w:firstLine="31680"/>
              <w:rPr>
                <w:color w:val="auto"/>
              </w:rPr>
            </w:pPr>
            <w:r>
              <w:rPr>
                <w:rFonts w:hint="eastAsia"/>
                <w:color w:val="auto"/>
              </w:rPr>
              <w:t>根据《环境影响评价技术导则</w:t>
            </w:r>
            <w:r>
              <w:rPr>
                <w:color w:val="auto"/>
              </w:rPr>
              <w:t xml:space="preserve"> </w:t>
            </w:r>
            <w:r>
              <w:rPr>
                <w:rFonts w:hint="eastAsia"/>
                <w:color w:val="auto"/>
              </w:rPr>
              <w:t>地下水环境》（</w:t>
            </w:r>
            <w:r>
              <w:rPr>
                <w:color w:val="auto"/>
              </w:rPr>
              <w:t>HJ610-2016</w:t>
            </w:r>
            <w:r>
              <w:rPr>
                <w:rFonts w:hint="eastAsia"/>
                <w:color w:val="auto"/>
              </w:rPr>
              <w:t>），并结合《建设项目环境影响评价分类管理名录》将建设项目分为四类，</w:t>
            </w:r>
            <w:r>
              <w:rPr>
                <w:rFonts w:hint="eastAsia" w:ascii="宋体" w:hAnsi="宋体" w:cs="宋体"/>
                <w:color w:val="auto"/>
              </w:rPr>
              <w:t>Ⅰ</w:t>
            </w:r>
            <w:r>
              <w:rPr>
                <w:rFonts w:hint="eastAsia"/>
                <w:color w:val="auto"/>
              </w:rPr>
              <w:t>类、</w:t>
            </w:r>
            <w:r>
              <w:rPr>
                <w:rFonts w:hint="eastAsia" w:ascii="宋体" w:hAnsi="宋体" w:cs="宋体"/>
                <w:color w:val="auto"/>
              </w:rPr>
              <w:t>Ⅱ</w:t>
            </w:r>
            <w:r>
              <w:rPr>
                <w:rFonts w:hint="eastAsia"/>
                <w:color w:val="auto"/>
              </w:rPr>
              <w:t>类、</w:t>
            </w:r>
            <w:r>
              <w:rPr>
                <w:rFonts w:hint="eastAsia" w:ascii="宋体" w:hAnsi="宋体" w:cs="宋体"/>
                <w:color w:val="auto"/>
              </w:rPr>
              <w:t>Ⅲ</w:t>
            </w:r>
            <w:r>
              <w:rPr>
                <w:rFonts w:hint="eastAsia"/>
                <w:color w:val="auto"/>
              </w:rPr>
              <w:t>类建设项目的地下水环境影响评价应执行本标准，</w:t>
            </w:r>
            <w:r>
              <w:rPr>
                <w:rFonts w:hint="eastAsia" w:ascii="宋体" w:hAnsi="宋体" w:cs="宋体"/>
                <w:color w:val="auto"/>
              </w:rPr>
              <w:t>Ⅳ</w:t>
            </w:r>
            <w:r>
              <w:rPr>
                <w:rFonts w:hint="eastAsia"/>
                <w:color w:val="auto"/>
              </w:rPr>
              <w:t>类建设项目不开展地下水环境影响评价。根据附录</w:t>
            </w:r>
            <w:r>
              <w:rPr>
                <w:color w:val="auto"/>
              </w:rPr>
              <w:t>A</w:t>
            </w:r>
            <w:r>
              <w:rPr>
                <w:rFonts w:hint="eastAsia"/>
                <w:color w:val="auto"/>
              </w:rPr>
              <w:t>（地下水环境影响评价行业分类表），本项目属于水泥制品制造，地下水环境影响评价项目类别为</w:t>
            </w:r>
            <w:r>
              <w:rPr>
                <w:color w:val="auto"/>
              </w:rPr>
              <w:t xml:space="preserve"> IV </w:t>
            </w:r>
            <w:r>
              <w:rPr>
                <w:rFonts w:hint="eastAsia"/>
                <w:color w:val="auto"/>
              </w:rPr>
              <w:t>类，故本项目不开展地下水环境影响评价。</w:t>
            </w:r>
          </w:p>
          <w:p>
            <w:pPr>
              <w:pStyle w:val="67"/>
              <w:ind w:firstLine="31680"/>
              <w:rPr>
                <w:color w:val="auto"/>
              </w:rPr>
            </w:pPr>
            <w:r>
              <w:rPr>
                <w:rFonts w:hint="eastAsia"/>
                <w:color w:val="auto"/>
              </w:rPr>
              <w:t>（</w:t>
            </w:r>
            <w:r>
              <w:rPr>
                <w:color w:val="auto"/>
              </w:rPr>
              <w:t>2</w:t>
            </w:r>
            <w:r>
              <w:rPr>
                <w:rFonts w:hint="eastAsia"/>
                <w:color w:val="auto"/>
              </w:rPr>
              <w:t>）土壤</w:t>
            </w:r>
          </w:p>
          <w:p>
            <w:pPr>
              <w:pStyle w:val="67"/>
              <w:ind w:firstLine="31680"/>
              <w:rPr>
                <w:color w:val="auto"/>
              </w:rPr>
            </w:pPr>
            <w:r>
              <w:rPr>
                <w:rFonts w:hint="eastAsia"/>
                <w:color w:val="auto"/>
              </w:rPr>
              <w:t>根据《环境影响评价技术导则</w:t>
            </w:r>
            <w:r>
              <w:rPr>
                <w:color w:val="auto"/>
              </w:rPr>
              <w:t xml:space="preserve"> </w:t>
            </w:r>
            <w:r>
              <w:rPr>
                <w:rFonts w:hint="eastAsia"/>
                <w:color w:val="auto"/>
              </w:rPr>
              <w:t>土壤环境（试行）》（</w:t>
            </w:r>
            <w:r>
              <w:rPr>
                <w:color w:val="auto"/>
              </w:rPr>
              <w:t>HJ964-2018</w:t>
            </w:r>
            <w:r>
              <w:rPr>
                <w:rFonts w:hint="eastAsia"/>
                <w:color w:val="auto"/>
              </w:rPr>
              <w:t>），并结合《建设项目环境影响评价分类管理名录》将建设项目分为四类，Ⅰ类、Ⅱ类、Ⅲ类建设项目的土壤环境影响评价应执行本标准，Ⅳ类建设项目不开展土壤环境影响评价。根据附录</w:t>
            </w:r>
            <w:r>
              <w:rPr>
                <w:color w:val="auto"/>
              </w:rPr>
              <w:t>A</w:t>
            </w:r>
            <w:r>
              <w:rPr>
                <w:rFonts w:hint="eastAsia"/>
                <w:color w:val="auto"/>
              </w:rPr>
              <w:t>（土壤环境影响评价项目类别），本项目属于“金属冶炼和压延加工及非金属矿物制品”中“其他”项目，故土壤环境影响评价项目为Ⅲ类。</w:t>
            </w:r>
          </w:p>
          <w:p>
            <w:pPr>
              <w:pStyle w:val="67"/>
              <w:ind w:firstLine="31680"/>
              <w:rPr>
                <w:color w:val="auto"/>
              </w:rPr>
            </w:pPr>
            <w:r>
              <w:rPr>
                <w:rFonts w:hint="eastAsia"/>
                <w:color w:val="auto"/>
              </w:rPr>
              <w:t>根据《环境影响评价技术导则</w:t>
            </w:r>
            <w:r>
              <w:rPr>
                <w:color w:val="auto"/>
              </w:rPr>
              <w:t xml:space="preserve"> </w:t>
            </w:r>
            <w:r>
              <w:rPr>
                <w:rFonts w:hint="eastAsia"/>
                <w:color w:val="auto"/>
              </w:rPr>
              <w:t>土壤环境（试行）》（</w:t>
            </w:r>
            <w:r>
              <w:rPr>
                <w:color w:val="auto"/>
              </w:rPr>
              <w:t>HJ964-2018</w:t>
            </w:r>
            <w:r>
              <w:rPr>
                <w:rFonts w:hint="eastAsia"/>
                <w:color w:val="auto"/>
              </w:rPr>
              <w:t>）评价等级划分，本项目建设规模属小型（</w:t>
            </w:r>
            <w:r>
              <w:rPr>
                <w:color w:val="auto"/>
              </w:rPr>
              <w:t>≤5hm</w:t>
            </w:r>
            <w:r>
              <w:rPr>
                <w:color w:val="auto"/>
                <w:vertAlign w:val="superscript"/>
              </w:rPr>
              <w:t>2</w:t>
            </w:r>
            <w:r>
              <w:rPr>
                <w:rFonts w:hint="eastAsia"/>
                <w:color w:val="auto"/>
              </w:rPr>
              <w:t>），同时根据对项目周边调查，本项目周边的土壤环境敏感程度为不敏感。根据评价等级工作划分表，本项目可不开展土壤环境影响评价工作。</w:t>
            </w:r>
          </w:p>
          <w:p>
            <w:pPr>
              <w:pStyle w:val="116"/>
              <w:adjustRightInd/>
              <w:snapToGrid/>
              <w:spacing w:beforeLines="50"/>
              <w:rPr>
                <w:color w:val="auto"/>
              </w:rPr>
            </w:pPr>
            <w:r>
              <w:rPr>
                <w:color w:val="auto"/>
              </w:rPr>
              <w:t>4.2.6</w:t>
            </w:r>
            <w:r>
              <w:rPr>
                <w:rFonts w:hint="eastAsia"/>
                <w:color w:val="auto"/>
              </w:rPr>
              <w:t>生态环境影响分析</w:t>
            </w:r>
          </w:p>
          <w:p>
            <w:pPr>
              <w:pStyle w:val="99"/>
              <w:ind w:firstLine="31680"/>
              <w:rPr>
                <w:color w:val="auto"/>
              </w:rPr>
            </w:pPr>
            <w:r>
              <w:rPr>
                <w:rFonts w:hint="eastAsia"/>
                <w:color w:val="auto"/>
              </w:rPr>
              <w:t>本项目位于永安市曹远镇坑边路（北部工业新城鑫华港饲料东侧），用地性质属于工业用地，项目场地已经平整，且无生态环境保护目标，无需采取生态环境保护措施。</w:t>
            </w:r>
          </w:p>
          <w:p>
            <w:pPr>
              <w:pStyle w:val="116"/>
              <w:adjustRightInd/>
              <w:snapToGrid/>
              <w:spacing w:beforeLines="50"/>
              <w:rPr>
                <w:color w:val="auto"/>
              </w:rPr>
            </w:pPr>
            <w:r>
              <w:rPr>
                <w:color w:val="auto"/>
              </w:rPr>
              <w:t>4.2.7</w:t>
            </w:r>
            <w:r>
              <w:rPr>
                <w:rFonts w:hint="eastAsia"/>
                <w:color w:val="auto"/>
              </w:rPr>
              <w:t>环境风险</w:t>
            </w:r>
          </w:p>
          <w:p>
            <w:pPr>
              <w:pStyle w:val="69"/>
              <w:spacing w:beforeLines="50" w:afterLines="50"/>
              <w:textAlignment w:val="center"/>
              <w:rPr>
                <w:color w:val="auto"/>
              </w:rPr>
            </w:pPr>
            <w:r>
              <w:rPr>
                <w:color w:val="auto"/>
              </w:rPr>
              <w:t>4.2.7.1</w:t>
            </w:r>
            <w:r>
              <w:rPr>
                <w:rFonts w:hint="eastAsia"/>
                <w:color w:val="auto"/>
              </w:rPr>
              <w:t>环境风险识别</w:t>
            </w:r>
          </w:p>
          <w:p>
            <w:pPr>
              <w:pStyle w:val="99"/>
              <w:ind w:firstLine="31680"/>
              <w:rPr>
                <w:color w:val="auto"/>
              </w:rPr>
            </w:pPr>
            <w:r>
              <w:rPr>
                <w:rFonts w:hint="eastAsia"/>
                <w:color w:val="auto"/>
              </w:rPr>
              <w:t>（</w:t>
            </w:r>
            <w:r>
              <w:rPr>
                <w:color w:val="auto"/>
              </w:rPr>
              <w:t>1</w:t>
            </w:r>
            <w:r>
              <w:rPr>
                <w:rFonts w:hint="eastAsia"/>
                <w:color w:val="auto"/>
              </w:rPr>
              <w:t>）风险识别范围</w:t>
            </w:r>
          </w:p>
          <w:p>
            <w:pPr>
              <w:pStyle w:val="99"/>
              <w:ind w:firstLine="31680"/>
              <w:rPr>
                <w:color w:val="auto"/>
              </w:rPr>
            </w:pPr>
            <w:bookmarkStart w:id="21" w:name="bookmark247"/>
            <w:bookmarkEnd w:id="21"/>
            <w:r>
              <w:rPr>
                <w:rFonts w:hint="eastAsia"/>
                <w:color w:val="auto"/>
              </w:rPr>
              <w:t>①本项目生产系统危险性识别包括主要生产装置、储运设施、公用工程和辅助生产设施，以及环境保护设施等。</w:t>
            </w:r>
          </w:p>
          <w:p>
            <w:pPr>
              <w:pStyle w:val="99"/>
              <w:ind w:firstLine="31680"/>
              <w:rPr>
                <w:color w:val="auto"/>
              </w:rPr>
            </w:pPr>
            <w:bookmarkStart w:id="22" w:name="bookmark248"/>
            <w:bookmarkEnd w:id="22"/>
            <w:r>
              <w:rPr>
                <w:rFonts w:hint="eastAsia"/>
                <w:color w:val="auto"/>
              </w:rPr>
              <w:t>②物质危险性识别包括主要原辅材料、中间产品、副产品、最终产品、污染物、火灾和爆炸伴生</w:t>
            </w:r>
            <w:r>
              <w:rPr>
                <w:color w:val="auto"/>
              </w:rPr>
              <w:t>/</w:t>
            </w:r>
            <w:r>
              <w:rPr>
                <w:rFonts w:hint="eastAsia"/>
                <w:color w:val="auto"/>
              </w:rPr>
              <w:t>次生物等。</w:t>
            </w:r>
          </w:p>
          <w:p>
            <w:pPr>
              <w:pStyle w:val="99"/>
              <w:ind w:firstLine="31680"/>
              <w:rPr>
                <w:color w:val="auto"/>
              </w:rPr>
            </w:pPr>
            <w:r>
              <w:rPr>
                <w:rFonts w:hint="eastAsia"/>
                <w:color w:val="auto"/>
              </w:rPr>
              <w:t>（</w:t>
            </w:r>
            <w:r>
              <w:rPr>
                <w:color w:val="auto"/>
              </w:rPr>
              <w:t>2</w:t>
            </w:r>
            <w:r>
              <w:rPr>
                <w:rFonts w:hint="eastAsia"/>
                <w:color w:val="auto"/>
              </w:rPr>
              <w:t>）风险识别类型</w:t>
            </w:r>
          </w:p>
          <w:p>
            <w:pPr>
              <w:pStyle w:val="99"/>
              <w:ind w:firstLine="31680"/>
              <w:rPr>
                <w:color w:val="auto"/>
              </w:rPr>
            </w:pPr>
            <w:r>
              <w:rPr>
                <w:rFonts w:hint="eastAsia"/>
                <w:color w:val="auto"/>
              </w:rPr>
              <w:t>物质在使用及储存过程中可能发生的事故有机械破损、物体摔落、腐蚀性物质喷溅致残、有毒物质的泄漏引起火灾、爆炸、有毒物质排放等，其中后三种可能导致具有严重后果的危害。因此，本次环境风险评价的主要研究对象是：</w:t>
            </w:r>
            <w:r>
              <w:rPr>
                <w:color w:val="auto"/>
              </w:rPr>
              <w:t>A.</w:t>
            </w:r>
            <w:r>
              <w:rPr>
                <w:rFonts w:hint="eastAsia"/>
                <w:color w:val="auto"/>
              </w:rPr>
              <w:t>重大火灾；</w:t>
            </w:r>
            <w:r>
              <w:rPr>
                <w:color w:val="auto"/>
              </w:rPr>
              <w:t>B.</w:t>
            </w:r>
            <w:r>
              <w:rPr>
                <w:rFonts w:hint="eastAsia"/>
                <w:color w:val="auto"/>
              </w:rPr>
              <w:t>重大爆炸；</w:t>
            </w:r>
            <w:r>
              <w:rPr>
                <w:color w:val="auto"/>
              </w:rPr>
              <w:t>C.</w:t>
            </w:r>
            <w:r>
              <w:rPr>
                <w:rFonts w:hint="eastAsia"/>
                <w:color w:val="auto"/>
              </w:rPr>
              <w:t>物质泄漏风险。</w:t>
            </w:r>
          </w:p>
          <w:p>
            <w:pPr>
              <w:pStyle w:val="99"/>
              <w:ind w:firstLine="31680"/>
              <w:rPr>
                <w:color w:val="auto"/>
              </w:rPr>
            </w:pPr>
            <w:r>
              <w:rPr>
                <w:rFonts w:hint="eastAsia"/>
                <w:color w:val="auto"/>
              </w:rPr>
              <w:t>（</w:t>
            </w:r>
            <w:r>
              <w:rPr>
                <w:color w:val="auto"/>
              </w:rPr>
              <w:t>3</w:t>
            </w:r>
            <w:r>
              <w:rPr>
                <w:rFonts w:hint="eastAsia"/>
                <w:color w:val="auto"/>
              </w:rPr>
              <w:t>）物质风险识别</w:t>
            </w:r>
          </w:p>
          <w:p>
            <w:pPr>
              <w:pStyle w:val="99"/>
              <w:ind w:firstLine="31680"/>
              <w:rPr>
                <w:color w:val="auto"/>
              </w:rPr>
            </w:pPr>
            <w:r>
              <w:rPr>
                <w:rFonts w:hint="eastAsia"/>
                <w:color w:val="auto"/>
              </w:rPr>
              <w:t>根据《危险化学品重大危险源辨识》（</w:t>
            </w:r>
            <w:r>
              <w:rPr>
                <w:color w:val="auto"/>
              </w:rPr>
              <w:t>GB18218-2018</w:t>
            </w:r>
            <w:r>
              <w:rPr>
                <w:rFonts w:hint="eastAsia"/>
                <w:color w:val="auto"/>
              </w:rPr>
              <w:t>）表</w:t>
            </w:r>
            <w:r>
              <w:rPr>
                <w:color w:val="auto"/>
              </w:rPr>
              <w:t>2</w:t>
            </w:r>
            <w:r>
              <w:rPr>
                <w:rFonts w:hint="eastAsia"/>
                <w:color w:val="auto"/>
              </w:rPr>
              <w:t>和《建设项目环境风险评价技术导则》</w:t>
            </w:r>
            <w:r>
              <w:rPr>
                <w:color w:val="auto"/>
              </w:rPr>
              <w:t>HJ169-2018</w:t>
            </w:r>
            <w:r>
              <w:rPr>
                <w:rFonts w:hint="eastAsia"/>
                <w:color w:val="auto"/>
              </w:rPr>
              <w:t>附录</w:t>
            </w:r>
            <w:r>
              <w:rPr>
                <w:color w:val="auto"/>
              </w:rPr>
              <w:t>B</w:t>
            </w:r>
            <w:r>
              <w:rPr>
                <w:rFonts w:hint="eastAsia"/>
                <w:color w:val="auto"/>
              </w:rPr>
              <w:t>危险化学品的临界量，项目物质危险性识别结果见表</w:t>
            </w:r>
            <w:r>
              <w:rPr>
                <w:color w:val="auto"/>
              </w:rPr>
              <w:t>4.2-21</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4.2-21  </w:t>
            </w:r>
            <w:r>
              <w:rPr>
                <w:rFonts w:hint="eastAsia" w:eastAsia="黑体"/>
                <w:color w:val="auto"/>
                <w:sz w:val="24"/>
              </w:rPr>
              <w:t>危险性判定表</w:t>
            </w:r>
          </w:p>
          <w:tbl>
            <w:tblPr>
              <w:tblStyle w:val="27"/>
              <w:tblW w:w="841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2549"/>
              <w:gridCol w:w="2303"/>
              <w:gridCol w:w="1875"/>
              <w:gridCol w:w="16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26" w:hRule="atLeast"/>
                <w:jc w:val="center"/>
              </w:trPr>
              <w:tc>
                <w:tcPr>
                  <w:tcW w:w="2549" w:type="dxa"/>
                  <w:tcBorders>
                    <w:top w:val="single" w:color="auto" w:sz="12"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物质名称</w:t>
                  </w:r>
                </w:p>
              </w:tc>
              <w:tc>
                <w:tcPr>
                  <w:tcW w:w="2303" w:type="dxa"/>
                  <w:tcBorders>
                    <w:top w:val="single" w:color="auto" w:sz="12" w:space="0"/>
                    <w:left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厂区最大储存量（</w:t>
                  </w:r>
                  <w:r>
                    <w:rPr>
                      <w:rFonts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w:t>
                  </w:r>
                </w:p>
              </w:tc>
              <w:tc>
                <w:tcPr>
                  <w:tcW w:w="1875" w:type="dxa"/>
                  <w:tcBorders>
                    <w:top w:val="single" w:color="auto" w:sz="12" w:space="0"/>
                    <w:left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判别标准（</w:t>
                  </w:r>
                  <w:r>
                    <w:rPr>
                      <w:rFonts w:ascii="Times New Roman" w:hAnsi="Times New Roman" w:cs="Times New Roman"/>
                      <w:color w:val="auto"/>
                      <w:sz w:val="21"/>
                      <w:szCs w:val="21"/>
                      <w:lang w:val="en-US" w:eastAsia="zh-CN"/>
                    </w:rPr>
                    <w:t>t</w:t>
                  </w:r>
                  <w:r>
                    <w:rPr>
                      <w:rFonts w:hint="eastAsia" w:ascii="Times New Roman" w:hAnsi="Times New Roman" w:cs="Times New Roman"/>
                      <w:color w:val="auto"/>
                      <w:sz w:val="21"/>
                      <w:szCs w:val="21"/>
                      <w:lang w:val="en-US" w:eastAsia="zh-CN"/>
                    </w:rPr>
                    <w:t>）</w:t>
                  </w:r>
                </w:p>
              </w:tc>
              <w:tc>
                <w:tcPr>
                  <w:tcW w:w="1688" w:type="dxa"/>
                  <w:tcBorders>
                    <w:top w:val="single" w:color="auto" w:sz="12" w:space="0"/>
                    <w:left w:val="single" w:color="auto" w:sz="6" w:space="0"/>
                    <w:bottom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Q</w:t>
                  </w:r>
                  <w:r>
                    <w:rPr>
                      <w:rFonts w:hint="eastAsia" w:ascii="Times New Roman" w:hAnsi="Times New Roman" w:cs="Times New Roman"/>
                      <w:color w:val="auto"/>
                      <w:sz w:val="21"/>
                      <w:szCs w:val="21"/>
                      <w:lang w:val="en-US" w:eastAsia="zh-CN"/>
                    </w:rPr>
                    <w:t>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9" w:hRule="atLeast"/>
                <w:jc w:val="center"/>
              </w:trPr>
              <w:tc>
                <w:tcPr>
                  <w:tcW w:w="2549" w:type="dxa"/>
                  <w:tcBorders>
                    <w:top w:val="single" w:color="auto" w:sz="6" w:space="0"/>
                    <w:bottom w:val="single" w:color="auto" w:sz="6" w:space="0"/>
                    <w:right w:val="single" w:color="auto" w:sz="6" w:space="0"/>
                  </w:tcBorders>
                  <w:shd w:val="clear" w:color="auto" w:fill="FFFFFF"/>
                  <w:vAlign w:val="center"/>
                </w:tcPr>
                <w:p>
                  <w:pPr>
                    <w:pStyle w:val="170"/>
                    <w:rPr>
                      <w:color w:val="auto"/>
                    </w:rPr>
                  </w:pPr>
                  <w:r>
                    <w:rPr>
                      <w:rFonts w:hint="eastAsia"/>
                      <w:color w:val="auto"/>
                    </w:rPr>
                    <w:t>油污</w:t>
                  </w:r>
                </w:p>
              </w:tc>
              <w:tc>
                <w:tcPr>
                  <w:tcW w:w="2303"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170"/>
                    <w:rPr>
                      <w:color w:val="auto"/>
                    </w:rPr>
                  </w:pPr>
                  <w:r>
                    <w:rPr>
                      <w:color w:val="auto"/>
                    </w:rPr>
                    <w:t>0.1</w:t>
                  </w:r>
                </w:p>
              </w:tc>
              <w:tc>
                <w:tcPr>
                  <w:tcW w:w="1875"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170"/>
                    <w:rPr>
                      <w:color w:val="auto"/>
                    </w:rPr>
                  </w:pPr>
                  <w:r>
                    <w:rPr>
                      <w:color w:val="auto"/>
                    </w:rPr>
                    <w:t>2500</w:t>
                  </w:r>
                </w:p>
              </w:tc>
              <w:tc>
                <w:tcPr>
                  <w:tcW w:w="1688" w:type="dxa"/>
                  <w:tcBorders>
                    <w:top w:val="single" w:color="auto" w:sz="6" w:space="0"/>
                    <w:left w:val="single" w:color="auto" w:sz="6" w:space="0"/>
                    <w:bottom w:val="single" w:color="auto" w:sz="6" w:space="0"/>
                  </w:tcBorders>
                  <w:shd w:val="clear" w:color="auto" w:fill="FFFFFF"/>
                  <w:vAlign w:val="center"/>
                </w:tcPr>
                <w:p>
                  <w:pPr>
                    <w:pStyle w:val="170"/>
                    <w:rPr>
                      <w:color w:val="auto"/>
                    </w:rPr>
                  </w:pPr>
                  <w:r>
                    <w:rPr>
                      <w:color w:val="auto"/>
                    </w:rPr>
                    <w:t>0.00004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99" w:hRule="atLeast"/>
                <w:jc w:val="center"/>
              </w:trPr>
              <w:tc>
                <w:tcPr>
                  <w:tcW w:w="2549" w:type="dxa"/>
                  <w:tcBorders>
                    <w:top w:val="single" w:color="auto" w:sz="6" w:space="0"/>
                    <w:bottom w:val="single" w:color="auto" w:sz="6" w:space="0"/>
                    <w:right w:val="single" w:color="auto" w:sz="6" w:space="0"/>
                  </w:tcBorders>
                  <w:shd w:val="clear" w:color="auto" w:fill="FFFFFF"/>
                  <w:vAlign w:val="center"/>
                </w:tcPr>
                <w:p>
                  <w:pPr>
                    <w:pStyle w:val="170"/>
                    <w:rPr>
                      <w:color w:val="auto"/>
                    </w:rPr>
                  </w:pPr>
                  <w:r>
                    <w:rPr>
                      <w:rFonts w:hint="eastAsia"/>
                      <w:color w:val="auto"/>
                    </w:rPr>
                    <w:t>废机油</w:t>
                  </w:r>
                </w:p>
              </w:tc>
              <w:tc>
                <w:tcPr>
                  <w:tcW w:w="2303"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170"/>
                    <w:rPr>
                      <w:color w:val="auto"/>
                    </w:rPr>
                  </w:pPr>
                  <w:r>
                    <w:rPr>
                      <w:color w:val="auto"/>
                    </w:rPr>
                    <w:t>0.12</w:t>
                  </w:r>
                </w:p>
              </w:tc>
              <w:tc>
                <w:tcPr>
                  <w:tcW w:w="1875"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170"/>
                    <w:rPr>
                      <w:color w:val="auto"/>
                    </w:rPr>
                  </w:pPr>
                  <w:r>
                    <w:rPr>
                      <w:color w:val="auto"/>
                    </w:rPr>
                    <w:t>2500</w:t>
                  </w:r>
                </w:p>
              </w:tc>
              <w:tc>
                <w:tcPr>
                  <w:tcW w:w="1688" w:type="dxa"/>
                  <w:tcBorders>
                    <w:top w:val="single" w:color="auto" w:sz="6" w:space="0"/>
                    <w:left w:val="single" w:color="auto" w:sz="6" w:space="0"/>
                    <w:bottom w:val="single" w:color="auto" w:sz="6" w:space="0"/>
                  </w:tcBorders>
                  <w:shd w:val="clear" w:color="auto" w:fill="FFFFFF"/>
                  <w:vAlign w:val="center"/>
                </w:tcPr>
                <w:p>
                  <w:pPr>
                    <w:pStyle w:val="170"/>
                    <w:rPr>
                      <w:color w:val="auto"/>
                    </w:rPr>
                  </w:pPr>
                  <w:r>
                    <w:rPr>
                      <w:color w:val="auto"/>
                    </w:rPr>
                    <w:t>0.000048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17" w:hRule="atLeast"/>
                <w:jc w:val="center"/>
              </w:trPr>
              <w:tc>
                <w:tcPr>
                  <w:tcW w:w="6727" w:type="dxa"/>
                  <w:gridSpan w:val="3"/>
                  <w:tcBorders>
                    <w:top w:val="single" w:color="auto" w:sz="6" w:space="0"/>
                    <w:bottom w:val="single" w:color="auto" w:sz="12"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合计</w:t>
                  </w:r>
                </w:p>
              </w:tc>
              <w:tc>
                <w:tcPr>
                  <w:tcW w:w="1688" w:type="dxa"/>
                  <w:tcBorders>
                    <w:top w:val="single" w:color="auto" w:sz="6" w:space="0"/>
                    <w:left w:val="single" w:color="auto" w:sz="6" w:space="0"/>
                    <w:bottom w:val="single" w:color="auto" w:sz="12" w:space="0"/>
                  </w:tcBorders>
                  <w:shd w:val="clear" w:color="auto" w:fill="FFFFFF"/>
                  <w:vAlign w:val="center"/>
                </w:tcPr>
                <w:p>
                  <w:pPr>
                    <w:pStyle w:val="207"/>
                    <w:adjustRightInd w:val="0"/>
                    <w:snapToGrid w:val="0"/>
                    <w:spacing w:after="0" w:line="240" w:lineRule="auto"/>
                    <w:ind w:firstLine="0"/>
                    <w:jc w:val="center"/>
                    <w:rPr>
                      <w:rFonts w:ascii="Times New Roman" w:hAnsi="Times New Roman" w:cs="Times New Roman"/>
                      <w:color w:val="auto"/>
                      <w:sz w:val="21"/>
                      <w:szCs w:val="21"/>
                      <w:lang w:val="en-US" w:eastAsia="zh-CN"/>
                    </w:rPr>
                  </w:pPr>
                  <w:r>
                    <w:rPr>
                      <w:rFonts w:ascii="Times New Roman" w:hAnsi="Times New Roman" w:cs="Times New Roman"/>
                      <w:color w:val="auto"/>
                      <w:sz w:val="21"/>
                      <w:szCs w:val="21"/>
                      <w:lang w:val="en-US" w:eastAsia="zh-CN"/>
                    </w:rPr>
                    <w:t>0.000088</w:t>
                  </w:r>
                </w:p>
              </w:tc>
            </w:tr>
          </w:tbl>
          <w:p>
            <w:pPr>
              <w:pStyle w:val="99"/>
              <w:ind w:firstLine="31680"/>
              <w:rPr>
                <w:color w:val="auto"/>
              </w:rPr>
            </w:pPr>
            <w:r>
              <w:rPr>
                <w:rFonts w:hint="eastAsia"/>
                <w:color w:val="auto"/>
              </w:rPr>
              <w:t>根据上表计算</w:t>
            </w:r>
            <w:r>
              <w:rPr>
                <w:color w:val="auto"/>
              </w:rPr>
              <w:t>Q=0.000088&lt;1</w:t>
            </w:r>
            <w:r>
              <w:rPr>
                <w:rFonts w:hint="eastAsia"/>
                <w:color w:val="auto"/>
              </w:rPr>
              <w:t>。因此，项目环境风险潜势为</w:t>
            </w:r>
            <w:r>
              <w:rPr>
                <w:color w:val="auto"/>
              </w:rPr>
              <w:t>I</w:t>
            </w:r>
            <w:r>
              <w:rPr>
                <w:rFonts w:hint="eastAsia"/>
                <w:color w:val="auto"/>
              </w:rPr>
              <w:t>。</w:t>
            </w:r>
          </w:p>
          <w:p>
            <w:pPr>
              <w:pStyle w:val="69"/>
              <w:spacing w:beforeLines="50" w:afterLines="50"/>
              <w:textAlignment w:val="center"/>
              <w:rPr>
                <w:color w:val="auto"/>
              </w:rPr>
            </w:pPr>
            <w:r>
              <w:rPr>
                <w:color w:val="auto"/>
              </w:rPr>
              <w:t>4.2.7.2</w:t>
            </w:r>
            <w:r>
              <w:rPr>
                <w:rFonts w:hint="eastAsia"/>
                <w:color w:val="auto"/>
              </w:rPr>
              <w:t>环境风险影响分析及风险防范措施要求</w:t>
            </w:r>
          </w:p>
          <w:p>
            <w:pPr>
              <w:pStyle w:val="99"/>
              <w:ind w:firstLine="31680"/>
              <w:rPr>
                <w:color w:val="auto"/>
              </w:rPr>
            </w:pPr>
            <w:r>
              <w:rPr>
                <w:rFonts w:hint="eastAsia"/>
                <w:color w:val="auto"/>
              </w:rPr>
              <w:t>根据《建设项目环境风险评价技术导则》（</w:t>
            </w:r>
            <w:r>
              <w:rPr>
                <w:color w:val="auto"/>
              </w:rPr>
              <w:t>HJ169-2018</w:t>
            </w:r>
            <w:r>
              <w:rPr>
                <w:rFonts w:hint="eastAsia"/>
                <w:color w:val="auto"/>
              </w:rPr>
              <w:t>）中关于环境风险评价工作等级划分表的判据，确定项目风险评价等级为简单分析。</w:t>
            </w:r>
          </w:p>
          <w:p>
            <w:pPr>
              <w:pStyle w:val="99"/>
              <w:ind w:firstLine="31680"/>
              <w:rPr>
                <w:color w:val="auto"/>
              </w:rPr>
            </w:pPr>
            <w:r>
              <w:rPr>
                <w:rFonts w:hint="eastAsia"/>
                <w:color w:val="auto"/>
              </w:rPr>
              <w:t>简单分析：是相对于详细评价工作内容而言，在描述危险物质、环境影响途径、环境危害后果、风险防范措施等方面给出定性的说明，具体分析内容详见表</w:t>
            </w:r>
            <w:r>
              <w:rPr>
                <w:color w:val="auto"/>
              </w:rPr>
              <w:t>4.2-22</w:t>
            </w:r>
            <w:r>
              <w:rPr>
                <w:rFonts w:hint="eastAsia"/>
                <w:color w:val="auto"/>
              </w:rPr>
              <w:t>。</w:t>
            </w:r>
          </w:p>
          <w:p>
            <w:pPr>
              <w:jc w:val="center"/>
              <w:rPr>
                <w:rFonts w:eastAsia="黑体"/>
                <w:color w:val="auto"/>
                <w:sz w:val="24"/>
              </w:rPr>
            </w:pPr>
            <w:r>
              <w:rPr>
                <w:rFonts w:hint="eastAsia" w:eastAsia="黑体"/>
                <w:color w:val="auto"/>
                <w:sz w:val="24"/>
              </w:rPr>
              <w:t>表</w:t>
            </w:r>
            <w:r>
              <w:rPr>
                <w:rFonts w:eastAsia="黑体"/>
                <w:color w:val="auto"/>
                <w:sz w:val="24"/>
              </w:rPr>
              <w:t xml:space="preserve">4.2-22  </w:t>
            </w:r>
            <w:r>
              <w:rPr>
                <w:rFonts w:hint="eastAsia" w:eastAsia="黑体"/>
                <w:color w:val="auto"/>
                <w:sz w:val="24"/>
              </w:rPr>
              <w:t>建设项目环境风险简单分析内容表</w:t>
            </w:r>
          </w:p>
          <w:tbl>
            <w:tblPr>
              <w:tblStyle w:val="27"/>
              <w:tblW w:w="841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668"/>
              <w:gridCol w:w="692"/>
              <w:gridCol w:w="2844"/>
              <w:gridCol w:w="540"/>
              <w:gridCol w:w="267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2" w:hRule="atLeast"/>
                <w:jc w:val="center"/>
              </w:trPr>
              <w:tc>
                <w:tcPr>
                  <w:tcW w:w="1668" w:type="dxa"/>
                  <w:tcBorders>
                    <w:top w:val="single" w:color="auto" w:sz="12"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rPr>
                    <w:t>建设项目名称</w:t>
                  </w:r>
                </w:p>
              </w:tc>
              <w:tc>
                <w:tcPr>
                  <w:tcW w:w="6747" w:type="dxa"/>
                  <w:gridSpan w:val="4"/>
                  <w:tcBorders>
                    <w:top w:val="single" w:color="auto" w:sz="12" w:space="0"/>
                    <w:left w:val="single" w:color="auto" w:sz="6" w:space="0"/>
                    <w:bottom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lang w:eastAsia="zh-CN"/>
                    </w:rPr>
                  </w:pPr>
                  <w:r>
                    <w:rPr>
                      <w:rFonts w:hint="eastAsia" w:ascii="Times New Roman" w:hAnsi="Times New Roman"/>
                      <w:color w:val="auto"/>
                      <w:sz w:val="21"/>
                      <w:szCs w:val="21"/>
                      <w:lang w:val="en-US" w:eastAsia="zh-CN"/>
                    </w:rPr>
                    <w:t>福建宸鑫硅业有限公司轻质建筑材料生产线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86" w:hRule="atLeast"/>
                <w:jc w:val="center"/>
              </w:trPr>
              <w:tc>
                <w:tcPr>
                  <w:tcW w:w="1668" w:type="dxa"/>
                  <w:tcBorders>
                    <w:top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rPr>
                    <w:t>建设地点</w:t>
                  </w:r>
                </w:p>
              </w:tc>
              <w:tc>
                <w:tcPr>
                  <w:tcW w:w="6747" w:type="dxa"/>
                  <w:gridSpan w:val="4"/>
                  <w:tcBorders>
                    <w:top w:val="single" w:color="auto" w:sz="6" w:space="0"/>
                    <w:left w:val="single" w:color="auto" w:sz="6" w:space="0"/>
                    <w:bottom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福建省</w:t>
                  </w:r>
                  <w:r>
                    <w:rPr>
                      <w:rFonts w:hint="eastAsia" w:ascii="Times New Roman" w:hAnsi="Times New Roman"/>
                      <w:color w:val="auto"/>
                      <w:sz w:val="21"/>
                      <w:szCs w:val="21"/>
                      <w:lang w:val="en-US" w:eastAsia="zh-CN"/>
                    </w:rPr>
                    <w:t>三明</w:t>
                  </w:r>
                  <w:r>
                    <w:rPr>
                      <w:rFonts w:hint="eastAsia" w:ascii="Times New Roman" w:hAnsi="Times New Roman"/>
                      <w:color w:val="auto"/>
                      <w:sz w:val="21"/>
                      <w:szCs w:val="21"/>
                      <w:lang w:eastAsia="zh-CN"/>
                    </w:rPr>
                    <w:t>市永安市曹远镇坑边路（北部工业新城鑫华港饲料东侧）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9" w:hRule="atLeast"/>
                <w:jc w:val="center"/>
              </w:trPr>
              <w:tc>
                <w:tcPr>
                  <w:tcW w:w="1668" w:type="dxa"/>
                  <w:tcBorders>
                    <w:top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rPr>
                    <w:t>地理坐标</w:t>
                  </w:r>
                </w:p>
              </w:tc>
              <w:tc>
                <w:tcPr>
                  <w:tcW w:w="692"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rPr>
                    <w:t>经度</w:t>
                  </w:r>
                </w:p>
              </w:tc>
              <w:tc>
                <w:tcPr>
                  <w:tcW w:w="2844"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lang w:val="en-US" w:eastAsia="zh-CN"/>
                    </w:rPr>
                    <w:t>东经</w:t>
                  </w:r>
                  <w:r>
                    <w:rPr>
                      <w:rFonts w:ascii="Times New Roman" w:hAnsi="Times New Roman"/>
                      <w:color w:val="auto"/>
                      <w:sz w:val="21"/>
                      <w:szCs w:val="21"/>
                      <w:lang w:val="en-US" w:eastAsia="zh-CN"/>
                    </w:rPr>
                    <w:t>117</w:t>
                  </w:r>
                  <w:r>
                    <w:rPr>
                      <w:rFonts w:ascii="Times New Roman" w:hAnsi="Times New Roman"/>
                      <w:color w:val="auto"/>
                      <w:sz w:val="21"/>
                      <w:szCs w:val="21"/>
                    </w:rPr>
                    <w:t xml:space="preserve"> </w:t>
                  </w:r>
                  <w:r>
                    <w:rPr>
                      <w:rFonts w:hint="eastAsia" w:ascii="Times New Roman" w:hAnsi="Times New Roman"/>
                      <w:color w:val="auto"/>
                      <w:sz w:val="21"/>
                      <w:szCs w:val="21"/>
                    </w:rPr>
                    <w:t>度</w:t>
                  </w:r>
                  <w:r>
                    <w:rPr>
                      <w:rFonts w:ascii="Times New Roman" w:hAnsi="Times New Roman"/>
                      <w:color w:val="auto"/>
                      <w:sz w:val="21"/>
                      <w:szCs w:val="21"/>
                    </w:rPr>
                    <w:t xml:space="preserve"> </w:t>
                  </w:r>
                  <w:r>
                    <w:rPr>
                      <w:rFonts w:ascii="Times New Roman" w:hAnsi="Times New Roman"/>
                      <w:color w:val="auto"/>
                      <w:sz w:val="21"/>
                      <w:szCs w:val="21"/>
                      <w:lang w:val="en-US" w:eastAsia="zh-CN"/>
                    </w:rPr>
                    <w:t>20</w:t>
                  </w:r>
                  <w:r>
                    <w:rPr>
                      <w:rFonts w:ascii="Times New Roman" w:hAnsi="Times New Roman"/>
                      <w:color w:val="auto"/>
                      <w:sz w:val="21"/>
                      <w:szCs w:val="21"/>
                    </w:rPr>
                    <w:t xml:space="preserve"> </w:t>
                  </w:r>
                  <w:r>
                    <w:rPr>
                      <w:rFonts w:hint="eastAsia" w:ascii="Times New Roman" w:hAnsi="Times New Roman"/>
                      <w:color w:val="auto"/>
                      <w:sz w:val="21"/>
                      <w:szCs w:val="21"/>
                    </w:rPr>
                    <w:t>分</w:t>
                  </w:r>
                  <w:r>
                    <w:rPr>
                      <w:rFonts w:ascii="Times New Roman" w:hAnsi="Times New Roman"/>
                      <w:color w:val="auto"/>
                      <w:sz w:val="21"/>
                      <w:szCs w:val="21"/>
                      <w:lang w:val="en-US" w:eastAsia="zh-CN"/>
                    </w:rPr>
                    <w:t>49.445</w:t>
                  </w:r>
                  <w:r>
                    <w:rPr>
                      <w:rFonts w:hint="eastAsia" w:ascii="Times New Roman" w:hAnsi="Times New Roman"/>
                      <w:color w:val="auto"/>
                      <w:sz w:val="21"/>
                      <w:szCs w:val="21"/>
                    </w:rPr>
                    <w:t>秒</w:t>
                  </w:r>
                </w:p>
              </w:tc>
              <w:tc>
                <w:tcPr>
                  <w:tcW w:w="540" w:type="dxa"/>
                  <w:tcBorders>
                    <w:top w:val="single" w:color="auto" w:sz="6" w:space="0"/>
                    <w:left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rPr>
                    <w:t>纬度</w:t>
                  </w:r>
                </w:p>
              </w:tc>
              <w:tc>
                <w:tcPr>
                  <w:tcW w:w="2671" w:type="dxa"/>
                  <w:tcBorders>
                    <w:top w:val="single" w:color="auto" w:sz="6" w:space="0"/>
                    <w:left w:val="single" w:color="auto" w:sz="6" w:space="0"/>
                    <w:bottom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lang w:val="en-US" w:eastAsia="zh-CN"/>
                    </w:rPr>
                    <w:t>北纬</w:t>
                  </w:r>
                  <w:r>
                    <w:rPr>
                      <w:rFonts w:ascii="Times New Roman" w:hAnsi="Times New Roman"/>
                      <w:color w:val="auto"/>
                      <w:sz w:val="21"/>
                      <w:szCs w:val="21"/>
                      <w:lang w:val="en-US" w:eastAsia="zh-CN"/>
                    </w:rPr>
                    <w:t>26</w:t>
                  </w:r>
                  <w:r>
                    <w:rPr>
                      <w:rFonts w:ascii="Times New Roman" w:hAnsi="Times New Roman"/>
                      <w:color w:val="auto"/>
                      <w:sz w:val="21"/>
                      <w:szCs w:val="21"/>
                    </w:rPr>
                    <w:t xml:space="preserve"> </w:t>
                  </w:r>
                  <w:r>
                    <w:rPr>
                      <w:rFonts w:hint="eastAsia" w:ascii="Times New Roman" w:hAnsi="Times New Roman"/>
                      <w:color w:val="auto"/>
                      <w:sz w:val="21"/>
                      <w:szCs w:val="21"/>
                    </w:rPr>
                    <w:t>度</w:t>
                  </w:r>
                  <w:r>
                    <w:rPr>
                      <w:rFonts w:ascii="Times New Roman" w:hAnsi="Times New Roman"/>
                      <w:color w:val="auto"/>
                      <w:sz w:val="21"/>
                      <w:szCs w:val="21"/>
                      <w:lang w:val="en-US" w:eastAsia="zh-CN"/>
                    </w:rPr>
                    <w:t>0</w:t>
                  </w:r>
                  <w:r>
                    <w:rPr>
                      <w:rFonts w:ascii="Times New Roman" w:hAnsi="Times New Roman"/>
                      <w:color w:val="auto"/>
                      <w:sz w:val="21"/>
                      <w:szCs w:val="21"/>
                    </w:rPr>
                    <w:t xml:space="preserve"> </w:t>
                  </w:r>
                  <w:r>
                    <w:rPr>
                      <w:rFonts w:hint="eastAsia" w:ascii="Times New Roman" w:hAnsi="Times New Roman"/>
                      <w:color w:val="auto"/>
                      <w:sz w:val="21"/>
                      <w:szCs w:val="21"/>
                    </w:rPr>
                    <w:t>分</w:t>
                  </w:r>
                  <w:r>
                    <w:rPr>
                      <w:rFonts w:ascii="Times New Roman" w:hAnsi="Times New Roman"/>
                      <w:color w:val="auto"/>
                      <w:sz w:val="21"/>
                      <w:szCs w:val="21"/>
                      <w:lang w:val="en-US" w:eastAsia="zh-CN"/>
                    </w:rPr>
                    <w:t>33.183</w:t>
                  </w:r>
                  <w:r>
                    <w:rPr>
                      <w:rFonts w:hint="eastAsia" w:ascii="Times New Roman" w:hAnsi="Times New Roman"/>
                      <w:color w:val="auto"/>
                      <w:sz w:val="21"/>
                      <w:szCs w:val="21"/>
                    </w:rPr>
                    <w:t>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668" w:type="dxa"/>
                  <w:tcBorders>
                    <w:top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rPr>
                    <w:t>主要危险物质</w:t>
                  </w:r>
                </w:p>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rPr>
                    <w:t>及分布</w:t>
                  </w:r>
                </w:p>
              </w:tc>
              <w:tc>
                <w:tcPr>
                  <w:tcW w:w="6747" w:type="dxa"/>
                  <w:gridSpan w:val="4"/>
                  <w:tcBorders>
                    <w:top w:val="single" w:color="auto" w:sz="6" w:space="0"/>
                    <w:left w:val="single" w:color="auto" w:sz="6" w:space="0"/>
                    <w:bottom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lang w:val="en-US" w:eastAsia="zh-CN"/>
                    </w:rPr>
                  </w:pPr>
                  <w:r>
                    <w:rPr>
                      <w:rFonts w:hint="eastAsia" w:ascii="Times New Roman" w:hAnsi="Times New Roman"/>
                      <w:color w:val="auto"/>
                      <w:sz w:val="21"/>
                      <w:szCs w:val="21"/>
                    </w:rPr>
                    <w:t>主要危险</w:t>
                  </w:r>
                  <w:r>
                    <w:rPr>
                      <w:rFonts w:hint="eastAsia" w:ascii="Times New Roman" w:hAnsi="Times New Roman"/>
                      <w:color w:val="auto"/>
                      <w:sz w:val="21"/>
                      <w:szCs w:val="21"/>
                      <w:lang w:eastAsia="zh-CN"/>
                    </w:rPr>
                    <w:t>物质</w:t>
                  </w:r>
                  <w:r>
                    <w:rPr>
                      <w:rFonts w:hint="eastAsia" w:ascii="Times New Roman" w:hAnsi="Times New Roman"/>
                      <w:color w:val="auto"/>
                      <w:sz w:val="21"/>
                      <w:szCs w:val="21"/>
                    </w:rPr>
                    <w:t>为</w:t>
                  </w:r>
                  <w:r>
                    <w:rPr>
                      <w:rFonts w:hint="eastAsia" w:ascii="Times New Roman" w:hAnsi="Times New Roman"/>
                      <w:color w:val="auto"/>
                      <w:sz w:val="21"/>
                      <w:szCs w:val="21"/>
                      <w:lang w:val="en-US" w:eastAsia="zh-CN"/>
                    </w:rPr>
                    <w:t>生产过程中产生的油污、废机油</w:t>
                  </w:r>
                  <w:r>
                    <w:rPr>
                      <w:rFonts w:hint="eastAsia" w:ascii="Times New Roman" w:hAnsi="Times New Roman"/>
                      <w:color w:val="auto"/>
                      <w:sz w:val="21"/>
                      <w:szCs w:val="21"/>
                    </w:rPr>
                    <w:t>，主要</w:t>
                  </w:r>
                  <w:r>
                    <w:rPr>
                      <w:rFonts w:hint="eastAsia" w:ascii="Times New Roman" w:hAnsi="Times New Roman"/>
                      <w:color w:val="auto"/>
                      <w:sz w:val="21"/>
                      <w:szCs w:val="21"/>
                      <w:lang w:val="en-US" w:eastAsia="zh-CN"/>
                    </w:rPr>
                    <w:t>储存在危废暂存间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1668" w:type="dxa"/>
                  <w:tcBorders>
                    <w:top w:val="single" w:color="auto" w:sz="6" w:space="0"/>
                    <w:bottom w:val="single" w:color="auto" w:sz="6"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rPr>
                  </w:pPr>
                  <w:r>
                    <w:rPr>
                      <w:rFonts w:hint="eastAsia" w:ascii="Times New Roman" w:hAnsi="Times New Roman"/>
                      <w:color w:val="auto"/>
                      <w:sz w:val="21"/>
                      <w:szCs w:val="21"/>
                    </w:rPr>
                    <w:t>环境影响途径及危害后果（大气、地表水、地下水等）</w:t>
                  </w:r>
                </w:p>
              </w:tc>
              <w:tc>
                <w:tcPr>
                  <w:tcW w:w="6747" w:type="dxa"/>
                  <w:gridSpan w:val="4"/>
                  <w:tcBorders>
                    <w:top w:val="single" w:color="auto" w:sz="6" w:space="0"/>
                    <w:left w:val="single" w:color="auto" w:sz="6" w:space="0"/>
                    <w:bottom w:val="single" w:color="auto" w:sz="6" w:space="0"/>
                  </w:tcBorders>
                  <w:shd w:val="clear" w:color="auto" w:fill="FFFFFF"/>
                  <w:vAlign w:val="center"/>
                </w:tcPr>
                <w:p>
                  <w:pPr>
                    <w:pStyle w:val="207"/>
                    <w:adjustRightInd w:val="0"/>
                    <w:snapToGrid w:val="0"/>
                    <w:spacing w:after="0" w:line="240" w:lineRule="auto"/>
                    <w:ind w:firstLine="420" w:firstLineChars="200"/>
                    <w:jc w:val="left"/>
                    <w:rPr>
                      <w:rFonts w:ascii="Times New Roman" w:hAnsi="Times New Roman"/>
                      <w:color w:val="auto"/>
                      <w:sz w:val="21"/>
                      <w:szCs w:val="21"/>
                    </w:rPr>
                  </w:pPr>
                  <w:r>
                    <w:rPr>
                      <w:rFonts w:hint="eastAsia" w:ascii="Times New Roman" w:hAnsi="Times New Roman"/>
                      <w:color w:val="auto"/>
                      <w:sz w:val="21"/>
                      <w:szCs w:val="21"/>
                    </w:rPr>
                    <w:t>在发生火灾事故及处理过程中，可能会产生以下伴生</w:t>
                  </w:r>
                  <w:r>
                    <w:rPr>
                      <w:rFonts w:ascii="Times New Roman" w:hAnsi="Times New Roman"/>
                      <w:color w:val="auto"/>
                      <w:sz w:val="21"/>
                      <w:szCs w:val="21"/>
                    </w:rPr>
                    <w:t>/</w:t>
                  </w:r>
                  <w:r>
                    <w:rPr>
                      <w:rFonts w:hint="eastAsia" w:ascii="Times New Roman" w:hAnsi="Times New Roman"/>
                      <w:color w:val="auto"/>
                      <w:sz w:val="21"/>
                      <w:szCs w:val="21"/>
                    </w:rPr>
                    <w:t>次生污染：燃烧烟气、有毒废气以及消防污水。其中烟气、有毒废气会造成区域环境空气超标；消防事故水如收集处理不当会排入地表水体造成水质超标；废水下渗会污染地下水。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54" w:hRule="atLeast"/>
                <w:jc w:val="center"/>
              </w:trPr>
              <w:tc>
                <w:tcPr>
                  <w:tcW w:w="1668" w:type="dxa"/>
                  <w:tcBorders>
                    <w:top w:val="single" w:color="auto" w:sz="6" w:space="0"/>
                    <w:bottom w:val="single" w:color="auto" w:sz="12" w:space="0"/>
                    <w:right w:val="single" w:color="auto" w:sz="6" w:space="0"/>
                  </w:tcBorders>
                  <w:shd w:val="clear" w:color="auto" w:fill="FFFFFF"/>
                  <w:vAlign w:val="center"/>
                </w:tcPr>
                <w:p>
                  <w:pPr>
                    <w:pStyle w:val="207"/>
                    <w:adjustRightInd w:val="0"/>
                    <w:snapToGrid w:val="0"/>
                    <w:spacing w:after="0" w:line="240" w:lineRule="auto"/>
                    <w:ind w:firstLine="0"/>
                    <w:jc w:val="center"/>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风险防范措施要求</w:t>
                  </w:r>
                </w:p>
              </w:tc>
              <w:tc>
                <w:tcPr>
                  <w:tcW w:w="6747" w:type="dxa"/>
                  <w:gridSpan w:val="4"/>
                  <w:tcBorders>
                    <w:top w:val="single" w:color="auto" w:sz="6" w:space="0"/>
                    <w:left w:val="single" w:color="auto" w:sz="6" w:space="0"/>
                    <w:bottom w:val="single" w:color="auto" w:sz="12" w:space="0"/>
                  </w:tcBorders>
                  <w:shd w:val="clear" w:color="auto" w:fill="FFFFFF"/>
                  <w:vAlign w:val="center"/>
                </w:tcPr>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r>
                    <w:rPr>
                      <w:rFonts w:ascii="Times New Roman" w:hAnsi="Times New Roman"/>
                      <w:color w:val="auto"/>
                      <w:sz w:val="21"/>
                      <w:szCs w:val="21"/>
                      <w:lang w:val="en-US" w:eastAsia="zh-CN"/>
                    </w:rPr>
                    <w:t>1</w:t>
                  </w:r>
                  <w:r>
                    <w:rPr>
                      <w:rFonts w:hint="eastAsia" w:ascii="Times New Roman" w:hAnsi="Times New Roman"/>
                      <w:color w:val="auto"/>
                      <w:sz w:val="21"/>
                      <w:szCs w:val="21"/>
                      <w:lang w:val="en-US" w:eastAsia="zh-CN"/>
                    </w:rPr>
                    <w:t>）提高认识，完善制度，严格检查</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420" w:firstLineChars="20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提高对突发性事故的警觉和认识，做到警钟长鸣。建议企业建立安全环保科，主要负责检查和监督安全生产和环保设施的正常运转情况。对安全和环保应建立严格的防范措施，制定严格的管理规章制度。</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r>
                    <w:rPr>
                      <w:rFonts w:ascii="Times New Roman" w:hAnsi="Times New Roman"/>
                      <w:color w:val="auto"/>
                      <w:sz w:val="21"/>
                      <w:szCs w:val="21"/>
                      <w:lang w:val="en-US" w:eastAsia="zh-CN"/>
                    </w:rPr>
                    <w:t>2</w:t>
                  </w:r>
                  <w:r>
                    <w:rPr>
                      <w:rFonts w:hint="eastAsia" w:ascii="Times New Roman" w:hAnsi="Times New Roman"/>
                      <w:color w:val="auto"/>
                      <w:sz w:val="21"/>
                      <w:szCs w:val="21"/>
                      <w:lang w:val="en-US" w:eastAsia="zh-CN"/>
                    </w:rPr>
                    <w:t>）加强技术培训，增强安全意识</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420" w:firstLineChars="20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加强技术人员的引进，对生产操作工人进行上岗前的专业技术培训，严格管理，增强安全意识，尽最大限度地降低事故发生的可能性，以避免发生恶性事故，进而造成事故性环境污染。</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r>
                    <w:rPr>
                      <w:rFonts w:ascii="Times New Roman" w:hAnsi="Times New Roman"/>
                      <w:color w:val="auto"/>
                      <w:sz w:val="21"/>
                      <w:szCs w:val="21"/>
                      <w:lang w:val="en-US" w:eastAsia="zh-CN"/>
                    </w:rPr>
                    <w:t>3</w:t>
                  </w:r>
                  <w:r>
                    <w:rPr>
                      <w:rFonts w:hint="eastAsia" w:ascii="Times New Roman" w:hAnsi="Times New Roman"/>
                      <w:color w:val="auto"/>
                      <w:sz w:val="21"/>
                      <w:szCs w:val="21"/>
                      <w:lang w:val="en-US" w:eastAsia="zh-CN"/>
                    </w:rPr>
                    <w:t>）提高应急处理能力</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420" w:firstLineChars="20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对具有高危害设备设置保险措施，对危险区域设置消防装置等必备的应急措施。</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r>
                    <w:rPr>
                      <w:rFonts w:ascii="Times New Roman" w:hAnsi="Times New Roman"/>
                      <w:color w:val="auto"/>
                      <w:sz w:val="21"/>
                      <w:szCs w:val="21"/>
                      <w:lang w:val="en-US" w:eastAsia="zh-CN"/>
                    </w:rPr>
                    <w:t>4</w:t>
                  </w:r>
                  <w:r>
                    <w:rPr>
                      <w:rFonts w:hint="eastAsia" w:ascii="Times New Roman" w:hAnsi="Times New Roman"/>
                      <w:color w:val="auto"/>
                      <w:sz w:val="21"/>
                      <w:szCs w:val="21"/>
                      <w:lang w:val="en-US" w:eastAsia="zh-CN"/>
                    </w:rPr>
                    <w:t>）火灾预防措施</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420" w:firstLineChars="20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项目运营过程中有可能引发火灾，因高温引起火灾，要求企业做好车间内消防器材的设置，用于灭火。</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r>
                    <w:rPr>
                      <w:rFonts w:ascii="Times New Roman" w:hAnsi="Times New Roman"/>
                      <w:color w:val="auto"/>
                      <w:sz w:val="21"/>
                      <w:szCs w:val="21"/>
                      <w:lang w:val="en-US" w:eastAsia="zh-CN"/>
                    </w:rPr>
                    <w:t>5</w:t>
                  </w:r>
                  <w:r>
                    <w:rPr>
                      <w:rFonts w:hint="eastAsia" w:ascii="Times New Roman" w:hAnsi="Times New Roman"/>
                      <w:color w:val="auto"/>
                      <w:sz w:val="21"/>
                      <w:szCs w:val="21"/>
                      <w:lang w:val="en-US" w:eastAsia="zh-CN"/>
                    </w:rPr>
                    <w:t>）环保设施安全防范措施</w:t>
                  </w:r>
                </w:p>
                <w:p>
                  <w:pPr>
                    <w:pStyle w:val="207"/>
                    <w:keepNext w:val="0"/>
                    <w:keepLines w:val="0"/>
                    <w:pageBreakBefore w:val="0"/>
                    <w:widowControl w:val="0"/>
                    <w:kinsoku/>
                    <w:wordWrap/>
                    <w:overflowPunct/>
                    <w:topLinePunct w:val="0"/>
                    <w:autoSpaceDE/>
                    <w:autoSpaceDN/>
                    <w:bidi w:val="0"/>
                    <w:adjustRightInd w:val="0"/>
                    <w:snapToGrid w:val="0"/>
                    <w:spacing w:after="0" w:line="260" w:lineRule="exact"/>
                    <w:ind w:firstLine="420" w:firstLineChars="200"/>
                    <w:jc w:val="left"/>
                    <w:textAlignment w:val="auto"/>
                    <w:rPr>
                      <w:rFonts w:ascii="Times New Roman" w:hAnsi="Times New Roman"/>
                      <w:color w:val="auto"/>
                      <w:sz w:val="21"/>
                      <w:szCs w:val="21"/>
                      <w:lang w:val="en-US" w:eastAsia="zh-CN"/>
                    </w:rPr>
                  </w:pPr>
                  <w:r>
                    <w:rPr>
                      <w:rFonts w:hint="eastAsia" w:ascii="Times New Roman" w:hAnsi="Times New Roman"/>
                      <w:color w:val="auto"/>
                      <w:sz w:val="21"/>
                      <w:szCs w:val="21"/>
                      <w:lang w:val="en-US" w:eastAsia="zh-CN"/>
                    </w:rPr>
                    <w:t>项目运营过程中环保设备、管道等设施的定期检验、维护、保养、检修，防止环保设施失效造成的污染事故。</w:t>
                  </w:r>
                </w:p>
              </w:tc>
            </w:tr>
          </w:tbl>
          <w:p>
            <w:pPr>
              <w:pStyle w:val="83"/>
              <w:adjustRightInd/>
              <w:snapToGrid/>
              <w:spacing w:beforeLines="50"/>
              <w:rPr>
                <w:color w:val="auto"/>
              </w:rPr>
            </w:pPr>
            <w:bookmarkStart w:id="23" w:name="_Toc32263"/>
            <w:bookmarkStart w:id="24" w:name="_Toc29216"/>
            <w:bookmarkStart w:id="25" w:name="_Toc25892"/>
            <w:bookmarkStart w:id="26" w:name="_Toc17430"/>
            <w:bookmarkStart w:id="27" w:name="_Toc6582"/>
            <w:bookmarkStart w:id="28" w:name="_Toc12376"/>
            <w:bookmarkStart w:id="29" w:name="_Toc24693"/>
            <w:r>
              <w:rPr>
                <w:color w:val="auto"/>
              </w:rPr>
              <w:t>4.3</w:t>
            </w:r>
            <w:r>
              <w:rPr>
                <w:rFonts w:hint="eastAsia"/>
                <w:color w:val="auto"/>
              </w:rPr>
              <w:t>排污许可申报及排污口规范化管理</w:t>
            </w:r>
            <w:bookmarkEnd w:id="23"/>
            <w:bookmarkEnd w:id="24"/>
            <w:bookmarkEnd w:id="25"/>
            <w:bookmarkEnd w:id="26"/>
            <w:bookmarkEnd w:id="27"/>
            <w:bookmarkEnd w:id="28"/>
            <w:bookmarkEnd w:id="29"/>
          </w:p>
          <w:p>
            <w:pPr>
              <w:pStyle w:val="116"/>
              <w:adjustRightInd/>
              <w:snapToGrid/>
              <w:spacing w:beforeLines="50"/>
              <w:rPr>
                <w:color w:val="auto"/>
              </w:rPr>
            </w:pPr>
            <w:r>
              <w:rPr>
                <w:color w:val="auto"/>
              </w:rPr>
              <w:t>4.3.1</w:t>
            </w:r>
            <w:r>
              <w:rPr>
                <w:rFonts w:hint="eastAsia"/>
                <w:color w:val="auto"/>
              </w:rPr>
              <w:t>申报要求</w:t>
            </w:r>
          </w:p>
          <w:p>
            <w:pPr>
              <w:spacing w:line="360" w:lineRule="auto"/>
              <w:ind w:firstLine="480"/>
              <w:rPr>
                <w:color w:val="auto"/>
                <w:sz w:val="24"/>
                <w:szCs w:val="32"/>
              </w:rPr>
            </w:pPr>
            <w:r>
              <w:rPr>
                <w:rFonts w:hint="eastAsia"/>
                <w:color w:val="auto"/>
                <w:sz w:val="24"/>
                <w:szCs w:val="32"/>
              </w:rPr>
              <w:t>《排污许可管理办法（试行）》已于</w:t>
            </w:r>
            <w:r>
              <w:rPr>
                <w:color w:val="auto"/>
                <w:sz w:val="24"/>
                <w:szCs w:val="32"/>
              </w:rPr>
              <w:t>2018</w:t>
            </w:r>
            <w:r>
              <w:rPr>
                <w:rFonts w:hint="eastAsia"/>
                <w:color w:val="auto"/>
                <w:sz w:val="24"/>
                <w:szCs w:val="32"/>
              </w:rPr>
              <w:t>年</w:t>
            </w:r>
            <w:r>
              <w:rPr>
                <w:color w:val="auto"/>
                <w:sz w:val="24"/>
                <w:szCs w:val="32"/>
              </w:rPr>
              <w:t>1</w:t>
            </w:r>
            <w:r>
              <w:rPr>
                <w:rFonts w:hint="eastAsia"/>
                <w:color w:val="auto"/>
                <w:sz w:val="24"/>
                <w:szCs w:val="32"/>
              </w:rPr>
              <w:t>月</w:t>
            </w:r>
            <w:r>
              <w:rPr>
                <w:color w:val="auto"/>
                <w:sz w:val="24"/>
                <w:szCs w:val="32"/>
              </w:rPr>
              <w:t>10</w:t>
            </w:r>
            <w:r>
              <w:rPr>
                <w:rFonts w:hint="eastAsia"/>
                <w:color w:val="auto"/>
                <w:sz w:val="24"/>
                <w:szCs w:val="32"/>
              </w:rPr>
              <w:t>日起施行，企业应当按照规定的时限申请并取得排污许可证。申请材料应当包括：</w:t>
            </w:r>
          </w:p>
          <w:p>
            <w:pPr>
              <w:spacing w:line="360" w:lineRule="auto"/>
              <w:ind w:firstLine="480"/>
              <w:rPr>
                <w:color w:val="auto"/>
                <w:sz w:val="24"/>
                <w:szCs w:val="32"/>
              </w:rPr>
            </w:pPr>
            <w:r>
              <w:rPr>
                <w:rFonts w:hint="eastAsia"/>
                <w:color w:val="auto"/>
                <w:sz w:val="24"/>
                <w:szCs w:val="32"/>
              </w:rPr>
              <w:t>（</w:t>
            </w:r>
            <w:r>
              <w:rPr>
                <w:color w:val="auto"/>
                <w:sz w:val="24"/>
                <w:szCs w:val="32"/>
              </w:rPr>
              <w:t>1</w:t>
            </w:r>
            <w:r>
              <w:rPr>
                <w:rFonts w:hint="eastAsia"/>
                <w:color w:val="auto"/>
                <w:sz w:val="24"/>
                <w:szCs w:val="32"/>
              </w:rPr>
              <w:t>）排污许可证申请表，主要内容包括：排污单位基本信息，主要生产设施、主要产品及产能、主要原辅材料，废气、废水等产排污环节和污染防治设施，申请的排放口位置和数量、排放方式、排放去向，按照排放口和生产设施或者车间申请的排放污染物种类、排放浓度和排放量，执行的排放标准；</w:t>
            </w:r>
          </w:p>
          <w:p>
            <w:pPr>
              <w:spacing w:line="360" w:lineRule="auto"/>
              <w:ind w:firstLine="480"/>
              <w:rPr>
                <w:color w:val="auto"/>
                <w:sz w:val="24"/>
                <w:szCs w:val="32"/>
              </w:rPr>
            </w:pPr>
            <w:r>
              <w:rPr>
                <w:rFonts w:hint="eastAsia"/>
                <w:color w:val="auto"/>
                <w:sz w:val="24"/>
                <w:szCs w:val="32"/>
              </w:rPr>
              <w:t>（</w:t>
            </w:r>
            <w:r>
              <w:rPr>
                <w:color w:val="auto"/>
                <w:sz w:val="24"/>
                <w:szCs w:val="32"/>
              </w:rPr>
              <w:t>2</w:t>
            </w:r>
            <w:r>
              <w:rPr>
                <w:rFonts w:hint="eastAsia"/>
                <w:color w:val="auto"/>
                <w:sz w:val="24"/>
                <w:szCs w:val="32"/>
              </w:rPr>
              <w:t>）自行监测方案，自行监测方案应当包括以下内容：监测点位及示意图、监测指标、监测频次；使用的监测分析方法、采样方法</w:t>
            </w:r>
          </w:p>
          <w:p>
            <w:pPr>
              <w:spacing w:line="360" w:lineRule="auto"/>
              <w:ind w:firstLine="480"/>
              <w:rPr>
                <w:color w:val="auto"/>
                <w:sz w:val="24"/>
                <w:szCs w:val="32"/>
              </w:rPr>
            </w:pPr>
            <w:r>
              <w:rPr>
                <w:rFonts w:hint="eastAsia"/>
                <w:color w:val="auto"/>
                <w:sz w:val="24"/>
                <w:szCs w:val="32"/>
              </w:rPr>
              <w:t>（</w:t>
            </w:r>
            <w:r>
              <w:rPr>
                <w:color w:val="auto"/>
                <w:sz w:val="24"/>
                <w:szCs w:val="32"/>
              </w:rPr>
              <w:t>3</w:t>
            </w:r>
            <w:r>
              <w:rPr>
                <w:rFonts w:hint="eastAsia"/>
                <w:color w:val="auto"/>
                <w:sz w:val="24"/>
                <w:szCs w:val="32"/>
              </w:rPr>
              <w:t>）由排污单位法定代表人或者主要负责人签字或者盖章的承诺书；</w:t>
            </w:r>
          </w:p>
          <w:p>
            <w:pPr>
              <w:spacing w:line="360" w:lineRule="auto"/>
              <w:ind w:firstLine="480"/>
              <w:rPr>
                <w:color w:val="auto"/>
                <w:sz w:val="24"/>
                <w:szCs w:val="32"/>
              </w:rPr>
            </w:pPr>
            <w:r>
              <w:rPr>
                <w:rFonts w:hint="eastAsia"/>
                <w:color w:val="auto"/>
                <w:sz w:val="24"/>
                <w:szCs w:val="32"/>
              </w:rPr>
              <w:t>（</w:t>
            </w:r>
            <w:r>
              <w:rPr>
                <w:color w:val="auto"/>
                <w:sz w:val="24"/>
                <w:szCs w:val="32"/>
              </w:rPr>
              <w:t>4</w:t>
            </w:r>
            <w:r>
              <w:rPr>
                <w:rFonts w:hint="eastAsia"/>
                <w:color w:val="auto"/>
                <w:sz w:val="24"/>
                <w:szCs w:val="32"/>
              </w:rPr>
              <w:t>）排污单位有关排污口规范化的情况说明；</w:t>
            </w:r>
          </w:p>
          <w:p>
            <w:pPr>
              <w:spacing w:line="360" w:lineRule="auto"/>
              <w:ind w:firstLine="480"/>
              <w:rPr>
                <w:color w:val="auto"/>
                <w:sz w:val="24"/>
                <w:szCs w:val="32"/>
              </w:rPr>
            </w:pPr>
            <w:r>
              <w:rPr>
                <w:rFonts w:hint="eastAsia"/>
                <w:color w:val="auto"/>
                <w:sz w:val="24"/>
                <w:szCs w:val="32"/>
              </w:rPr>
              <w:t>（</w:t>
            </w:r>
            <w:r>
              <w:rPr>
                <w:color w:val="auto"/>
                <w:sz w:val="24"/>
                <w:szCs w:val="32"/>
              </w:rPr>
              <w:t>5</w:t>
            </w:r>
            <w:r>
              <w:rPr>
                <w:rFonts w:hint="eastAsia"/>
                <w:color w:val="auto"/>
                <w:sz w:val="24"/>
                <w:szCs w:val="32"/>
              </w:rPr>
              <w:t>）建设项目环境影响评价文件审批文号，或者按照有关国家规定经地方人民政府依法处理、整顿规范并符合要求的相关证明材料；</w:t>
            </w:r>
          </w:p>
          <w:p>
            <w:pPr>
              <w:spacing w:line="360" w:lineRule="auto"/>
              <w:ind w:firstLine="480"/>
              <w:rPr>
                <w:color w:val="auto"/>
                <w:sz w:val="24"/>
                <w:szCs w:val="32"/>
              </w:rPr>
            </w:pPr>
            <w:r>
              <w:rPr>
                <w:rFonts w:hint="eastAsia"/>
                <w:color w:val="auto"/>
                <w:sz w:val="24"/>
                <w:szCs w:val="32"/>
              </w:rPr>
              <w:t>（</w:t>
            </w:r>
            <w:r>
              <w:rPr>
                <w:color w:val="auto"/>
                <w:sz w:val="24"/>
                <w:szCs w:val="32"/>
              </w:rPr>
              <w:t>6</w:t>
            </w:r>
            <w:r>
              <w:rPr>
                <w:rFonts w:hint="eastAsia"/>
                <w:color w:val="auto"/>
                <w:sz w:val="24"/>
                <w:szCs w:val="32"/>
              </w:rPr>
              <w:t>）排污许可证申请前信息公开情况说明表；</w:t>
            </w:r>
          </w:p>
          <w:p>
            <w:pPr>
              <w:spacing w:line="360" w:lineRule="auto"/>
              <w:ind w:firstLine="480"/>
              <w:rPr>
                <w:color w:val="auto"/>
                <w:sz w:val="24"/>
                <w:szCs w:val="32"/>
              </w:rPr>
            </w:pPr>
            <w:r>
              <w:rPr>
                <w:rFonts w:hint="eastAsia"/>
                <w:color w:val="auto"/>
                <w:sz w:val="24"/>
                <w:szCs w:val="32"/>
              </w:rPr>
              <w:t>在填报排污许可证变更申请时，应承诺排污许可证申请材料是完整、真实和合法的；承诺按照排污许可证的规定排放污染物，落实排污许可证规定的环境管理要求，并由法定代表人或者主要负责人签字或者盖章。</w:t>
            </w:r>
          </w:p>
          <w:p>
            <w:pPr>
              <w:pStyle w:val="116"/>
              <w:adjustRightInd/>
              <w:snapToGrid/>
              <w:spacing w:beforeLines="50"/>
              <w:rPr>
                <w:color w:val="auto"/>
              </w:rPr>
            </w:pPr>
            <w:r>
              <w:rPr>
                <w:color w:val="auto"/>
              </w:rPr>
              <w:t>4.3.2</w:t>
            </w:r>
            <w:r>
              <w:rPr>
                <w:rFonts w:hint="eastAsia"/>
                <w:color w:val="auto"/>
              </w:rPr>
              <w:t>排污许可管理要求</w:t>
            </w:r>
          </w:p>
          <w:p>
            <w:pPr>
              <w:spacing w:line="360" w:lineRule="auto"/>
              <w:ind w:firstLine="480"/>
              <w:rPr>
                <w:color w:val="auto"/>
                <w:sz w:val="24"/>
                <w:szCs w:val="32"/>
              </w:rPr>
            </w:pPr>
            <w:r>
              <w:rPr>
                <w:rFonts w:hint="eastAsia"/>
                <w:color w:val="auto"/>
                <w:sz w:val="24"/>
                <w:szCs w:val="32"/>
              </w:rPr>
              <w:t>根据《固定污染源排污许可分类管理名录》（</w:t>
            </w:r>
            <w:r>
              <w:rPr>
                <w:color w:val="auto"/>
                <w:sz w:val="24"/>
                <w:szCs w:val="32"/>
              </w:rPr>
              <w:t>2019</w:t>
            </w:r>
            <w:r>
              <w:rPr>
                <w:rFonts w:hint="eastAsia"/>
                <w:color w:val="auto"/>
                <w:sz w:val="24"/>
                <w:szCs w:val="32"/>
              </w:rPr>
              <w:t>年版），本项目属于二十五、非金属矿物制品业</w:t>
            </w:r>
            <w:r>
              <w:rPr>
                <w:color w:val="auto"/>
                <w:sz w:val="24"/>
                <w:szCs w:val="32"/>
              </w:rPr>
              <w:t>63</w:t>
            </w:r>
            <w:r>
              <w:rPr>
                <w:rFonts w:hint="eastAsia"/>
                <w:color w:val="auto"/>
                <w:sz w:val="24"/>
                <w:szCs w:val="32"/>
              </w:rPr>
              <w:t>，轻质建筑材料制造</w:t>
            </w:r>
            <w:r>
              <w:rPr>
                <w:color w:val="auto"/>
                <w:sz w:val="24"/>
                <w:szCs w:val="32"/>
              </w:rPr>
              <w:t>3024</w:t>
            </w:r>
            <w:r>
              <w:rPr>
                <w:rFonts w:hint="eastAsia"/>
                <w:color w:val="auto"/>
                <w:sz w:val="24"/>
                <w:szCs w:val="32"/>
              </w:rPr>
              <w:t>，需排污登记管理，管理类别见表</w:t>
            </w:r>
            <w:r>
              <w:rPr>
                <w:color w:val="auto"/>
                <w:sz w:val="24"/>
                <w:szCs w:val="32"/>
              </w:rPr>
              <w:t>4.3-1</w:t>
            </w:r>
            <w:r>
              <w:rPr>
                <w:rFonts w:hint="eastAsia"/>
                <w:color w:val="auto"/>
                <w:sz w:val="24"/>
                <w:szCs w:val="32"/>
              </w:rPr>
              <w:t>。</w:t>
            </w:r>
          </w:p>
          <w:p>
            <w:pPr>
              <w:jc w:val="center"/>
              <w:rPr>
                <w:rFonts w:eastAsia="黑体"/>
                <w:color w:val="auto"/>
                <w:sz w:val="24"/>
              </w:rPr>
            </w:pPr>
            <w:r>
              <w:rPr>
                <w:rFonts w:hint="eastAsia" w:eastAsia="黑体"/>
                <w:color w:val="auto"/>
                <w:sz w:val="24"/>
              </w:rPr>
              <w:t>表</w:t>
            </w:r>
            <w:r>
              <w:rPr>
                <w:rFonts w:eastAsia="黑体"/>
                <w:color w:val="auto"/>
                <w:sz w:val="24"/>
              </w:rPr>
              <w:t xml:space="preserve">4.3-1  </w:t>
            </w:r>
            <w:r>
              <w:rPr>
                <w:rFonts w:hint="eastAsia" w:eastAsia="黑体"/>
                <w:color w:val="auto"/>
                <w:sz w:val="24"/>
              </w:rPr>
              <w:t>固定污染源排污许可分类管理名录（摘录）</w:t>
            </w:r>
          </w:p>
          <w:tbl>
            <w:tblPr>
              <w:tblStyle w:val="27"/>
              <w:tblW w:w="83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75"/>
              <w:gridCol w:w="1450"/>
              <w:gridCol w:w="1912"/>
              <w:gridCol w:w="2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87" w:type="dxa"/>
                  <w:tcBorders>
                    <w:top w:val="single" w:color="auto" w:sz="12" w:space="0"/>
                    <w:bottom w:val="single" w:color="auto" w:sz="4" w:space="0"/>
                    <w:right w:val="single" w:color="auto" w:sz="4" w:space="0"/>
                  </w:tcBorders>
                  <w:vAlign w:val="center"/>
                </w:tcPr>
                <w:p>
                  <w:pPr>
                    <w:widowControl/>
                    <w:adjustRightInd w:val="0"/>
                    <w:snapToGrid w:val="0"/>
                    <w:jc w:val="center"/>
                    <w:rPr>
                      <w:color w:val="auto"/>
                      <w:kern w:val="0"/>
                      <w:szCs w:val="21"/>
                    </w:rPr>
                  </w:pPr>
                  <w:r>
                    <w:rPr>
                      <w:rFonts w:hint="eastAsia"/>
                      <w:color w:val="auto"/>
                      <w:kern w:val="0"/>
                      <w:szCs w:val="21"/>
                    </w:rPr>
                    <w:t>序号</w:t>
                  </w:r>
                </w:p>
              </w:tc>
              <w:tc>
                <w:tcPr>
                  <w:tcW w:w="1675" w:type="dxa"/>
                  <w:tcBorders>
                    <w:top w:val="single" w:color="auto" w:sz="12" w:space="0"/>
                    <w:left w:val="single" w:color="auto" w:sz="4" w:space="0"/>
                    <w:bottom w:val="single" w:color="auto" w:sz="4" w:space="0"/>
                    <w:right w:val="single" w:color="auto" w:sz="4" w:space="0"/>
                  </w:tcBorders>
                  <w:vAlign w:val="center"/>
                </w:tcPr>
                <w:p>
                  <w:pPr>
                    <w:widowControl/>
                    <w:adjustRightInd w:val="0"/>
                    <w:snapToGrid w:val="0"/>
                    <w:jc w:val="center"/>
                    <w:rPr>
                      <w:color w:val="auto"/>
                      <w:kern w:val="0"/>
                      <w:szCs w:val="21"/>
                    </w:rPr>
                  </w:pPr>
                  <w:r>
                    <w:rPr>
                      <w:rFonts w:hint="eastAsia"/>
                      <w:color w:val="auto"/>
                      <w:kern w:val="0"/>
                      <w:szCs w:val="21"/>
                    </w:rPr>
                    <w:t>行业类别</w:t>
                  </w:r>
                </w:p>
              </w:tc>
              <w:tc>
                <w:tcPr>
                  <w:tcW w:w="1450" w:type="dxa"/>
                  <w:tcBorders>
                    <w:top w:val="single" w:color="auto" w:sz="12" w:space="0"/>
                    <w:left w:val="single" w:color="auto" w:sz="4" w:space="0"/>
                    <w:bottom w:val="single" w:color="auto" w:sz="4" w:space="0"/>
                    <w:right w:val="single" w:color="auto" w:sz="4" w:space="0"/>
                  </w:tcBorders>
                  <w:vAlign w:val="center"/>
                </w:tcPr>
                <w:p>
                  <w:pPr>
                    <w:widowControl/>
                    <w:adjustRightInd w:val="0"/>
                    <w:snapToGrid w:val="0"/>
                    <w:jc w:val="center"/>
                    <w:rPr>
                      <w:color w:val="auto"/>
                      <w:kern w:val="0"/>
                      <w:szCs w:val="21"/>
                    </w:rPr>
                  </w:pPr>
                  <w:r>
                    <w:rPr>
                      <w:rFonts w:hint="eastAsia"/>
                      <w:color w:val="auto"/>
                      <w:kern w:val="0"/>
                      <w:szCs w:val="21"/>
                    </w:rPr>
                    <w:t>重点管理</w:t>
                  </w:r>
                </w:p>
              </w:tc>
              <w:tc>
                <w:tcPr>
                  <w:tcW w:w="1912" w:type="dxa"/>
                  <w:tcBorders>
                    <w:top w:val="single" w:color="auto" w:sz="12" w:space="0"/>
                    <w:left w:val="single" w:color="auto" w:sz="4" w:space="0"/>
                    <w:bottom w:val="single" w:color="auto" w:sz="4" w:space="0"/>
                    <w:right w:val="single" w:color="auto" w:sz="4" w:space="0"/>
                  </w:tcBorders>
                  <w:vAlign w:val="center"/>
                </w:tcPr>
                <w:p>
                  <w:pPr>
                    <w:widowControl/>
                    <w:adjustRightInd w:val="0"/>
                    <w:snapToGrid w:val="0"/>
                    <w:jc w:val="center"/>
                    <w:rPr>
                      <w:color w:val="auto"/>
                      <w:kern w:val="0"/>
                      <w:szCs w:val="21"/>
                    </w:rPr>
                  </w:pPr>
                  <w:r>
                    <w:rPr>
                      <w:rFonts w:hint="eastAsia"/>
                      <w:color w:val="auto"/>
                      <w:kern w:val="0"/>
                      <w:szCs w:val="21"/>
                      <w:shd w:val="clear" w:color="auto" w:fill="FFFFFF"/>
                    </w:rPr>
                    <w:t>简化管理</w:t>
                  </w:r>
                </w:p>
              </w:tc>
              <w:tc>
                <w:tcPr>
                  <w:tcW w:w="2655" w:type="dxa"/>
                  <w:tcBorders>
                    <w:top w:val="single" w:color="auto" w:sz="12" w:space="0"/>
                    <w:left w:val="single" w:color="auto" w:sz="4" w:space="0"/>
                    <w:bottom w:val="single" w:color="auto" w:sz="4" w:space="0"/>
                  </w:tcBorders>
                  <w:shd w:val="clear" w:color="auto" w:fill="D8D8D8"/>
                  <w:vAlign w:val="center"/>
                </w:tcPr>
                <w:p>
                  <w:pPr>
                    <w:widowControl/>
                    <w:adjustRightInd w:val="0"/>
                    <w:snapToGrid w:val="0"/>
                    <w:jc w:val="center"/>
                    <w:rPr>
                      <w:color w:val="auto"/>
                      <w:kern w:val="0"/>
                      <w:szCs w:val="21"/>
                    </w:rPr>
                  </w:pPr>
                  <w:r>
                    <w:rPr>
                      <w:rFonts w:hint="eastAsia"/>
                      <w:color w:val="auto"/>
                      <w:kern w:val="0"/>
                      <w:szCs w:val="21"/>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379" w:type="dxa"/>
                  <w:gridSpan w:val="5"/>
                  <w:tcBorders>
                    <w:top w:val="single" w:color="auto" w:sz="4" w:space="0"/>
                    <w:bottom w:val="single" w:color="auto" w:sz="4" w:space="0"/>
                  </w:tcBorders>
                  <w:shd w:val="clear" w:color="auto" w:fill="D8D8D8"/>
                  <w:vAlign w:val="center"/>
                </w:tcPr>
                <w:p>
                  <w:pPr>
                    <w:widowControl/>
                    <w:adjustRightInd w:val="0"/>
                    <w:snapToGrid w:val="0"/>
                    <w:jc w:val="center"/>
                    <w:rPr>
                      <w:b/>
                      <w:bCs/>
                      <w:color w:val="auto"/>
                      <w:kern w:val="0"/>
                      <w:szCs w:val="21"/>
                    </w:rPr>
                  </w:pPr>
                  <w:r>
                    <w:rPr>
                      <w:rFonts w:hint="eastAsia"/>
                      <w:color w:val="auto"/>
                      <w:kern w:val="0"/>
                      <w:szCs w:val="21"/>
                    </w:rPr>
                    <w:t>二十五、非金属矿物制品业</w:t>
                  </w:r>
                  <w:r>
                    <w:rPr>
                      <w:color w:val="auto"/>
                      <w:kern w:val="0"/>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687" w:type="dxa"/>
                  <w:tcBorders>
                    <w:top w:val="single" w:color="auto" w:sz="4" w:space="0"/>
                    <w:bottom w:val="single" w:color="auto" w:sz="12" w:space="0"/>
                    <w:right w:val="single" w:color="auto" w:sz="4" w:space="0"/>
                  </w:tcBorders>
                  <w:vAlign w:val="center"/>
                </w:tcPr>
                <w:p>
                  <w:pPr>
                    <w:widowControl/>
                    <w:adjustRightInd w:val="0"/>
                    <w:snapToGrid w:val="0"/>
                    <w:jc w:val="center"/>
                    <w:rPr>
                      <w:color w:val="auto"/>
                      <w:kern w:val="0"/>
                      <w:szCs w:val="21"/>
                      <w:shd w:val="clear" w:color="auto" w:fill="FFFFFF"/>
                    </w:rPr>
                  </w:pPr>
                  <w:r>
                    <w:rPr>
                      <w:color w:val="auto"/>
                      <w:kern w:val="0"/>
                      <w:szCs w:val="21"/>
                      <w:shd w:val="clear" w:color="auto" w:fill="FFFFFF"/>
                    </w:rPr>
                    <w:t>63</w:t>
                  </w:r>
                </w:p>
              </w:tc>
              <w:tc>
                <w:tcPr>
                  <w:tcW w:w="1675" w:type="dxa"/>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rPr>
                      <w:color w:val="auto"/>
                      <w:kern w:val="0"/>
                      <w:szCs w:val="21"/>
                      <w:shd w:val="clear" w:color="auto" w:fill="FFFFFF"/>
                    </w:rPr>
                  </w:pPr>
                  <w:r>
                    <w:rPr>
                      <w:rFonts w:hint="eastAsia"/>
                      <w:color w:val="auto"/>
                      <w:kern w:val="0"/>
                      <w:szCs w:val="21"/>
                      <w:shd w:val="clear" w:color="auto" w:fill="FFFFFF"/>
                    </w:rPr>
                    <w:t>水泥、石灰和石膏制造</w:t>
                  </w:r>
                  <w:r>
                    <w:rPr>
                      <w:color w:val="auto"/>
                      <w:kern w:val="0"/>
                      <w:szCs w:val="21"/>
                      <w:shd w:val="clear" w:color="auto" w:fill="FFFFFF"/>
                    </w:rPr>
                    <w:t>301</w:t>
                  </w:r>
                  <w:r>
                    <w:rPr>
                      <w:rFonts w:hint="eastAsia"/>
                      <w:color w:val="auto"/>
                      <w:kern w:val="0"/>
                      <w:szCs w:val="21"/>
                      <w:shd w:val="clear" w:color="auto" w:fill="FFFFFF"/>
                    </w:rPr>
                    <w:t>，石膏、水泥制品及类似制品制造</w:t>
                  </w:r>
                  <w:r>
                    <w:rPr>
                      <w:color w:val="auto"/>
                      <w:kern w:val="0"/>
                      <w:szCs w:val="21"/>
                      <w:shd w:val="clear" w:color="auto" w:fill="FFFFFF"/>
                    </w:rPr>
                    <w:t xml:space="preserve"> 302</w:t>
                  </w:r>
                </w:p>
              </w:tc>
              <w:tc>
                <w:tcPr>
                  <w:tcW w:w="1450" w:type="dxa"/>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rPr>
                      <w:color w:val="auto"/>
                      <w:kern w:val="0"/>
                      <w:szCs w:val="21"/>
                      <w:shd w:val="clear" w:color="auto" w:fill="FFFFFF"/>
                    </w:rPr>
                  </w:pPr>
                  <w:r>
                    <w:rPr>
                      <w:rFonts w:hint="eastAsia"/>
                      <w:color w:val="auto"/>
                      <w:kern w:val="0"/>
                      <w:szCs w:val="21"/>
                      <w:shd w:val="clear" w:color="auto" w:fill="FFFFFF"/>
                    </w:rPr>
                    <w:t>水泥（熟料）制造</w:t>
                  </w:r>
                </w:p>
              </w:tc>
              <w:tc>
                <w:tcPr>
                  <w:tcW w:w="1912" w:type="dxa"/>
                  <w:tcBorders>
                    <w:top w:val="single" w:color="auto" w:sz="4" w:space="0"/>
                    <w:left w:val="single" w:color="auto" w:sz="4" w:space="0"/>
                    <w:bottom w:val="single" w:color="auto" w:sz="12" w:space="0"/>
                    <w:right w:val="single" w:color="auto" w:sz="4" w:space="0"/>
                  </w:tcBorders>
                  <w:vAlign w:val="center"/>
                </w:tcPr>
                <w:p>
                  <w:pPr>
                    <w:widowControl/>
                    <w:adjustRightInd w:val="0"/>
                    <w:snapToGrid w:val="0"/>
                    <w:jc w:val="center"/>
                    <w:rPr>
                      <w:color w:val="auto"/>
                      <w:kern w:val="0"/>
                      <w:szCs w:val="21"/>
                      <w:shd w:val="clear" w:color="auto" w:fill="FFFFFF"/>
                    </w:rPr>
                  </w:pPr>
                  <w:r>
                    <w:rPr>
                      <w:rFonts w:hint="eastAsia"/>
                      <w:color w:val="auto"/>
                      <w:kern w:val="0"/>
                      <w:szCs w:val="21"/>
                      <w:shd w:val="clear" w:color="auto" w:fill="FFFFFF"/>
                    </w:rPr>
                    <w:t>水泥粉磨站、石灰和石膏制造</w:t>
                  </w:r>
                  <w:r>
                    <w:rPr>
                      <w:color w:val="auto"/>
                      <w:kern w:val="0"/>
                      <w:szCs w:val="21"/>
                      <w:shd w:val="clear" w:color="auto" w:fill="FFFFFF"/>
                    </w:rPr>
                    <w:t xml:space="preserve"> 3012</w:t>
                  </w:r>
                </w:p>
              </w:tc>
              <w:tc>
                <w:tcPr>
                  <w:tcW w:w="2655" w:type="dxa"/>
                  <w:tcBorders>
                    <w:top w:val="single" w:color="auto" w:sz="4" w:space="0"/>
                    <w:left w:val="single" w:color="auto" w:sz="4" w:space="0"/>
                    <w:bottom w:val="single" w:color="auto" w:sz="12" w:space="0"/>
                  </w:tcBorders>
                  <w:shd w:val="clear" w:color="auto" w:fill="D8D8D8"/>
                  <w:vAlign w:val="center"/>
                </w:tcPr>
                <w:p>
                  <w:pPr>
                    <w:widowControl/>
                    <w:adjustRightInd w:val="0"/>
                    <w:snapToGrid w:val="0"/>
                    <w:jc w:val="center"/>
                    <w:rPr>
                      <w:color w:val="auto"/>
                      <w:kern w:val="0"/>
                      <w:szCs w:val="21"/>
                      <w:shd w:val="clear" w:color="auto" w:fill="FFFFFF"/>
                    </w:rPr>
                  </w:pPr>
                  <w:r>
                    <w:rPr>
                      <w:rFonts w:hint="eastAsia"/>
                      <w:color w:val="auto"/>
                      <w:kern w:val="0"/>
                      <w:szCs w:val="21"/>
                      <w:shd w:val="clear" w:color="auto" w:fill="FFFFFF"/>
                    </w:rPr>
                    <w:t>水泥制品制造</w:t>
                  </w:r>
                  <w:r>
                    <w:rPr>
                      <w:color w:val="auto"/>
                      <w:kern w:val="0"/>
                      <w:szCs w:val="21"/>
                      <w:shd w:val="clear" w:color="auto" w:fill="FFFFFF"/>
                    </w:rPr>
                    <w:t>3021</w:t>
                  </w:r>
                  <w:r>
                    <w:rPr>
                      <w:rFonts w:hint="eastAsia"/>
                      <w:color w:val="auto"/>
                      <w:kern w:val="0"/>
                      <w:szCs w:val="21"/>
                      <w:shd w:val="clear" w:color="auto" w:fill="FFFFFF"/>
                    </w:rPr>
                    <w:t>，砼结构构件制造</w:t>
                  </w:r>
                  <w:r>
                    <w:rPr>
                      <w:color w:val="auto"/>
                      <w:kern w:val="0"/>
                      <w:szCs w:val="21"/>
                      <w:shd w:val="clear" w:color="auto" w:fill="FFFFFF"/>
                    </w:rPr>
                    <w:t>3022</w:t>
                  </w:r>
                  <w:r>
                    <w:rPr>
                      <w:rFonts w:hint="eastAsia"/>
                      <w:color w:val="auto"/>
                      <w:kern w:val="0"/>
                      <w:szCs w:val="21"/>
                      <w:shd w:val="clear" w:color="auto" w:fill="FFFFFF"/>
                    </w:rPr>
                    <w:t>，石棉水泥制品制造</w:t>
                  </w:r>
                  <w:r>
                    <w:rPr>
                      <w:color w:val="auto"/>
                      <w:kern w:val="0"/>
                      <w:szCs w:val="21"/>
                      <w:shd w:val="clear" w:color="auto" w:fill="FFFFFF"/>
                    </w:rPr>
                    <w:t>3023</w:t>
                  </w:r>
                  <w:r>
                    <w:rPr>
                      <w:rFonts w:hint="eastAsia"/>
                      <w:color w:val="auto"/>
                      <w:kern w:val="0"/>
                      <w:szCs w:val="21"/>
                      <w:shd w:val="clear" w:color="auto" w:fill="FFFFFF"/>
                    </w:rPr>
                    <w:t>，轻质建筑材料制造</w:t>
                  </w:r>
                  <w:r>
                    <w:rPr>
                      <w:color w:val="auto"/>
                      <w:kern w:val="0"/>
                      <w:szCs w:val="21"/>
                      <w:shd w:val="clear" w:color="auto" w:fill="FFFFFF"/>
                    </w:rPr>
                    <w:t>3024</w:t>
                  </w:r>
                  <w:r>
                    <w:rPr>
                      <w:rFonts w:hint="eastAsia"/>
                      <w:color w:val="auto"/>
                      <w:kern w:val="0"/>
                      <w:szCs w:val="21"/>
                      <w:shd w:val="clear" w:color="auto" w:fill="FFFFFF"/>
                    </w:rPr>
                    <w:t>，其他水泥类似制品制造</w:t>
                  </w:r>
                  <w:r>
                    <w:rPr>
                      <w:color w:val="auto"/>
                      <w:kern w:val="0"/>
                      <w:szCs w:val="21"/>
                      <w:shd w:val="clear" w:color="auto" w:fill="FFFFFF"/>
                    </w:rPr>
                    <w:t>3029</w:t>
                  </w:r>
                </w:p>
              </w:tc>
            </w:tr>
          </w:tbl>
          <w:p>
            <w:pPr>
              <w:pStyle w:val="116"/>
              <w:adjustRightInd/>
              <w:snapToGrid/>
              <w:spacing w:beforeLines="50"/>
              <w:rPr>
                <w:color w:val="auto"/>
              </w:rPr>
            </w:pPr>
            <w:r>
              <w:rPr>
                <w:color w:val="auto"/>
              </w:rPr>
              <w:t>4.3.3</w:t>
            </w:r>
            <w:r>
              <w:rPr>
                <w:rFonts w:hint="eastAsia"/>
                <w:color w:val="auto"/>
              </w:rPr>
              <w:t>排污口规范化管理</w:t>
            </w:r>
          </w:p>
          <w:p>
            <w:pPr>
              <w:spacing w:line="360" w:lineRule="auto"/>
              <w:ind w:firstLine="480"/>
              <w:rPr>
                <w:color w:val="auto"/>
                <w:sz w:val="24"/>
                <w:szCs w:val="32"/>
              </w:rPr>
            </w:pPr>
            <w:r>
              <w:rPr>
                <w:rFonts w:hint="eastAsia"/>
                <w:color w:val="auto"/>
                <w:sz w:val="24"/>
                <w:szCs w:val="32"/>
              </w:rPr>
              <w:t>排污口规范化是实施污染物总量控制管理的基础工作，也是总量控制不可缺少的一项内容，排污口规范化对于污染源管理，现场监督检查，促进厂家企业强化环保管理，促进污染治理，实现科学化、定量化都有极大的现实意义。</w:t>
            </w:r>
          </w:p>
          <w:p>
            <w:pPr>
              <w:spacing w:line="360" w:lineRule="auto"/>
              <w:ind w:firstLine="480"/>
              <w:rPr>
                <w:color w:val="auto"/>
                <w:sz w:val="24"/>
                <w:szCs w:val="32"/>
              </w:rPr>
            </w:pPr>
            <w:r>
              <w:rPr>
                <w:rFonts w:hint="eastAsia"/>
                <w:color w:val="auto"/>
                <w:sz w:val="24"/>
                <w:szCs w:val="32"/>
              </w:rPr>
              <w:t>项目需规范的排污口主要有废水总排放口、废气排气筒、固废临时堆放点。</w:t>
            </w:r>
          </w:p>
          <w:p>
            <w:pPr>
              <w:spacing w:line="360" w:lineRule="auto"/>
              <w:ind w:firstLine="480"/>
              <w:rPr>
                <w:color w:val="auto"/>
                <w:sz w:val="24"/>
                <w:szCs w:val="32"/>
              </w:rPr>
            </w:pPr>
            <w:r>
              <w:rPr>
                <w:rFonts w:hint="eastAsia"/>
                <w:color w:val="auto"/>
                <w:sz w:val="24"/>
                <w:szCs w:val="32"/>
              </w:rPr>
              <w:t>（</w:t>
            </w:r>
            <w:r>
              <w:rPr>
                <w:color w:val="auto"/>
                <w:sz w:val="24"/>
                <w:szCs w:val="32"/>
              </w:rPr>
              <w:t>1</w:t>
            </w:r>
            <w:r>
              <w:rPr>
                <w:rFonts w:hint="eastAsia"/>
                <w:color w:val="auto"/>
                <w:sz w:val="24"/>
                <w:szCs w:val="32"/>
              </w:rPr>
              <w:t>）废水排放口：本项目生产废水在厂内污水处理站处理后排至园区市政污水管网、进入尼葛污水处理厂集中处理。排污口设置符合环境监理部门对排污口的规范化的要求。具体有以下要求的内容：</w:t>
            </w:r>
          </w:p>
          <w:p>
            <w:pPr>
              <w:spacing w:line="360" w:lineRule="auto"/>
              <w:ind w:firstLine="480"/>
              <w:rPr>
                <w:color w:val="auto"/>
                <w:sz w:val="24"/>
                <w:szCs w:val="32"/>
              </w:rPr>
            </w:pPr>
            <w:r>
              <w:rPr>
                <w:color w:val="auto"/>
                <w:sz w:val="24"/>
                <w:szCs w:val="32"/>
              </w:rPr>
              <w:t>A</w:t>
            </w:r>
            <w:r>
              <w:rPr>
                <w:rFonts w:hint="eastAsia"/>
                <w:color w:val="auto"/>
                <w:sz w:val="24"/>
                <w:szCs w:val="32"/>
              </w:rPr>
              <w:t>、按《污水综合排放标准》</w:t>
            </w:r>
            <w:r>
              <w:rPr>
                <w:color w:val="auto"/>
                <w:sz w:val="24"/>
                <w:szCs w:val="32"/>
              </w:rPr>
              <w:t>(GB8978—1996</w:t>
            </w:r>
            <w:r>
              <w:rPr>
                <w:rFonts w:hint="eastAsia"/>
                <w:color w:val="auto"/>
                <w:sz w:val="24"/>
                <w:szCs w:val="32"/>
              </w:rPr>
              <w:t>）和《水质采样方案设计技术规定》</w:t>
            </w:r>
            <w:r>
              <w:rPr>
                <w:color w:val="auto"/>
                <w:sz w:val="24"/>
                <w:szCs w:val="32"/>
              </w:rPr>
              <w:t>(GB12997—1996</w:t>
            </w:r>
            <w:r>
              <w:rPr>
                <w:rFonts w:hint="eastAsia"/>
                <w:color w:val="auto"/>
                <w:sz w:val="24"/>
                <w:szCs w:val="32"/>
              </w:rPr>
              <w:t>）的规定，在排污单位的总排放口设置采样点。</w:t>
            </w:r>
          </w:p>
          <w:p>
            <w:pPr>
              <w:spacing w:line="360" w:lineRule="auto"/>
              <w:ind w:firstLine="480"/>
              <w:rPr>
                <w:color w:val="auto"/>
                <w:sz w:val="24"/>
                <w:szCs w:val="32"/>
              </w:rPr>
            </w:pPr>
            <w:r>
              <w:rPr>
                <w:color w:val="auto"/>
                <w:sz w:val="24"/>
                <w:szCs w:val="32"/>
              </w:rPr>
              <w:t>B</w:t>
            </w:r>
            <w:r>
              <w:rPr>
                <w:rFonts w:hint="eastAsia"/>
                <w:color w:val="auto"/>
                <w:sz w:val="24"/>
                <w:szCs w:val="32"/>
              </w:rPr>
              <w:t>、应尽量安装污水流量计，堰槽式测流装置满足《明渠堰槽流量计》（</w:t>
            </w:r>
            <w:r>
              <w:rPr>
                <w:color w:val="auto"/>
                <w:sz w:val="24"/>
                <w:szCs w:val="32"/>
              </w:rPr>
              <w:t>JJG711-90</w:t>
            </w:r>
            <w:r>
              <w:rPr>
                <w:rFonts w:hint="eastAsia"/>
                <w:color w:val="auto"/>
                <w:sz w:val="24"/>
                <w:szCs w:val="32"/>
              </w:rPr>
              <w:t>）标准要求。</w:t>
            </w:r>
          </w:p>
          <w:p>
            <w:pPr>
              <w:spacing w:line="360" w:lineRule="auto"/>
              <w:ind w:firstLine="480"/>
              <w:rPr>
                <w:color w:val="auto"/>
                <w:sz w:val="24"/>
                <w:szCs w:val="32"/>
              </w:rPr>
            </w:pPr>
            <w:r>
              <w:rPr>
                <w:color w:val="auto"/>
                <w:sz w:val="24"/>
                <w:szCs w:val="32"/>
              </w:rPr>
              <w:t>C</w:t>
            </w:r>
            <w:r>
              <w:rPr>
                <w:rFonts w:hint="eastAsia"/>
                <w:color w:val="auto"/>
                <w:sz w:val="24"/>
                <w:szCs w:val="32"/>
              </w:rPr>
              <w:t>、废水排放口环境保护图形标志牌设在排放口附近醒目处。</w:t>
            </w:r>
          </w:p>
          <w:p>
            <w:pPr>
              <w:spacing w:line="360" w:lineRule="auto"/>
              <w:ind w:firstLine="480"/>
              <w:rPr>
                <w:color w:val="auto"/>
                <w:sz w:val="24"/>
                <w:szCs w:val="32"/>
              </w:rPr>
            </w:pPr>
            <w:r>
              <w:rPr>
                <w:rFonts w:hint="eastAsia"/>
                <w:color w:val="auto"/>
                <w:sz w:val="24"/>
                <w:szCs w:val="32"/>
              </w:rPr>
              <w:t>（</w:t>
            </w:r>
            <w:r>
              <w:rPr>
                <w:color w:val="auto"/>
                <w:sz w:val="24"/>
                <w:szCs w:val="32"/>
              </w:rPr>
              <w:t>2</w:t>
            </w:r>
            <w:r>
              <w:rPr>
                <w:rFonts w:hint="eastAsia"/>
                <w:color w:val="auto"/>
                <w:sz w:val="24"/>
                <w:szCs w:val="32"/>
              </w:rPr>
              <w:t>）废气排放口：各烟囱或烟道应设置永久采样孔，并安装采样监测平台，废气采样口设置必须符合《污染源监测技术规范》规定的高度和要求，便于采样、监测的要求，并得到授权的环境监察支队和环境监测中心站共同确认。具体有以下要求的内容：</w:t>
            </w:r>
          </w:p>
          <w:p>
            <w:pPr>
              <w:spacing w:line="360" w:lineRule="auto"/>
              <w:ind w:firstLine="480"/>
              <w:rPr>
                <w:color w:val="auto"/>
                <w:sz w:val="24"/>
                <w:szCs w:val="32"/>
              </w:rPr>
            </w:pPr>
            <w:r>
              <w:rPr>
                <w:color w:val="auto"/>
                <w:sz w:val="24"/>
                <w:szCs w:val="32"/>
              </w:rPr>
              <w:t>A</w:t>
            </w:r>
            <w:r>
              <w:rPr>
                <w:rFonts w:hint="eastAsia"/>
                <w:color w:val="auto"/>
                <w:sz w:val="24"/>
                <w:szCs w:val="32"/>
              </w:rPr>
              <w:t>、采样口位置原则上应避开烟道弯头和断面急剧变化的部位。对颗粒物采集或连续测定，应设置在距弯头、阀门、变径管下游方向不小于</w:t>
            </w:r>
            <w:r>
              <w:rPr>
                <w:color w:val="auto"/>
                <w:sz w:val="24"/>
                <w:szCs w:val="32"/>
              </w:rPr>
              <w:t>6</w:t>
            </w:r>
            <w:r>
              <w:rPr>
                <w:rFonts w:hint="eastAsia"/>
                <w:color w:val="auto"/>
                <w:sz w:val="24"/>
                <w:szCs w:val="32"/>
              </w:rPr>
              <w:t>倍直径，和距上述部件上游方向不小于</w:t>
            </w:r>
            <w:r>
              <w:rPr>
                <w:color w:val="auto"/>
                <w:sz w:val="24"/>
                <w:szCs w:val="32"/>
              </w:rPr>
              <w:t>3</w:t>
            </w:r>
            <w:r>
              <w:rPr>
                <w:rFonts w:hint="eastAsia"/>
                <w:color w:val="auto"/>
                <w:sz w:val="24"/>
                <w:szCs w:val="32"/>
              </w:rPr>
              <w:t>倍直径处；对气态污染物采集或连续测定，应设置在距弯头、阀门、变径管道下游方向不小于</w:t>
            </w:r>
            <w:r>
              <w:rPr>
                <w:color w:val="auto"/>
                <w:sz w:val="24"/>
                <w:szCs w:val="32"/>
              </w:rPr>
              <w:t>2</w:t>
            </w:r>
            <w:r>
              <w:rPr>
                <w:rFonts w:hint="eastAsia"/>
                <w:color w:val="auto"/>
                <w:sz w:val="24"/>
                <w:szCs w:val="32"/>
              </w:rPr>
              <w:t>倍直径处，和距上述部件上游方向不小于</w:t>
            </w:r>
            <w:r>
              <w:rPr>
                <w:color w:val="auto"/>
                <w:sz w:val="24"/>
                <w:szCs w:val="32"/>
              </w:rPr>
              <w:t>1.5</w:t>
            </w:r>
            <w:r>
              <w:rPr>
                <w:rFonts w:hint="eastAsia"/>
                <w:color w:val="auto"/>
                <w:sz w:val="24"/>
                <w:szCs w:val="32"/>
              </w:rPr>
              <w:t>倍直径处。</w:t>
            </w:r>
          </w:p>
          <w:p>
            <w:pPr>
              <w:spacing w:line="360" w:lineRule="auto"/>
              <w:ind w:firstLine="480"/>
              <w:rPr>
                <w:color w:val="auto"/>
                <w:sz w:val="24"/>
                <w:szCs w:val="32"/>
              </w:rPr>
            </w:pPr>
            <w:r>
              <w:rPr>
                <w:color w:val="auto"/>
                <w:sz w:val="24"/>
                <w:szCs w:val="32"/>
              </w:rPr>
              <w:t>B</w:t>
            </w:r>
            <w:r>
              <w:rPr>
                <w:rFonts w:hint="eastAsia"/>
                <w:color w:val="auto"/>
                <w:sz w:val="24"/>
                <w:szCs w:val="32"/>
              </w:rPr>
              <w:t>、采样口径一般不少于</w:t>
            </w:r>
            <w:r>
              <w:rPr>
                <w:color w:val="auto"/>
                <w:sz w:val="24"/>
                <w:szCs w:val="32"/>
              </w:rPr>
              <w:t>75</w:t>
            </w:r>
            <w:r>
              <w:rPr>
                <w:rFonts w:hint="eastAsia"/>
                <w:color w:val="auto"/>
                <w:sz w:val="24"/>
                <w:szCs w:val="32"/>
              </w:rPr>
              <w:t>毫米。当采取有毒或变温气体且采样点烟道处于正压状态时，应加设防喷装置。烟气排放连续监测系统的采样口径应按产品说明书要求确定</w:t>
            </w:r>
          </w:p>
          <w:p>
            <w:pPr>
              <w:spacing w:line="360" w:lineRule="auto"/>
              <w:ind w:firstLine="480"/>
              <w:rPr>
                <w:color w:val="auto"/>
                <w:sz w:val="24"/>
                <w:szCs w:val="32"/>
              </w:rPr>
            </w:pPr>
            <w:r>
              <w:rPr>
                <w:color w:val="auto"/>
                <w:sz w:val="24"/>
                <w:szCs w:val="32"/>
              </w:rPr>
              <w:t>C</w:t>
            </w:r>
            <w:r>
              <w:rPr>
                <w:rFonts w:hint="eastAsia"/>
                <w:color w:val="auto"/>
                <w:sz w:val="24"/>
                <w:szCs w:val="32"/>
              </w:rPr>
              <w:t>、废气排放口的环境保护图形标志牌应设在排气筒附近地面醒目处</w:t>
            </w:r>
          </w:p>
          <w:p>
            <w:pPr>
              <w:spacing w:line="360" w:lineRule="auto"/>
              <w:ind w:firstLine="480"/>
              <w:rPr>
                <w:color w:val="auto"/>
                <w:sz w:val="24"/>
                <w:szCs w:val="32"/>
              </w:rPr>
            </w:pPr>
            <w:r>
              <w:rPr>
                <w:rFonts w:hint="eastAsia"/>
                <w:color w:val="auto"/>
                <w:sz w:val="24"/>
                <w:szCs w:val="32"/>
              </w:rPr>
              <w:t>（</w:t>
            </w:r>
            <w:r>
              <w:rPr>
                <w:color w:val="auto"/>
                <w:sz w:val="24"/>
                <w:szCs w:val="32"/>
              </w:rPr>
              <w:t>3</w:t>
            </w:r>
            <w:r>
              <w:rPr>
                <w:rFonts w:hint="eastAsia"/>
                <w:color w:val="auto"/>
                <w:sz w:val="24"/>
                <w:szCs w:val="32"/>
              </w:rPr>
              <w:t>）固定噪声排放源</w:t>
            </w:r>
          </w:p>
          <w:p>
            <w:pPr>
              <w:spacing w:line="360" w:lineRule="auto"/>
              <w:ind w:firstLine="480"/>
              <w:rPr>
                <w:color w:val="auto"/>
                <w:sz w:val="24"/>
                <w:szCs w:val="32"/>
              </w:rPr>
            </w:pPr>
            <w:r>
              <w:rPr>
                <w:rFonts w:hint="eastAsia"/>
                <w:color w:val="auto"/>
                <w:sz w:val="24"/>
                <w:szCs w:val="32"/>
              </w:rPr>
              <w:t>按规定对固定噪声进行治理，并在厂界噪声敏感点、且对外界影响最大处设置标志牌。</w:t>
            </w:r>
          </w:p>
          <w:p>
            <w:pPr>
              <w:spacing w:line="360" w:lineRule="auto"/>
              <w:ind w:firstLine="480"/>
              <w:rPr>
                <w:color w:val="auto"/>
                <w:sz w:val="24"/>
                <w:szCs w:val="32"/>
              </w:rPr>
            </w:pPr>
            <w:r>
              <w:rPr>
                <w:rFonts w:hint="eastAsia"/>
                <w:color w:val="auto"/>
                <w:sz w:val="24"/>
                <w:szCs w:val="32"/>
              </w:rPr>
              <w:t>（</w:t>
            </w:r>
            <w:r>
              <w:rPr>
                <w:color w:val="auto"/>
                <w:sz w:val="24"/>
                <w:szCs w:val="32"/>
              </w:rPr>
              <w:t>4</w:t>
            </w:r>
            <w:r>
              <w:rPr>
                <w:rFonts w:hint="eastAsia"/>
                <w:color w:val="auto"/>
                <w:sz w:val="24"/>
                <w:szCs w:val="32"/>
              </w:rPr>
              <w:t>）固体废物贮存处置</w:t>
            </w:r>
          </w:p>
          <w:p>
            <w:pPr>
              <w:spacing w:line="360" w:lineRule="auto"/>
              <w:ind w:firstLine="480"/>
              <w:rPr>
                <w:color w:val="auto"/>
                <w:sz w:val="24"/>
                <w:szCs w:val="32"/>
              </w:rPr>
            </w:pPr>
            <w:r>
              <w:rPr>
                <w:rFonts w:hint="eastAsia"/>
                <w:color w:val="auto"/>
                <w:sz w:val="24"/>
                <w:szCs w:val="32"/>
              </w:rPr>
              <w:t>对各种固体废物应分类收集，设置暂存点应有防扬尘、防流失、防渗漏等措施。</w:t>
            </w:r>
          </w:p>
          <w:p>
            <w:pPr>
              <w:jc w:val="center"/>
              <w:rPr>
                <w:rFonts w:eastAsia="黑体"/>
                <w:color w:val="auto"/>
                <w:sz w:val="24"/>
              </w:rPr>
            </w:pPr>
            <w:r>
              <w:rPr>
                <w:rFonts w:hint="eastAsia" w:eastAsia="黑体"/>
                <w:color w:val="auto"/>
                <w:sz w:val="24"/>
              </w:rPr>
              <w:t>表</w:t>
            </w:r>
            <w:r>
              <w:rPr>
                <w:rFonts w:eastAsia="黑体"/>
                <w:color w:val="auto"/>
                <w:sz w:val="24"/>
              </w:rPr>
              <w:t xml:space="preserve">4.3-2  </w:t>
            </w:r>
            <w:r>
              <w:rPr>
                <w:rFonts w:hint="eastAsia" w:eastAsia="黑体"/>
                <w:color w:val="auto"/>
                <w:sz w:val="24"/>
              </w:rPr>
              <w:t>排放口图形标志</w:t>
            </w:r>
          </w:p>
          <w:tbl>
            <w:tblPr>
              <w:tblStyle w:val="27"/>
              <w:tblW w:w="841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817"/>
              <w:gridCol w:w="1678"/>
              <w:gridCol w:w="2379"/>
              <w:gridCol w:w="17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tcBorders>
                    <w:top w:val="single" w:color="auto" w:sz="12" w:space="0"/>
                    <w:bottom w:val="single" w:color="auto" w:sz="4" w:space="0"/>
                    <w:right w:val="single" w:color="auto" w:sz="4" w:space="0"/>
                  </w:tcBorders>
                  <w:tcMar>
                    <w:left w:w="28" w:type="dxa"/>
                    <w:right w:w="28" w:type="dxa"/>
                  </w:tcMar>
                  <w:vAlign w:val="center"/>
                </w:tcPr>
                <w:p>
                  <w:pPr>
                    <w:jc w:val="center"/>
                    <w:rPr>
                      <w:color w:val="auto"/>
                    </w:rPr>
                  </w:pPr>
                  <w:r>
                    <w:rPr>
                      <w:rFonts w:hint="eastAsia"/>
                      <w:color w:val="auto"/>
                    </w:rPr>
                    <w:t>名称</w:t>
                  </w:r>
                </w:p>
              </w:tc>
              <w:tc>
                <w:tcPr>
                  <w:tcW w:w="1817" w:type="dxa"/>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color w:val="auto"/>
                    </w:rPr>
                  </w:pPr>
                  <w:r>
                    <w:rPr>
                      <w:rFonts w:hint="eastAsia"/>
                      <w:color w:val="auto"/>
                    </w:rPr>
                    <w:t>废气排放口</w:t>
                  </w:r>
                </w:p>
              </w:tc>
              <w:tc>
                <w:tcPr>
                  <w:tcW w:w="1678" w:type="dxa"/>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color w:val="auto"/>
                    </w:rPr>
                  </w:pPr>
                  <w:r>
                    <w:rPr>
                      <w:rFonts w:hint="eastAsia"/>
                      <w:color w:val="auto"/>
                    </w:rPr>
                    <w:t>噪声排放源</w:t>
                  </w:r>
                </w:p>
              </w:tc>
              <w:tc>
                <w:tcPr>
                  <w:tcW w:w="2379" w:type="dxa"/>
                  <w:tcBorders>
                    <w:top w:val="single" w:color="auto" w:sz="12" w:space="0"/>
                    <w:left w:val="single" w:color="auto" w:sz="4" w:space="0"/>
                    <w:bottom w:val="single" w:color="auto" w:sz="4" w:space="0"/>
                    <w:right w:val="single" w:color="auto" w:sz="4" w:space="0"/>
                  </w:tcBorders>
                  <w:tcMar>
                    <w:left w:w="28" w:type="dxa"/>
                    <w:right w:w="28" w:type="dxa"/>
                  </w:tcMar>
                  <w:vAlign w:val="center"/>
                </w:tcPr>
                <w:p>
                  <w:pPr>
                    <w:jc w:val="center"/>
                    <w:rPr>
                      <w:color w:val="auto"/>
                    </w:rPr>
                  </w:pPr>
                  <w:r>
                    <w:rPr>
                      <w:rFonts w:hint="eastAsia"/>
                      <w:color w:val="auto"/>
                    </w:rPr>
                    <w:t>一般固体废物</w:t>
                  </w:r>
                </w:p>
              </w:tc>
              <w:tc>
                <w:tcPr>
                  <w:tcW w:w="1737" w:type="dxa"/>
                  <w:tcBorders>
                    <w:top w:val="single" w:color="auto" w:sz="12" w:space="0"/>
                    <w:left w:val="single" w:color="auto" w:sz="4" w:space="0"/>
                    <w:bottom w:val="single" w:color="auto" w:sz="4" w:space="0"/>
                  </w:tcBorders>
                  <w:tcMar>
                    <w:left w:w="28" w:type="dxa"/>
                    <w:right w:w="28" w:type="dxa"/>
                  </w:tcMar>
                  <w:vAlign w:val="center"/>
                </w:tcPr>
                <w:p>
                  <w:pPr>
                    <w:jc w:val="center"/>
                    <w:rPr>
                      <w:color w:val="auto"/>
                    </w:rPr>
                  </w:pPr>
                  <w:r>
                    <w:rPr>
                      <w:rFonts w:hint="eastAsia"/>
                      <w:color w:val="auto"/>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3" w:hRule="atLeast"/>
                <w:jc w:val="center"/>
              </w:trPr>
              <w:tc>
                <w:tcPr>
                  <w:tcW w:w="804" w:type="dxa"/>
                  <w:tcBorders>
                    <w:top w:val="single" w:color="auto" w:sz="4" w:space="0"/>
                    <w:bottom w:val="single" w:color="auto" w:sz="4" w:space="0"/>
                    <w:right w:val="single" w:color="auto" w:sz="4" w:space="0"/>
                  </w:tcBorders>
                  <w:tcMar>
                    <w:left w:w="28" w:type="dxa"/>
                    <w:right w:w="28" w:type="dxa"/>
                  </w:tcMar>
                  <w:vAlign w:val="center"/>
                </w:tcPr>
                <w:p>
                  <w:pPr>
                    <w:jc w:val="center"/>
                    <w:rPr>
                      <w:color w:val="auto"/>
                    </w:rPr>
                  </w:pPr>
                  <w:r>
                    <w:rPr>
                      <w:rFonts w:hint="eastAsia"/>
                      <w:color w:val="auto"/>
                    </w:rPr>
                    <w:t>提示图形符号</w:t>
                  </w:r>
                </w:p>
              </w:tc>
              <w:tc>
                <w:tcPr>
                  <w:tcW w:w="18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color w:val="auto"/>
                    </w:rPr>
                  </w:pPr>
                  <w:r>
                    <w:rPr>
                      <w:color w:val="auto"/>
                    </w:rPr>
                    <w:drawing>
                      <wp:inline distT="0" distB="0" distL="114300" distR="114300">
                        <wp:extent cx="828675" cy="676275"/>
                        <wp:effectExtent l="0" t="0" r="9525" b="9525"/>
                        <wp:docPr id="53" name="图片 99" descr="废气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9" descr="废气排放口1"/>
                                <pic:cNvPicPr>
                                  <a:picLocks noChangeAspect="1"/>
                                </pic:cNvPicPr>
                              </pic:nvPicPr>
                              <pic:blipFill>
                                <a:blip r:embed="rId50"/>
                                <a:stretch>
                                  <a:fillRect/>
                                </a:stretch>
                              </pic:blipFill>
                              <pic:spPr>
                                <a:xfrm>
                                  <a:off x="0" y="0"/>
                                  <a:ext cx="828675" cy="676275"/>
                                </a:xfrm>
                                <a:prstGeom prst="rect">
                                  <a:avLst/>
                                </a:prstGeom>
                                <a:noFill/>
                                <a:ln>
                                  <a:noFill/>
                                </a:ln>
                              </pic:spPr>
                            </pic:pic>
                          </a:graphicData>
                        </a:graphic>
                      </wp:inline>
                    </w:drawing>
                  </w:r>
                </w:p>
              </w:tc>
              <w:tc>
                <w:tcPr>
                  <w:tcW w:w="167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color w:val="auto"/>
                    </w:rPr>
                  </w:pPr>
                  <w:r>
                    <w:rPr>
                      <w:color w:val="auto"/>
                    </w:rPr>
                    <w:drawing>
                      <wp:inline distT="0" distB="0" distL="114300" distR="114300">
                        <wp:extent cx="771525" cy="695325"/>
                        <wp:effectExtent l="0" t="0" r="9525" b="9525"/>
                        <wp:docPr id="54" name="图片 100" descr="噪声排放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0" descr="噪声排放口1"/>
                                <pic:cNvPicPr>
                                  <a:picLocks noChangeAspect="1"/>
                                </pic:cNvPicPr>
                              </pic:nvPicPr>
                              <pic:blipFill>
                                <a:blip r:embed="rId51"/>
                                <a:stretch>
                                  <a:fillRect/>
                                </a:stretch>
                              </pic:blipFill>
                              <pic:spPr>
                                <a:xfrm>
                                  <a:off x="0" y="0"/>
                                  <a:ext cx="771525" cy="695325"/>
                                </a:xfrm>
                                <a:prstGeom prst="rect">
                                  <a:avLst/>
                                </a:prstGeom>
                                <a:noFill/>
                                <a:ln>
                                  <a:noFill/>
                                </a:ln>
                              </pic:spPr>
                            </pic:pic>
                          </a:graphicData>
                        </a:graphic>
                      </wp:inline>
                    </w:drawing>
                  </w:r>
                </w:p>
              </w:tc>
              <w:tc>
                <w:tcPr>
                  <w:tcW w:w="237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jc w:val="center"/>
                    <w:rPr>
                      <w:color w:val="auto"/>
                    </w:rPr>
                  </w:pPr>
                  <w:r>
                    <w:rPr>
                      <w:color w:val="auto"/>
                    </w:rPr>
                    <w:drawing>
                      <wp:inline distT="0" distB="0" distL="114300" distR="114300">
                        <wp:extent cx="819150" cy="742950"/>
                        <wp:effectExtent l="0" t="0" r="0" b="0"/>
                        <wp:docPr id="5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1"/>
                                <pic:cNvPicPr>
                                  <a:picLocks noChangeAspect="1"/>
                                </pic:cNvPicPr>
                              </pic:nvPicPr>
                              <pic:blipFill>
                                <a:blip r:embed="rId52"/>
                                <a:stretch>
                                  <a:fillRect/>
                                </a:stretch>
                              </pic:blipFill>
                              <pic:spPr>
                                <a:xfrm>
                                  <a:off x="0" y="0"/>
                                  <a:ext cx="819150" cy="742950"/>
                                </a:xfrm>
                                <a:prstGeom prst="rect">
                                  <a:avLst/>
                                </a:prstGeom>
                                <a:noFill/>
                                <a:ln>
                                  <a:noFill/>
                                </a:ln>
                              </pic:spPr>
                            </pic:pic>
                          </a:graphicData>
                        </a:graphic>
                      </wp:inline>
                    </w:drawing>
                  </w:r>
                </w:p>
              </w:tc>
              <w:tc>
                <w:tcPr>
                  <w:tcW w:w="1737" w:type="dxa"/>
                  <w:tcBorders>
                    <w:top w:val="single" w:color="auto" w:sz="4" w:space="0"/>
                    <w:left w:val="single" w:color="auto" w:sz="4" w:space="0"/>
                    <w:bottom w:val="single" w:color="auto" w:sz="4" w:space="0"/>
                  </w:tcBorders>
                  <w:tcMar>
                    <w:left w:w="28" w:type="dxa"/>
                    <w:right w:w="28" w:type="dxa"/>
                  </w:tcMar>
                  <w:vAlign w:val="center"/>
                </w:tcPr>
                <w:p>
                  <w:pPr>
                    <w:jc w:val="center"/>
                    <w:rPr>
                      <w:color w:val="auto"/>
                    </w:rPr>
                  </w:pPr>
                  <w:r>
                    <w:rPr>
                      <w:color w:val="auto"/>
                    </w:rPr>
                    <w:drawing>
                      <wp:inline distT="0" distB="0" distL="114300" distR="114300">
                        <wp:extent cx="1047750" cy="666750"/>
                        <wp:effectExtent l="0" t="0" r="0" b="0"/>
                        <wp:docPr id="56"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2"/>
                                <pic:cNvPicPr>
                                  <a:picLocks noChangeAspect="1"/>
                                </pic:cNvPicPr>
                              </pic:nvPicPr>
                              <pic:blipFill>
                                <a:blip r:embed="rId53"/>
                                <a:stretch>
                                  <a:fillRect/>
                                </a:stretch>
                              </pic:blipFill>
                              <pic:spPr>
                                <a:xfrm>
                                  <a:off x="0" y="0"/>
                                  <a:ext cx="1047750" cy="66675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tcBorders>
                    <w:top w:val="single" w:color="auto" w:sz="4" w:space="0"/>
                    <w:bottom w:val="single" w:color="auto" w:sz="12" w:space="0"/>
                    <w:right w:val="single" w:color="auto" w:sz="4" w:space="0"/>
                  </w:tcBorders>
                  <w:tcMar>
                    <w:left w:w="28" w:type="dxa"/>
                    <w:right w:w="28" w:type="dxa"/>
                  </w:tcMar>
                  <w:vAlign w:val="center"/>
                </w:tcPr>
                <w:p>
                  <w:pPr>
                    <w:jc w:val="center"/>
                    <w:rPr>
                      <w:color w:val="auto"/>
                    </w:rPr>
                  </w:pPr>
                  <w:r>
                    <w:rPr>
                      <w:rFonts w:hint="eastAsia"/>
                      <w:color w:val="auto"/>
                    </w:rPr>
                    <w:t>功能</w:t>
                  </w:r>
                </w:p>
                <w:p>
                  <w:pPr>
                    <w:jc w:val="center"/>
                    <w:rPr>
                      <w:color w:val="auto"/>
                    </w:rPr>
                  </w:pPr>
                  <w:r>
                    <w:rPr>
                      <w:rFonts w:hint="eastAsia"/>
                      <w:color w:val="auto"/>
                    </w:rPr>
                    <w:t>表示</w:t>
                  </w:r>
                </w:p>
              </w:tc>
              <w:tc>
                <w:tcPr>
                  <w:tcW w:w="1817" w:type="dxa"/>
                  <w:tcBorders>
                    <w:top w:val="single" w:color="auto" w:sz="4" w:space="0"/>
                    <w:left w:val="single" w:color="auto" w:sz="4" w:space="0"/>
                    <w:bottom w:val="single" w:color="auto" w:sz="12" w:space="0"/>
                    <w:right w:val="single" w:color="auto" w:sz="4" w:space="0"/>
                  </w:tcBorders>
                  <w:tcMar>
                    <w:left w:w="28" w:type="dxa"/>
                    <w:right w:w="28" w:type="dxa"/>
                  </w:tcMar>
                  <w:vAlign w:val="center"/>
                </w:tcPr>
                <w:p>
                  <w:pPr>
                    <w:jc w:val="center"/>
                    <w:rPr>
                      <w:color w:val="auto"/>
                    </w:rPr>
                  </w:pPr>
                  <w:r>
                    <w:rPr>
                      <w:rFonts w:hint="eastAsia"/>
                      <w:color w:val="auto"/>
                    </w:rPr>
                    <w:t>向大气环境排放废气</w:t>
                  </w:r>
                </w:p>
              </w:tc>
              <w:tc>
                <w:tcPr>
                  <w:tcW w:w="1678" w:type="dxa"/>
                  <w:tcBorders>
                    <w:top w:val="single" w:color="auto" w:sz="4" w:space="0"/>
                    <w:left w:val="single" w:color="auto" w:sz="4" w:space="0"/>
                    <w:bottom w:val="single" w:color="auto" w:sz="12" w:space="0"/>
                    <w:right w:val="single" w:color="auto" w:sz="4" w:space="0"/>
                  </w:tcBorders>
                  <w:tcMar>
                    <w:left w:w="28" w:type="dxa"/>
                    <w:right w:w="28" w:type="dxa"/>
                  </w:tcMar>
                  <w:vAlign w:val="center"/>
                </w:tcPr>
                <w:p>
                  <w:pPr>
                    <w:jc w:val="center"/>
                    <w:rPr>
                      <w:color w:val="auto"/>
                    </w:rPr>
                  </w:pPr>
                  <w:r>
                    <w:rPr>
                      <w:rFonts w:hint="eastAsia"/>
                      <w:color w:val="auto"/>
                    </w:rPr>
                    <w:t>向外环境排放噪声</w:t>
                  </w:r>
                </w:p>
              </w:tc>
              <w:tc>
                <w:tcPr>
                  <w:tcW w:w="2379" w:type="dxa"/>
                  <w:tcBorders>
                    <w:top w:val="single" w:color="auto" w:sz="4" w:space="0"/>
                    <w:left w:val="single" w:color="auto" w:sz="4" w:space="0"/>
                    <w:bottom w:val="single" w:color="auto" w:sz="12" w:space="0"/>
                    <w:right w:val="single" w:color="auto" w:sz="4" w:space="0"/>
                  </w:tcBorders>
                  <w:tcMar>
                    <w:left w:w="28" w:type="dxa"/>
                    <w:right w:w="28" w:type="dxa"/>
                  </w:tcMar>
                  <w:vAlign w:val="center"/>
                </w:tcPr>
                <w:p>
                  <w:pPr>
                    <w:jc w:val="center"/>
                    <w:rPr>
                      <w:color w:val="auto"/>
                    </w:rPr>
                  </w:pPr>
                  <w:r>
                    <w:rPr>
                      <w:rFonts w:hint="eastAsia"/>
                      <w:color w:val="auto"/>
                    </w:rPr>
                    <w:t>一般固体废物贮存、处置场</w:t>
                  </w:r>
                </w:p>
              </w:tc>
              <w:tc>
                <w:tcPr>
                  <w:tcW w:w="1737" w:type="dxa"/>
                  <w:tcBorders>
                    <w:top w:val="single" w:color="auto" w:sz="4" w:space="0"/>
                    <w:left w:val="single" w:color="auto" w:sz="4" w:space="0"/>
                    <w:bottom w:val="single" w:color="auto" w:sz="12" w:space="0"/>
                  </w:tcBorders>
                  <w:tcMar>
                    <w:left w:w="28" w:type="dxa"/>
                    <w:right w:w="28" w:type="dxa"/>
                  </w:tcMar>
                  <w:vAlign w:val="center"/>
                </w:tcPr>
                <w:p>
                  <w:pPr>
                    <w:jc w:val="center"/>
                    <w:rPr>
                      <w:color w:val="auto"/>
                    </w:rPr>
                  </w:pPr>
                  <w:r>
                    <w:rPr>
                      <w:rFonts w:hint="eastAsia"/>
                      <w:color w:val="auto"/>
                    </w:rPr>
                    <w:t>危险废物贮存设施</w:t>
                  </w:r>
                </w:p>
              </w:tc>
            </w:tr>
          </w:tbl>
          <w:p>
            <w:pPr>
              <w:ind w:firstLine="480"/>
              <w:jc w:val="center"/>
              <w:rPr>
                <w:color w:val="auto"/>
              </w:rPr>
            </w:pPr>
          </w:p>
          <w:p>
            <w:pPr>
              <w:pStyle w:val="83"/>
              <w:adjustRightInd/>
              <w:snapToGrid/>
              <w:rPr>
                <w:color w:val="auto"/>
              </w:rPr>
            </w:pPr>
            <w:bookmarkStart w:id="30" w:name="_Toc14860"/>
            <w:bookmarkStart w:id="31" w:name="_Toc26501"/>
            <w:bookmarkStart w:id="32" w:name="_Toc728"/>
            <w:bookmarkStart w:id="33" w:name="_Toc27804"/>
            <w:bookmarkStart w:id="34" w:name="_Toc15282"/>
            <w:bookmarkStart w:id="35" w:name="_Toc28642"/>
            <w:bookmarkStart w:id="36" w:name="_Toc12950"/>
            <w:r>
              <w:rPr>
                <w:color w:val="auto"/>
              </w:rPr>
              <w:t>4.4</w:t>
            </w:r>
            <w:r>
              <w:rPr>
                <w:rFonts w:hint="eastAsia"/>
                <w:color w:val="auto"/>
              </w:rPr>
              <w:t>环境监测计划</w:t>
            </w:r>
            <w:bookmarkEnd w:id="30"/>
            <w:bookmarkEnd w:id="31"/>
            <w:bookmarkEnd w:id="32"/>
            <w:bookmarkEnd w:id="33"/>
            <w:bookmarkEnd w:id="34"/>
            <w:bookmarkEnd w:id="35"/>
            <w:bookmarkEnd w:id="36"/>
          </w:p>
          <w:p>
            <w:pPr>
              <w:spacing w:line="360" w:lineRule="auto"/>
              <w:ind w:firstLine="480"/>
              <w:rPr>
                <w:color w:val="auto"/>
                <w:sz w:val="24"/>
                <w:szCs w:val="32"/>
              </w:rPr>
            </w:pPr>
            <w:r>
              <w:rPr>
                <w:rFonts w:hint="eastAsia"/>
                <w:color w:val="auto"/>
                <w:sz w:val="24"/>
                <w:szCs w:val="32"/>
              </w:rPr>
              <w:t>建设单位应配备专职的环保人员，负责制定有关环保事宜，安排全站的环境管理等工作。</w:t>
            </w:r>
          </w:p>
          <w:p>
            <w:pPr>
              <w:spacing w:line="360" w:lineRule="auto"/>
              <w:ind w:firstLine="480"/>
              <w:rPr>
                <w:color w:val="auto"/>
                <w:sz w:val="24"/>
                <w:szCs w:val="32"/>
              </w:rPr>
            </w:pPr>
            <w:r>
              <w:rPr>
                <w:rFonts w:hint="eastAsia"/>
                <w:color w:val="auto"/>
                <w:sz w:val="24"/>
                <w:szCs w:val="32"/>
              </w:rPr>
              <w:t>从保护环境角度出发，根据项目存在的主要环境问题，以及相应的环保措施，制定一套完善的环境监测制度和监测计划，其目的是根据项目运行期间的环境监测结果得到的反馈信息，发现项目出现的环境问题并及时加以解决，防止环境质量下降，保障环境和经济的可持续发展目标。企业内部的环境监测是企业环境管理的耳目，是基本的手段和信息的基础，主要对企业生产过程中排放的污染物进行定期监测，判断环境质量，评价环保设施及其治理效果，为防治污染提供科学依据。</w:t>
            </w:r>
          </w:p>
          <w:p>
            <w:pPr>
              <w:spacing w:line="360" w:lineRule="auto"/>
              <w:ind w:firstLine="480"/>
              <w:rPr>
                <w:color w:val="auto"/>
                <w:sz w:val="24"/>
                <w:szCs w:val="32"/>
              </w:rPr>
            </w:pPr>
            <w:r>
              <w:rPr>
                <w:rFonts w:hint="eastAsia"/>
                <w:color w:val="auto"/>
                <w:sz w:val="24"/>
                <w:szCs w:val="32"/>
              </w:rPr>
              <w:t>参照《排污单位自行监测技术指南</w:t>
            </w:r>
            <w:r>
              <w:rPr>
                <w:color w:val="auto"/>
                <w:sz w:val="24"/>
                <w:szCs w:val="32"/>
              </w:rPr>
              <w:t xml:space="preserve"> </w:t>
            </w:r>
            <w:r>
              <w:rPr>
                <w:rFonts w:hint="eastAsia"/>
                <w:color w:val="auto"/>
                <w:sz w:val="24"/>
                <w:szCs w:val="32"/>
              </w:rPr>
              <w:t>水泥工业》（</w:t>
            </w:r>
            <w:r>
              <w:rPr>
                <w:color w:val="auto"/>
                <w:sz w:val="24"/>
                <w:szCs w:val="32"/>
              </w:rPr>
              <w:t>HJ848-2017</w:t>
            </w:r>
            <w:r>
              <w:rPr>
                <w:rFonts w:hint="eastAsia"/>
                <w:color w:val="auto"/>
                <w:sz w:val="24"/>
                <w:szCs w:val="32"/>
              </w:rPr>
              <w:t>），建议本项目运营期环境监测计划详见表</w:t>
            </w:r>
            <w:r>
              <w:rPr>
                <w:color w:val="auto"/>
                <w:sz w:val="24"/>
                <w:szCs w:val="32"/>
              </w:rPr>
              <w:t>4.4-1</w:t>
            </w:r>
            <w:r>
              <w:rPr>
                <w:rFonts w:hint="eastAsia"/>
                <w:color w:val="auto"/>
                <w:sz w:val="24"/>
                <w:szCs w:val="32"/>
              </w:rPr>
              <w:t>。</w:t>
            </w:r>
          </w:p>
          <w:p>
            <w:pPr>
              <w:jc w:val="center"/>
              <w:rPr>
                <w:rFonts w:eastAsia="黑体"/>
                <w:color w:val="auto"/>
                <w:sz w:val="24"/>
              </w:rPr>
            </w:pPr>
            <w:r>
              <w:rPr>
                <w:rFonts w:hint="eastAsia" w:eastAsia="黑体"/>
                <w:color w:val="auto"/>
                <w:sz w:val="24"/>
              </w:rPr>
              <w:t>表</w:t>
            </w:r>
            <w:r>
              <w:rPr>
                <w:rFonts w:eastAsia="黑体"/>
                <w:color w:val="auto"/>
                <w:sz w:val="24"/>
              </w:rPr>
              <w:t xml:space="preserve">4.4-1 </w:t>
            </w:r>
            <w:r>
              <w:rPr>
                <w:rFonts w:hint="eastAsia" w:eastAsia="黑体"/>
                <w:color w:val="auto"/>
                <w:sz w:val="24"/>
              </w:rPr>
              <w:t>监测计划一览表</w:t>
            </w:r>
          </w:p>
          <w:tbl>
            <w:tblPr>
              <w:tblStyle w:val="27"/>
              <w:tblW w:w="844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679"/>
              <w:gridCol w:w="1383"/>
              <w:gridCol w:w="1304"/>
              <w:gridCol w:w="2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tblHeader/>
                <w:jc w:val="center"/>
              </w:trPr>
              <w:tc>
                <w:tcPr>
                  <w:tcW w:w="1175" w:type="dxa"/>
                  <w:tcBorders>
                    <w:top w:val="single" w:color="auto" w:sz="12"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名称或类别</w:t>
                  </w:r>
                </w:p>
              </w:tc>
              <w:tc>
                <w:tcPr>
                  <w:tcW w:w="1679"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设施或点位</w:t>
                  </w:r>
                </w:p>
              </w:tc>
              <w:tc>
                <w:tcPr>
                  <w:tcW w:w="1383"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监测项目</w:t>
                  </w:r>
                </w:p>
              </w:tc>
              <w:tc>
                <w:tcPr>
                  <w:tcW w:w="1304" w:type="dxa"/>
                  <w:tcBorders>
                    <w:top w:val="single" w:color="auto" w:sz="12"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监测频率</w:t>
                  </w:r>
                </w:p>
              </w:tc>
              <w:tc>
                <w:tcPr>
                  <w:tcW w:w="2906" w:type="dxa"/>
                  <w:tcBorders>
                    <w:top w:val="single" w:color="auto" w:sz="12" w:space="0"/>
                    <w:left w:val="single" w:color="auto" w:sz="4" w:space="0"/>
                    <w:bottom w:val="single" w:color="auto" w:sz="4" w:space="0"/>
                  </w:tcBorders>
                  <w:tcMar>
                    <w:top w:w="0" w:type="dxa"/>
                    <w:left w:w="28" w:type="dxa"/>
                    <w:bottom w:w="0" w:type="dxa"/>
                    <w:right w:w="28" w:type="dxa"/>
                  </w:tcMar>
                  <w:vAlign w:val="center"/>
                </w:tcPr>
                <w:p>
                  <w:pPr>
                    <w:jc w:val="center"/>
                    <w:rPr>
                      <w:color w:val="auto"/>
                    </w:rPr>
                  </w:pPr>
                  <w:r>
                    <w:rPr>
                      <w:rFonts w:hint="eastAsia"/>
                      <w:color w:val="auto"/>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175" w:type="dxa"/>
                  <w:vMerge w:val="restart"/>
                  <w:tcBorders>
                    <w:top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废气</w:t>
                  </w:r>
                </w:p>
              </w:tc>
              <w:tc>
                <w:tcPr>
                  <w:tcW w:w="16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石英粉生产线排放口（</w:t>
                  </w:r>
                  <w:r>
                    <w:rPr>
                      <w:color w:val="auto"/>
                    </w:rPr>
                    <w:t>DA001</w:t>
                  </w:r>
                  <w:r>
                    <w:rPr>
                      <w:rFonts w:hint="eastAsia"/>
                      <w:color w:val="auto"/>
                    </w:rPr>
                    <w:t>）</w:t>
                  </w:r>
                </w:p>
              </w:tc>
              <w:tc>
                <w:tcPr>
                  <w:tcW w:w="13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颗粒物</w:t>
                  </w:r>
                </w:p>
              </w:tc>
              <w:tc>
                <w:tcPr>
                  <w:tcW w:w="130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Style w:val="200"/>
                      <w:rFonts w:ascii="Times New Roman" w:hAnsi="Times New Roman"/>
                      <w:color w:val="auto"/>
                    </w:rPr>
                    <w:t>1</w:t>
                  </w:r>
                  <w:r>
                    <w:rPr>
                      <w:rStyle w:val="200"/>
                      <w:rFonts w:hint="eastAsia" w:ascii="Times New Roman" w:hAnsi="Times New Roman"/>
                      <w:color w:val="auto"/>
                    </w:rPr>
                    <w:t>次</w:t>
                  </w:r>
                  <w:r>
                    <w:rPr>
                      <w:rStyle w:val="200"/>
                      <w:rFonts w:ascii="Times New Roman" w:hAnsi="Times New Roman"/>
                      <w:color w:val="auto"/>
                    </w:rPr>
                    <w:t>/</w:t>
                  </w:r>
                  <w:r>
                    <w:rPr>
                      <w:rStyle w:val="200"/>
                      <w:rFonts w:hint="eastAsia" w:ascii="Times New Roman" w:hAnsi="Times New Roman"/>
                      <w:color w:val="auto"/>
                    </w:rPr>
                    <w:t>半年</w:t>
                  </w:r>
                </w:p>
              </w:tc>
              <w:tc>
                <w:tcPr>
                  <w:tcW w:w="2906" w:type="dxa"/>
                  <w:vMerge w:val="restart"/>
                  <w:tcBorders>
                    <w:top w:val="single" w:color="auto" w:sz="4" w:space="0"/>
                    <w:left w:val="single" w:color="auto" w:sz="4" w:space="0"/>
                    <w:bottom w:val="single" w:color="auto" w:sz="4" w:space="0"/>
                  </w:tcBorders>
                  <w:tcMar>
                    <w:top w:w="0" w:type="dxa"/>
                    <w:left w:w="28" w:type="dxa"/>
                    <w:bottom w:w="0" w:type="dxa"/>
                    <w:right w:w="28" w:type="dxa"/>
                  </w:tcMar>
                  <w:vAlign w:val="center"/>
                </w:tcPr>
                <w:p>
                  <w:pPr>
                    <w:widowControl/>
                    <w:jc w:val="left"/>
                    <w:rPr>
                      <w:color w:val="auto"/>
                    </w:rPr>
                  </w:pPr>
                  <w:r>
                    <w:rPr>
                      <w:rFonts w:hint="eastAsia"/>
                      <w:color w:val="auto"/>
                    </w:rPr>
                    <w:t>《水泥工业大气污染物排放标准》（</w:t>
                  </w:r>
                  <w:r>
                    <w:rPr>
                      <w:color w:val="auto"/>
                    </w:rPr>
                    <w:t>GB 4915-2013</w:t>
                  </w:r>
                  <w:r>
                    <w:rPr>
                      <w:rFonts w:hint="eastAsia"/>
                      <w:color w:val="auto"/>
                    </w:rPr>
                    <w:t>）表</w:t>
                  </w:r>
                  <w:r>
                    <w:rPr>
                      <w:color w:val="auto"/>
                    </w:rPr>
                    <w:t>2</w:t>
                  </w:r>
                  <w:r>
                    <w:rPr>
                      <w:rStyle w:val="200"/>
                      <w:rFonts w:hint="eastAsia" w:ascii="Times New Roman" w:hAnsi="Times New Roman"/>
                      <w:color w:val="auto"/>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175" w:type="dxa"/>
                  <w:vMerge w:val="continue"/>
                  <w:tcBorders>
                    <w:top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p>
              </w:tc>
              <w:tc>
                <w:tcPr>
                  <w:tcW w:w="16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水泥进仓排放口（</w:t>
                  </w:r>
                  <w:r>
                    <w:rPr>
                      <w:color w:val="auto"/>
                    </w:rPr>
                    <w:t>DA002</w:t>
                  </w:r>
                  <w:r>
                    <w:rPr>
                      <w:rFonts w:hint="eastAsia"/>
                      <w:color w:val="auto"/>
                    </w:rPr>
                    <w:t>）</w:t>
                  </w:r>
                </w:p>
              </w:tc>
              <w:tc>
                <w:tcPr>
                  <w:tcW w:w="13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颗粒物</w:t>
                  </w:r>
                </w:p>
              </w:tc>
              <w:tc>
                <w:tcPr>
                  <w:tcW w:w="130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Style w:val="200"/>
                      <w:rFonts w:ascii="Times New Roman" w:hAnsi="Times New Roman"/>
                      <w:color w:val="auto"/>
                    </w:rPr>
                  </w:pPr>
                  <w:r>
                    <w:rPr>
                      <w:rStyle w:val="200"/>
                      <w:rFonts w:ascii="Times New Roman" w:hAnsi="Times New Roman"/>
                      <w:color w:val="auto"/>
                    </w:rPr>
                    <w:t>1</w:t>
                  </w:r>
                  <w:r>
                    <w:rPr>
                      <w:rStyle w:val="200"/>
                      <w:rFonts w:hint="eastAsia" w:ascii="Times New Roman" w:hAnsi="Times New Roman"/>
                      <w:color w:val="auto"/>
                    </w:rPr>
                    <w:t>次</w:t>
                  </w:r>
                  <w:r>
                    <w:rPr>
                      <w:rStyle w:val="200"/>
                      <w:rFonts w:ascii="Times New Roman" w:hAnsi="Times New Roman"/>
                      <w:color w:val="auto"/>
                    </w:rPr>
                    <w:t>/</w:t>
                  </w:r>
                  <w:r>
                    <w:rPr>
                      <w:rStyle w:val="200"/>
                      <w:rFonts w:hint="eastAsia" w:ascii="Times New Roman" w:hAnsi="Times New Roman"/>
                      <w:color w:val="auto"/>
                    </w:rPr>
                    <w:t>半年</w:t>
                  </w:r>
                </w:p>
              </w:tc>
              <w:tc>
                <w:tcPr>
                  <w:tcW w:w="2906"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widowControl/>
                    <w:jc w:val="left"/>
                    <w:rPr>
                      <w:rStyle w:val="200"/>
                      <w:rFonts w:ascii="Times New Roman" w:hAnsi="Times New Roman"/>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175" w:type="dxa"/>
                  <w:vMerge w:val="continue"/>
                  <w:tcBorders>
                    <w:top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p>
              </w:tc>
              <w:tc>
                <w:tcPr>
                  <w:tcW w:w="16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配料、磨边排放口（</w:t>
                  </w:r>
                  <w:r>
                    <w:rPr>
                      <w:color w:val="auto"/>
                    </w:rPr>
                    <w:t>DA003</w:t>
                  </w:r>
                  <w:r>
                    <w:rPr>
                      <w:rFonts w:hint="eastAsia"/>
                      <w:color w:val="auto"/>
                    </w:rPr>
                    <w:t>）</w:t>
                  </w:r>
                </w:p>
              </w:tc>
              <w:tc>
                <w:tcPr>
                  <w:tcW w:w="13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颗粒物</w:t>
                  </w:r>
                </w:p>
              </w:tc>
              <w:tc>
                <w:tcPr>
                  <w:tcW w:w="130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rStyle w:val="200"/>
                      <w:rFonts w:ascii="Times New Roman" w:hAnsi="Times New Roman"/>
                      <w:color w:val="auto"/>
                    </w:rPr>
                  </w:pPr>
                  <w:r>
                    <w:rPr>
                      <w:rStyle w:val="200"/>
                      <w:rFonts w:ascii="Times New Roman" w:hAnsi="Times New Roman"/>
                      <w:color w:val="auto"/>
                    </w:rPr>
                    <w:t>1</w:t>
                  </w:r>
                  <w:r>
                    <w:rPr>
                      <w:rStyle w:val="200"/>
                      <w:rFonts w:hint="eastAsia" w:ascii="Times New Roman" w:hAnsi="Times New Roman"/>
                      <w:color w:val="auto"/>
                    </w:rPr>
                    <w:t>次</w:t>
                  </w:r>
                  <w:r>
                    <w:rPr>
                      <w:rStyle w:val="200"/>
                      <w:rFonts w:ascii="Times New Roman" w:hAnsi="Times New Roman"/>
                      <w:color w:val="auto"/>
                    </w:rPr>
                    <w:t>/</w:t>
                  </w:r>
                  <w:r>
                    <w:rPr>
                      <w:rStyle w:val="200"/>
                      <w:rFonts w:hint="eastAsia" w:ascii="Times New Roman" w:hAnsi="Times New Roman"/>
                      <w:color w:val="auto"/>
                    </w:rPr>
                    <w:t>半年</w:t>
                  </w:r>
                </w:p>
              </w:tc>
              <w:tc>
                <w:tcPr>
                  <w:tcW w:w="2906" w:type="dxa"/>
                  <w:vMerge w:val="continue"/>
                  <w:tcBorders>
                    <w:top w:val="single" w:color="auto" w:sz="4" w:space="0"/>
                    <w:left w:val="single" w:color="auto" w:sz="4" w:space="0"/>
                    <w:bottom w:val="single" w:color="auto" w:sz="4" w:space="0"/>
                  </w:tcBorders>
                  <w:tcMar>
                    <w:top w:w="0" w:type="dxa"/>
                    <w:left w:w="28" w:type="dxa"/>
                    <w:bottom w:w="0" w:type="dxa"/>
                    <w:right w:w="28" w:type="dxa"/>
                  </w:tcMar>
                  <w:vAlign w:val="center"/>
                </w:tcPr>
                <w:p>
                  <w:pPr>
                    <w:widowControl/>
                    <w:jc w:val="left"/>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75" w:type="dxa"/>
                  <w:vMerge w:val="continue"/>
                  <w:tcBorders>
                    <w:top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p>
              </w:tc>
              <w:tc>
                <w:tcPr>
                  <w:tcW w:w="1679"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厂界</w:t>
                  </w:r>
                </w:p>
              </w:tc>
              <w:tc>
                <w:tcPr>
                  <w:tcW w:w="13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颗粒物</w:t>
                  </w:r>
                </w:p>
              </w:tc>
              <w:tc>
                <w:tcPr>
                  <w:tcW w:w="130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jc w:val="center"/>
                    <w:rPr>
                      <w:color w:val="auto"/>
                    </w:rPr>
                  </w:pPr>
                  <w:r>
                    <w:rPr>
                      <w:color w:val="auto"/>
                    </w:rPr>
                    <w:t>1</w:t>
                  </w:r>
                  <w:r>
                    <w:rPr>
                      <w:rFonts w:hint="eastAsia"/>
                      <w:color w:val="auto"/>
                    </w:rPr>
                    <w:t>次</w:t>
                  </w:r>
                  <w:r>
                    <w:rPr>
                      <w:color w:val="auto"/>
                    </w:rPr>
                    <w:t>/</w:t>
                  </w:r>
                  <w:r>
                    <w:rPr>
                      <w:rFonts w:hint="eastAsia"/>
                      <w:color w:val="auto"/>
                    </w:rPr>
                    <w:t>季度</w:t>
                  </w:r>
                </w:p>
              </w:tc>
              <w:tc>
                <w:tcPr>
                  <w:tcW w:w="2906" w:type="dxa"/>
                  <w:tcBorders>
                    <w:top w:val="single" w:color="auto" w:sz="4" w:space="0"/>
                    <w:left w:val="single" w:color="auto" w:sz="4" w:space="0"/>
                    <w:bottom w:val="single" w:color="auto" w:sz="4" w:space="0"/>
                  </w:tcBorders>
                  <w:tcMar>
                    <w:top w:w="0" w:type="dxa"/>
                    <w:left w:w="28" w:type="dxa"/>
                    <w:bottom w:w="0" w:type="dxa"/>
                    <w:right w:w="28" w:type="dxa"/>
                  </w:tcMar>
                  <w:vAlign w:val="center"/>
                </w:tcPr>
                <w:p>
                  <w:pPr>
                    <w:jc w:val="center"/>
                    <w:rPr>
                      <w:color w:val="auto"/>
                    </w:rPr>
                  </w:pPr>
                  <w:r>
                    <w:rPr>
                      <w:rFonts w:hint="eastAsia"/>
                      <w:color w:val="auto"/>
                    </w:rPr>
                    <w:t>《水泥工业大气污染物排放标准》（</w:t>
                  </w:r>
                  <w:r>
                    <w:rPr>
                      <w:color w:val="auto"/>
                    </w:rPr>
                    <w:t>GB 4915-2013</w:t>
                  </w:r>
                  <w:r>
                    <w:rPr>
                      <w:rFonts w:hint="eastAsia"/>
                      <w:color w:val="auto"/>
                    </w:rPr>
                    <w:t>）表</w:t>
                  </w:r>
                  <w:r>
                    <w:rPr>
                      <w:color w:val="auto"/>
                    </w:rPr>
                    <w:t>3</w:t>
                  </w:r>
                  <w:r>
                    <w:rPr>
                      <w:rStyle w:val="200"/>
                      <w:rFonts w:hint="eastAsia" w:ascii="Times New Roman" w:hAnsi="Times New Roman"/>
                      <w:color w:val="auto"/>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175" w:type="dxa"/>
                  <w:tcBorders>
                    <w:top w:val="single" w:color="auto" w:sz="4" w:space="0"/>
                    <w:bottom w:val="single" w:color="auto" w:sz="12" w:space="0"/>
                    <w:right w:val="single" w:color="auto" w:sz="4" w:space="0"/>
                  </w:tcBorders>
                  <w:vAlign w:val="center"/>
                </w:tcPr>
                <w:p>
                  <w:pPr>
                    <w:jc w:val="center"/>
                    <w:rPr>
                      <w:color w:val="auto"/>
                    </w:rPr>
                  </w:pPr>
                  <w:r>
                    <w:rPr>
                      <w:rFonts w:hint="eastAsia"/>
                      <w:color w:val="auto"/>
                    </w:rPr>
                    <w:t>噪声</w:t>
                  </w:r>
                </w:p>
              </w:tc>
              <w:tc>
                <w:tcPr>
                  <w:tcW w:w="1679"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厂界</w:t>
                  </w:r>
                </w:p>
              </w:tc>
              <w:tc>
                <w:tcPr>
                  <w:tcW w:w="1383"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color w:val="auto"/>
                    </w:rPr>
                  </w:pPr>
                  <w:r>
                    <w:rPr>
                      <w:rFonts w:hint="eastAsia"/>
                      <w:color w:val="auto"/>
                    </w:rPr>
                    <w:t>昼、夜间等效连续</w:t>
                  </w:r>
                  <w:r>
                    <w:rPr>
                      <w:color w:val="auto"/>
                    </w:rPr>
                    <w:t>A</w:t>
                  </w:r>
                  <w:r>
                    <w:rPr>
                      <w:rFonts w:hint="eastAsia"/>
                      <w:color w:val="auto"/>
                    </w:rPr>
                    <w:t>声级</w:t>
                  </w:r>
                </w:p>
              </w:tc>
              <w:tc>
                <w:tcPr>
                  <w:tcW w:w="1304" w:type="dxa"/>
                  <w:tcBorders>
                    <w:top w:val="single" w:color="auto" w:sz="4" w:space="0"/>
                    <w:left w:val="single" w:color="auto" w:sz="4" w:space="0"/>
                    <w:bottom w:val="single" w:color="auto" w:sz="12" w:space="0"/>
                    <w:right w:val="single" w:color="auto" w:sz="4" w:space="0"/>
                  </w:tcBorders>
                  <w:tcMar>
                    <w:top w:w="0" w:type="dxa"/>
                    <w:left w:w="28" w:type="dxa"/>
                    <w:bottom w:w="0" w:type="dxa"/>
                    <w:right w:w="28" w:type="dxa"/>
                  </w:tcMar>
                  <w:vAlign w:val="center"/>
                </w:tcPr>
                <w:p>
                  <w:pPr>
                    <w:jc w:val="center"/>
                    <w:rPr>
                      <w:color w:val="auto"/>
                    </w:rPr>
                  </w:pPr>
                  <w:r>
                    <w:rPr>
                      <w:color w:val="auto"/>
                    </w:rPr>
                    <w:t>1</w:t>
                  </w:r>
                  <w:r>
                    <w:rPr>
                      <w:rFonts w:hint="eastAsia"/>
                      <w:color w:val="auto"/>
                    </w:rPr>
                    <w:t>次</w:t>
                  </w:r>
                  <w:r>
                    <w:rPr>
                      <w:color w:val="auto"/>
                    </w:rPr>
                    <w:t>/</w:t>
                  </w:r>
                  <w:r>
                    <w:rPr>
                      <w:rFonts w:hint="eastAsia"/>
                      <w:color w:val="auto"/>
                    </w:rPr>
                    <w:t>季度</w:t>
                  </w:r>
                </w:p>
              </w:tc>
              <w:tc>
                <w:tcPr>
                  <w:tcW w:w="2906" w:type="dxa"/>
                  <w:tcBorders>
                    <w:top w:val="single" w:color="auto" w:sz="4" w:space="0"/>
                    <w:left w:val="single" w:color="auto" w:sz="4" w:space="0"/>
                    <w:bottom w:val="single" w:color="auto" w:sz="12" w:space="0"/>
                  </w:tcBorders>
                  <w:tcMar>
                    <w:top w:w="0" w:type="dxa"/>
                    <w:left w:w="28" w:type="dxa"/>
                    <w:bottom w:w="0" w:type="dxa"/>
                    <w:right w:w="28" w:type="dxa"/>
                  </w:tcMar>
                  <w:vAlign w:val="center"/>
                </w:tcPr>
                <w:p>
                  <w:pPr>
                    <w:jc w:val="center"/>
                    <w:rPr>
                      <w:color w:val="auto"/>
                    </w:rPr>
                  </w:pPr>
                  <w:r>
                    <w:rPr>
                      <w:rFonts w:hint="eastAsia"/>
                      <w:color w:val="auto"/>
                    </w:rPr>
                    <w:t>《工业企业厂界环境噪声排放标准》</w:t>
                  </w:r>
                  <w:r>
                    <w:rPr>
                      <w:color w:val="auto"/>
                    </w:rPr>
                    <w:t>(GB12348-2008</w:t>
                  </w:r>
                  <w:r>
                    <w:rPr>
                      <w:rFonts w:hint="eastAsia"/>
                      <w:color w:val="auto"/>
                    </w:rPr>
                    <w:t>）</w:t>
                  </w:r>
                  <w:r>
                    <w:rPr>
                      <w:color w:val="auto"/>
                    </w:rPr>
                    <w:t>3</w:t>
                  </w:r>
                  <w:r>
                    <w:rPr>
                      <w:rFonts w:hint="eastAsia"/>
                      <w:color w:val="auto"/>
                    </w:rPr>
                    <w:t>类</w:t>
                  </w:r>
                </w:p>
              </w:tc>
            </w:tr>
          </w:tbl>
          <w:p>
            <w:pPr>
              <w:pStyle w:val="85"/>
              <w:adjustRightInd/>
              <w:snapToGrid/>
              <w:jc w:val="both"/>
              <w:rPr>
                <w:bCs/>
                <w:color w:val="auto"/>
                <w:spacing w:val="-10"/>
                <w:szCs w:val="21"/>
              </w:rPr>
            </w:pPr>
          </w:p>
        </w:tc>
      </w:tr>
    </w:tbl>
    <w:p>
      <w:pPr>
        <w:spacing w:line="360" w:lineRule="auto"/>
        <w:rPr>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5"/>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五、</w:t>
      </w:r>
      <w:bookmarkStart w:id="37" w:name="_Hlk54167917"/>
      <w:r>
        <w:rPr>
          <w:rFonts w:hint="eastAsia" w:ascii="Times New Roman" w:hAnsi="Times New Roman" w:eastAsia="黑体"/>
          <w:snapToGrid w:val="0"/>
          <w:sz w:val="30"/>
          <w:szCs w:val="30"/>
        </w:rPr>
        <w:t>环境保护措施监督检查清单</w:t>
      </w:r>
      <w:bookmarkEnd w:id="37"/>
    </w:p>
    <w:tbl>
      <w:tblPr>
        <w:tblStyle w:val="27"/>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745"/>
        <w:gridCol w:w="745"/>
        <w:gridCol w:w="977"/>
        <w:gridCol w:w="2775"/>
        <w:gridCol w:w="27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7" w:type="dxa"/>
            <w:tcBorders>
              <w:top w:val="single" w:color="auto" w:sz="8" w:space="0"/>
              <w:tl2br w:val="single" w:color="auto" w:sz="4" w:space="0"/>
            </w:tcBorders>
          </w:tcPr>
          <w:p>
            <w:pPr>
              <w:jc w:val="right"/>
            </w:pPr>
            <w:r>
              <w:rPr>
                <w:rFonts w:hint="eastAsia"/>
              </w:rPr>
              <w:t>内容</w:t>
            </w:r>
          </w:p>
          <w:p>
            <w:pPr>
              <w:jc w:val="center"/>
            </w:pPr>
          </w:p>
          <w:p>
            <w:pPr>
              <w:jc w:val="left"/>
            </w:pPr>
            <w:r>
              <w:rPr>
                <w:rFonts w:hint="eastAsia"/>
              </w:rPr>
              <w:t>要素</w:t>
            </w:r>
          </w:p>
        </w:tc>
        <w:tc>
          <w:tcPr>
            <w:tcW w:w="1490" w:type="dxa"/>
            <w:gridSpan w:val="2"/>
            <w:tcBorders>
              <w:top w:val="single" w:color="auto" w:sz="8" w:space="0"/>
            </w:tcBorders>
            <w:vAlign w:val="center"/>
          </w:tcPr>
          <w:p>
            <w:pPr>
              <w:jc w:val="center"/>
            </w:pPr>
            <w:r>
              <w:rPr>
                <w:rFonts w:hint="eastAsia"/>
              </w:rPr>
              <w:t>排放口（编号、名称）</w:t>
            </w:r>
            <w:r>
              <w:t>/</w:t>
            </w:r>
            <w:r>
              <w:rPr>
                <w:rFonts w:hint="eastAsia"/>
              </w:rPr>
              <w:t>污染源</w:t>
            </w:r>
          </w:p>
        </w:tc>
        <w:tc>
          <w:tcPr>
            <w:tcW w:w="977" w:type="dxa"/>
            <w:tcBorders>
              <w:top w:val="single" w:color="auto" w:sz="8" w:space="0"/>
            </w:tcBorders>
            <w:vAlign w:val="center"/>
          </w:tcPr>
          <w:p>
            <w:pPr>
              <w:jc w:val="center"/>
            </w:pPr>
            <w:r>
              <w:rPr>
                <w:rFonts w:hint="eastAsia"/>
              </w:rPr>
              <w:t>污染物项目</w:t>
            </w:r>
          </w:p>
        </w:tc>
        <w:tc>
          <w:tcPr>
            <w:tcW w:w="2775" w:type="dxa"/>
            <w:tcBorders>
              <w:top w:val="single" w:color="auto" w:sz="8" w:space="0"/>
            </w:tcBorders>
            <w:vAlign w:val="center"/>
          </w:tcPr>
          <w:p>
            <w:pPr>
              <w:jc w:val="center"/>
            </w:pPr>
            <w:r>
              <w:rPr>
                <w:rFonts w:hint="eastAsia"/>
              </w:rPr>
              <w:t>环境保护措施</w:t>
            </w:r>
          </w:p>
        </w:tc>
        <w:tc>
          <w:tcPr>
            <w:tcW w:w="2711" w:type="dxa"/>
            <w:tcBorders>
              <w:top w:val="single" w:color="auto" w:sz="8" w:space="0"/>
            </w:tcBorders>
            <w:vAlign w:val="center"/>
          </w:tcPr>
          <w:p>
            <w:pPr>
              <w:jc w:val="center"/>
            </w:pPr>
            <w:r>
              <w:rPr>
                <w:rFonts w:hint="eastAsia"/>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7" w:type="dxa"/>
            <w:vMerge w:val="restart"/>
            <w:vAlign w:val="center"/>
          </w:tcPr>
          <w:p>
            <w:pPr>
              <w:jc w:val="center"/>
            </w:pPr>
            <w:r>
              <w:rPr>
                <w:rFonts w:hint="eastAsia"/>
              </w:rPr>
              <w:t>大气环境</w:t>
            </w:r>
          </w:p>
        </w:tc>
        <w:tc>
          <w:tcPr>
            <w:tcW w:w="745" w:type="dxa"/>
            <w:vMerge w:val="restart"/>
            <w:vAlign w:val="center"/>
          </w:tcPr>
          <w:p>
            <w:pPr>
              <w:pStyle w:val="25"/>
              <w:widowControl w:val="0"/>
              <w:adjustRightInd w:val="0"/>
              <w:snapToGrid w:val="0"/>
              <w:spacing w:before="0" w:beforeAutospacing="0" w:after="0" w:afterAutospacing="0"/>
              <w:jc w:val="center"/>
              <w:outlineLvl w:val="2"/>
              <w:rPr>
                <w:rFonts w:ascii="Times New Roman" w:hAnsi="Times New Roman"/>
                <w:sz w:val="21"/>
                <w:szCs w:val="21"/>
              </w:rPr>
            </w:pPr>
            <w:r>
              <w:rPr>
                <w:rFonts w:hint="eastAsia" w:ascii="Times New Roman" w:hAnsi="Times New Roman"/>
                <w:sz w:val="21"/>
                <w:szCs w:val="21"/>
              </w:rPr>
              <w:t>石英粉生产线</w:t>
            </w:r>
          </w:p>
        </w:tc>
        <w:tc>
          <w:tcPr>
            <w:tcW w:w="745" w:type="dxa"/>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r>
              <w:rPr>
                <w:rFonts w:hint="eastAsia" w:ascii="Times New Roman" w:hAnsi="Times New Roman" w:cs="宋体"/>
                <w:bCs/>
                <w:iCs/>
                <w:kern w:val="2"/>
                <w:sz w:val="21"/>
                <w:szCs w:val="21"/>
              </w:rPr>
              <w:t>卸料粉尘</w:t>
            </w:r>
          </w:p>
        </w:tc>
        <w:tc>
          <w:tcPr>
            <w:tcW w:w="977" w:type="dxa"/>
            <w:vAlign w:val="center"/>
          </w:tcPr>
          <w:p>
            <w:pPr>
              <w:jc w:val="center"/>
            </w:pPr>
            <w:r>
              <w:rPr>
                <w:rFonts w:hint="eastAsia"/>
              </w:rPr>
              <w:t>颗粒物</w:t>
            </w:r>
          </w:p>
        </w:tc>
        <w:tc>
          <w:tcPr>
            <w:tcW w:w="2775" w:type="dxa"/>
            <w:vAlign w:val="center"/>
          </w:tcPr>
          <w:p>
            <w:pPr>
              <w:pStyle w:val="25"/>
              <w:widowControl w:val="0"/>
              <w:adjustRightInd w:val="0"/>
              <w:snapToGrid w:val="0"/>
              <w:spacing w:before="0" w:beforeAutospacing="0" w:after="0" w:afterAutospacing="0"/>
              <w:jc w:val="center"/>
              <w:outlineLvl w:val="2"/>
              <w:rPr>
                <w:rFonts w:ascii="Times New Roman" w:hAnsi="Times New Roman"/>
                <w:sz w:val="21"/>
                <w:szCs w:val="21"/>
              </w:rPr>
            </w:pPr>
            <w:r>
              <w:rPr>
                <w:rFonts w:hint="eastAsia" w:ascii="Times New Roman" w:hAnsi="Times New Roman" w:cs="宋体"/>
                <w:bCs/>
                <w:iCs/>
                <w:kern w:val="2"/>
                <w:sz w:val="21"/>
                <w:szCs w:val="21"/>
              </w:rPr>
              <w:t>卸料区采用封闭式，使用布袋收尘</w:t>
            </w:r>
            <w:r>
              <w:rPr>
                <w:rFonts w:ascii="Times New Roman" w:hAnsi="Times New Roman" w:cs="宋体"/>
                <w:bCs/>
                <w:iCs/>
                <w:kern w:val="2"/>
                <w:sz w:val="21"/>
                <w:szCs w:val="21"/>
              </w:rPr>
              <w:t>+15m</w:t>
            </w:r>
            <w:r>
              <w:rPr>
                <w:rFonts w:hint="eastAsia" w:ascii="Times New Roman" w:hAnsi="Times New Roman" w:cs="宋体"/>
                <w:bCs/>
                <w:iCs/>
                <w:kern w:val="2"/>
                <w:sz w:val="21"/>
                <w:szCs w:val="21"/>
              </w:rPr>
              <w:t>高排气筒（</w:t>
            </w:r>
            <w:r>
              <w:rPr>
                <w:rFonts w:ascii="Times New Roman" w:hAnsi="Times New Roman" w:cs="宋体"/>
                <w:bCs/>
                <w:iCs/>
                <w:kern w:val="2"/>
                <w:sz w:val="21"/>
                <w:szCs w:val="21"/>
              </w:rPr>
              <w:t>DA001</w:t>
            </w:r>
            <w:r>
              <w:rPr>
                <w:rFonts w:hint="eastAsia" w:ascii="Times New Roman" w:hAnsi="Times New Roman" w:cs="宋体"/>
                <w:bCs/>
                <w:iCs/>
                <w:kern w:val="2"/>
                <w:sz w:val="21"/>
                <w:szCs w:val="21"/>
              </w:rPr>
              <w:t>）</w:t>
            </w:r>
          </w:p>
        </w:tc>
        <w:tc>
          <w:tcPr>
            <w:tcW w:w="2711" w:type="dxa"/>
            <w:vMerge w:val="restart"/>
            <w:vAlign w:val="center"/>
          </w:tcPr>
          <w:p>
            <w:pPr>
              <w:jc w:val="center"/>
            </w:pPr>
            <w:r>
              <w:rPr>
                <w:rFonts w:hint="eastAsia"/>
              </w:rPr>
              <w:t>《水泥工业大气污染物排放标准》（</w:t>
            </w:r>
            <w:r>
              <w:t>GB 4915-2013</w:t>
            </w:r>
            <w:r>
              <w:rPr>
                <w:rFonts w:hint="eastAsia"/>
              </w:rPr>
              <w:t>）表</w:t>
            </w:r>
            <w:r>
              <w:t>2</w:t>
            </w:r>
            <w:r>
              <w:rPr>
                <w:rStyle w:val="200"/>
                <w:rFonts w:hint="eastAsia" w:ascii="Times New Roman" w:hAnsi="Times New Roman"/>
              </w:rPr>
              <w:t>标准</w:t>
            </w:r>
            <w:r>
              <w:rPr>
                <w:rFonts w:hint="eastAsia"/>
              </w:rPr>
              <w:t>（浓度＜</w:t>
            </w:r>
            <w:r>
              <w:t>10mg/m</w:t>
            </w:r>
            <w:r>
              <w:rPr>
                <w:vertAlign w:val="superscript"/>
              </w:rPr>
              <w:t>3</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107" w:type="dxa"/>
            <w:vMerge w:val="continue"/>
            <w:vAlign w:val="center"/>
          </w:tcPr>
          <w:p>
            <w:pPr>
              <w:jc w:val="center"/>
            </w:pPr>
          </w:p>
        </w:tc>
        <w:tc>
          <w:tcPr>
            <w:tcW w:w="745" w:type="dxa"/>
            <w:vMerge w:val="continue"/>
            <w:vAlign w:val="center"/>
          </w:tcPr>
          <w:p>
            <w:pPr>
              <w:jc w:val="center"/>
            </w:pPr>
          </w:p>
        </w:tc>
        <w:tc>
          <w:tcPr>
            <w:tcW w:w="745" w:type="dxa"/>
            <w:vAlign w:val="center"/>
          </w:tcPr>
          <w:p>
            <w:pPr>
              <w:jc w:val="center"/>
            </w:pPr>
            <w:r>
              <w:rPr>
                <w:rFonts w:hint="eastAsia"/>
              </w:rPr>
              <w:t>投料、破碎、筛分</w:t>
            </w:r>
          </w:p>
        </w:tc>
        <w:tc>
          <w:tcPr>
            <w:tcW w:w="977" w:type="dxa"/>
            <w:vAlign w:val="center"/>
          </w:tcPr>
          <w:p>
            <w:pPr>
              <w:jc w:val="center"/>
            </w:pPr>
            <w:r>
              <w:rPr>
                <w:rFonts w:hint="eastAsia"/>
              </w:rPr>
              <w:t>颗粒物</w:t>
            </w:r>
          </w:p>
        </w:tc>
        <w:tc>
          <w:tcPr>
            <w:tcW w:w="2775" w:type="dxa"/>
            <w:vAlign w:val="center"/>
          </w:tcPr>
          <w:p>
            <w:pPr>
              <w:jc w:val="center"/>
            </w:pPr>
            <w:r>
              <w:rPr>
                <w:rFonts w:hint="eastAsia"/>
              </w:rPr>
              <w:t>产尘点集气罩、软帘或管道对接密封，使用袋式除尘器</w:t>
            </w:r>
            <w:r>
              <w:t>+15m</w:t>
            </w:r>
            <w:r>
              <w:rPr>
                <w:rFonts w:hint="eastAsia"/>
              </w:rPr>
              <w:t>高排气筒（</w:t>
            </w:r>
            <w:r>
              <w:t>DA001</w:t>
            </w:r>
            <w:r>
              <w:rPr>
                <w:rFonts w:hint="eastAsia"/>
              </w:rPr>
              <w:t>）</w:t>
            </w:r>
          </w:p>
        </w:tc>
        <w:tc>
          <w:tcPr>
            <w:tcW w:w="2711"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107" w:type="dxa"/>
            <w:vMerge w:val="continue"/>
            <w:vAlign w:val="center"/>
          </w:tcPr>
          <w:p>
            <w:pPr>
              <w:jc w:val="center"/>
            </w:pPr>
          </w:p>
        </w:tc>
        <w:tc>
          <w:tcPr>
            <w:tcW w:w="745" w:type="dxa"/>
            <w:vMerge w:val="continue"/>
            <w:vAlign w:val="center"/>
          </w:tcPr>
          <w:p>
            <w:pPr>
              <w:jc w:val="center"/>
            </w:pPr>
          </w:p>
        </w:tc>
        <w:tc>
          <w:tcPr>
            <w:tcW w:w="745" w:type="dxa"/>
            <w:vAlign w:val="center"/>
          </w:tcPr>
          <w:p>
            <w:pPr>
              <w:jc w:val="center"/>
            </w:pPr>
            <w:r>
              <w:rPr>
                <w:rFonts w:hint="eastAsia"/>
              </w:rPr>
              <w:t>输送带粉尘</w:t>
            </w:r>
          </w:p>
        </w:tc>
        <w:tc>
          <w:tcPr>
            <w:tcW w:w="977" w:type="dxa"/>
            <w:vAlign w:val="center"/>
          </w:tcPr>
          <w:p>
            <w:pPr>
              <w:jc w:val="center"/>
            </w:pPr>
            <w:r>
              <w:rPr>
                <w:rFonts w:hint="eastAsia"/>
              </w:rPr>
              <w:t>颗粒物</w:t>
            </w:r>
          </w:p>
        </w:tc>
        <w:tc>
          <w:tcPr>
            <w:tcW w:w="2775" w:type="dxa"/>
            <w:vAlign w:val="center"/>
          </w:tcPr>
          <w:p>
            <w:pPr>
              <w:jc w:val="center"/>
            </w:pPr>
            <w:r>
              <w:rPr>
                <w:rFonts w:hint="eastAsia"/>
              </w:rPr>
              <w:t>输送带加盖密闭，落料点、进料口等产尘点采用集气罩、软帘密封，使用袋式除尘器</w:t>
            </w:r>
            <w:r>
              <w:t>+15m</w:t>
            </w:r>
            <w:r>
              <w:rPr>
                <w:rFonts w:hint="eastAsia"/>
              </w:rPr>
              <w:t>高排气筒（</w:t>
            </w:r>
            <w:r>
              <w:t>DA001</w:t>
            </w:r>
            <w:r>
              <w:rPr>
                <w:rFonts w:hint="eastAsia"/>
              </w:rPr>
              <w:t>）</w:t>
            </w:r>
          </w:p>
        </w:tc>
        <w:tc>
          <w:tcPr>
            <w:tcW w:w="2711"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107" w:type="dxa"/>
            <w:vMerge w:val="continue"/>
            <w:vAlign w:val="center"/>
          </w:tcPr>
          <w:p>
            <w:pPr>
              <w:jc w:val="center"/>
            </w:pPr>
          </w:p>
        </w:tc>
        <w:tc>
          <w:tcPr>
            <w:tcW w:w="745" w:type="dxa"/>
            <w:vMerge w:val="continue"/>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p>
        </w:tc>
        <w:tc>
          <w:tcPr>
            <w:tcW w:w="745" w:type="dxa"/>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r>
              <w:rPr>
                <w:rFonts w:hint="eastAsia" w:ascii="Times New Roman" w:hAnsi="Times New Roman" w:cs="宋体"/>
                <w:bCs/>
                <w:iCs/>
                <w:kern w:val="2"/>
                <w:sz w:val="21"/>
                <w:szCs w:val="21"/>
              </w:rPr>
              <w:t>进仓粉尘</w:t>
            </w:r>
          </w:p>
        </w:tc>
        <w:tc>
          <w:tcPr>
            <w:tcW w:w="977" w:type="dxa"/>
            <w:vAlign w:val="center"/>
          </w:tcPr>
          <w:p>
            <w:pPr>
              <w:jc w:val="center"/>
            </w:pPr>
            <w:r>
              <w:rPr>
                <w:rFonts w:hint="eastAsia"/>
              </w:rPr>
              <w:t>颗粒物</w:t>
            </w:r>
          </w:p>
        </w:tc>
        <w:tc>
          <w:tcPr>
            <w:tcW w:w="2775" w:type="dxa"/>
            <w:vAlign w:val="center"/>
          </w:tcPr>
          <w:p>
            <w:pPr>
              <w:jc w:val="center"/>
            </w:pPr>
            <w:r>
              <w:rPr>
                <w:rFonts w:hint="eastAsia" w:cs="宋体"/>
                <w:bCs/>
                <w:iCs/>
                <w:szCs w:val="21"/>
              </w:rPr>
              <w:t>密闭运输，料仓呼吸口与</w:t>
            </w:r>
            <w:r>
              <w:rPr>
                <w:rFonts w:hint="eastAsia"/>
              </w:rPr>
              <w:t>管道对接密封，</w:t>
            </w:r>
            <w:r>
              <w:rPr>
                <w:rFonts w:hint="eastAsia" w:cs="宋体"/>
                <w:bCs/>
                <w:iCs/>
                <w:szCs w:val="21"/>
              </w:rPr>
              <w:t>使用</w:t>
            </w:r>
            <w:r>
              <w:rPr>
                <w:rFonts w:hint="eastAsia"/>
                <w:bCs/>
              </w:rPr>
              <w:t>布袋收尘</w:t>
            </w:r>
            <w:r>
              <w:t>+15m</w:t>
            </w:r>
            <w:r>
              <w:rPr>
                <w:rFonts w:hint="eastAsia"/>
              </w:rPr>
              <w:t>高排气筒（</w:t>
            </w:r>
            <w:r>
              <w:t>DA001</w:t>
            </w:r>
            <w:r>
              <w:rPr>
                <w:rFonts w:hint="eastAsia"/>
              </w:rPr>
              <w:t>）</w:t>
            </w:r>
          </w:p>
        </w:tc>
        <w:tc>
          <w:tcPr>
            <w:tcW w:w="2711"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107" w:type="dxa"/>
            <w:vMerge w:val="continue"/>
            <w:vAlign w:val="center"/>
          </w:tcPr>
          <w:p>
            <w:pPr>
              <w:jc w:val="center"/>
            </w:pPr>
          </w:p>
        </w:tc>
        <w:tc>
          <w:tcPr>
            <w:tcW w:w="745" w:type="dxa"/>
            <w:vMerge w:val="restart"/>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r>
              <w:rPr>
                <w:rFonts w:hint="eastAsia" w:ascii="Times New Roman" w:hAnsi="Times New Roman" w:cs="宋体"/>
                <w:bCs/>
                <w:iCs/>
                <w:kern w:val="2"/>
                <w:sz w:val="21"/>
                <w:szCs w:val="21"/>
              </w:rPr>
              <w:t>硅酸钙板生产线</w:t>
            </w:r>
          </w:p>
        </w:tc>
        <w:tc>
          <w:tcPr>
            <w:tcW w:w="745" w:type="dxa"/>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r>
              <w:rPr>
                <w:rFonts w:hint="eastAsia" w:ascii="Times New Roman" w:hAnsi="Times New Roman" w:cs="宋体"/>
                <w:bCs/>
                <w:iCs/>
                <w:kern w:val="2"/>
                <w:sz w:val="21"/>
                <w:szCs w:val="21"/>
              </w:rPr>
              <w:t>进仓粉尘</w:t>
            </w:r>
          </w:p>
        </w:tc>
        <w:tc>
          <w:tcPr>
            <w:tcW w:w="977" w:type="dxa"/>
            <w:vAlign w:val="center"/>
          </w:tcPr>
          <w:p>
            <w:pPr>
              <w:jc w:val="center"/>
            </w:pPr>
            <w:r>
              <w:rPr>
                <w:rFonts w:hint="eastAsia"/>
              </w:rPr>
              <w:t>颗粒物</w:t>
            </w:r>
          </w:p>
        </w:tc>
        <w:tc>
          <w:tcPr>
            <w:tcW w:w="2775" w:type="dxa"/>
            <w:vAlign w:val="center"/>
          </w:tcPr>
          <w:p>
            <w:pPr>
              <w:jc w:val="center"/>
              <w:rPr>
                <w:rFonts w:cs="宋体"/>
                <w:bCs/>
                <w:iCs/>
                <w:szCs w:val="21"/>
              </w:rPr>
            </w:pPr>
            <w:r>
              <w:rPr>
                <w:rFonts w:hint="eastAsia" w:cs="宋体"/>
                <w:bCs/>
                <w:iCs/>
                <w:szCs w:val="21"/>
              </w:rPr>
              <w:t>密闭运输，料仓呼吸口与</w:t>
            </w:r>
            <w:r>
              <w:rPr>
                <w:rFonts w:hint="eastAsia"/>
              </w:rPr>
              <w:t>管道对接密封，</w:t>
            </w:r>
            <w:r>
              <w:rPr>
                <w:rFonts w:hint="eastAsia" w:cs="宋体"/>
                <w:bCs/>
                <w:iCs/>
                <w:szCs w:val="21"/>
              </w:rPr>
              <w:t>使用</w:t>
            </w:r>
            <w:r>
              <w:rPr>
                <w:rFonts w:hint="eastAsia"/>
                <w:bCs/>
              </w:rPr>
              <w:t>布袋收尘</w:t>
            </w:r>
            <w:r>
              <w:t>+15m</w:t>
            </w:r>
            <w:r>
              <w:rPr>
                <w:rFonts w:hint="eastAsia"/>
              </w:rPr>
              <w:t>高排气筒（</w:t>
            </w:r>
            <w:r>
              <w:t>DA002</w:t>
            </w:r>
            <w:r>
              <w:rPr>
                <w:rFonts w:hint="eastAsia"/>
              </w:rPr>
              <w:t>）</w:t>
            </w:r>
          </w:p>
        </w:tc>
        <w:tc>
          <w:tcPr>
            <w:tcW w:w="2711"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107" w:type="dxa"/>
            <w:vMerge w:val="continue"/>
            <w:vAlign w:val="center"/>
          </w:tcPr>
          <w:p>
            <w:pPr>
              <w:jc w:val="center"/>
            </w:pPr>
          </w:p>
        </w:tc>
        <w:tc>
          <w:tcPr>
            <w:tcW w:w="745" w:type="dxa"/>
            <w:vMerge w:val="continue"/>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p>
        </w:tc>
        <w:tc>
          <w:tcPr>
            <w:tcW w:w="745" w:type="dxa"/>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r>
              <w:rPr>
                <w:rFonts w:hint="eastAsia" w:ascii="Times New Roman" w:hAnsi="Times New Roman" w:cs="宋体"/>
                <w:bCs/>
                <w:iCs/>
                <w:kern w:val="2"/>
                <w:sz w:val="21"/>
                <w:szCs w:val="21"/>
              </w:rPr>
              <w:t>配料粉尘</w:t>
            </w:r>
          </w:p>
        </w:tc>
        <w:tc>
          <w:tcPr>
            <w:tcW w:w="977" w:type="dxa"/>
            <w:vAlign w:val="center"/>
          </w:tcPr>
          <w:p>
            <w:pPr>
              <w:jc w:val="center"/>
            </w:pPr>
            <w:r>
              <w:rPr>
                <w:rFonts w:hint="eastAsia"/>
              </w:rPr>
              <w:t>颗粒物</w:t>
            </w:r>
          </w:p>
        </w:tc>
        <w:tc>
          <w:tcPr>
            <w:tcW w:w="2775" w:type="dxa"/>
            <w:vAlign w:val="center"/>
          </w:tcPr>
          <w:p>
            <w:pPr>
              <w:jc w:val="center"/>
              <w:rPr>
                <w:rFonts w:cs="宋体"/>
                <w:bCs/>
                <w:iCs/>
                <w:szCs w:val="21"/>
              </w:rPr>
            </w:pPr>
            <w:r>
              <w:rPr>
                <w:rFonts w:hint="eastAsia" w:cs="宋体"/>
                <w:bCs/>
                <w:iCs/>
                <w:szCs w:val="21"/>
              </w:rPr>
              <w:t>料仓呼吸口与</w:t>
            </w:r>
            <w:r>
              <w:rPr>
                <w:rFonts w:hint="eastAsia"/>
              </w:rPr>
              <w:t>管道对接密封，</w:t>
            </w:r>
            <w:r>
              <w:rPr>
                <w:rFonts w:hint="eastAsia" w:cs="宋体"/>
                <w:bCs/>
                <w:iCs/>
                <w:szCs w:val="21"/>
              </w:rPr>
              <w:t>使用</w:t>
            </w:r>
            <w:r>
              <w:rPr>
                <w:rFonts w:hint="eastAsia"/>
                <w:bCs/>
              </w:rPr>
              <w:t>布袋收尘</w:t>
            </w:r>
            <w:r>
              <w:t>+15m</w:t>
            </w:r>
            <w:r>
              <w:rPr>
                <w:rFonts w:hint="eastAsia"/>
              </w:rPr>
              <w:t>高排气筒（</w:t>
            </w:r>
            <w:r>
              <w:t>DA003</w:t>
            </w:r>
            <w:r>
              <w:rPr>
                <w:rFonts w:hint="eastAsia"/>
              </w:rPr>
              <w:t>）</w:t>
            </w:r>
          </w:p>
        </w:tc>
        <w:tc>
          <w:tcPr>
            <w:tcW w:w="2711"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107" w:type="dxa"/>
            <w:vMerge w:val="continue"/>
            <w:vAlign w:val="center"/>
          </w:tcPr>
          <w:p>
            <w:pPr>
              <w:jc w:val="center"/>
            </w:pPr>
          </w:p>
        </w:tc>
        <w:tc>
          <w:tcPr>
            <w:tcW w:w="745" w:type="dxa"/>
            <w:vMerge w:val="continue"/>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p>
        </w:tc>
        <w:tc>
          <w:tcPr>
            <w:tcW w:w="745" w:type="dxa"/>
            <w:vAlign w:val="center"/>
          </w:tcPr>
          <w:p>
            <w:pPr>
              <w:pStyle w:val="25"/>
              <w:widowControl w:val="0"/>
              <w:adjustRightInd w:val="0"/>
              <w:snapToGrid w:val="0"/>
              <w:spacing w:before="0" w:beforeAutospacing="0" w:after="0" w:afterAutospacing="0"/>
              <w:jc w:val="center"/>
              <w:outlineLvl w:val="2"/>
              <w:rPr>
                <w:rFonts w:ascii="Times New Roman" w:hAnsi="Times New Roman" w:cs="宋体"/>
                <w:bCs/>
                <w:iCs/>
                <w:kern w:val="2"/>
                <w:sz w:val="21"/>
                <w:szCs w:val="21"/>
              </w:rPr>
            </w:pPr>
            <w:r>
              <w:rPr>
                <w:rFonts w:hint="eastAsia" w:ascii="Times New Roman" w:hAnsi="Times New Roman" w:cs="宋体"/>
                <w:bCs/>
                <w:iCs/>
                <w:kern w:val="2"/>
                <w:sz w:val="21"/>
                <w:szCs w:val="21"/>
              </w:rPr>
              <w:t>磨边粉尘</w:t>
            </w:r>
          </w:p>
        </w:tc>
        <w:tc>
          <w:tcPr>
            <w:tcW w:w="977" w:type="dxa"/>
            <w:vAlign w:val="center"/>
          </w:tcPr>
          <w:p>
            <w:pPr>
              <w:jc w:val="center"/>
            </w:pPr>
            <w:r>
              <w:rPr>
                <w:rFonts w:hint="eastAsia"/>
              </w:rPr>
              <w:t>颗粒物</w:t>
            </w:r>
          </w:p>
        </w:tc>
        <w:tc>
          <w:tcPr>
            <w:tcW w:w="2775" w:type="dxa"/>
            <w:vAlign w:val="center"/>
          </w:tcPr>
          <w:p>
            <w:pPr>
              <w:jc w:val="center"/>
              <w:rPr>
                <w:rFonts w:cs="宋体"/>
                <w:bCs/>
                <w:iCs/>
                <w:szCs w:val="21"/>
              </w:rPr>
            </w:pPr>
            <w:r>
              <w:rPr>
                <w:rFonts w:hint="eastAsia" w:cs="宋体"/>
                <w:bCs/>
                <w:iCs/>
                <w:szCs w:val="21"/>
              </w:rPr>
              <w:t>配料</w:t>
            </w:r>
            <w:r>
              <w:rPr>
                <w:rFonts w:hint="eastAsia"/>
              </w:rPr>
              <w:t>使用集气罩、软帘收集粉尘后进行袋式除尘</w:t>
            </w:r>
            <w:r>
              <w:t>+15m</w:t>
            </w:r>
            <w:r>
              <w:rPr>
                <w:rFonts w:hint="eastAsia"/>
              </w:rPr>
              <w:t>高排气筒（</w:t>
            </w:r>
            <w:r>
              <w:t>DA003</w:t>
            </w:r>
            <w:r>
              <w:rPr>
                <w:rFonts w:hint="eastAsia"/>
              </w:rPr>
              <w:t>）</w:t>
            </w:r>
          </w:p>
        </w:tc>
        <w:tc>
          <w:tcPr>
            <w:tcW w:w="2711"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107" w:type="dxa"/>
            <w:vMerge w:val="continue"/>
            <w:vAlign w:val="center"/>
          </w:tcPr>
          <w:p>
            <w:pPr>
              <w:jc w:val="center"/>
            </w:pPr>
          </w:p>
        </w:tc>
        <w:tc>
          <w:tcPr>
            <w:tcW w:w="1490" w:type="dxa"/>
            <w:gridSpan w:val="2"/>
            <w:vAlign w:val="center"/>
          </w:tcPr>
          <w:p>
            <w:pPr>
              <w:jc w:val="center"/>
            </w:pPr>
            <w:r>
              <w:rPr>
                <w:rFonts w:hint="eastAsia"/>
              </w:rPr>
              <w:t>道路扬尘</w:t>
            </w:r>
          </w:p>
        </w:tc>
        <w:tc>
          <w:tcPr>
            <w:tcW w:w="977" w:type="dxa"/>
            <w:vAlign w:val="center"/>
          </w:tcPr>
          <w:p>
            <w:pPr>
              <w:jc w:val="center"/>
            </w:pPr>
            <w:r>
              <w:rPr>
                <w:rFonts w:hint="eastAsia"/>
              </w:rPr>
              <w:t>颗粒物</w:t>
            </w:r>
          </w:p>
        </w:tc>
        <w:tc>
          <w:tcPr>
            <w:tcW w:w="2775" w:type="dxa"/>
            <w:vAlign w:val="center"/>
          </w:tcPr>
          <w:p>
            <w:pPr>
              <w:jc w:val="center"/>
            </w:pPr>
            <w:r>
              <w:rPr>
                <w:rFonts w:hint="eastAsia"/>
              </w:rPr>
              <w:t>道路硬化，洒水降尘，车辆进出口设置洗车池</w:t>
            </w:r>
          </w:p>
        </w:tc>
        <w:tc>
          <w:tcPr>
            <w:tcW w:w="2711" w:type="dxa"/>
            <w:vAlign w:val="center"/>
          </w:tcPr>
          <w:p>
            <w:pPr>
              <w:jc w:val="center"/>
            </w:pPr>
            <w:r>
              <w:rPr>
                <w:rFonts w:hint="eastAsia"/>
              </w:rPr>
              <w:t>《水泥工业大气污染物排放标准》（</w:t>
            </w:r>
            <w:r>
              <w:t>GB 4915-2013</w:t>
            </w:r>
            <w:r>
              <w:rPr>
                <w:rFonts w:hint="eastAsia"/>
              </w:rPr>
              <w:t>）表</w:t>
            </w:r>
            <w:r>
              <w:t>3</w:t>
            </w:r>
            <w:r>
              <w:rPr>
                <w:rStyle w:val="200"/>
                <w:rFonts w:hint="eastAsia" w:ascii="Times New Roman" w:hAnsi="Times New Roman"/>
              </w:rPr>
              <w:t>标准</w:t>
            </w:r>
            <w:r>
              <w:rPr>
                <w:rFonts w:hint="eastAsia"/>
              </w:rPr>
              <w:t>（浓度＜</w:t>
            </w:r>
            <w:r>
              <w:t>0.5mg/m</w:t>
            </w:r>
            <w:r>
              <w:rPr>
                <w:vertAlign w:val="superscript"/>
              </w:rPr>
              <w:t>3</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1107" w:type="dxa"/>
            <w:vMerge w:val="restart"/>
            <w:vAlign w:val="center"/>
          </w:tcPr>
          <w:p>
            <w:pPr>
              <w:jc w:val="center"/>
            </w:pPr>
            <w:r>
              <w:rPr>
                <w:rFonts w:hint="eastAsia"/>
              </w:rPr>
              <w:t>地表水环境</w:t>
            </w:r>
          </w:p>
        </w:tc>
        <w:tc>
          <w:tcPr>
            <w:tcW w:w="1490" w:type="dxa"/>
            <w:gridSpan w:val="2"/>
            <w:vAlign w:val="center"/>
          </w:tcPr>
          <w:p>
            <w:pPr>
              <w:jc w:val="center"/>
            </w:pPr>
            <w:r>
              <w:rPr>
                <w:rFonts w:hint="eastAsia"/>
              </w:rPr>
              <w:t>车辆冲洗废水</w:t>
            </w:r>
          </w:p>
        </w:tc>
        <w:tc>
          <w:tcPr>
            <w:tcW w:w="977" w:type="dxa"/>
            <w:vAlign w:val="center"/>
          </w:tcPr>
          <w:p>
            <w:pPr>
              <w:jc w:val="center"/>
            </w:pPr>
            <w:r>
              <w:t>SS</w:t>
            </w:r>
          </w:p>
        </w:tc>
        <w:tc>
          <w:tcPr>
            <w:tcW w:w="2775" w:type="dxa"/>
            <w:vAlign w:val="center"/>
          </w:tcPr>
          <w:p>
            <w:pPr>
              <w:jc w:val="center"/>
            </w:pPr>
            <w:r>
              <w:rPr>
                <w:rFonts w:hint="eastAsia"/>
              </w:rPr>
              <w:t>进出口设施车辆冲洗区，冲洗水经沉淀后循环使用，不外排</w:t>
            </w:r>
          </w:p>
        </w:tc>
        <w:tc>
          <w:tcPr>
            <w:tcW w:w="2711" w:type="dxa"/>
            <w:vAlign w:val="center"/>
          </w:tcPr>
          <w:p>
            <w:pPr>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1107" w:type="dxa"/>
            <w:vMerge w:val="continue"/>
            <w:vAlign w:val="center"/>
          </w:tcPr>
          <w:p>
            <w:pPr>
              <w:jc w:val="center"/>
            </w:pPr>
          </w:p>
        </w:tc>
        <w:tc>
          <w:tcPr>
            <w:tcW w:w="1490" w:type="dxa"/>
            <w:gridSpan w:val="2"/>
            <w:vAlign w:val="center"/>
          </w:tcPr>
          <w:p>
            <w:pPr>
              <w:pStyle w:val="96"/>
              <w:widowControl w:val="0"/>
              <w:ind w:left="0" w:firstLine="0" w:firstLineChars="0"/>
            </w:pPr>
            <w:r>
              <w:rPr>
                <w:rStyle w:val="200"/>
                <w:rFonts w:hint="eastAsia" w:ascii="Times New Roman" w:hAnsi="Times New Roman"/>
                <w:szCs w:val="21"/>
              </w:rPr>
              <w:t>初期雨水</w:t>
            </w:r>
          </w:p>
        </w:tc>
        <w:tc>
          <w:tcPr>
            <w:tcW w:w="977" w:type="dxa"/>
            <w:vAlign w:val="center"/>
          </w:tcPr>
          <w:p>
            <w:pPr>
              <w:pStyle w:val="96"/>
              <w:widowControl w:val="0"/>
              <w:ind w:left="0" w:firstLine="0" w:firstLineChars="0"/>
            </w:pPr>
            <w:r>
              <w:rPr>
                <w:rStyle w:val="200"/>
                <w:rFonts w:ascii="Times New Roman" w:hAnsi="Times New Roman"/>
                <w:szCs w:val="21"/>
              </w:rPr>
              <w:t>SS</w:t>
            </w:r>
          </w:p>
        </w:tc>
        <w:tc>
          <w:tcPr>
            <w:tcW w:w="2775" w:type="dxa"/>
            <w:vAlign w:val="center"/>
          </w:tcPr>
          <w:p>
            <w:pPr>
              <w:pStyle w:val="96"/>
              <w:widowControl w:val="0"/>
              <w:ind w:left="0" w:firstLine="0" w:firstLineChars="0"/>
              <w:jc w:val="both"/>
            </w:pPr>
            <w:r>
              <w:rPr>
                <w:rFonts w:hint="eastAsia"/>
                <w:szCs w:val="21"/>
              </w:rPr>
              <w:t>设置</w:t>
            </w:r>
            <w:r>
              <w:rPr>
                <w:szCs w:val="21"/>
              </w:rPr>
              <w:t>100m³</w:t>
            </w:r>
            <w:r>
              <w:rPr>
                <w:rFonts w:hint="eastAsia"/>
                <w:szCs w:val="21"/>
              </w:rPr>
              <w:t>初期雨水池，初期雨水经过沉淀后，回用车辆冲洗和道路抑尘</w:t>
            </w:r>
          </w:p>
        </w:tc>
        <w:tc>
          <w:tcPr>
            <w:tcW w:w="2711" w:type="dxa"/>
            <w:vAlign w:val="center"/>
          </w:tcPr>
          <w:p>
            <w:pPr>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8" w:hRule="atLeast"/>
          <w:jc w:val="center"/>
        </w:trPr>
        <w:tc>
          <w:tcPr>
            <w:tcW w:w="1107" w:type="dxa"/>
            <w:vMerge w:val="continue"/>
            <w:vAlign w:val="center"/>
          </w:tcPr>
          <w:p>
            <w:pPr>
              <w:jc w:val="center"/>
            </w:pPr>
          </w:p>
        </w:tc>
        <w:tc>
          <w:tcPr>
            <w:tcW w:w="1490" w:type="dxa"/>
            <w:gridSpan w:val="2"/>
            <w:vAlign w:val="center"/>
          </w:tcPr>
          <w:p>
            <w:pPr>
              <w:adjustRightInd w:val="0"/>
              <w:snapToGrid w:val="0"/>
              <w:jc w:val="center"/>
            </w:pPr>
            <w:r>
              <w:rPr>
                <w:rFonts w:hint="eastAsia"/>
                <w:szCs w:val="21"/>
              </w:rPr>
              <w:t>生活污水</w:t>
            </w:r>
          </w:p>
        </w:tc>
        <w:tc>
          <w:tcPr>
            <w:tcW w:w="977" w:type="dxa"/>
            <w:vAlign w:val="center"/>
          </w:tcPr>
          <w:p>
            <w:pPr>
              <w:adjustRightInd w:val="0"/>
              <w:snapToGrid w:val="0"/>
              <w:jc w:val="center"/>
            </w:pPr>
            <w:r>
              <w:rPr>
                <w:szCs w:val="21"/>
              </w:rPr>
              <w:t>pH</w:t>
            </w:r>
            <w:r>
              <w:rPr>
                <w:rFonts w:hint="eastAsia"/>
                <w:szCs w:val="21"/>
                <w:lang w:val="zh-CN"/>
              </w:rPr>
              <w:t>、</w:t>
            </w:r>
            <w:r>
              <w:rPr>
                <w:szCs w:val="21"/>
              </w:rPr>
              <w:t>COD</w:t>
            </w:r>
            <w:r>
              <w:rPr>
                <w:rFonts w:hint="eastAsia"/>
                <w:szCs w:val="21"/>
                <w:lang w:val="zh-CN"/>
              </w:rPr>
              <w:t>、</w:t>
            </w:r>
            <w:r>
              <w:rPr>
                <w:szCs w:val="21"/>
              </w:rPr>
              <w:t>BOD</w:t>
            </w:r>
            <w:r>
              <w:rPr>
                <w:szCs w:val="21"/>
                <w:vertAlign w:val="subscript"/>
              </w:rPr>
              <w:t>5</w:t>
            </w:r>
            <w:r>
              <w:rPr>
                <w:rFonts w:hint="eastAsia"/>
                <w:szCs w:val="21"/>
              </w:rPr>
              <w:t>、氨氮、</w:t>
            </w:r>
            <w:r>
              <w:rPr>
                <w:szCs w:val="21"/>
              </w:rPr>
              <w:t>SS</w:t>
            </w:r>
          </w:p>
        </w:tc>
        <w:tc>
          <w:tcPr>
            <w:tcW w:w="2775" w:type="dxa"/>
            <w:vAlign w:val="center"/>
          </w:tcPr>
          <w:p>
            <w:pPr>
              <w:pStyle w:val="214"/>
              <w:spacing w:line="240" w:lineRule="auto"/>
              <w:ind w:firstLine="0" w:firstLineChars="0"/>
            </w:pPr>
            <w:r>
              <w:rPr>
                <w:rFonts w:hint="eastAsia"/>
                <w:sz w:val="21"/>
                <w:szCs w:val="21"/>
              </w:rPr>
              <w:t>生活污水经化粪池处理后进入尼葛污水处理厂处理</w:t>
            </w:r>
          </w:p>
        </w:tc>
        <w:tc>
          <w:tcPr>
            <w:tcW w:w="2711" w:type="dxa"/>
            <w:vAlign w:val="center"/>
          </w:tcPr>
          <w:p>
            <w:pPr>
              <w:adjustRightInd w:val="0"/>
              <w:snapToGrid w:val="0"/>
            </w:pPr>
            <w:r>
              <w:rPr>
                <w:rFonts w:hint="eastAsia"/>
                <w:szCs w:val="21"/>
              </w:rPr>
              <w:t>《污水综合排放标准》（</w:t>
            </w:r>
            <w:r>
              <w:rPr>
                <w:szCs w:val="21"/>
              </w:rPr>
              <w:t>GB8978-1996</w:t>
            </w:r>
            <w:r>
              <w:rPr>
                <w:rFonts w:hint="eastAsia"/>
                <w:szCs w:val="21"/>
              </w:rPr>
              <w:t>）表</w:t>
            </w:r>
            <w:r>
              <w:rPr>
                <w:szCs w:val="21"/>
              </w:rPr>
              <w:t>4</w:t>
            </w:r>
            <w:r>
              <w:rPr>
                <w:rFonts w:hint="eastAsia"/>
                <w:szCs w:val="21"/>
              </w:rPr>
              <w:t>中三级标准要求（其中</w:t>
            </w:r>
            <w:r>
              <w:rPr>
                <w:szCs w:val="21"/>
              </w:rPr>
              <w:t>NH</w:t>
            </w:r>
            <w:r>
              <w:rPr>
                <w:szCs w:val="21"/>
                <w:vertAlign w:val="subscript"/>
              </w:rPr>
              <w:t>3</w:t>
            </w:r>
            <w:r>
              <w:rPr>
                <w:szCs w:val="21"/>
              </w:rPr>
              <w:t>-N</w:t>
            </w:r>
            <w:r>
              <w:rPr>
                <w:rFonts w:hint="eastAsia"/>
                <w:szCs w:val="21"/>
              </w:rPr>
              <w:t>参照执行《污水排入城镇下水道水质标准》（</w:t>
            </w:r>
            <w:r>
              <w:rPr>
                <w:szCs w:val="21"/>
              </w:rPr>
              <w:t>GB/T31962-2015</w:t>
            </w:r>
            <w:r>
              <w:rPr>
                <w:rFonts w:hint="eastAsia"/>
                <w:szCs w:val="21"/>
              </w:rPr>
              <w:t>）表</w:t>
            </w:r>
            <w:r>
              <w:rPr>
                <w:szCs w:val="21"/>
              </w:rPr>
              <w:t>1</w:t>
            </w:r>
            <w:r>
              <w:rPr>
                <w:rFonts w:hint="eastAsia"/>
                <w:szCs w:val="21"/>
              </w:rPr>
              <w:t>中</w:t>
            </w:r>
            <w:r>
              <w:rPr>
                <w:szCs w:val="21"/>
              </w:rPr>
              <w:t>B</w:t>
            </w:r>
            <w:r>
              <w:rPr>
                <w:rFonts w:hint="eastAsia"/>
                <w:szCs w:val="21"/>
              </w:rPr>
              <w:t>级标准。即：</w:t>
            </w:r>
            <w:r>
              <w:rPr>
                <w:szCs w:val="21"/>
              </w:rPr>
              <w:t>COD</w:t>
            </w:r>
            <w:r>
              <w:rPr>
                <w:rFonts w:hint="eastAsia"/>
                <w:szCs w:val="21"/>
              </w:rPr>
              <w:t>≤</w:t>
            </w:r>
            <w:r>
              <w:rPr>
                <w:szCs w:val="21"/>
              </w:rPr>
              <w:t>500mg/L</w:t>
            </w:r>
            <w:r>
              <w:rPr>
                <w:rFonts w:hint="eastAsia"/>
                <w:szCs w:val="21"/>
              </w:rPr>
              <w:t>；</w:t>
            </w:r>
            <w:r>
              <w:rPr>
                <w:szCs w:val="21"/>
              </w:rPr>
              <w:t>BOD</w:t>
            </w:r>
            <w:r>
              <w:rPr>
                <w:szCs w:val="21"/>
                <w:vertAlign w:val="subscript"/>
              </w:rPr>
              <w:t>5</w:t>
            </w:r>
            <w:r>
              <w:rPr>
                <w:rFonts w:hint="eastAsia"/>
                <w:szCs w:val="21"/>
              </w:rPr>
              <w:t>≤</w:t>
            </w:r>
            <w:r>
              <w:rPr>
                <w:szCs w:val="21"/>
              </w:rPr>
              <w:t>300mg/L</w:t>
            </w:r>
            <w:r>
              <w:rPr>
                <w:rFonts w:hint="eastAsia"/>
                <w:szCs w:val="21"/>
              </w:rPr>
              <w:t>；</w:t>
            </w:r>
            <w:r>
              <w:rPr>
                <w:szCs w:val="21"/>
              </w:rPr>
              <w:t>SS</w:t>
            </w:r>
            <w:r>
              <w:rPr>
                <w:rFonts w:hint="eastAsia"/>
                <w:szCs w:val="21"/>
              </w:rPr>
              <w:t>≤</w:t>
            </w:r>
            <w:r>
              <w:rPr>
                <w:szCs w:val="21"/>
              </w:rPr>
              <w:t>400mg/L</w:t>
            </w:r>
            <w:r>
              <w:rPr>
                <w:rFonts w:hint="eastAsia"/>
                <w:szCs w:val="21"/>
              </w:rPr>
              <w:t>；石油类≤</w:t>
            </w:r>
            <w:r>
              <w:rPr>
                <w:szCs w:val="21"/>
              </w:rPr>
              <w:t>20mg/L</w:t>
            </w:r>
            <w:r>
              <w:rPr>
                <w:rFonts w:hint="eastAsia"/>
                <w:szCs w:val="21"/>
              </w:rPr>
              <w:t>；</w:t>
            </w:r>
            <w:r>
              <w:rPr>
                <w:rFonts w:hint="eastAsia" w:ascii="宋体" w:hAnsi="宋体" w:cs="宋体"/>
                <w:kern w:val="0"/>
                <w:szCs w:val="21"/>
              </w:rPr>
              <w:t>氨氮</w:t>
            </w:r>
            <w:r>
              <w:rPr>
                <w:rFonts w:hint="eastAsia"/>
                <w:szCs w:val="21"/>
              </w:rPr>
              <w:t>≤</w:t>
            </w:r>
            <w:r>
              <w:rPr>
                <w:kern w:val="0"/>
                <w:szCs w:val="21"/>
              </w:rPr>
              <w:t>45mg/L</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7" w:type="dxa"/>
            <w:vAlign w:val="center"/>
          </w:tcPr>
          <w:p>
            <w:pPr>
              <w:jc w:val="center"/>
            </w:pPr>
            <w:r>
              <w:rPr>
                <w:rFonts w:hint="eastAsia"/>
              </w:rPr>
              <w:t>声环境</w:t>
            </w:r>
          </w:p>
        </w:tc>
        <w:tc>
          <w:tcPr>
            <w:tcW w:w="1490" w:type="dxa"/>
            <w:gridSpan w:val="2"/>
            <w:vAlign w:val="center"/>
          </w:tcPr>
          <w:p>
            <w:pPr>
              <w:jc w:val="center"/>
            </w:pPr>
            <w:r>
              <w:rPr>
                <w:rFonts w:hint="eastAsia"/>
              </w:rPr>
              <w:t>厂界噪声</w:t>
            </w:r>
          </w:p>
        </w:tc>
        <w:tc>
          <w:tcPr>
            <w:tcW w:w="977" w:type="dxa"/>
            <w:vAlign w:val="center"/>
          </w:tcPr>
          <w:p>
            <w:pPr>
              <w:jc w:val="center"/>
            </w:pPr>
            <w:r>
              <w:rPr>
                <w:rFonts w:hint="eastAsia"/>
              </w:rPr>
              <w:t>连续等效</w:t>
            </w:r>
            <w:r>
              <w:t>A</w:t>
            </w:r>
            <w:r>
              <w:rPr>
                <w:rFonts w:hint="eastAsia"/>
              </w:rPr>
              <w:t>声级</w:t>
            </w:r>
          </w:p>
        </w:tc>
        <w:tc>
          <w:tcPr>
            <w:tcW w:w="2775" w:type="dxa"/>
            <w:vAlign w:val="center"/>
          </w:tcPr>
          <w:p>
            <w:pPr>
              <w:jc w:val="center"/>
            </w:pPr>
            <w:r>
              <w:rPr>
                <w:rFonts w:hint="eastAsia"/>
              </w:rPr>
              <w:t>设备采取隔声降噪减振和消声等措施</w:t>
            </w:r>
          </w:p>
        </w:tc>
        <w:tc>
          <w:tcPr>
            <w:tcW w:w="2711" w:type="dxa"/>
            <w:vAlign w:val="center"/>
          </w:tcPr>
          <w:p>
            <w:pPr>
              <w:jc w:val="center"/>
            </w:pPr>
            <w:r>
              <w:rPr>
                <w:rFonts w:hint="eastAsia"/>
              </w:rPr>
              <w:t>《工业企业厂界环境噪声排放标准》</w:t>
            </w:r>
            <w:r>
              <w:t>(GB12348-2008)3</w:t>
            </w:r>
            <w:r>
              <w:rPr>
                <w:rFonts w:hint="eastAsia"/>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107" w:type="dxa"/>
            <w:vAlign w:val="center"/>
          </w:tcPr>
          <w:p>
            <w:pPr>
              <w:jc w:val="center"/>
            </w:pPr>
            <w:r>
              <w:rPr>
                <w:rFonts w:hint="eastAsia"/>
              </w:rPr>
              <w:t>电磁辐射</w:t>
            </w:r>
          </w:p>
        </w:tc>
        <w:tc>
          <w:tcPr>
            <w:tcW w:w="1490" w:type="dxa"/>
            <w:gridSpan w:val="2"/>
            <w:vAlign w:val="center"/>
          </w:tcPr>
          <w:p>
            <w:pPr>
              <w:jc w:val="center"/>
            </w:pPr>
            <w:r>
              <w:t>/</w:t>
            </w:r>
          </w:p>
        </w:tc>
        <w:tc>
          <w:tcPr>
            <w:tcW w:w="977" w:type="dxa"/>
            <w:vAlign w:val="center"/>
          </w:tcPr>
          <w:p>
            <w:pPr>
              <w:jc w:val="center"/>
            </w:pPr>
            <w:r>
              <w:t>/</w:t>
            </w:r>
          </w:p>
        </w:tc>
        <w:tc>
          <w:tcPr>
            <w:tcW w:w="2775" w:type="dxa"/>
            <w:vAlign w:val="center"/>
          </w:tcPr>
          <w:p>
            <w:pPr>
              <w:jc w:val="center"/>
            </w:pPr>
            <w:r>
              <w:t>/</w:t>
            </w:r>
          </w:p>
        </w:tc>
        <w:tc>
          <w:tcPr>
            <w:tcW w:w="2711" w:type="dxa"/>
            <w:vAlign w:val="center"/>
          </w:tcPr>
          <w:p>
            <w:pPr>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107" w:type="dxa"/>
            <w:vMerge w:val="restart"/>
            <w:vAlign w:val="center"/>
          </w:tcPr>
          <w:p>
            <w:pPr>
              <w:jc w:val="center"/>
            </w:pPr>
            <w:r>
              <w:rPr>
                <w:rFonts w:hint="eastAsia"/>
              </w:rPr>
              <w:t>固体废物</w:t>
            </w:r>
          </w:p>
        </w:tc>
        <w:tc>
          <w:tcPr>
            <w:tcW w:w="1490" w:type="dxa"/>
            <w:gridSpan w:val="2"/>
            <w:vAlign w:val="center"/>
          </w:tcPr>
          <w:p>
            <w:pPr>
              <w:jc w:val="center"/>
            </w:pPr>
            <w:r>
              <w:rPr>
                <w:rFonts w:hint="eastAsia"/>
              </w:rPr>
              <w:t>职工生活过程</w:t>
            </w:r>
          </w:p>
        </w:tc>
        <w:tc>
          <w:tcPr>
            <w:tcW w:w="977" w:type="dxa"/>
            <w:vAlign w:val="center"/>
          </w:tcPr>
          <w:p>
            <w:pPr>
              <w:jc w:val="center"/>
            </w:pPr>
            <w:r>
              <w:rPr>
                <w:rFonts w:hint="eastAsia"/>
              </w:rPr>
              <w:t>生活垃圾</w:t>
            </w:r>
          </w:p>
        </w:tc>
        <w:tc>
          <w:tcPr>
            <w:tcW w:w="2775" w:type="dxa"/>
            <w:vAlign w:val="center"/>
          </w:tcPr>
          <w:p>
            <w:pPr>
              <w:jc w:val="center"/>
            </w:pPr>
            <w:r>
              <w:rPr>
                <w:rFonts w:hint="eastAsia"/>
              </w:rPr>
              <w:t>设置存放点，环卫部门清运</w:t>
            </w:r>
          </w:p>
        </w:tc>
        <w:tc>
          <w:tcPr>
            <w:tcW w:w="2711" w:type="dxa"/>
            <w:vAlign w:val="center"/>
          </w:tcPr>
          <w:p>
            <w:pPr>
              <w:jc w:val="center"/>
            </w:pPr>
            <w: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07" w:type="dxa"/>
            <w:vMerge w:val="continue"/>
            <w:vAlign w:val="center"/>
          </w:tcPr>
          <w:p>
            <w:pPr>
              <w:jc w:val="center"/>
            </w:pPr>
          </w:p>
        </w:tc>
        <w:tc>
          <w:tcPr>
            <w:tcW w:w="1490" w:type="dxa"/>
            <w:gridSpan w:val="2"/>
            <w:vMerge w:val="restart"/>
            <w:vAlign w:val="center"/>
          </w:tcPr>
          <w:p>
            <w:pPr>
              <w:jc w:val="center"/>
            </w:pPr>
            <w:r>
              <w:rPr>
                <w:rFonts w:hint="eastAsia"/>
              </w:rPr>
              <w:t>一般工业固废</w:t>
            </w:r>
          </w:p>
        </w:tc>
        <w:tc>
          <w:tcPr>
            <w:tcW w:w="977" w:type="dxa"/>
            <w:vAlign w:val="center"/>
          </w:tcPr>
          <w:p>
            <w:pPr>
              <w:jc w:val="center"/>
            </w:pPr>
            <w:r>
              <w:rPr>
                <w:rFonts w:hint="eastAsia"/>
              </w:rPr>
              <w:t>布袋收尘</w:t>
            </w:r>
          </w:p>
        </w:tc>
        <w:tc>
          <w:tcPr>
            <w:tcW w:w="2775" w:type="dxa"/>
            <w:vAlign w:val="center"/>
          </w:tcPr>
          <w:p>
            <w:pPr>
              <w:jc w:val="center"/>
            </w:pPr>
            <w:r>
              <w:rPr>
                <w:rFonts w:hint="eastAsia"/>
              </w:rPr>
              <w:t>收集后回用生产</w:t>
            </w:r>
          </w:p>
        </w:tc>
        <w:tc>
          <w:tcPr>
            <w:tcW w:w="2711" w:type="dxa"/>
            <w:vMerge w:val="restart"/>
            <w:vAlign w:val="center"/>
          </w:tcPr>
          <w:p>
            <w:pPr>
              <w:jc w:val="center"/>
            </w:pPr>
            <w:r>
              <w:rPr>
                <w:rFonts w:hint="eastAsia"/>
              </w:rPr>
              <w:t>《一般工业固体废物贮存和填埋污染控制标准》</w:t>
            </w:r>
            <w:r>
              <w:t>(GB18599-2020)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107" w:type="dxa"/>
            <w:vMerge w:val="continue"/>
            <w:vAlign w:val="center"/>
          </w:tcPr>
          <w:p>
            <w:pPr>
              <w:jc w:val="center"/>
            </w:pPr>
          </w:p>
        </w:tc>
        <w:tc>
          <w:tcPr>
            <w:tcW w:w="1490" w:type="dxa"/>
            <w:gridSpan w:val="2"/>
            <w:vMerge w:val="continue"/>
            <w:vAlign w:val="center"/>
          </w:tcPr>
          <w:p>
            <w:pPr>
              <w:jc w:val="center"/>
            </w:pPr>
          </w:p>
        </w:tc>
        <w:tc>
          <w:tcPr>
            <w:tcW w:w="977" w:type="dxa"/>
            <w:vAlign w:val="center"/>
          </w:tcPr>
          <w:p>
            <w:pPr>
              <w:jc w:val="center"/>
            </w:pPr>
            <w:r>
              <w:rPr>
                <w:rFonts w:hint="eastAsia"/>
              </w:rPr>
              <w:t>沉淀污泥</w:t>
            </w:r>
          </w:p>
        </w:tc>
        <w:tc>
          <w:tcPr>
            <w:tcW w:w="2775" w:type="dxa"/>
            <w:vAlign w:val="center"/>
          </w:tcPr>
          <w:p>
            <w:pPr>
              <w:jc w:val="center"/>
            </w:pPr>
            <w:r>
              <w:rPr>
                <w:rFonts w:hint="eastAsia"/>
              </w:rPr>
              <w:t>外卖综合利用</w:t>
            </w:r>
          </w:p>
        </w:tc>
        <w:tc>
          <w:tcPr>
            <w:tcW w:w="2711"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07" w:type="dxa"/>
            <w:vMerge w:val="continue"/>
            <w:vAlign w:val="center"/>
          </w:tcPr>
          <w:p>
            <w:pPr>
              <w:jc w:val="center"/>
            </w:pPr>
          </w:p>
        </w:tc>
        <w:tc>
          <w:tcPr>
            <w:tcW w:w="1490" w:type="dxa"/>
            <w:gridSpan w:val="2"/>
            <w:vMerge w:val="restart"/>
            <w:vAlign w:val="center"/>
          </w:tcPr>
          <w:p>
            <w:pPr>
              <w:jc w:val="center"/>
            </w:pPr>
            <w:r>
              <w:rPr>
                <w:rFonts w:hint="eastAsia"/>
              </w:rPr>
              <w:t>危险废物</w:t>
            </w:r>
          </w:p>
        </w:tc>
        <w:tc>
          <w:tcPr>
            <w:tcW w:w="977" w:type="dxa"/>
            <w:vAlign w:val="center"/>
          </w:tcPr>
          <w:p>
            <w:pPr>
              <w:jc w:val="center"/>
            </w:pPr>
            <w:r>
              <w:rPr>
                <w:rFonts w:hint="eastAsia"/>
              </w:rPr>
              <w:t>废机油</w:t>
            </w:r>
          </w:p>
        </w:tc>
        <w:tc>
          <w:tcPr>
            <w:tcW w:w="2775" w:type="dxa"/>
            <w:vMerge w:val="restart"/>
            <w:vAlign w:val="center"/>
          </w:tcPr>
          <w:p>
            <w:pPr>
              <w:jc w:val="center"/>
            </w:pPr>
            <w:r>
              <w:rPr>
                <w:rFonts w:hint="eastAsia"/>
              </w:rPr>
              <w:t>贮存危废间，定期委托有资质的单位处理</w:t>
            </w:r>
          </w:p>
        </w:tc>
        <w:tc>
          <w:tcPr>
            <w:tcW w:w="2711" w:type="dxa"/>
            <w:vMerge w:val="restart"/>
            <w:vAlign w:val="center"/>
          </w:tcPr>
          <w:p>
            <w:pPr>
              <w:jc w:val="center"/>
            </w:pPr>
            <w:r>
              <w:rPr>
                <w:rFonts w:hint="eastAsia"/>
              </w:rPr>
              <w:t>《危险废物贮存污染控制标准》</w:t>
            </w:r>
            <w:r>
              <w:t>(GB18597-2023)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107" w:type="dxa"/>
            <w:vMerge w:val="continue"/>
            <w:vAlign w:val="center"/>
          </w:tcPr>
          <w:p>
            <w:pPr>
              <w:jc w:val="center"/>
            </w:pPr>
          </w:p>
        </w:tc>
        <w:tc>
          <w:tcPr>
            <w:tcW w:w="1490" w:type="dxa"/>
            <w:gridSpan w:val="2"/>
            <w:vMerge w:val="continue"/>
            <w:vAlign w:val="center"/>
          </w:tcPr>
          <w:p>
            <w:pPr>
              <w:jc w:val="center"/>
            </w:pPr>
          </w:p>
        </w:tc>
        <w:tc>
          <w:tcPr>
            <w:tcW w:w="977" w:type="dxa"/>
            <w:vAlign w:val="center"/>
          </w:tcPr>
          <w:p>
            <w:pPr>
              <w:jc w:val="center"/>
            </w:pPr>
            <w:r>
              <w:rPr>
                <w:rFonts w:hint="eastAsia"/>
              </w:rPr>
              <w:t>隔油池油污</w:t>
            </w:r>
          </w:p>
        </w:tc>
        <w:tc>
          <w:tcPr>
            <w:tcW w:w="2775" w:type="dxa"/>
            <w:vMerge w:val="continue"/>
            <w:vAlign w:val="center"/>
          </w:tcPr>
          <w:p>
            <w:pPr>
              <w:jc w:val="center"/>
            </w:pPr>
          </w:p>
        </w:tc>
        <w:tc>
          <w:tcPr>
            <w:tcW w:w="2711" w:type="dxa"/>
            <w:vMerge w:val="continue"/>
            <w:vAlign w:val="center"/>
          </w:tcPr>
          <w:p>
            <w:pPr>
              <w:jc w:val="cente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107" w:type="dxa"/>
            <w:vAlign w:val="center"/>
          </w:tcPr>
          <w:p>
            <w:pPr>
              <w:jc w:val="center"/>
            </w:pPr>
            <w:r>
              <w:rPr>
                <w:rFonts w:hint="eastAsia"/>
              </w:rPr>
              <w:t>土壤及地下水污染防治措施</w:t>
            </w:r>
          </w:p>
        </w:tc>
        <w:tc>
          <w:tcPr>
            <w:tcW w:w="7953" w:type="dxa"/>
            <w:gridSpan w:val="5"/>
            <w:vAlign w:val="center"/>
          </w:tcPr>
          <w:p>
            <w:pPr>
              <w:jc w:val="left"/>
              <w:rPr>
                <w:color w:val="auto"/>
              </w:rPr>
            </w:pPr>
            <w:r>
              <w:rPr>
                <w:rFonts w:hint="eastAsia"/>
                <w:color w:val="auto"/>
              </w:rPr>
              <w:t>①危险废物暂存库为重点防渗</w:t>
            </w:r>
          </w:p>
          <w:p>
            <w:pPr>
              <w:jc w:val="left"/>
              <w:rPr>
                <w:color w:val="auto"/>
              </w:rPr>
            </w:pPr>
            <w:r>
              <w:rPr>
                <w:rFonts w:hint="eastAsia"/>
                <w:color w:val="auto"/>
              </w:rPr>
              <w:t>②厂区道路及厂房做地面硬化简单防渗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7" w:type="dxa"/>
            <w:vAlign w:val="center"/>
          </w:tcPr>
          <w:p>
            <w:pPr>
              <w:jc w:val="center"/>
            </w:pPr>
            <w:r>
              <w:rPr>
                <w:rFonts w:hint="eastAsia"/>
              </w:rPr>
              <w:t>生态保护措施</w:t>
            </w:r>
          </w:p>
        </w:tc>
        <w:tc>
          <w:tcPr>
            <w:tcW w:w="7953" w:type="dxa"/>
            <w:gridSpan w:val="5"/>
            <w:vAlign w:val="center"/>
          </w:tcPr>
          <w:p>
            <w:pPr>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7" w:type="dxa"/>
            <w:vAlign w:val="center"/>
          </w:tcPr>
          <w:p>
            <w:pPr>
              <w:jc w:val="center"/>
            </w:pPr>
            <w:r>
              <w:rPr>
                <w:rFonts w:hint="eastAsia"/>
              </w:rPr>
              <w:t>环境风险防范措施</w:t>
            </w:r>
          </w:p>
        </w:tc>
        <w:tc>
          <w:tcPr>
            <w:tcW w:w="7953" w:type="dxa"/>
            <w:gridSpan w:val="5"/>
            <w:vAlign w:val="center"/>
          </w:tcPr>
          <w:p>
            <w:pPr>
              <w:jc w:val="left"/>
              <w:rPr>
                <w:color w:val="auto"/>
                <w:lang w:val="zh-CN"/>
              </w:rPr>
            </w:pPr>
            <w:r>
              <w:rPr>
                <w:rFonts w:hint="eastAsia"/>
                <w:color w:val="auto"/>
              </w:rPr>
              <w:t>①危险废物暂存库周围建设应急事故池。围堰的容积应足以容纳泄漏污染物的容量。危废暂存间地面及集污井沟应进行防腐防渗施工，防渗要求按照危险废物暂存库建设。</w:t>
            </w:r>
          </w:p>
          <w:p>
            <w:pPr>
              <w:jc w:val="left"/>
              <w:rPr>
                <w:color w:val="auto"/>
                <w:lang w:val="zh-CN"/>
              </w:rPr>
            </w:pPr>
            <w:r>
              <w:rPr>
                <w:rFonts w:hint="eastAsia"/>
                <w:color w:val="auto"/>
              </w:rPr>
              <w:t>②厂区配备灭火器、消防沙、铁铲、防护面罩和口罩等消防应急器材。</w:t>
            </w:r>
          </w:p>
          <w:p>
            <w:pPr>
              <w:jc w:val="left"/>
              <w:rPr>
                <w:color w:val="auto"/>
                <w:lang w:val="zh-CN"/>
              </w:rPr>
            </w:pPr>
            <w:r>
              <w:rPr>
                <w:rFonts w:hint="eastAsia"/>
                <w:color w:val="auto"/>
              </w:rPr>
              <w:t>③建立管理巡查制度。</w:t>
            </w:r>
          </w:p>
          <w:p>
            <w:pPr>
              <w:jc w:val="left"/>
              <w:rPr>
                <w:color w:val="auto"/>
              </w:rPr>
            </w:pPr>
            <w:r>
              <w:rPr>
                <w:rFonts w:hint="eastAsia"/>
                <w:color w:val="auto"/>
              </w:rPr>
              <w:t>④增强生产安全意识，定期检查设备，减小设备漏电引发火灾的可能性；配备消防设施。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107" w:type="dxa"/>
            <w:tcBorders>
              <w:bottom w:val="single" w:color="auto" w:sz="8" w:space="0"/>
            </w:tcBorders>
            <w:vAlign w:val="center"/>
          </w:tcPr>
          <w:p>
            <w:pPr>
              <w:jc w:val="center"/>
            </w:pPr>
            <w:r>
              <w:rPr>
                <w:rFonts w:hint="eastAsia"/>
              </w:rPr>
              <w:t>其他环境管理要求</w:t>
            </w:r>
          </w:p>
        </w:tc>
        <w:tc>
          <w:tcPr>
            <w:tcW w:w="7953" w:type="dxa"/>
            <w:gridSpan w:val="5"/>
            <w:tcBorders>
              <w:bottom w:val="single" w:color="auto" w:sz="8" w:space="0"/>
            </w:tcBorders>
            <w:vAlign w:val="center"/>
          </w:tcPr>
          <w:p>
            <w:pPr>
              <w:jc w:val="left"/>
            </w:pPr>
            <w:r>
              <w:rPr>
                <w:rFonts w:hint="eastAsia"/>
              </w:rPr>
              <w:t>①设立专门的环保机构，配备专职环保工作人员。</w:t>
            </w:r>
          </w:p>
          <w:p>
            <w:pPr>
              <w:jc w:val="left"/>
            </w:pPr>
            <w:r>
              <w:rPr>
                <w:rFonts w:hint="eastAsia"/>
              </w:rPr>
              <w:t>②建立日常环境管理制度和环境管理工作计划。</w:t>
            </w:r>
          </w:p>
          <w:p>
            <w:pPr>
              <w:jc w:val="left"/>
            </w:pPr>
            <w:r>
              <w:rPr>
                <w:rFonts w:hint="eastAsia"/>
              </w:rPr>
              <w:t>③加强环保设施运行管理维护，建立环保设施运行台账，确保环保设施正常运行及污染物稳定达标排放。</w:t>
            </w:r>
          </w:p>
          <w:p>
            <w:pPr>
              <w:jc w:val="left"/>
            </w:pPr>
            <w:r>
              <w:rPr>
                <w:rFonts w:hint="eastAsia"/>
              </w:rPr>
              <w:t>④企业投产前应当依法申领排污许可证。</w:t>
            </w:r>
          </w:p>
          <w:p>
            <w:pPr>
              <w:jc w:val="left"/>
            </w:pPr>
            <w:r>
              <w:rPr>
                <w:rFonts w:hint="eastAsia"/>
              </w:rPr>
              <w:t>⑤建设单位应强化环境保护主体责任，落实建设项目环境保护</w:t>
            </w:r>
            <w:r>
              <w:t>“</w:t>
            </w:r>
            <w:r>
              <w:rPr>
                <w:rFonts w:hint="eastAsia"/>
              </w:rPr>
              <w:t>三同时</w:t>
            </w:r>
            <w:r>
              <w:t>”</w:t>
            </w:r>
            <w:r>
              <w:rPr>
                <w:rFonts w:hint="eastAsia"/>
              </w:rPr>
              <w:t>制度，本工程竣工后的验收程序、验收自查、验收监测方案和报告编制、验收监测技术均应按照技术指南的要求进行。</w:t>
            </w:r>
          </w:p>
          <w:p>
            <w:pPr>
              <w:jc w:val="left"/>
            </w:pPr>
            <w:r>
              <w:rPr>
                <w:rFonts w:hint="eastAsia"/>
              </w:rPr>
              <w:t>⑥加强运输车辆管理，合理安排车辆进出时间</w:t>
            </w:r>
          </w:p>
        </w:tc>
      </w:tr>
    </w:tbl>
    <w:p>
      <w:pPr>
        <w:jc w:val="center"/>
        <w:rPr>
          <w:rFonts w:eastAsia="黑体"/>
          <w:snapToGrid w:val="0"/>
          <w:kern w:val="0"/>
          <w:sz w:val="30"/>
          <w:szCs w:val="30"/>
        </w:rPr>
      </w:pPr>
      <w:r>
        <w:br w:type="page"/>
      </w:r>
      <w:r>
        <w:rPr>
          <w:rFonts w:hint="eastAsia" w:eastAsia="黑体"/>
          <w:snapToGrid w:val="0"/>
          <w:kern w:val="0"/>
          <w:sz w:val="30"/>
          <w:szCs w:val="30"/>
        </w:rPr>
        <w:t>六、结论</w:t>
      </w:r>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bottom w:val="single" w:color="auto" w:sz="8" w:space="0"/>
            </w:tcBorders>
            <w:vAlign w:val="center"/>
          </w:tcPr>
          <w:p>
            <w:pPr>
              <w:pStyle w:val="106"/>
              <w:spacing w:beforeLines="50"/>
              <w:ind w:firstLine="31680"/>
            </w:pPr>
            <w:r>
              <w:rPr>
                <w:rStyle w:val="57"/>
                <w:rFonts w:hint="eastAsia"/>
              </w:rPr>
              <w:t>综上所述，</w:t>
            </w:r>
            <w:r>
              <w:rPr>
                <w:rFonts w:hint="eastAsia"/>
              </w:rPr>
              <w:t>福建宸鑫硅业有限公司“轻质建筑材料生产线项目”</w:t>
            </w:r>
            <w:r>
              <w:rPr>
                <w:rStyle w:val="57"/>
                <w:rFonts w:hint="eastAsia"/>
              </w:rPr>
              <w:t>符合国家产业政策，通过选用有效的环保治理措施，可实现污染物达标排放。在工程建设中，严格执行“三同时”制度，项目投产后，在严格落实国家有关法律法规、技术规范及相关环保措施，</w:t>
            </w:r>
            <w:r>
              <w:rPr>
                <w:rStyle w:val="57"/>
                <w:rFonts w:hint="eastAsia"/>
                <w:color w:val="auto"/>
              </w:rPr>
              <w:t>落实各项环境风险防范措施，污染物达标排放的前提下，对周边环境影响较小，从环境影响的</w:t>
            </w:r>
            <w:r>
              <w:rPr>
                <w:rStyle w:val="57"/>
                <w:rFonts w:hint="eastAsia"/>
              </w:rPr>
              <w:t>角度分析，该项目的建设是可行的</w:t>
            </w:r>
            <w:r>
              <w:rPr>
                <w:rFonts w:hint="eastAsia"/>
              </w:rPr>
              <w:t>。</w:t>
            </w:r>
          </w:p>
          <w:p>
            <w:pPr>
              <w:pStyle w:val="106"/>
              <w:ind w:firstLine="31680"/>
            </w:pPr>
          </w:p>
          <w:p>
            <w:pPr>
              <w:pStyle w:val="106"/>
              <w:ind w:firstLine="31680"/>
            </w:pPr>
          </w:p>
          <w:p>
            <w:pPr>
              <w:pStyle w:val="106"/>
              <w:ind w:firstLine="31680"/>
            </w:pPr>
          </w:p>
          <w:p>
            <w:pPr>
              <w:pStyle w:val="106"/>
              <w:ind w:firstLine="31680"/>
            </w:pPr>
          </w:p>
          <w:p>
            <w:pPr>
              <w:pStyle w:val="106"/>
              <w:ind w:firstLine="31680"/>
            </w:pPr>
          </w:p>
          <w:p>
            <w:pPr>
              <w:pStyle w:val="106"/>
              <w:ind w:firstLine="31680"/>
            </w:pPr>
          </w:p>
          <w:p>
            <w:pPr>
              <w:spacing w:line="360" w:lineRule="auto"/>
              <w:jc w:val="right"/>
              <w:rPr>
                <w:sz w:val="24"/>
              </w:rPr>
            </w:pPr>
          </w:p>
          <w:p>
            <w:pPr>
              <w:spacing w:line="360" w:lineRule="auto"/>
              <w:rPr>
                <w:sz w:val="24"/>
              </w:rPr>
            </w:pPr>
          </w:p>
          <w:p>
            <w:pPr>
              <w:pStyle w:val="53"/>
              <w:ind w:firstLine="31680"/>
              <w:rPr>
                <w:color w:val="auto"/>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65"/>
        <w:adjustRightInd/>
        <w:snapToGrid/>
        <w:jc w:val="left"/>
      </w:pPr>
      <w:r>
        <w:rPr>
          <w:rFonts w:hint="eastAsia"/>
        </w:rPr>
        <w:t>附表</w:t>
      </w:r>
    </w:p>
    <w:p>
      <w:pPr>
        <w:pStyle w:val="25"/>
        <w:adjustRightInd w:val="0"/>
        <w:snapToGrid w:val="0"/>
        <w:spacing w:before="0" w:beforeAutospacing="0" w:after="0" w:afterAutospacing="0"/>
        <w:jc w:val="center"/>
        <w:outlineLvl w:val="0"/>
        <w:rPr>
          <w:rFonts w:ascii="Times New Roman" w:hAnsi="Times New Roman" w:eastAsia="方正小标宋_GBK"/>
          <w:snapToGrid w:val="0"/>
          <w:sz w:val="38"/>
          <w:szCs w:val="38"/>
        </w:rPr>
      </w:pPr>
      <w:r>
        <w:rPr>
          <w:rFonts w:hint="eastAsia" w:ascii="Times New Roman" w:hAnsi="Times New Roman" w:eastAsia="方正小标宋_GBK"/>
          <w:snapToGrid w:val="0"/>
          <w:sz w:val="38"/>
          <w:szCs w:val="38"/>
        </w:rPr>
        <w:t>建设项目污染物排放量汇总表</w:t>
      </w:r>
    </w:p>
    <w:tbl>
      <w:tblPr>
        <w:tblStyle w:val="27"/>
        <w:tblW w:w="1381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1423"/>
        <w:gridCol w:w="1675"/>
        <w:gridCol w:w="1250"/>
        <w:gridCol w:w="1676"/>
        <w:gridCol w:w="1575"/>
        <w:gridCol w:w="1735"/>
        <w:gridCol w:w="1717"/>
        <w:gridCol w:w="12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61" w:type="dxa"/>
            <w:tcBorders>
              <w:top w:val="single" w:color="auto" w:sz="8" w:space="0"/>
              <w:tl2br w:val="single" w:color="auto" w:sz="4" w:space="0"/>
            </w:tcBorders>
            <w:tcMar>
              <w:left w:w="28" w:type="dxa"/>
              <w:right w:w="28" w:type="dxa"/>
            </w:tcMar>
            <w:vAlign w:val="center"/>
          </w:tcPr>
          <w:p>
            <w:pPr>
              <w:pStyle w:val="59"/>
              <w:spacing w:beforeLines="0" w:afterLines="0" w:line="240" w:lineRule="auto"/>
              <w:jc w:val="right"/>
              <w:rPr>
                <w:rFonts w:ascii="Times New Roman"/>
                <w:snapToGrid w:val="0"/>
                <w:spacing w:val="-6"/>
                <w:kern w:val="21"/>
                <w:szCs w:val="21"/>
              </w:rPr>
            </w:pPr>
            <w:r>
              <w:rPr>
                <w:rFonts w:hint="eastAsia" w:ascii="Times New Roman"/>
                <w:snapToGrid w:val="0"/>
                <w:spacing w:val="-6"/>
                <w:kern w:val="21"/>
                <w:szCs w:val="21"/>
              </w:rPr>
              <w:t>项目</w:t>
            </w:r>
          </w:p>
          <w:p>
            <w:pPr>
              <w:pStyle w:val="59"/>
              <w:spacing w:beforeLines="0" w:afterLines="0" w:line="240" w:lineRule="auto"/>
              <w:jc w:val="left"/>
              <w:rPr>
                <w:rFonts w:ascii="Times New Roman"/>
                <w:snapToGrid w:val="0"/>
                <w:spacing w:val="-6"/>
                <w:kern w:val="21"/>
                <w:szCs w:val="21"/>
              </w:rPr>
            </w:pPr>
            <w:r>
              <w:rPr>
                <w:rFonts w:hint="eastAsia" w:ascii="Times New Roman"/>
                <w:snapToGrid w:val="0"/>
                <w:spacing w:val="-6"/>
                <w:kern w:val="21"/>
                <w:szCs w:val="21"/>
              </w:rPr>
              <w:t>分类</w:t>
            </w:r>
          </w:p>
        </w:tc>
        <w:tc>
          <w:tcPr>
            <w:tcW w:w="1423" w:type="dxa"/>
            <w:tcBorders>
              <w:top w:val="single" w:color="auto" w:sz="8" w:space="0"/>
            </w:tcBorders>
            <w:tcMar>
              <w:left w:w="28" w:type="dxa"/>
              <w:right w:w="28" w:type="dxa"/>
            </w:tcMar>
            <w:vAlign w:val="center"/>
          </w:tcPr>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污染物名称</w:t>
            </w:r>
          </w:p>
        </w:tc>
        <w:tc>
          <w:tcPr>
            <w:tcW w:w="1675" w:type="dxa"/>
            <w:tcBorders>
              <w:top w:val="single" w:color="auto" w:sz="8" w:space="0"/>
            </w:tcBorders>
            <w:tcMar>
              <w:left w:w="28" w:type="dxa"/>
              <w:right w:w="28" w:type="dxa"/>
            </w:tcMar>
            <w:vAlign w:val="center"/>
          </w:tcPr>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现有工程</w:t>
            </w:r>
          </w:p>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kern w:val="2"/>
                <w:szCs w:val="21"/>
              </w:rPr>
              <w:t>①</w:t>
            </w:r>
            <w:r>
              <w:rPr>
                <w:rFonts w:ascii="Times New Roman"/>
                <w:snapToGrid w:val="0"/>
                <w:spacing w:val="-6"/>
                <w:kern w:val="21"/>
                <w:szCs w:val="21"/>
              </w:rPr>
              <w:fldChar w:fldCharType="end"/>
            </w:r>
          </w:p>
        </w:tc>
        <w:tc>
          <w:tcPr>
            <w:tcW w:w="1250" w:type="dxa"/>
            <w:tcBorders>
              <w:top w:val="single" w:color="auto" w:sz="8" w:space="0"/>
            </w:tcBorders>
            <w:tcMar>
              <w:left w:w="28" w:type="dxa"/>
              <w:right w:w="28" w:type="dxa"/>
            </w:tcMar>
            <w:vAlign w:val="center"/>
          </w:tcPr>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现有工程</w:t>
            </w:r>
          </w:p>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许可排放量</w:t>
            </w:r>
          </w:p>
          <w:p>
            <w:pPr>
              <w:pStyle w:val="59"/>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ascii="Times New Roman"/>
                <w:snapToGrid w:val="0"/>
                <w:spacing w:val="-6"/>
                <w:kern w:val="21"/>
                <w:szCs w:val="21"/>
              </w:rPr>
              <w:t>②</w:t>
            </w:r>
            <w:r>
              <w:rPr>
                <w:rFonts w:ascii="Times New Roman"/>
                <w:snapToGrid w:val="0"/>
                <w:spacing w:val="-6"/>
                <w:kern w:val="21"/>
                <w:szCs w:val="21"/>
              </w:rPr>
              <w:fldChar w:fldCharType="end"/>
            </w:r>
          </w:p>
        </w:tc>
        <w:tc>
          <w:tcPr>
            <w:tcW w:w="1676" w:type="dxa"/>
            <w:tcBorders>
              <w:top w:val="single" w:color="auto" w:sz="8" w:space="0"/>
            </w:tcBorders>
            <w:tcMar>
              <w:left w:w="28" w:type="dxa"/>
              <w:right w:w="28" w:type="dxa"/>
            </w:tcMar>
            <w:vAlign w:val="center"/>
          </w:tcPr>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在建工程</w:t>
            </w:r>
          </w:p>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ascii="Times New Roman"/>
                <w:kern w:val="2"/>
                <w:szCs w:val="21"/>
              </w:rPr>
              <w:t>③</w:t>
            </w:r>
            <w:r>
              <w:rPr>
                <w:rFonts w:ascii="Times New Roman"/>
                <w:snapToGrid w:val="0"/>
                <w:spacing w:val="-6"/>
                <w:kern w:val="21"/>
                <w:szCs w:val="21"/>
              </w:rPr>
              <w:fldChar w:fldCharType="end"/>
            </w:r>
          </w:p>
        </w:tc>
        <w:tc>
          <w:tcPr>
            <w:tcW w:w="1575" w:type="dxa"/>
            <w:tcBorders>
              <w:top w:val="single" w:color="auto" w:sz="8" w:space="0"/>
            </w:tcBorders>
            <w:tcMar>
              <w:left w:w="28" w:type="dxa"/>
              <w:right w:w="28" w:type="dxa"/>
            </w:tcMar>
            <w:vAlign w:val="center"/>
          </w:tcPr>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本项目</w:t>
            </w:r>
          </w:p>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排放量（固体废物产生量）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ascii="Times New Roman"/>
                <w:kern w:val="2"/>
                <w:szCs w:val="21"/>
              </w:rPr>
              <w:t>④</w:t>
            </w:r>
            <w:r>
              <w:rPr>
                <w:rFonts w:ascii="Times New Roman"/>
                <w:snapToGrid w:val="0"/>
                <w:spacing w:val="-6"/>
                <w:kern w:val="21"/>
                <w:szCs w:val="21"/>
              </w:rPr>
              <w:fldChar w:fldCharType="end"/>
            </w:r>
          </w:p>
        </w:tc>
        <w:tc>
          <w:tcPr>
            <w:tcW w:w="1735" w:type="dxa"/>
            <w:tcBorders>
              <w:top w:val="single" w:color="auto" w:sz="8" w:space="0"/>
            </w:tcBorders>
            <w:tcMar>
              <w:left w:w="28" w:type="dxa"/>
              <w:right w:w="28" w:type="dxa"/>
            </w:tcMar>
            <w:vAlign w:val="center"/>
          </w:tcPr>
          <w:p>
            <w:pPr>
              <w:pStyle w:val="59"/>
              <w:spacing w:beforeLines="0" w:afterLines="0" w:line="240" w:lineRule="auto"/>
              <w:rPr>
                <w:rFonts w:ascii="Times New Roman"/>
                <w:snapToGrid w:val="0"/>
                <w:spacing w:val="-16"/>
                <w:kern w:val="21"/>
                <w:szCs w:val="21"/>
              </w:rPr>
            </w:pPr>
            <w:r>
              <w:rPr>
                <w:rFonts w:hint="eastAsia" w:ascii="Times New Roman"/>
                <w:snapToGrid w:val="0"/>
                <w:spacing w:val="-16"/>
                <w:kern w:val="21"/>
                <w:szCs w:val="21"/>
              </w:rPr>
              <w:t>以新带老削减量</w:t>
            </w:r>
          </w:p>
          <w:p>
            <w:pPr>
              <w:pStyle w:val="59"/>
              <w:spacing w:beforeLines="0" w:afterLines="0" w:line="240" w:lineRule="auto"/>
              <w:rPr>
                <w:rFonts w:ascii="Times New Roman"/>
                <w:snapToGrid w:val="0"/>
                <w:spacing w:val="-16"/>
                <w:kern w:val="21"/>
                <w:szCs w:val="21"/>
              </w:rPr>
            </w:pPr>
            <w:r>
              <w:rPr>
                <w:rFonts w:hint="eastAsia"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ascii="Times New Roman"/>
                <w:kern w:val="2"/>
                <w:szCs w:val="21"/>
              </w:rPr>
              <w:t>⑤</w:t>
            </w:r>
            <w:r>
              <w:rPr>
                <w:rFonts w:ascii="Times New Roman"/>
                <w:snapToGrid w:val="0"/>
                <w:spacing w:val="-16"/>
                <w:kern w:val="21"/>
                <w:szCs w:val="21"/>
              </w:rPr>
              <w:fldChar w:fldCharType="end"/>
            </w:r>
          </w:p>
        </w:tc>
        <w:tc>
          <w:tcPr>
            <w:tcW w:w="1717" w:type="dxa"/>
            <w:tcBorders>
              <w:top w:val="single" w:color="auto" w:sz="8" w:space="0"/>
            </w:tcBorders>
            <w:tcMar>
              <w:left w:w="28" w:type="dxa"/>
              <w:right w:w="28" w:type="dxa"/>
            </w:tcMar>
            <w:vAlign w:val="center"/>
          </w:tcPr>
          <w:p>
            <w:pPr>
              <w:pStyle w:val="59"/>
              <w:spacing w:beforeLines="0" w:afterLines="0" w:line="240" w:lineRule="auto"/>
              <w:rPr>
                <w:rFonts w:ascii="Times New Roman"/>
                <w:snapToGrid w:val="0"/>
                <w:spacing w:val="-16"/>
                <w:kern w:val="21"/>
                <w:szCs w:val="21"/>
              </w:rPr>
            </w:pPr>
            <w:r>
              <w:rPr>
                <w:rFonts w:hint="eastAsia" w:ascii="Times New Roman"/>
                <w:snapToGrid w:val="0"/>
                <w:spacing w:val="-16"/>
                <w:kern w:val="21"/>
                <w:szCs w:val="21"/>
              </w:rPr>
              <w:t>本项目建成后</w:t>
            </w:r>
          </w:p>
          <w:p>
            <w:pPr>
              <w:pStyle w:val="59"/>
              <w:spacing w:beforeLines="0" w:afterLines="0" w:line="240" w:lineRule="auto"/>
              <w:rPr>
                <w:rFonts w:ascii="Times New Roman"/>
                <w:snapToGrid w:val="0"/>
                <w:spacing w:val="-16"/>
                <w:kern w:val="21"/>
                <w:szCs w:val="21"/>
              </w:rPr>
            </w:pPr>
            <w:r>
              <w:rPr>
                <w:rFonts w:hint="eastAsia" w:ascii="Times New Roman"/>
                <w:snapToGrid w:val="0"/>
                <w:spacing w:val="-16"/>
                <w:kern w:val="21"/>
                <w:szCs w:val="21"/>
              </w:rPr>
              <w:t>全厂排放量（固体废物产生量）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kern w:val="2"/>
                <w:szCs w:val="21"/>
              </w:rPr>
              <w:t>⑥</w:t>
            </w:r>
            <w:r>
              <w:rPr>
                <w:rFonts w:ascii="Times New Roman"/>
                <w:snapToGrid w:val="0"/>
                <w:spacing w:val="-16"/>
                <w:kern w:val="21"/>
                <w:szCs w:val="21"/>
              </w:rPr>
              <w:fldChar w:fldCharType="end"/>
            </w:r>
          </w:p>
        </w:tc>
        <w:tc>
          <w:tcPr>
            <w:tcW w:w="1201" w:type="dxa"/>
            <w:tcBorders>
              <w:top w:val="single" w:color="auto" w:sz="8" w:space="0"/>
            </w:tcBorders>
            <w:tcMar>
              <w:left w:w="28" w:type="dxa"/>
              <w:right w:w="28" w:type="dxa"/>
            </w:tcMar>
            <w:vAlign w:val="center"/>
          </w:tcPr>
          <w:p>
            <w:pPr>
              <w:pStyle w:val="59"/>
              <w:spacing w:beforeLines="0" w:afterLines="0" w:line="240" w:lineRule="auto"/>
              <w:rPr>
                <w:rFonts w:ascii="Times New Roman"/>
                <w:snapToGrid w:val="0"/>
                <w:spacing w:val="-6"/>
                <w:kern w:val="21"/>
                <w:szCs w:val="21"/>
              </w:rPr>
            </w:pPr>
            <w:r>
              <w:rPr>
                <w:rFonts w:hint="eastAsia" w:ascii="Times New Roman"/>
                <w:snapToGrid w:val="0"/>
                <w:spacing w:val="-6"/>
                <w:kern w:val="21"/>
                <w:szCs w:val="21"/>
              </w:rPr>
              <w:t>变化量</w:t>
            </w:r>
          </w:p>
          <w:p>
            <w:pPr>
              <w:pStyle w:val="59"/>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ascii="Times New Roman"/>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restart"/>
            <w:vAlign w:val="center"/>
          </w:tcPr>
          <w:p>
            <w:pPr>
              <w:pStyle w:val="59"/>
              <w:spacing w:beforeLines="0" w:afterLines="0" w:line="240" w:lineRule="auto"/>
              <w:rPr>
                <w:rFonts w:ascii="Times New Roman"/>
                <w:snapToGrid w:val="0"/>
                <w:kern w:val="21"/>
                <w:szCs w:val="21"/>
              </w:rPr>
            </w:pPr>
            <w:r>
              <w:rPr>
                <w:rFonts w:hint="eastAsia" w:ascii="Times New Roman"/>
                <w:snapToGrid w:val="0"/>
                <w:kern w:val="21"/>
                <w:szCs w:val="21"/>
              </w:rPr>
              <w:t>废水</w:t>
            </w:r>
          </w:p>
        </w:tc>
        <w:tc>
          <w:tcPr>
            <w:tcW w:w="1423"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COD</w:t>
            </w:r>
            <w:r>
              <w:rPr>
                <w:rFonts w:ascii="Times New Roman"/>
                <w:snapToGrid w:val="0"/>
                <w:kern w:val="21"/>
                <w:szCs w:val="21"/>
                <w:vertAlign w:val="subscript"/>
              </w:rPr>
              <w:t>Cr</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jc w:val="center"/>
              <w:rPr>
                <w:snapToGrid w:val="0"/>
                <w:kern w:val="21"/>
                <w:szCs w:val="21"/>
              </w:rPr>
            </w:pPr>
            <w:r>
              <w:rPr>
                <w:snapToGrid w:val="0"/>
                <w:kern w:val="21"/>
                <w:szCs w:val="21"/>
              </w:rPr>
              <w:t>/</w:t>
            </w:r>
          </w:p>
        </w:tc>
        <w:tc>
          <w:tcPr>
            <w:tcW w:w="1676" w:type="dxa"/>
            <w:vAlign w:val="center"/>
          </w:tcPr>
          <w:p>
            <w:pPr>
              <w:jc w:val="center"/>
              <w:rPr>
                <w:snapToGrid w:val="0"/>
                <w:kern w:val="21"/>
                <w:szCs w:val="21"/>
              </w:rPr>
            </w:pPr>
            <w:r>
              <w:rPr>
                <w:snapToGrid w:val="0"/>
                <w:kern w:val="21"/>
                <w:szCs w:val="21"/>
              </w:rPr>
              <w:t>/</w:t>
            </w:r>
          </w:p>
        </w:tc>
        <w:tc>
          <w:tcPr>
            <w:tcW w:w="1575" w:type="dxa"/>
            <w:vAlign w:val="center"/>
          </w:tcPr>
          <w:p>
            <w:pPr>
              <w:widowControl/>
              <w:jc w:val="center"/>
              <w:textAlignment w:val="center"/>
              <w:rPr>
                <w:szCs w:val="21"/>
              </w:rPr>
            </w:pPr>
            <w:r>
              <w:rPr>
                <w:kern w:val="0"/>
                <w:szCs w:val="21"/>
              </w:rPr>
              <w:t>0.0277t/a</w:t>
            </w:r>
          </w:p>
        </w:tc>
        <w:tc>
          <w:tcPr>
            <w:tcW w:w="1735" w:type="dxa"/>
            <w:vAlign w:val="center"/>
          </w:tcPr>
          <w:p>
            <w:pPr>
              <w:jc w:val="center"/>
              <w:rPr>
                <w:snapToGrid w:val="0"/>
                <w:kern w:val="21"/>
                <w:szCs w:val="21"/>
              </w:rPr>
            </w:pPr>
            <w:r>
              <w:rPr>
                <w:snapToGrid w:val="0"/>
                <w:kern w:val="21"/>
                <w:szCs w:val="21"/>
              </w:rPr>
              <w:t>/</w:t>
            </w:r>
          </w:p>
        </w:tc>
        <w:tc>
          <w:tcPr>
            <w:tcW w:w="1717" w:type="dxa"/>
            <w:vAlign w:val="center"/>
          </w:tcPr>
          <w:p>
            <w:pPr>
              <w:widowControl/>
              <w:jc w:val="center"/>
              <w:textAlignment w:val="center"/>
              <w:rPr>
                <w:snapToGrid w:val="0"/>
                <w:kern w:val="21"/>
                <w:szCs w:val="21"/>
              </w:rPr>
            </w:pPr>
            <w:r>
              <w:rPr>
                <w:kern w:val="0"/>
                <w:szCs w:val="21"/>
              </w:rPr>
              <w:t>0.0277t/a</w:t>
            </w:r>
          </w:p>
        </w:tc>
        <w:tc>
          <w:tcPr>
            <w:tcW w:w="1201" w:type="dxa"/>
            <w:vAlign w:val="center"/>
          </w:tcPr>
          <w:p>
            <w:pPr>
              <w:widowControl/>
              <w:jc w:val="center"/>
              <w:textAlignment w:val="center"/>
              <w:rPr>
                <w:snapToGrid w:val="0"/>
                <w:kern w:val="21"/>
                <w:szCs w:val="21"/>
              </w:rPr>
            </w:pPr>
            <w:r>
              <w:rPr>
                <w:kern w:val="0"/>
                <w:szCs w:val="21"/>
              </w:rPr>
              <w:t>0.0277t/a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continue"/>
            <w:vAlign w:val="center"/>
          </w:tcPr>
          <w:p>
            <w:pPr>
              <w:pStyle w:val="59"/>
              <w:spacing w:beforeLines="0" w:afterLines="0" w:line="240" w:lineRule="auto"/>
              <w:rPr>
                <w:rFonts w:ascii="Times New Roman"/>
                <w:snapToGrid w:val="0"/>
                <w:kern w:val="21"/>
                <w:szCs w:val="21"/>
              </w:rPr>
            </w:pPr>
          </w:p>
        </w:tc>
        <w:tc>
          <w:tcPr>
            <w:tcW w:w="1423"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NH</w:t>
            </w:r>
            <w:r>
              <w:rPr>
                <w:rFonts w:ascii="Times New Roman"/>
                <w:snapToGrid w:val="0"/>
                <w:kern w:val="21"/>
                <w:szCs w:val="21"/>
                <w:vertAlign w:val="subscript"/>
              </w:rPr>
              <w:t>3</w:t>
            </w:r>
            <w:r>
              <w:rPr>
                <w:rFonts w:ascii="Times New Roman"/>
                <w:snapToGrid w:val="0"/>
                <w:kern w:val="21"/>
                <w:szCs w:val="21"/>
              </w:rPr>
              <w:t>-N</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jc w:val="center"/>
              <w:rPr>
                <w:snapToGrid w:val="0"/>
                <w:kern w:val="21"/>
                <w:szCs w:val="21"/>
              </w:rPr>
            </w:pPr>
            <w:r>
              <w:rPr>
                <w:snapToGrid w:val="0"/>
                <w:kern w:val="21"/>
                <w:szCs w:val="21"/>
              </w:rPr>
              <w:t>/</w:t>
            </w:r>
          </w:p>
        </w:tc>
        <w:tc>
          <w:tcPr>
            <w:tcW w:w="1676" w:type="dxa"/>
            <w:vAlign w:val="center"/>
          </w:tcPr>
          <w:p>
            <w:pPr>
              <w:jc w:val="center"/>
              <w:rPr>
                <w:snapToGrid w:val="0"/>
                <w:kern w:val="21"/>
                <w:szCs w:val="21"/>
              </w:rPr>
            </w:pPr>
            <w:r>
              <w:rPr>
                <w:snapToGrid w:val="0"/>
                <w:kern w:val="21"/>
                <w:szCs w:val="21"/>
              </w:rPr>
              <w:t>/</w:t>
            </w:r>
          </w:p>
        </w:tc>
        <w:tc>
          <w:tcPr>
            <w:tcW w:w="1575" w:type="dxa"/>
            <w:vAlign w:val="center"/>
          </w:tcPr>
          <w:p>
            <w:pPr>
              <w:widowControl/>
              <w:jc w:val="center"/>
              <w:textAlignment w:val="center"/>
              <w:rPr>
                <w:szCs w:val="21"/>
              </w:rPr>
            </w:pPr>
            <w:r>
              <w:rPr>
                <w:kern w:val="0"/>
                <w:szCs w:val="21"/>
              </w:rPr>
              <w:t>0.0037t/a</w:t>
            </w:r>
          </w:p>
        </w:tc>
        <w:tc>
          <w:tcPr>
            <w:tcW w:w="1735" w:type="dxa"/>
            <w:vAlign w:val="center"/>
          </w:tcPr>
          <w:p>
            <w:pPr>
              <w:jc w:val="center"/>
              <w:rPr>
                <w:snapToGrid w:val="0"/>
                <w:kern w:val="21"/>
                <w:szCs w:val="21"/>
              </w:rPr>
            </w:pPr>
            <w:r>
              <w:rPr>
                <w:snapToGrid w:val="0"/>
                <w:kern w:val="21"/>
                <w:szCs w:val="21"/>
              </w:rPr>
              <w:t>/</w:t>
            </w:r>
          </w:p>
        </w:tc>
        <w:tc>
          <w:tcPr>
            <w:tcW w:w="1717" w:type="dxa"/>
            <w:vAlign w:val="center"/>
          </w:tcPr>
          <w:p>
            <w:pPr>
              <w:widowControl/>
              <w:jc w:val="center"/>
              <w:textAlignment w:val="center"/>
              <w:rPr>
                <w:snapToGrid w:val="0"/>
                <w:kern w:val="21"/>
                <w:szCs w:val="21"/>
              </w:rPr>
            </w:pPr>
            <w:r>
              <w:rPr>
                <w:kern w:val="0"/>
                <w:szCs w:val="21"/>
              </w:rPr>
              <w:t>0.0037t/a</w:t>
            </w:r>
          </w:p>
        </w:tc>
        <w:tc>
          <w:tcPr>
            <w:tcW w:w="1201" w:type="dxa"/>
            <w:vAlign w:val="center"/>
          </w:tcPr>
          <w:p>
            <w:pPr>
              <w:widowControl/>
              <w:jc w:val="center"/>
              <w:textAlignment w:val="center"/>
              <w:rPr>
                <w:snapToGrid w:val="0"/>
                <w:kern w:val="21"/>
                <w:szCs w:val="21"/>
              </w:rPr>
            </w:pPr>
            <w:r>
              <w:rPr>
                <w:kern w:val="0"/>
                <w:szCs w:val="21"/>
              </w:rPr>
              <w:t>0.0037t/a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continue"/>
            <w:vAlign w:val="center"/>
          </w:tcPr>
          <w:p>
            <w:pPr>
              <w:pStyle w:val="59"/>
              <w:spacing w:beforeLines="0" w:afterLines="0" w:line="240" w:lineRule="auto"/>
              <w:rPr>
                <w:rFonts w:ascii="Times New Roman"/>
                <w:snapToGrid w:val="0"/>
                <w:kern w:val="21"/>
                <w:szCs w:val="21"/>
              </w:rPr>
            </w:pPr>
          </w:p>
        </w:tc>
        <w:tc>
          <w:tcPr>
            <w:tcW w:w="1423"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BOD</w:t>
            </w:r>
            <w:r>
              <w:rPr>
                <w:rFonts w:ascii="Times New Roman"/>
                <w:snapToGrid w:val="0"/>
                <w:kern w:val="21"/>
                <w:szCs w:val="21"/>
                <w:vertAlign w:val="subscript"/>
              </w:rPr>
              <w:t>5</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jc w:val="center"/>
              <w:rPr>
                <w:snapToGrid w:val="0"/>
                <w:kern w:val="21"/>
                <w:szCs w:val="21"/>
              </w:rPr>
            </w:pPr>
            <w:r>
              <w:rPr>
                <w:snapToGrid w:val="0"/>
                <w:kern w:val="21"/>
                <w:szCs w:val="21"/>
              </w:rPr>
              <w:t>/</w:t>
            </w:r>
          </w:p>
        </w:tc>
        <w:tc>
          <w:tcPr>
            <w:tcW w:w="1676" w:type="dxa"/>
            <w:vAlign w:val="center"/>
          </w:tcPr>
          <w:p>
            <w:pPr>
              <w:jc w:val="center"/>
              <w:rPr>
                <w:snapToGrid w:val="0"/>
                <w:kern w:val="21"/>
                <w:szCs w:val="21"/>
              </w:rPr>
            </w:pPr>
            <w:r>
              <w:rPr>
                <w:snapToGrid w:val="0"/>
                <w:kern w:val="21"/>
                <w:szCs w:val="21"/>
              </w:rPr>
              <w:t>/</w:t>
            </w:r>
          </w:p>
        </w:tc>
        <w:tc>
          <w:tcPr>
            <w:tcW w:w="1575" w:type="dxa"/>
            <w:vAlign w:val="center"/>
          </w:tcPr>
          <w:p>
            <w:pPr>
              <w:widowControl/>
              <w:jc w:val="center"/>
              <w:textAlignment w:val="center"/>
              <w:rPr>
                <w:szCs w:val="21"/>
              </w:rPr>
            </w:pPr>
            <w:r>
              <w:rPr>
                <w:kern w:val="0"/>
                <w:szCs w:val="21"/>
              </w:rPr>
              <w:t>0.0092t/a</w:t>
            </w:r>
          </w:p>
        </w:tc>
        <w:tc>
          <w:tcPr>
            <w:tcW w:w="1735" w:type="dxa"/>
            <w:vAlign w:val="center"/>
          </w:tcPr>
          <w:p>
            <w:pPr>
              <w:jc w:val="center"/>
              <w:rPr>
                <w:snapToGrid w:val="0"/>
                <w:kern w:val="21"/>
                <w:szCs w:val="21"/>
              </w:rPr>
            </w:pPr>
            <w:r>
              <w:rPr>
                <w:snapToGrid w:val="0"/>
                <w:kern w:val="21"/>
                <w:szCs w:val="21"/>
              </w:rPr>
              <w:t>/</w:t>
            </w:r>
          </w:p>
        </w:tc>
        <w:tc>
          <w:tcPr>
            <w:tcW w:w="1717" w:type="dxa"/>
            <w:vAlign w:val="center"/>
          </w:tcPr>
          <w:p>
            <w:pPr>
              <w:widowControl/>
              <w:jc w:val="center"/>
              <w:textAlignment w:val="center"/>
              <w:rPr>
                <w:snapToGrid w:val="0"/>
                <w:kern w:val="21"/>
                <w:szCs w:val="21"/>
              </w:rPr>
            </w:pPr>
            <w:r>
              <w:rPr>
                <w:kern w:val="0"/>
                <w:szCs w:val="21"/>
              </w:rPr>
              <w:t>0.0092t/a</w:t>
            </w:r>
          </w:p>
        </w:tc>
        <w:tc>
          <w:tcPr>
            <w:tcW w:w="1201" w:type="dxa"/>
            <w:vAlign w:val="center"/>
          </w:tcPr>
          <w:p>
            <w:pPr>
              <w:widowControl/>
              <w:jc w:val="center"/>
              <w:textAlignment w:val="center"/>
              <w:rPr>
                <w:snapToGrid w:val="0"/>
                <w:kern w:val="21"/>
                <w:szCs w:val="21"/>
              </w:rPr>
            </w:pPr>
            <w:r>
              <w:rPr>
                <w:kern w:val="0"/>
                <w:szCs w:val="21"/>
              </w:rPr>
              <w:t>0.0092t/a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continue"/>
            <w:vAlign w:val="center"/>
          </w:tcPr>
          <w:p>
            <w:pPr>
              <w:pStyle w:val="59"/>
              <w:spacing w:beforeLines="0" w:afterLines="0" w:line="240" w:lineRule="auto"/>
              <w:rPr>
                <w:rFonts w:ascii="Times New Roman"/>
                <w:snapToGrid w:val="0"/>
                <w:kern w:val="21"/>
                <w:szCs w:val="21"/>
              </w:rPr>
            </w:pPr>
          </w:p>
        </w:tc>
        <w:tc>
          <w:tcPr>
            <w:tcW w:w="1423"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SS</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jc w:val="center"/>
              <w:rPr>
                <w:snapToGrid w:val="0"/>
                <w:kern w:val="21"/>
                <w:szCs w:val="21"/>
              </w:rPr>
            </w:pPr>
            <w:r>
              <w:rPr>
                <w:snapToGrid w:val="0"/>
                <w:kern w:val="21"/>
                <w:szCs w:val="21"/>
              </w:rPr>
              <w:t>/</w:t>
            </w:r>
          </w:p>
        </w:tc>
        <w:tc>
          <w:tcPr>
            <w:tcW w:w="1676" w:type="dxa"/>
            <w:vAlign w:val="center"/>
          </w:tcPr>
          <w:p>
            <w:pPr>
              <w:jc w:val="center"/>
              <w:rPr>
                <w:snapToGrid w:val="0"/>
                <w:kern w:val="21"/>
                <w:szCs w:val="21"/>
              </w:rPr>
            </w:pPr>
            <w:r>
              <w:rPr>
                <w:snapToGrid w:val="0"/>
                <w:kern w:val="21"/>
                <w:szCs w:val="21"/>
              </w:rPr>
              <w:t>/</w:t>
            </w:r>
          </w:p>
        </w:tc>
        <w:tc>
          <w:tcPr>
            <w:tcW w:w="1575" w:type="dxa"/>
            <w:vAlign w:val="center"/>
          </w:tcPr>
          <w:p>
            <w:pPr>
              <w:widowControl/>
              <w:jc w:val="center"/>
              <w:textAlignment w:val="center"/>
              <w:rPr>
                <w:szCs w:val="21"/>
              </w:rPr>
            </w:pPr>
            <w:r>
              <w:rPr>
                <w:kern w:val="0"/>
                <w:szCs w:val="21"/>
              </w:rPr>
              <w:t>0.0093t/a</w:t>
            </w:r>
          </w:p>
        </w:tc>
        <w:tc>
          <w:tcPr>
            <w:tcW w:w="1735" w:type="dxa"/>
            <w:vAlign w:val="center"/>
          </w:tcPr>
          <w:p>
            <w:pPr>
              <w:jc w:val="center"/>
              <w:rPr>
                <w:snapToGrid w:val="0"/>
                <w:kern w:val="21"/>
                <w:szCs w:val="21"/>
              </w:rPr>
            </w:pPr>
            <w:r>
              <w:rPr>
                <w:snapToGrid w:val="0"/>
                <w:kern w:val="21"/>
                <w:szCs w:val="21"/>
              </w:rPr>
              <w:t>/</w:t>
            </w:r>
          </w:p>
        </w:tc>
        <w:tc>
          <w:tcPr>
            <w:tcW w:w="1717" w:type="dxa"/>
            <w:vAlign w:val="center"/>
          </w:tcPr>
          <w:p>
            <w:pPr>
              <w:widowControl/>
              <w:jc w:val="center"/>
              <w:textAlignment w:val="center"/>
              <w:rPr>
                <w:snapToGrid w:val="0"/>
                <w:kern w:val="21"/>
                <w:szCs w:val="21"/>
              </w:rPr>
            </w:pPr>
            <w:r>
              <w:rPr>
                <w:kern w:val="0"/>
                <w:szCs w:val="21"/>
              </w:rPr>
              <w:t>0.0093t/a</w:t>
            </w:r>
          </w:p>
        </w:tc>
        <w:tc>
          <w:tcPr>
            <w:tcW w:w="1201" w:type="dxa"/>
            <w:vAlign w:val="center"/>
          </w:tcPr>
          <w:p>
            <w:pPr>
              <w:widowControl/>
              <w:jc w:val="center"/>
              <w:textAlignment w:val="center"/>
              <w:rPr>
                <w:snapToGrid w:val="0"/>
                <w:kern w:val="21"/>
                <w:szCs w:val="21"/>
              </w:rPr>
            </w:pPr>
            <w:r>
              <w:rPr>
                <w:kern w:val="0"/>
                <w:szCs w:val="21"/>
              </w:rPr>
              <w:t>0.0093t/a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Align w:val="center"/>
          </w:tcPr>
          <w:p>
            <w:pPr>
              <w:pStyle w:val="59"/>
              <w:spacing w:beforeLines="0" w:afterLines="0" w:line="240" w:lineRule="auto"/>
              <w:rPr>
                <w:rFonts w:ascii="Times New Roman"/>
                <w:snapToGrid w:val="0"/>
                <w:kern w:val="21"/>
                <w:szCs w:val="21"/>
              </w:rPr>
            </w:pPr>
            <w:r>
              <w:rPr>
                <w:rFonts w:hint="eastAsia" w:ascii="Times New Roman"/>
                <w:snapToGrid w:val="0"/>
                <w:kern w:val="21"/>
                <w:szCs w:val="21"/>
              </w:rPr>
              <w:t>废气</w:t>
            </w:r>
          </w:p>
        </w:tc>
        <w:tc>
          <w:tcPr>
            <w:tcW w:w="1423" w:type="dxa"/>
            <w:vAlign w:val="center"/>
          </w:tcPr>
          <w:p>
            <w:pPr>
              <w:pStyle w:val="59"/>
              <w:spacing w:beforeLines="0" w:afterLines="0" w:line="240" w:lineRule="auto"/>
              <w:rPr>
                <w:rFonts w:ascii="Times New Roman"/>
                <w:snapToGrid w:val="0"/>
                <w:kern w:val="21"/>
                <w:szCs w:val="21"/>
              </w:rPr>
            </w:pPr>
            <w:r>
              <w:rPr>
                <w:rFonts w:hint="eastAsia" w:ascii="Times New Roman"/>
                <w:snapToGrid w:val="0"/>
                <w:kern w:val="21"/>
                <w:szCs w:val="21"/>
              </w:rPr>
              <w:t>颗粒物</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676"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575" w:type="dxa"/>
            <w:vAlign w:val="center"/>
          </w:tcPr>
          <w:p>
            <w:pPr>
              <w:widowControl/>
              <w:spacing w:line="300" w:lineRule="exact"/>
              <w:jc w:val="center"/>
              <w:rPr>
                <w:kern w:val="0"/>
                <w:szCs w:val="21"/>
              </w:rPr>
            </w:pPr>
            <w:r>
              <w:rPr>
                <w:kern w:val="0"/>
                <w:szCs w:val="21"/>
              </w:rPr>
              <w:t>2.148t/a</w:t>
            </w:r>
          </w:p>
        </w:tc>
        <w:tc>
          <w:tcPr>
            <w:tcW w:w="1735" w:type="dxa"/>
            <w:vAlign w:val="center"/>
          </w:tcPr>
          <w:p>
            <w:pPr>
              <w:widowControl/>
              <w:spacing w:line="300" w:lineRule="exact"/>
              <w:jc w:val="center"/>
              <w:rPr>
                <w:kern w:val="0"/>
                <w:szCs w:val="21"/>
              </w:rPr>
            </w:pPr>
            <w:r>
              <w:rPr>
                <w:kern w:val="0"/>
                <w:szCs w:val="21"/>
              </w:rPr>
              <w:t>/</w:t>
            </w:r>
          </w:p>
        </w:tc>
        <w:tc>
          <w:tcPr>
            <w:tcW w:w="1717" w:type="dxa"/>
            <w:vAlign w:val="center"/>
          </w:tcPr>
          <w:p>
            <w:pPr>
              <w:widowControl/>
              <w:spacing w:line="300" w:lineRule="exact"/>
              <w:jc w:val="center"/>
              <w:rPr>
                <w:kern w:val="0"/>
                <w:szCs w:val="21"/>
              </w:rPr>
            </w:pPr>
            <w:r>
              <w:rPr>
                <w:kern w:val="0"/>
                <w:szCs w:val="21"/>
              </w:rPr>
              <w:t>2.148t/a</w:t>
            </w:r>
          </w:p>
        </w:tc>
        <w:tc>
          <w:tcPr>
            <w:tcW w:w="1201" w:type="dxa"/>
            <w:vAlign w:val="center"/>
          </w:tcPr>
          <w:p>
            <w:pPr>
              <w:widowControl/>
              <w:spacing w:line="300" w:lineRule="exact"/>
              <w:jc w:val="center"/>
              <w:rPr>
                <w:kern w:val="0"/>
                <w:szCs w:val="21"/>
              </w:rPr>
            </w:pPr>
            <w:r>
              <w:rPr>
                <w:kern w:val="0"/>
                <w:szCs w:val="21"/>
              </w:rPr>
              <w:t>2.148t/a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restart"/>
            <w:vAlign w:val="center"/>
          </w:tcPr>
          <w:p>
            <w:pPr>
              <w:pStyle w:val="59"/>
              <w:spacing w:beforeLines="0" w:afterLines="0" w:line="240" w:lineRule="auto"/>
              <w:rPr>
                <w:rFonts w:ascii="Times New Roman"/>
                <w:snapToGrid w:val="0"/>
                <w:kern w:val="21"/>
                <w:szCs w:val="21"/>
              </w:rPr>
            </w:pPr>
            <w:r>
              <w:rPr>
                <w:rFonts w:hint="eastAsia" w:ascii="Times New Roman"/>
                <w:snapToGrid w:val="0"/>
                <w:kern w:val="21"/>
                <w:szCs w:val="21"/>
              </w:rPr>
              <w:t>一般工业</w:t>
            </w:r>
          </w:p>
          <w:p>
            <w:pPr>
              <w:pStyle w:val="59"/>
              <w:spacing w:beforeLines="0" w:afterLines="0" w:line="240" w:lineRule="auto"/>
              <w:rPr>
                <w:rFonts w:ascii="Times New Roman"/>
                <w:snapToGrid w:val="0"/>
                <w:kern w:val="21"/>
                <w:szCs w:val="21"/>
              </w:rPr>
            </w:pPr>
            <w:r>
              <w:rPr>
                <w:rFonts w:hint="eastAsia" w:ascii="Times New Roman"/>
                <w:snapToGrid w:val="0"/>
                <w:kern w:val="21"/>
                <w:szCs w:val="21"/>
              </w:rPr>
              <w:t>固体废物</w:t>
            </w:r>
          </w:p>
        </w:tc>
        <w:tc>
          <w:tcPr>
            <w:tcW w:w="1423" w:type="dxa"/>
            <w:vAlign w:val="center"/>
          </w:tcPr>
          <w:p>
            <w:pPr>
              <w:widowControl/>
              <w:spacing w:line="300" w:lineRule="exact"/>
              <w:jc w:val="center"/>
              <w:rPr>
                <w:snapToGrid w:val="0"/>
                <w:kern w:val="21"/>
                <w:szCs w:val="21"/>
              </w:rPr>
            </w:pPr>
            <w:r>
              <w:rPr>
                <w:rFonts w:hint="eastAsia"/>
                <w:kern w:val="0"/>
                <w:szCs w:val="21"/>
              </w:rPr>
              <w:t>布袋收尘</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jc w:val="center"/>
              <w:rPr>
                <w:snapToGrid w:val="0"/>
                <w:kern w:val="21"/>
                <w:szCs w:val="21"/>
              </w:rPr>
            </w:pPr>
            <w:r>
              <w:rPr>
                <w:snapToGrid w:val="0"/>
                <w:kern w:val="21"/>
                <w:szCs w:val="21"/>
              </w:rPr>
              <w:t>/</w:t>
            </w:r>
          </w:p>
        </w:tc>
        <w:tc>
          <w:tcPr>
            <w:tcW w:w="1676" w:type="dxa"/>
            <w:vAlign w:val="center"/>
          </w:tcPr>
          <w:p>
            <w:pPr>
              <w:jc w:val="center"/>
              <w:rPr>
                <w:snapToGrid w:val="0"/>
                <w:kern w:val="21"/>
                <w:szCs w:val="21"/>
              </w:rPr>
            </w:pPr>
            <w:r>
              <w:rPr>
                <w:snapToGrid w:val="0"/>
                <w:kern w:val="21"/>
                <w:szCs w:val="21"/>
              </w:rPr>
              <w:t>/</w:t>
            </w:r>
          </w:p>
        </w:tc>
        <w:tc>
          <w:tcPr>
            <w:tcW w:w="1575" w:type="dxa"/>
            <w:vAlign w:val="center"/>
          </w:tcPr>
          <w:p>
            <w:pPr>
              <w:widowControl/>
              <w:spacing w:line="300" w:lineRule="exact"/>
              <w:jc w:val="center"/>
              <w:rPr>
                <w:kern w:val="0"/>
                <w:szCs w:val="21"/>
              </w:rPr>
            </w:pPr>
            <w:r>
              <w:rPr>
                <w:kern w:val="0"/>
                <w:szCs w:val="21"/>
              </w:rPr>
              <w:t>59.602t/a</w:t>
            </w:r>
          </w:p>
        </w:tc>
        <w:tc>
          <w:tcPr>
            <w:tcW w:w="1735" w:type="dxa"/>
            <w:vAlign w:val="center"/>
          </w:tcPr>
          <w:p>
            <w:pPr>
              <w:widowControl/>
              <w:spacing w:line="300" w:lineRule="exact"/>
              <w:jc w:val="center"/>
              <w:rPr>
                <w:snapToGrid w:val="0"/>
                <w:kern w:val="21"/>
                <w:szCs w:val="21"/>
              </w:rPr>
            </w:pPr>
            <w:r>
              <w:rPr>
                <w:kern w:val="0"/>
                <w:szCs w:val="21"/>
              </w:rPr>
              <w:t>/</w:t>
            </w:r>
          </w:p>
        </w:tc>
        <w:tc>
          <w:tcPr>
            <w:tcW w:w="1717" w:type="dxa"/>
            <w:vAlign w:val="center"/>
          </w:tcPr>
          <w:p>
            <w:pPr>
              <w:widowControl/>
              <w:spacing w:line="300" w:lineRule="exact"/>
              <w:jc w:val="center"/>
              <w:rPr>
                <w:snapToGrid w:val="0"/>
                <w:kern w:val="21"/>
                <w:szCs w:val="21"/>
              </w:rPr>
            </w:pPr>
            <w:r>
              <w:rPr>
                <w:kern w:val="0"/>
                <w:szCs w:val="21"/>
              </w:rPr>
              <w:t>59.602t/a</w:t>
            </w:r>
          </w:p>
        </w:tc>
        <w:tc>
          <w:tcPr>
            <w:tcW w:w="1201" w:type="dxa"/>
            <w:vAlign w:val="center"/>
          </w:tcPr>
          <w:p>
            <w:pPr>
              <w:widowControl/>
              <w:spacing w:line="300" w:lineRule="exact"/>
              <w:jc w:val="center"/>
              <w:rPr>
                <w:snapToGrid w:val="0"/>
                <w:kern w:val="21"/>
                <w:szCs w:val="21"/>
              </w:rPr>
            </w:pPr>
            <w:r>
              <w:rPr>
                <w:kern w:val="0"/>
                <w:szCs w:val="21"/>
              </w:rPr>
              <w:t>59.602t/a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continue"/>
            <w:vAlign w:val="center"/>
          </w:tcPr>
          <w:p>
            <w:pPr>
              <w:pStyle w:val="59"/>
              <w:spacing w:beforeLines="0" w:afterLines="0" w:line="240" w:lineRule="auto"/>
              <w:rPr>
                <w:rFonts w:ascii="Times New Roman"/>
                <w:snapToGrid w:val="0"/>
                <w:kern w:val="21"/>
                <w:szCs w:val="21"/>
              </w:rPr>
            </w:pPr>
          </w:p>
        </w:tc>
        <w:tc>
          <w:tcPr>
            <w:tcW w:w="1423" w:type="dxa"/>
            <w:vAlign w:val="center"/>
          </w:tcPr>
          <w:p>
            <w:pPr>
              <w:widowControl/>
              <w:spacing w:line="300" w:lineRule="exact"/>
              <w:jc w:val="center"/>
              <w:rPr>
                <w:kern w:val="0"/>
                <w:szCs w:val="21"/>
              </w:rPr>
            </w:pPr>
            <w:r>
              <w:rPr>
                <w:rFonts w:hint="eastAsia"/>
                <w:kern w:val="0"/>
                <w:szCs w:val="21"/>
              </w:rPr>
              <w:t>边角料</w:t>
            </w:r>
          </w:p>
        </w:tc>
        <w:tc>
          <w:tcPr>
            <w:tcW w:w="1675" w:type="dxa"/>
            <w:vAlign w:val="center"/>
          </w:tcPr>
          <w:p>
            <w:pPr>
              <w:pStyle w:val="59"/>
              <w:spacing w:beforeLines="0" w:afterLines="0" w:line="240" w:lineRule="auto"/>
              <w:rPr>
                <w:rFonts w:ascii="Times New Roman"/>
                <w:b/>
                <w:bCs/>
                <w:snapToGrid w:val="0"/>
                <w:kern w:val="21"/>
                <w:szCs w:val="21"/>
              </w:rPr>
            </w:pPr>
            <w:r>
              <w:rPr>
                <w:rFonts w:ascii="Times New Roman"/>
                <w:snapToGrid w:val="0"/>
                <w:kern w:val="21"/>
                <w:szCs w:val="21"/>
              </w:rPr>
              <w:t>/</w:t>
            </w:r>
          </w:p>
        </w:tc>
        <w:tc>
          <w:tcPr>
            <w:tcW w:w="1250" w:type="dxa"/>
            <w:vAlign w:val="center"/>
          </w:tcPr>
          <w:p>
            <w:pPr>
              <w:jc w:val="center"/>
              <w:rPr>
                <w:b/>
                <w:bCs/>
                <w:snapToGrid w:val="0"/>
                <w:kern w:val="21"/>
                <w:szCs w:val="21"/>
              </w:rPr>
            </w:pPr>
            <w:r>
              <w:rPr>
                <w:snapToGrid w:val="0"/>
                <w:kern w:val="21"/>
                <w:szCs w:val="21"/>
              </w:rPr>
              <w:t>/</w:t>
            </w:r>
          </w:p>
        </w:tc>
        <w:tc>
          <w:tcPr>
            <w:tcW w:w="1676" w:type="dxa"/>
            <w:vAlign w:val="center"/>
          </w:tcPr>
          <w:p>
            <w:pPr>
              <w:jc w:val="center"/>
              <w:rPr>
                <w:b/>
                <w:bCs/>
                <w:snapToGrid w:val="0"/>
                <w:kern w:val="21"/>
                <w:szCs w:val="21"/>
              </w:rPr>
            </w:pPr>
            <w:r>
              <w:rPr>
                <w:snapToGrid w:val="0"/>
                <w:kern w:val="21"/>
                <w:szCs w:val="21"/>
              </w:rPr>
              <w:t>/</w:t>
            </w:r>
          </w:p>
        </w:tc>
        <w:tc>
          <w:tcPr>
            <w:tcW w:w="1575" w:type="dxa"/>
            <w:vAlign w:val="center"/>
          </w:tcPr>
          <w:p>
            <w:pPr>
              <w:widowControl/>
              <w:spacing w:line="300" w:lineRule="exact"/>
              <w:jc w:val="center"/>
              <w:rPr>
                <w:b/>
                <w:bCs/>
                <w:kern w:val="0"/>
                <w:szCs w:val="21"/>
              </w:rPr>
            </w:pPr>
            <w:r>
              <w:rPr>
                <w:kern w:val="0"/>
                <w:szCs w:val="21"/>
              </w:rPr>
              <w:t>20000t/a</w:t>
            </w:r>
          </w:p>
        </w:tc>
        <w:tc>
          <w:tcPr>
            <w:tcW w:w="1735" w:type="dxa"/>
            <w:vAlign w:val="center"/>
          </w:tcPr>
          <w:p>
            <w:pPr>
              <w:widowControl/>
              <w:spacing w:line="300" w:lineRule="exact"/>
              <w:jc w:val="center"/>
              <w:rPr>
                <w:b/>
                <w:bCs/>
                <w:kern w:val="0"/>
                <w:szCs w:val="21"/>
              </w:rPr>
            </w:pPr>
            <w:r>
              <w:rPr>
                <w:kern w:val="0"/>
                <w:szCs w:val="21"/>
              </w:rPr>
              <w:t>/</w:t>
            </w:r>
          </w:p>
        </w:tc>
        <w:tc>
          <w:tcPr>
            <w:tcW w:w="1717" w:type="dxa"/>
            <w:vAlign w:val="center"/>
          </w:tcPr>
          <w:p>
            <w:pPr>
              <w:widowControl/>
              <w:spacing w:line="300" w:lineRule="exact"/>
              <w:jc w:val="center"/>
              <w:rPr>
                <w:b/>
                <w:bCs/>
                <w:kern w:val="0"/>
                <w:szCs w:val="21"/>
              </w:rPr>
            </w:pPr>
            <w:r>
              <w:rPr>
                <w:kern w:val="0"/>
                <w:szCs w:val="21"/>
              </w:rPr>
              <w:t>20000t/a</w:t>
            </w:r>
          </w:p>
        </w:tc>
        <w:tc>
          <w:tcPr>
            <w:tcW w:w="1201" w:type="dxa"/>
            <w:vAlign w:val="center"/>
          </w:tcPr>
          <w:p>
            <w:pPr>
              <w:widowControl/>
              <w:spacing w:line="300" w:lineRule="exact"/>
              <w:jc w:val="center"/>
              <w:rPr>
                <w:b/>
                <w:bCs/>
                <w:kern w:val="0"/>
                <w:szCs w:val="21"/>
              </w:rPr>
            </w:pPr>
            <w:r>
              <w:rPr>
                <w:kern w:val="0"/>
                <w:szCs w:val="21"/>
              </w:rPr>
              <w:t>20000t/a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continue"/>
            <w:vAlign w:val="center"/>
          </w:tcPr>
          <w:p>
            <w:pPr>
              <w:pStyle w:val="59"/>
              <w:spacing w:beforeLines="0" w:afterLines="0" w:line="240" w:lineRule="auto"/>
              <w:rPr>
                <w:rFonts w:ascii="Times New Roman"/>
                <w:snapToGrid w:val="0"/>
                <w:kern w:val="21"/>
                <w:szCs w:val="21"/>
              </w:rPr>
            </w:pPr>
          </w:p>
        </w:tc>
        <w:tc>
          <w:tcPr>
            <w:tcW w:w="1423" w:type="dxa"/>
            <w:vAlign w:val="center"/>
          </w:tcPr>
          <w:p>
            <w:pPr>
              <w:widowControl/>
              <w:spacing w:line="300" w:lineRule="exact"/>
              <w:jc w:val="center"/>
              <w:rPr>
                <w:kern w:val="0"/>
                <w:szCs w:val="21"/>
              </w:rPr>
            </w:pPr>
            <w:r>
              <w:rPr>
                <w:rFonts w:hint="eastAsia"/>
                <w:kern w:val="0"/>
                <w:szCs w:val="21"/>
              </w:rPr>
              <w:t>沉淀污泥</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jc w:val="center"/>
              <w:rPr>
                <w:snapToGrid w:val="0"/>
                <w:kern w:val="21"/>
                <w:szCs w:val="21"/>
              </w:rPr>
            </w:pPr>
            <w:r>
              <w:rPr>
                <w:snapToGrid w:val="0"/>
                <w:kern w:val="21"/>
                <w:szCs w:val="21"/>
              </w:rPr>
              <w:t>/</w:t>
            </w:r>
          </w:p>
        </w:tc>
        <w:tc>
          <w:tcPr>
            <w:tcW w:w="1676" w:type="dxa"/>
            <w:vAlign w:val="center"/>
          </w:tcPr>
          <w:p>
            <w:pPr>
              <w:jc w:val="center"/>
              <w:rPr>
                <w:snapToGrid w:val="0"/>
                <w:kern w:val="21"/>
                <w:szCs w:val="21"/>
              </w:rPr>
            </w:pPr>
            <w:r>
              <w:rPr>
                <w:snapToGrid w:val="0"/>
                <w:kern w:val="21"/>
                <w:szCs w:val="21"/>
              </w:rPr>
              <w:t>/</w:t>
            </w:r>
          </w:p>
        </w:tc>
        <w:tc>
          <w:tcPr>
            <w:tcW w:w="1575" w:type="dxa"/>
            <w:vAlign w:val="center"/>
          </w:tcPr>
          <w:p>
            <w:pPr>
              <w:widowControl/>
              <w:spacing w:line="300" w:lineRule="exact"/>
              <w:jc w:val="center"/>
              <w:rPr>
                <w:kern w:val="0"/>
                <w:szCs w:val="21"/>
              </w:rPr>
            </w:pPr>
            <w:r>
              <w:rPr>
                <w:kern w:val="0"/>
                <w:szCs w:val="21"/>
              </w:rPr>
              <w:t>4.0t/a</w:t>
            </w:r>
          </w:p>
        </w:tc>
        <w:tc>
          <w:tcPr>
            <w:tcW w:w="1735" w:type="dxa"/>
            <w:vAlign w:val="center"/>
          </w:tcPr>
          <w:p>
            <w:pPr>
              <w:widowControl/>
              <w:spacing w:line="300" w:lineRule="exact"/>
              <w:jc w:val="center"/>
              <w:rPr>
                <w:kern w:val="0"/>
                <w:szCs w:val="21"/>
              </w:rPr>
            </w:pPr>
            <w:r>
              <w:rPr>
                <w:kern w:val="0"/>
                <w:szCs w:val="21"/>
              </w:rPr>
              <w:t>/</w:t>
            </w:r>
          </w:p>
        </w:tc>
        <w:tc>
          <w:tcPr>
            <w:tcW w:w="1717" w:type="dxa"/>
            <w:vAlign w:val="center"/>
          </w:tcPr>
          <w:p>
            <w:pPr>
              <w:widowControl/>
              <w:spacing w:line="300" w:lineRule="exact"/>
              <w:jc w:val="center"/>
              <w:rPr>
                <w:kern w:val="0"/>
                <w:szCs w:val="21"/>
              </w:rPr>
            </w:pPr>
            <w:r>
              <w:rPr>
                <w:kern w:val="0"/>
                <w:szCs w:val="21"/>
              </w:rPr>
              <w:t>4.0t/a</w:t>
            </w:r>
          </w:p>
        </w:tc>
        <w:tc>
          <w:tcPr>
            <w:tcW w:w="1201" w:type="dxa"/>
            <w:vAlign w:val="center"/>
          </w:tcPr>
          <w:p>
            <w:pPr>
              <w:widowControl/>
              <w:spacing w:line="300" w:lineRule="exact"/>
              <w:jc w:val="center"/>
              <w:rPr>
                <w:kern w:val="0"/>
                <w:szCs w:val="21"/>
              </w:rPr>
            </w:pPr>
            <w:r>
              <w:rPr>
                <w:kern w:val="0"/>
                <w:szCs w:val="21"/>
              </w:rPr>
              <w:t>4.0t/a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restart"/>
            <w:vAlign w:val="center"/>
          </w:tcPr>
          <w:p>
            <w:pPr>
              <w:pStyle w:val="59"/>
              <w:spacing w:beforeLines="0" w:afterLines="0" w:line="240" w:lineRule="auto"/>
              <w:rPr>
                <w:rFonts w:ascii="Times New Roman"/>
                <w:snapToGrid w:val="0"/>
                <w:kern w:val="21"/>
                <w:szCs w:val="21"/>
              </w:rPr>
            </w:pPr>
            <w:r>
              <w:rPr>
                <w:rFonts w:hint="eastAsia" w:ascii="Times New Roman"/>
                <w:snapToGrid w:val="0"/>
                <w:kern w:val="21"/>
                <w:szCs w:val="21"/>
              </w:rPr>
              <w:t>危险废物</w:t>
            </w:r>
          </w:p>
        </w:tc>
        <w:tc>
          <w:tcPr>
            <w:tcW w:w="1423" w:type="dxa"/>
            <w:vAlign w:val="center"/>
          </w:tcPr>
          <w:p>
            <w:pPr>
              <w:widowControl/>
              <w:spacing w:line="300" w:lineRule="exact"/>
              <w:jc w:val="center"/>
              <w:rPr>
                <w:kern w:val="0"/>
                <w:szCs w:val="21"/>
              </w:rPr>
            </w:pPr>
            <w:r>
              <w:rPr>
                <w:rFonts w:hint="eastAsia"/>
                <w:kern w:val="0"/>
                <w:szCs w:val="21"/>
              </w:rPr>
              <w:t>废机油</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676"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575" w:type="dxa"/>
            <w:vAlign w:val="center"/>
          </w:tcPr>
          <w:p>
            <w:pPr>
              <w:widowControl/>
              <w:spacing w:line="300" w:lineRule="exact"/>
              <w:jc w:val="center"/>
              <w:rPr>
                <w:kern w:val="0"/>
                <w:szCs w:val="21"/>
              </w:rPr>
            </w:pPr>
            <w:r>
              <w:rPr>
                <w:kern w:val="0"/>
                <w:szCs w:val="21"/>
              </w:rPr>
              <w:t>0.12t/a</w:t>
            </w:r>
          </w:p>
        </w:tc>
        <w:tc>
          <w:tcPr>
            <w:tcW w:w="1735" w:type="dxa"/>
            <w:vAlign w:val="center"/>
          </w:tcPr>
          <w:p>
            <w:pPr>
              <w:widowControl/>
              <w:spacing w:line="300" w:lineRule="exact"/>
              <w:jc w:val="center"/>
              <w:rPr>
                <w:kern w:val="0"/>
                <w:szCs w:val="21"/>
              </w:rPr>
            </w:pPr>
            <w:r>
              <w:rPr>
                <w:kern w:val="0"/>
                <w:szCs w:val="21"/>
              </w:rPr>
              <w:t>/</w:t>
            </w:r>
          </w:p>
        </w:tc>
        <w:tc>
          <w:tcPr>
            <w:tcW w:w="1717" w:type="dxa"/>
            <w:vAlign w:val="center"/>
          </w:tcPr>
          <w:p>
            <w:pPr>
              <w:widowControl/>
              <w:spacing w:line="300" w:lineRule="exact"/>
              <w:jc w:val="center"/>
              <w:rPr>
                <w:kern w:val="0"/>
                <w:szCs w:val="21"/>
              </w:rPr>
            </w:pPr>
            <w:r>
              <w:rPr>
                <w:kern w:val="0"/>
                <w:szCs w:val="21"/>
              </w:rPr>
              <w:t>0.12t/a</w:t>
            </w:r>
          </w:p>
        </w:tc>
        <w:tc>
          <w:tcPr>
            <w:tcW w:w="1201" w:type="dxa"/>
            <w:vAlign w:val="center"/>
          </w:tcPr>
          <w:p>
            <w:pPr>
              <w:widowControl/>
              <w:spacing w:line="300" w:lineRule="exact"/>
              <w:jc w:val="center"/>
              <w:rPr>
                <w:kern w:val="0"/>
                <w:szCs w:val="21"/>
              </w:rPr>
            </w:pPr>
            <w:r>
              <w:rPr>
                <w:kern w:val="0"/>
                <w:szCs w:val="21"/>
              </w:rPr>
              <w:t>0.12t/a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vMerge w:val="continue"/>
            <w:vAlign w:val="center"/>
          </w:tcPr>
          <w:p>
            <w:pPr>
              <w:pStyle w:val="59"/>
              <w:spacing w:beforeLines="0" w:afterLines="0" w:line="240" w:lineRule="auto"/>
              <w:rPr>
                <w:rFonts w:ascii="Times New Roman"/>
                <w:snapToGrid w:val="0"/>
                <w:kern w:val="21"/>
                <w:szCs w:val="21"/>
              </w:rPr>
            </w:pPr>
          </w:p>
        </w:tc>
        <w:tc>
          <w:tcPr>
            <w:tcW w:w="1423" w:type="dxa"/>
            <w:vAlign w:val="center"/>
          </w:tcPr>
          <w:p>
            <w:pPr>
              <w:widowControl/>
              <w:spacing w:line="300" w:lineRule="exact"/>
              <w:jc w:val="center"/>
              <w:rPr>
                <w:kern w:val="0"/>
                <w:szCs w:val="21"/>
              </w:rPr>
            </w:pPr>
            <w:r>
              <w:rPr>
                <w:rFonts w:hint="eastAsia"/>
                <w:kern w:val="0"/>
                <w:szCs w:val="21"/>
              </w:rPr>
              <w:t>隔油池油污</w:t>
            </w:r>
          </w:p>
        </w:tc>
        <w:tc>
          <w:tcPr>
            <w:tcW w:w="1675" w:type="dxa"/>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vAlign w:val="center"/>
          </w:tcPr>
          <w:p>
            <w:pPr>
              <w:jc w:val="center"/>
              <w:rPr>
                <w:snapToGrid w:val="0"/>
                <w:kern w:val="21"/>
                <w:szCs w:val="21"/>
              </w:rPr>
            </w:pPr>
            <w:r>
              <w:rPr>
                <w:snapToGrid w:val="0"/>
                <w:kern w:val="21"/>
                <w:szCs w:val="21"/>
              </w:rPr>
              <w:t>/</w:t>
            </w:r>
          </w:p>
        </w:tc>
        <w:tc>
          <w:tcPr>
            <w:tcW w:w="1676" w:type="dxa"/>
            <w:vAlign w:val="center"/>
          </w:tcPr>
          <w:p>
            <w:pPr>
              <w:jc w:val="center"/>
              <w:rPr>
                <w:snapToGrid w:val="0"/>
                <w:kern w:val="21"/>
                <w:szCs w:val="21"/>
              </w:rPr>
            </w:pPr>
            <w:r>
              <w:rPr>
                <w:snapToGrid w:val="0"/>
                <w:kern w:val="21"/>
                <w:szCs w:val="21"/>
              </w:rPr>
              <w:t>/</w:t>
            </w:r>
          </w:p>
        </w:tc>
        <w:tc>
          <w:tcPr>
            <w:tcW w:w="1575" w:type="dxa"/>
            <w:vAlign w:val="center"/>
          </w:tcPr>
          <w:p>
            <w:pPr>
              <w:widowControl/>
              <w:spacing w:line="300" w:lineRule="exact"/>
              <w:jc w:val="center"/>
              <w:rPr>
                <w:kern w:val="0"/>
                <w:szCs w:val="21"/>
              </w:rPr>
            </w:pPr>
            <w:r>
              <w:rPr>
                <w:kern w:val="0"/>
                <w:szCs w:val="21"/>
              </w:rPr>
              <w:t>0.1t/a</w:t>
            </w:r>
          </w:p>
        </w:tc>
        <w:tc>
          <w:tcPr>
            <w:tcW w:w="1735" w:type="dxa"/>
            <w:vAlign w:val="center"/>
          </w:tcPr>
          <w:p>
            <w:pPr>
              <w:widowControl/>
              <w:spacing w:line="300" w:lineRule="exact"/>
              <w:jc w:val="center"/>
              <w:rPr>
                <w:kern w:val="0"/>
                <w:szCs w:val="21"/>
              </w:rPr>
            </w:pPr>
            <w:r>
              <w:rPr>
                <w:kern w:val="0"/>
                <w:szCs w:val="21"/>
              </w:rPr>
              <w:t>/</w:t>
            </w:r>
          </w:p>
        </w:tc>
        <w:tc>
          <w:tcPr>
            <w:tcW w:w="1717" w:type="dxa"/>
            <w:vAlign w:val="center"/>
          </w:tcPr>
          <w:p>
            <w:pPr>
              <w:widowControl/>
              <w:spacing w:line="300" w:lineRule="exact"/>
              <w:jc w:val="center"/>
              <w:rPr>
                <w:kern w:val="0"/>
                <w:szCs w:val="21"/>
              </w:rPr>
            </w:pPr>
            <w:r>
              <w:rPr>
                <w:kern w:val="0"/>
                <w:szCs w:val="21"/>
              </w:rPr>
              <w:t>0.1t/a</w:t>
            </w:r>
          </w:p>
        </w:tc>
        <w:tc>
          <w:tcPr>
            <w:tcW w:w="1201" w:type="dxa"/>
            <w:vAlign w:val="center"/>
          </w:tcPr>
          <w:p>
            <w:pPr>
              <w:widowControl/>
              <w:spacing w:line="300" w:lineRule="exact"/>
              <w:jc w:val="center"/>
              <w:rPr>
                <w:kern w:val="0"/>
                <w:szCs w:val="21"/>
              </w:rPr>
            </w:pPr>
            <w:r>
              <w:rPr>
                <w:kern w:val="0"/>
                <w:szCs w:val="21"/>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61" w:type="dxa"/>
            <w:tcBorders>
              <w:bottom w:val="single" w:color="auto" w:sz="8" w:space="0"/>
            </w:tcBorders>
            <w:vAlign w:val="center"/>
          </w:tcPr>
          <w:p>
            <w:pPr>
              <w:pStyle w:val="59"/>
              <w:spacing w:beforeLines="0" w:afterLines="0" w:line="240" w:lineRule="auto"/>
              <w:rPr>
                <w:rFonts w:ascii="Times New Roman"/>
                <w:snapToGrid w:val="0"/>
                <w:kern w:val="21"/>
                <w:szCs w:val="21"/>
              </w:rPr>
            </w:pPr>
            <w:r>
              <w:rPr>
                <w:rFonts w:hint="eastAsia" w:ascii="Times New Roman"/>
                <w:snapToGrid w:val="0"/>
                <w:kern w:val="21"/>
                <w:szCs w:val="21"/>
              </w:rPr>
              <w:t>生活垃圾</w:t>
            </w:r>
          </w:p>
        </w:tc>
        <w:tc>
          <w:tcPr>
            <w:tcW w:w="1423" w:type="dxa"/>
            <w:tcBorders>
              <w:bottom w:val="single" w:color="auto" w:sz="8" w:space="0"/>
            </w:tcBorders>
            <w:vAlign w:val="center"/>
          </w:tcPr>
          <w:p>
            <w:pPr>
              <w:adjustRightInd w:val="0"/>
              <w:snapToGrid w:val="0"/>
              <w:jc w:val="center"/>
              <w:rPr>
                <w:szCs w:val="21"/>
              </w:rPr>
            </w:pPr>
            <w:r>
              <w:rPr>
                <w:rFonts w:hint="eastAsia"/>
                <w:kern w:val="0"/>
                <w:szCs w:val="21"/>
              </w:rPr>
              <w:t>生活垃圾</w:t>
            </w:r>
          </w:p>
        </w:tc>
        <w:tc>
          <w:tcPr>
            <w:tcW w:w="1675" w:type="dxa"/>
            <w:tcBorders>
              <w:bottom w:val="single" w:color="auto" w:sz="8" w:space="0"/>
            </w:tcBorders>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250" w:type="dxa"/>
            <w:tcBorders>
              <w:bottom w:val="single" w:color="auto" w:sz="8" w:space="0"/>
            </w:tcBorders>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676" w:type="dxa"/>
            <w:tcBorders>
              <w:bottom w:val="single" w:color="auto" w:sz="8" w:space="0"/>
            </w:tcBorders>
            <w:vAlign w:val="center"/>
          </w:tcPr>
          <w:p>
            <w:pPr>
              <w:pStyle w:val="59"/>
              <w:spacing w:beforeLines="0" w:afterLines="0" w:line="240" w:lineRule="auto"/>
              <w:rPr>
                <w:rFonts w:ascii="Times New Roman"/>
                <w:snapToGrid w:val="0"/>
                <w:kern w:val="21"/>
                <w:szCs w:val="21"/>
              </w:rPr>
            </w:pPr>
            <w:r>
              <w:rPr>
                <w:rFonts w:ascii="Times New Roman"/>
                <w:snapToGrid w:val="0"/>
                <w:kern w:val="21"/>
                <w:szCs w:val="21"/>
              </w:rPr>
              <w:t>/</w:t>
            </w:r>
          </w:p>
        </w:tc>
        <w:tc>
          <w:tcPr>
            <w:tcW w:w="1575" w:type="dxa"/>
            <w:tcBorders>
              <w:bottom w:val="single" w:color="auto" w:sz="8" w:space="0"/>
            </w:tcBorders>
            <w:vAlign w:val="center"/>
          </w:tcPr>
          <w:p>
            <w:pPr>
              <w:widowControl/>
              <w:spacing w:line="300" w:lineRule="exact"/>
              <w:jc w:val="center"/>
              <w:rPr>
                <w:kern w:val="0"/>
                <w:szCs w:val="21"/>
              </w:rPr>
            </w:pPr>
            <w:r>
              <w:rPr>
                <w:kern w:val="0"/>
                <w:szCs w:val="21"/>
              </w:rPr>
              <w:t>5.4t/a</w:t>
            </w:r>
          </w:p>
        </w:tc>
        <w:tc>
          <w:tcPr>
            <w:tcW w:w="1735" w:type="dxa"/>
            <w:tcBorders>
              <w:bottom w:val="single" w:color="auto" w:sz="8" w:space="0"/>
            </w:tcBorders>
            <w:vAlign w:val="center"/>
          </w:tcPr>
          <w:p>
            <w:pPr>
              <w:widowControl/>
              <w:spacing w:line="300" w:lineRule="exact"/>
              <w:jc w:val="center"/>
              <w:rPr>
                <w:kern w:val="0"/>
                <w:szCs w:val="21"/>
              </w:rPr>
            </w:pPr>
            <w:r>
              <w:rPr>
                <w:kern w:val="0"/>
                <w:szCs w:val="21"/>
              </w:rPr>
              <w:t>/</w:t>
            </w:r>
          </w:p>
        </w:tc>
        <w:tc>
          <w:tcPr>
            <w:tcW w:w="1717" w:type="dxa"/>
            <w:tcBorders>
              <w:bottom w:val="single" w:color="auto" w:sz="8" w:space="0"/>
            </w:tcBorders>
            <w:vAlign w:val="center"/>
          </w:tcPr>
          <w:p>
            <w:pPr>
              <w:widowControl/>
              <w:spacing w:line="300" w:lineRule="exact"/>
              <w:jc w:val="center"/>
              <w:rPr>
                <w:kern w:val="0"/>
                <w:szCs w:val="21"/>
              </w:rPr>
            </w:pPr>
            <w:r>
              <w:rPr>
                <w:kern w:val="0"/>
                <w:szCs w:val="21"/>
              </w:rPr>
              <w:t>5.4t/a</w:t>
            </w:r>
          </w:p>
        </w:tc>
        <w:tc>
          <w:tcPr>
            <w:tcW w:w="1201" w:type="dxa"/>
            <w:tcBorders>
              <w:bottom w:val="single" w:color="auto" w:sz="8" w:space="0"/>
            </w:tcBorders>
            <w:vAlign w:val="center"/>
          </w:tcPr>
          <w:p>
            <w:pPr>
              <w:widowControl/>
              <w:spacing w:line="300" w:lineRule="exact"/>
              <w:jc w:val="center"/>
              <w:rPr>
                <w:kern w:val="0"/>
                <w:szCs w:val="21"/>
              </w:rPr>
            </w:pPr>
            <w:r>
              <w:rPr>
                <w:kern w:val="0"/>
                <w:szCs w:val="21"/>
              </w:rPr>
              <w:t>5.4t/a</w:t>
            </w:r>
          </w:p>
        </w:tc>
      </w:tr>
    </w:tbl>
    <w:p>
      <w:pPr>
        <w:pStyle w:val="59"/>
        <w:spacing w:beforeLines="80" w:after="24"/>
        <w:ind w:firstLine="480"/>
        <w:jc w:val="left"/>
        <w:rPr>
          <w:rFonts w:ascii="Times New Roman"/>
          <w:snapToGrid w:val="0"/>
          <w:spacing w:val="-6"/>
          <w:kern w:val="21"/>
          <w:szCs w:val="21"/>
        </w:rPr>
      </w:pPr>
      <w:r>
        <w:rPr>
          <w:rFonts w:hint="eastAsia"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hAnsi="宋体" w:cs="宋体"/>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hAnsi="宋体" w:cs="宋体"/>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hAnsi="宋体" w:cs="宋体"/>
          <w:szCs w:val="21"/>
        </w:rPr>
        <w:t>⑤</w:t>
      </w:r>
      <w:r>
        <w:rPr>
          <w:rFonts w:ascii="Times New Roman"/>
          <w:snapToGrid w:val="0"/>
          <w:spacing w:val="-16"/>
          <w:kern w:val="21"/>
          <w:szCs w:val="21"/>
        </w:rPr>
        <w:fldChar w:fldCharType="end"/>
      </w:r>
      <w:r>
        <w:rPr>
          <w:rFonts w:hint="eastAsia"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hAnsi="宋体" w:cs="宋体"/>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hAnsi="宋体" w:cs="宋体"/>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hAnsi="宋体" w:cs="宋体"/>
          <w:szCs w:val="21"/>
        </w:rPr>
        <w:t>①</w:t>
      </w:r>
      <w:r>
        <w:rPr>
          <w:rFonts w:ascii="Times New Roman"/>
          <w:snapToGrid w:val="0"/>
          <w:spacing w:val="-6"/>
          <w:kern w:val="21"/>
          <w:szCs w:val="21"/>
        </w:rPr>
        <w:fldChar w:fldCharType="end"/>
      </w:r>
    </w:p>
    <w:p/>
    <w:p/>
    <w:sectPr>
      <w:footerReference r:id="rId6" w:type="default"/>
      <w:pgSz w:w="16838" w:h="11906" w:orient="landscape"/>
      <w:pgMar w:top="1531" w:right="1418" w:bottom="1531" w:left="1701"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方正楷体简体">
    <w:altName w:val="宋体"/>
    <w:panose1 w:val="00000000000000000000"/>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auto"/>
    <w:pitch w:val="default"/>
    <w:sig w:usb0="00000000" w:usb1="00000000" w:usb2="00000000" w:usb3="00000000" w:csb0="00000001" w:csb1="00000000"/>
  </w:font>
  <w:font w:name="方正小标宋_GBK">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8" w:usb3="00000000" w:csb0="0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0"/>
      </w:rPr>
    </w:pPr>
    <w:r>
      <w:rPr>
        <w:rStyle w:val="30"/>
      </w:rPr>
      <w:fldChar w:fldCharType="begin"/>
    </w:r>
    <w:r>
      <w:rPr>
        <w:rStyle w:val="30"/>
      </w:rPr>
      <w:instrText xml:space="preserve">PAGE  </w:instrText>
    </w:r>
    <w:r>
      <w:rPr>
        <w:rStyle w:val="30"/>
      </w:rP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71</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86</w:t>
    </w:r>
    <w:r>
      <w:rPr>
        <w:lang w:val="zh-CN"/>
      </w:rP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79C8C"/>
    <w:multiLevelType w:val="singleLevel"/>
    <w:tmpl w:val="92F79C8C"/>
    <w:lvl w:ilvl="0" w:tentative="0">
      <w:start w:val="1"/>
      <w:numFmt w:val="decimal"/>
      <w:suff w:val="nothing"/>
      <w:lvlText w:val="（%1）"/>
      <w:lvlJc w:val="left"/>
      <w:rPr>
        <w:rFonts w:cs="Times New Roman"/>
      </w:rPr>
    </w:lvl>
  </w:abstractNum>
  <w:abstractNum w:abstractNumId="1">
    <w:nsid w:val="28404E8E"/>
    <w:multiLevelType w:val="multilevel"/>
    <w:tmpl w:val="28404E8E"/>
    <w:lvl w:ilvl="0" w:tentative="0">
      <w:start w:val="1"/>
      <w:numFmt w:val="japaneseCounting"/>
      <w:lvlText w:val="%1、"/>
      <w:lvlJc w:val="left"/>
      <w:pPr>
        <w:ind w:left="720" w:hanging="72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2">
    <w:nsid w:val="7F0C3E49"/>
    <w:multiLevelType w:val="multilevel"/>
    <w:tmpl w:val="7F0C3E49"/>
    <w:lvl w:ilvl="0" w:tentative="0">
      <w:start w:val="1"/>
      <w:numFmt w:val="decimal"/>
      <w:pStyle w:val="97"/>
      <w:lvlText w:val="表%1"/>
      <w:lvlJc w:val="left"/>
      <w:pPr>
        <w:ind w:left="420" w:hanging="420"/>
      </w:pPr>
      <w:rPr>
        <w:rFonts w:hint="eastAsia"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zZDM3ZDFiZDhmMDRhZThmODllZWQyN2Q1MDlkZDQifQ=="/>
  </w:docVars>
  <w:rsids>
    <w:rsidRoot w:val="00172A27"/>
    <w:rsid w:val="0000094F"/>
    <w:rsid w:val="000045D7"/>
    <w:rsid w:val="000060B3"/>
    <w:rsid w:val="00006FD7"/>
    <w:rsid w:val="00011731"/>
    <w:rsid w:val="0001247C"/>
    <w:rsid w:val="00013A52"/>
    <w:rsid w:val="00013A6A"/>
    <w:rsid w:val="000235EB"/>
    <w:rsid w:val="00023E17"/>
    <w:rsid w:val="00025102"/>
    <w:rsid w:val="00025528"/>
    <w:rsid w:val="00025F83"/>
    <w:rsid w:val="000267D7"/>
    <w:rsid w:val="0002745E"/>
    <w:rsid w:val="00030C12"/>
    <w:rsid w:val="00030D28"/>
    <w:rsid w:val="000328EA"/>
    <w:rsid w:val="00040538"/>
    <w:rsid w:val="000413E6"/>
    <w:rsid w:val="00042BC4"/>
    <w:rsid w:val="0004364B"/>
    <w:rsid w:val="00043EF2"/>
    <w:rsid w:val="000446A1"/>
    <w:rsid w:val="000465F2"/>
    <w:rsid w:val="000509D3"/>
    <w:rsid w:val="00050E0F"/>
    <w:rsid w:val="0005153F"/>
    <w:rsid w:val="00051D49"/>
    <w:rsid w:val="00055B92"/>
    <w:rsid w:val="00061B1F"/>
    <w:rsid w:val="00062217"/>
    <w:rsid w:val="000675A9"/>
    <w:rsid w:val="00067AFC"/>
    <w:rsid w:val="000733C4"/>
    <w:rsid w:val="00073D73"/>
    <w:rsid w:val="00073FC3"/>
    <w:rsid w:val="00074783"/>
    <w:rsid w:val="0007689D"/>
    <w:rsid w:val="0008070B"/>
    <w:rsid w:val="000810AC"/>
    <w:rsid w:val="00081A02"/>
    <w:rsid w:val="00082231"/>
    <w:rsid w:val="00085AD4"/>
    <w:rsid w:val="00085BF9"/>
    <w:rsid w:val="00090094"/>
    <w:rsid w:val="00092D38"/>
    <w:rsid w:val="000934BF"/>
    <w:rsid w:val="0009377B"/>
    <w:rsid w:val="000A0D83"/>
    <w:rsid w:val="000A20C9"/>
    <w:rsid w:val="000B0385"/>
    <w:rsid w:val="000B058F"/>
    <w:rsid w:val="000B0F60"/>
    <w:rsid w:val="000B2F8E"/>
    <w:rsid w:val="000B4467"/>
    <w:rsid w:val="000B4D10"/>
    <w:rsid w:val="000B4DB9"/>
    <w:rsid w:val="000B583E"/>
    <w:rsid w:val="000C09AC"/>
    <w:rsid w:val="000C0DF6"/>
    <w:rsid w:val="000C22E5"/>
    <w:rsid w:val="000C2DD0"/>
    <w:rsid w:val="000C5BA7"/>
    <w:rsid w:val="000C70CF"/>
    <w:rsid w:val="000C767F"/>
    <w:rsid w:val="000C7CB4"/>
    <w:rsid w:val="000C7FBB"/>
    <w:rsid w:val="000D314E"/>
    <w:rsid w:val="000D5853"/>
    <w:rsid w:val="000D5A44"/>
    <w:rsid w:val="000D7A6C"/>
    <w:rsid w:val="000E166A"/>
    <w:rsid w:val="000E235F"/>
    <w:rsid w:val="000E3ED2"/>
    <w:rsid w:val="000E58D2"/>
    <w:rsid w:val="000E6A91"/>
    <w:rsid w:val="000E7E30"/>
    <w:rsid w:val="000F3CA0"/>
    <w:rsid w:val="000F3F78"/>
    <w:rsid w:val="000F59B7"/>
    <w:rsid w:val="000F5F88"/>
    <w:rsid w:val="000F68DB"/>
    <w:rsid w:val="00100CB3"/>
    <w:rsid w:val="0010393C"/>
    <w:rsid w:val="001043CB"/>
    <w:rsid w:val="0010646D"/>
    <w:rsid w:val="001068DD"/>
    <w:rsid w:val="00107F43"/>
    <w:rsid w:val="00110EFB"/>
    <w:rsid w:val="00115479"/>
    <w:rsid w:val="00120165"/>
    <w:rsid w:val="00121B9A"/>
    <w:rsid w:val="00125145"/>
    <w:rsid w:val="001269C3"/>
    <w:rsid w:val="00131F42"/>
    <w:rsid w:val="00133E81"/>
    <w:rsid w:val="001345C0"/>
    <w:rsid w:val="001357F1"/>
    <w:rsid w:val="00140FA8"/>
    <w:rsid w:val="00142FEB"/>
    <w:rsid w:val="00143A2D"/>
    <w:rsid w:val="00145A41"/>
    <w:rsid w:val="00151675"/>
    <w:rsid w:val="00151B4B"/>
    <w:rsid w:val="00152CD9"/>
    <w:rsid w:val="001538F1"/>
    <w:rsid w:val="0015718E"/>
    <w:rsid w:val="00157435"/>
    <w:rsid w:val="00157A76"/>
    <w:rsid w:val="00163F7C"/>
    <w:rsid w:val="00166124"/>
    <w:rsid w:val="001661E1"/>
    <w:rsid w:val="00171113"/>
    <w:rsid w:val="00172A27"/>
    <w:rsid w:val="00173DD5"/>
    <w:rsid w:val="00174E77"/>
    <w:rsid w:val="0017504D"/>
    <w:rsid w:val="0017594B"/>
    <w:rsid w:val="001759E2"/>
    <w:rsid w:val="001765B6"/>
    <w:rsid w:val="0017671A"/>
    <w:rsid w:val="00177422"/>
    <w:rsid w:val="00177D03"/>
    <w:rsid w:val="00180553"/>
    <w:rsid w:val="00182FC3"/>
    <w:rsid w:val="001840E6"/>
    <w:rsid w:val="001842F5"/>
    <w:rsid w:val="001843C1"/>
    <w:rsid w:val="00184590"/>
    <w:rsid w:val="0018665B"/>
    <w:rsid w:val="001866A2"/>
    <w:rsid w:val="001870D1"/>
    <w:rsid w:val="0018781E"/>
    <w:rsid w:val="00187BEA"/>
    <w:rsid w:val="00190616"/>
    <w:rsid w:val="0019105C"/>
    <w:rsid w:val="0019262D"/>
    <w:rsid w:val="001936DE"/>
    <w:rsid w:val="00197309"/>
    <w:rsid w:val="001A1B35"/>
    <w:rsid w:val="001A39EA"/>
    <w:rsid w:val="001A48A2"/>
    <w:rsid w:val="001A4BFB"/>
    <w:rsid w:val="001A4C68"/>
    <w:rsid w:val="001A58B0"/>
    <w:rsid w:val="001A6F61"/>
    <w:rsid w:val="001B08E2"/>
    <w:rsid w:val="001B4DC9"/>
    <w:rsid w:val="001B6748"/>
    <w:rsid w:val="001B72B8"/>
    <w:rsid w:val="001B79F0"/>
    <w:rsid w:val="001C0C04"/>
    <w:rsid w:val="001C69B3"/>
    <w:rsid w:val="001D0FE1"/>
    <w:rsid w:val="001D2062"/>
    <w:rsid w:val="001D4749"/>
    <w:rsid w:val="001D4F56"/>
    <w:rsid w:val="001D5595"/>
    <w:rsid w:val="001D564D"/>
    <w:rsid w:val="001D7874"/>
    <w:rsid w:val="001D79E4"/>
    <w:rsid w:val="001D7F22"/>
    <w:rsid w:val="001E31A6"/>
    <w:rsid w:val="001F0F17"/>
    <w:rsid w:val="001F3347"/>
    <w:rsid w:val="001F3D44"/>
    <w:rsid w:val="001F69E4"/>
    <w:rsid w:val="00200A45"/>
    <w:rsid w:val="002040E7"/>
    <w:rsid w:val="00204113"/>
    <w:rsid w:val="00206942"/>
    <w:rsid w:val="002125B4"/>
    <w:rsid w:val="00213A35"/>
    <w:rsid w:val="002155B8"/>
    <w:rsid w:val="0021609B"/>
    <w:rsid w:val="00216C0D"/>
    <w:rsid w:val="00217613"/>
    <w:rsid w:val="00222CD9"/>
    <w:rsid w:val="00224839"/>
    <w:rsid w:val="002249B2"/>
    <w:rsid w:val="00226010"/>
    <w:rsid w:val="00226574"/>
    <w:rsid w:val="00226793"/>
    <w:rsid w:val="002269B3"/>
    <w:rsid w:val="00226DFC"/>
    <w:rsid w:val="002278EC"/>
    <w:rsid w:val="0023280E"/>
    <w:rsid w:val="00232DAB"/>
    <w:rsid w:val="0023416A"/>
    <w:rsid w:val="00234445"/>
    <w:rsid w:val="00236CF1"/>
    <w:rsid w:val="002377D1"/>
    <w:rsid w:val="002424D6"/>
    <w:rsid w:val="00244A4F"/>
    <w:rsid w:val="002506BC"/>
    <w:rsid w:val="0025247A"/>
    <w:rsid w:val="002527A8"/>
    <w:rsid w:val="00254345"/>
    <w:rsid w:val="002554E3"/>
    <w:rsid w:val="00256917"/>
    <w:rsid w:val="00256BAF"/>
    <w:rsid w:val="00261929"/>
    <w:rsid w:val="00261C87"/>
    <w:rsid w:val="00263439"/>
    <w:rsid w:val="00264557"/>
    <w:rsid w:val="00264731"/>
    <w:rsid w:val="00266DD2"/>
    <w:rsid w:val="00267F1B"/>
    <w:rsid w:val="0027101E"/>
    <w:rsid w:val="00271A7A"/>
    <w:rsid w:val="00274CB7"/>
    <w:rsid w:val="00275A92"/>
    <w:rsid w:val="00277F41"/>
    <w:rsid w:val="002805AB"/>
    <w:rsid w:val="00280BBD"/>
    <w:rsid w:val="00280F9A"/>
    <w:rsid w:val="00281217"/>
    <w:rsid w:val="002838C1"/>
    <w:rsid w:val="00284204"/>
    <w:rsid w:val="00290746"/>
    <w:rsid w:val="00290B0A"/>
    <w:rsid w:val="00291773"/>
    <w:rsid w:val="00292BE6"/>
    <w:rsid w:val="00294642"/>
    <w:rsid w:val="00296862"/>
    <w:rsid w:val="00297671"/>
    <w:rsid w:val="00297913"/>
    <w:rsid w:val="002A089A"/>
    <w:rsid w:val="002A1423"/>
    <w:rsid w:val="002A168C"/>
    <w:rsid w:val="002A2D57"/>
    <w:rsid w:val="002A3DC7"/>
    <w:rsid w:val="002A655D"/>
    <w:rsid w:val="002A79CB"/>
    <w:rsid w:val="002B39B5"/>
    <w:rsid w:val="002B49E2"/>
    <w:rsid w:val="002B7B00"/>
    <w:rsid w:val="002B7C44"/>
    <w:rsid w:val="002B7CBC"/>
    <w:rsid w:val="002C1FC4"/>
    <w:rsid w:val="002C2B17"/>
    <w:rsid w:val="002C59DD"/>
    <w:rsid w:val="002D3DD0"/>
    <w:rsid w:val="002D7057"/>
    <w:rsid w:val="002E1F3A"/>
    <w:rsid w:val="002E298A"/>
    <w:rsid w:val="002E44D8"/>
    <w:rsid w:val="002E623E"/>
    <w:rsid w:val="002E6575"/>
    <w:rsid w:val="002F141C"/>
    <w:rsid w:val="002F3691"/>
    <w:rsid w:val="002F4FDD"/>
    <w:rsid w:val="00300E29"/>
    <w:rsid w:val="00301978"/>
    <w:rsid w:val="0030332C"/>
    <w:rsid w:val="00303BBF"/>
    <w:rsid w:val="003051C2"/>
    <w:rsid w:val="003067E1"/>
    <w:rsid w:val="00310E4E"/>
    <w:rsid w:val="00312296"/>
    <w:rsid w:val="00314F0E"/>
    <w:rsid w:val="00316233"/>
    <w:rsid w:val="0031631A"/>
    <w:rsid w:val="00320F88"/>
    <w:rsid w:val="00321D8E"/>
    <w:rsid w:val="00324252"/>
    <w:rsid w:val="00325928"/>
    <w:rsid w:val="003261D7"/>
    <w:rsid w:val="00332863"/>
    <w:rsid w:val="00335DFF"/>
    <w:rsid w:val="0033684D"/>
    <w:rsid w:val="00337B42"/>
    <w:rsid w:val="00341B42"/>
    <w:rsid w:val="0034348F"/>
    <w:rsid w:val="00353C64"/>
    <w:rsid w:val="003554B9"/>
    <w:rsid w:val="00355D5B"/>
    <w:rsid w:val="00356653"/>
    <w:rsid w:val="0035743F"/>
    <w:rsid w:val="00357BE2"/>
    <w:rsid w:val="003606CA"/>
    <w:rsid w:val="00361326"/>
    <w:rsid w:val="0036170C"/>
    <w:rsid w:val="00362644"/>
    <w:rsid w:val="003643F6"/>
    <w:rsid w:val="00366E0F"/>
    <w:rsid w:val="00367A6C"/>
    <w:rsid w:val="00372924"/>
    <w:rsid w:val="00373653"/>
    <w:rsid w:val="0037461B"/>
    <w:rsid w:val="003755B2"/>
    <w:rsid w:val="00377C84"/>
    <w:rsid w:val="00381A72"/>
    <w:rsid w:val="00384676"/>
    <w:rsid w:val="0038505A"/>
    <w:rsid w:val="0038568A"/>
    <w:rsid w:val="00387CC3"/>
    <w:rsid w:val="00390857"/>
    <w:rsid w:val="003923AD"/>
    <w:rsid w:val="003931F2"/>
    <w:rsid w:val="00394411"/>
    <w:rsid w:val="00397F54"/>
    <w:rsid w:val="003A1AF0"/>
    <w:rsid w:val="003A2532"/>
    <w:rsid w:val="003A4BF3"/>
    <w:rsid w:val="003A5E56"/>
    <w:rsid w:val="003A7AFB"/>
    <w:rsid w:val="003B267F"/>
    <w:rsid w:val="003B3A6C"/>
    <w:rsid w:val="003B3BCC"/>
    <w:rsid w:val="003B420D"/>
    <w:rsid w:val="003B722D"/>
    <w:rsid w:val="003C03FD"/>
    <w:rsid w:val="003C4135"/>
    <w:rsid w:val="003C67FF"/>
    <w:rsid w:val="003C6C16"/>
    <w:rsid w:val="003C7C35"/>
    <w:rsid w:val="003D0404"/>
    <w:rsid w:val="003D157E"/>
    <w:rsid w:val="003D2E92"/>
    <w:rsid w:val="003D38AF"/>
    <w:rsid w:val="003D3B33"/>
    <w:rsid w:val="003D794D"/>
    <w:rsid w:val="003E143F"/>
    <w:rsid w:val="003E3058"/>
    <w:rsid w:val="003E42A0"/>
    <w:rsid w:val="003E5444"/>
    <w:rsid w:val="003E6038"/>
    <w:rsid w:val="003E76A9"/>
    <w:rsid w:val="003F0809"/>
    <w:rsid w:val="003F2B7E"/>
    <w:rsid w:val="003F5EDB"/>
    <w:rsid w:val="003F67F7"/>
    <w:rsid w:val="003F6A8C"/>
    <w:rsid w:val="003F755C"/>
    <w:rsid w:val="003F7737"/>
    <w:rsid w:val="00400052"/>
    <w:rsid w:val="004025D0"/>
    <w:rsid w:val="0040335A"/>
    <w:rsid w:val="00405EE0"/>
    <w:rsid w:val="0040657D"/>
    <w:rsid w:val="00406F01"/>
    <w:rsid w:val="0041058C"/>
    <w:rsid w:val="00413097"/>
    <w:rsid w:val="004137CB"/>
    <w:rsid w:val="00416D50"/>
    <w:rsid w:val="00416FD5"/>
    <w:rsid w:val="00417772"/>
    <w:rsid w:val="00420BE7"/>
    <w:rsid w:val="00420E6A"/>
    <w:rsid w:val="0042113A"/>
    <w:rsid w:val="00422EFD"/>
    <w:rsid w:val="00425A9E"/>
    <w:rsid w:val="00425E35"/>
    <w:rsid w:val="00426D6B"/>
    <w:rsid w:val="00430BE4"/>
    <w:rsid w:val="00431E6C"/>
    <w:rsid w:val="00433CE7"/>
    <w:rsid w:val="00442B61"/>
    <w:rsid w:val="00445BB2"/>
    <w:rsid w:val="004513F3"/>
    <w:rsid w:val="00452738"/>
    <w:rsid w:val="00452D65"/>
    <w:rsid w:val="00453B15"/>
    <w:rsid w:val="00453C55"/>
    <w:rsid w:val="00456091"/>
    <w:rsid w:val="00457FB6"/>
    <w:rsid w:val="00462D6C"/>
    <w:rsid w:val="004656A5"/>
    <w:rsid w:val="00465B41"/>
    <w:rsid w:val="00466321"/>
    <w:rsid w:val="00470423"/>
    <w:rsid w:val="004755CD"/>
    <w:rsid w:val="00475911"/>
    <w:rsid w:val="00483370"/>
    <w:rsid w:val="00484B9B"/>
    <w:rsid w:val="004855F6"/>
    <w:rsid w:val="00485879"/>
    <w:rsid w:val="0048661E"/>
    <w:rsid w:val="00487206"/>
    <w:rsid w:val="00487300"/>
    <w:rsid w:val="004879DE"/>
    <w:rsid w:val="00492ECD"/>
    <w:rsid w:val="00494380"/>
    <w:rsid w:val="00494670"/>
    <w:rsid w:val="0049549E"/>
    <w:rsid w:val="00496480"/>
    <w:rsid w:val="00496B0C"/>
    <w:rsid w:val="004A3823"/>
    <w:rsid w:val="004A4952"/>
    <w:rsid w:val="004A57E4"/>
    <w:rsid w:val="004A5E1B"/>
    <w:rsid w:val="004A7852"/>
    <w:rsid w:val="004B1491"/>
    <w:rsid w:val="004B1BDF"/>
    <w:rsid w:val="004B67F3"/>
    <w:rsid w:val="004B6DB4"/>
    <w:rsid w:val="004B7914"/>
    <w:rsid w:val="004C001F"/>
    <w:rsid w:val="004C01DA"/>
    <w:rsid w:val="004C1D1A"/>
    <w:rsid w:val="004C5DFF"/>
    <w:rsid w:val="004D0AEA"/>
    <w:rsid w:val="004D17F1"/>
    <w:rsid w:val="004D4219"/>
    <w:rsid w:val="004D5131"/>
    <w:rsid w:val="004D5E35"/>
    <w:rsid w:val="004D73B4"/>
    <w:rsid w:val="004E2581"/>
    <w:rsid w:val="004E3177"/>
    <w:rsid w:val="004E50E7"/>
    <w:rsid w:val="004E569C"/>
    <w:rsid w:val="004E57D6"/>
    <w:rsid w:val="004E645B"/>
    <w:rsid w:val="004E6946"/>
    <w:rsid w:val="004E6B0F"/>
    <w:rsid w:val="004E7092"/>
    <w:rsid w:val="004E7B44"/>
    <w:rsid w:val="004F0CE0"/>
    <w:rsid w:val="004F1AD8"/>
    <w:rsid w:val="004F4418"/>
    <w:rsid w:val="004F6829"/>
    <w:rsid w:val="004F74BF"/>
    <w:rsid w:val="005039CB"/>
    <w:rsid w:val="0050558F"/>
    <w:rsid w:val="00506286"/>
    <w:rsid w:val="0051013D"/>
    <w:rsid w:val="00510813"/>
    <w:rsid w:val="00511990"/>
    <w:rsid w:val="00511DE0"/>
    <w:rsid w:val="00514870"/>
    <w:rsid w:val="00514B9B"/>
    <w:rsid w:val="00516E6A"/>
    <w:rsid w:val="00517027"/>
    <w:rsid w:val="00517F02"/>
    <w:rsid w:val="00522525"/>
    <w:rsid w:val="00524303"/>
    <w:rsid w:val="00524EFB"/>
    <w:rsid w:val="005258A2"/>
    <w:rsid w:val="0052747E"/>
    <w:rsid w:val="00527C09"/>
    <w:rsid w:val="00530E5E"/>
    <w:rsid w:val="00531DF3"/>
    <w:rsid w:val="00532264"/>
    <w:rsid w:val="005401AE"/>
    <w:rsid w:val="00542E07"/>
    <w:rsid w:val="00544611"/>
    <w:rsid w:val="00545424"/>
    <w:rsid w:val="005455FD"/>
    <w:rsid w:val="00546342"/>
    <w:rsid w:val="00547B47"/>
    <w:rsid w:val="00550C00"/>
    <w:rsid w:val="00554A7B"/>
    <w:rsid w:val="0055572C"/>
    <w:rsid w:val="0055574E"/>
    <w:rsid w:val="0056067C"/>
    <w:rsid w:val="00560AE4"/>
    <w:rsid w:val="0056106A"/>
    <w:rsid w:val="005616DA"/>
    <w:rsid w:val="005620AC"/>
    <w:rsid w:val="00563670"/>
    <w:rsid w:val="00563B4E"/>
    <w:rsid w:val="005668CC"/>
    <w:rsid w:val="00567ECE"/>
    <w:rsid w:val="00570004"/>
    <w:rsid w:val="00570933"/>
    <w:rsid w:val="005711F2"/>
    <w:rsid w:val="005720AE"/>
    <w:rsid w:val="00573434"/>
    <w:rsid w:val="0057479A"/>
    <w:rsid w:val="005758FC"/>
    <w:rsid w:val="00576377"/>
    <w:rsid w:val="0057711D"/>
    <w:rsid w:val="0057745F"/>
    <w:rsid w:val="00577A09"/>
    <w:rsid w:val="00580997"/>
    <w:rsid w:val="00582784"/>
    <w:rsid w:val="00582E1B"/>
    <w:rsid w:val="0058445D"/>
    <w:rsid w:val="00585DB2"/>
    <w:rsid w:val="00587A05"/>
    <w:rsid w:val="00590CD2"/>
    <w:rsid w:val="00591638"/>
    <w:rsid w:val="00591A0B"/>
    <w:rsid w:val="00594D77"/>
    <w:rsid w:val="0059595C"/>
    <w:rsid w:val="00596277"/>
    <w:rsid w:val="005969E4"/>
    <w:rsid w:val="005A06B7"/>
    <w:rsid w:val="005A1759"/>
    <w:rsid w:val="005A4F70"/>
    <w:rsid w:val="005A63D1"/>
    <w:rsid w:val="005A68A7"/>
    <w:rsid w:val="005B01DB"/>
    <w:rsid w:val="005B12BE"/>
    <w:rsid w:val="005B2720"/>
    <w:rsid w:val="005B2EBD"/>
    <w:rsid w:val="005B36F8"/>
    <w:rsid w:val="005B4D2A"/>
    <w:rsid w:val="005B6C59"/>
    <w:rsid w:val="005C1C40"/>
    <w:rsid w:val="005C20C2"/>
    <w:rsid w:val="005C54E1"/>
    <w:rsid w:val="005C59D3"/>
    <w:rsid w:val="005C6AE8"/>
    <w:rsid w:val="005D227C"/>
    <w:rsid w:val="005D2D5D"/>
    <w:rsid w:val="005D3611"/>
    <w:rsid w:val="005D36AB"/>
    <w:rsid w:val="005D3BC9"/>
    <w:rsid w:val="005D7B6D"/>
    <w:rsid w:val="005E1211"/>
    <w:rsid w:val="005E4371"/>
    <w:rsid w:val="005E6987"/>
    <w:rsid w:val="005F273F"/>
    <w:rsid w:val="005F7393"/>
    <w:rsid w:val="005F7458"/>
    <w:rsid w:val="005F74FD"/>
    <w:rsid w:val="00601BF7"/>
    <w:rsid w:val="0060310B"/>
    <w:rsid w:val="0060344D"/>
    <w:rsid w:val="00606437"/>
    <w:rsid w:val="0060676A"/>
    <w:rsid w:val="00611BAF"/>
    <w:rsid w:val="006130A8"/>
    <w:rsid w:val="00613EEC"/>
    <w:rsid w:val="00615277"/>
    <w:rsid w:val="006153D8"/>
    <w:rsid w:val="006170C2"/>
    <w:rsid w:val="00617579"/>
    <w:rsid w:val="00617CC3"/>
    <w:rsid w:val="00627BAD"/>
    <w:rsid w:val="006316FF"/>
    <w:rsid w:val="006327D5"/>
    <w:rsid w:val="006327F6"/>
    <w:rsid w:val="00635E0C"/>
    <w:rsid w:val="006377A6"/>
    <w:rsid w:val="00637A3D"/>
    <w:rsid w:val="006411EF"/>
    <w:rsid w:val="00641461"/>
    <w:rsid w:val="00641961"/>
    <w:rsid w:val="006427FA"/>
    <w:rsid w:val="00643717"/>
    <w:rsid w:val="006437EC"/>
    <w:rsid w:val="00643CCB"/>
    <w:rsid w:val="0064465E"/>
    <w:rsid w:val="00646937"/>
    <w:rsid w:val="00647688"/>
    <w:rsid w:val="006513D3"/>
    <w:rsid w:val="006522F9"/>
    <w:rsid w:val="006545D0"/>
    <w:rsid w:val="006554C4"/>
    <w:rsid w:val="00657BA8"/>
    <w:rsid w:val="006607D3"/>
    <w:rsid w:val="00661D1F"/>
    <w:rsid w:val="00662F22"/>
    <w:rsid w:val="006658FD"/>
    <w:rsid w:val="00670C04"/>
    <w:rsid w:val="006748B8"/>
    <w:rsid w:val="0067622C"/>
    <w:rsid w:val="00676629"/>
    <w:rsid w:val="0067694A"/>
    <w:rsid w:val="006775C3"/>
    <w:rsid w:val="00680568"/>
    <w:rsid w:val="00683BFF"/>
    <w:rsid w:val="0069290A"/>
    <w:rsid w:val="006932C5"/>
    <w:rsid w:val="0069432F"/>
    <w:rsid w:val="0069480A"/>
    <w:rsid w:val="00696FF5"/>
    <w:rsid w:val="0069775A"/>
    <w:rsid w:val="00697813"/>
    <w:rsid w:val="00697D9C"/>
    <w:rsid w:val="006A39D8"/>
    <w:rsid w:val="006A3EE8"/>
    <w:rsid w:val="006A72BF"/>
    <w:rsid w:val="006A7E93"/>
    <w:rsid w:val="006B03F2"/>
    <w:rsid w:val="006B0DD6"/>
    <w:rsid w:val="006B1F2C"/>
    <w:rsid w:val="006B2E90"/>
    <w:rsid w:val="006B37DC"/>
    <w:rsid w:val="006B3DC0"/>
    <w:rsid w:val="006B43B3"/>
    <w:rsid w:val="006B4F68"/>
    <w:rsid w:val="006B7D63"/>
    <w:rsid w:val="006C0592"/>
    <w:rsid w:val="006C272E"/>
    <w:rsid w:val="006C5479"/>
    <w:rsid w:val="006C77C0"/>
    <w:rsid w:val="006D003E"/>
    <w:rsid w:val="006D0479"/>
    <w:rsid w:val="006D13B5"/>
    <w:rsid w:val="006D42F9"/>
    <w:rsid w:val="006D43CC"/>
    <w:rsid w:val="006D520C"/>
    <w:rsid w:val="006D6BE0"/>
    <w:rsid w:val="006E12FF"/>
    <w:rsid w:val="006E2788"/>
    <w:rsid w:val="006E607E"/>
    <w:rsid w:val="006E6A52"/>
    <w:rsid w:val="006E75F6"/>
    <w:rsid w:val="006F050F"/>
    <w:rsid w:val="006F0FAC"/>
    <w:rsid w:val="006F5679"/>
    <w:rsid w:val="006F72B5"/>
    <w:rsid w:val="00700D0E"/>
    <w:rsid w:val="007019FF"/>
    <w:rsid w:val="00703C7B"/>
    <w:rsid w:val="00705AEA"/>
    <w:rsid w:val="00706C5D"/>
    <w:rsid w:val="00710431"/>
    <w:rsid w:val="00711275"/>
    <w:rsid w:val="007115AA"/>
    <w:rsid w:val="00713AFA"/>
    <w:rsid w:val="007217AE"/>
    <w:rsid w:val="007227A4"/>
    <w:rsid w:val="00724667"/>
    <w:rsid w:val="00724E53"/>
    <w:rsid w:val="007272AC"/>
    <w:rsid w:val="00732922"/>
    <w:rsid w:val="007356F8"/>
    <w:rsid w:val="00737B2D"/>
    <w:rsid w:val="00746BDE"/>
    <w:rsid w:val="007474CF"/>
    <w:rsid w:val="00747601"/>
    <w:rsid w:val="0075037D"/>
    <w:rsid w:val="007511A3"/>
    <w:rsid w:val="0075162E"/>
    <w:rsid w:val="00754034"/>
    <w:rsid w:val="007544CD"/>
    <w:rsid w:val="007558CD"/>
    <w:rsid w:val="00756556"/>
    <w:rsid w:val="0075728E"/>
    <w:rsid w:val="007618C4"/>
    <w:rsid w:val="00761B3A"/>
    <w:rsid w:val="00762458"/>
    <w:rsid w:val="00762839"/>
    <w:rsid w:val="00767980"/>
    <w:rsid w:val="007707A7"/>
    <w:rsid w:val="007709D9"/>
    <w:rsid w:val="00770B19"/>
    <w:rsid w:val="0077289D"/>
    <w:rsid w:val="00773C7E"/>
    <w:rsid w:val="0077463F"/>
    <w:rsid w:val="007836EA"/>
    <w:rsid w:val="00784CDA"/>
    <w:rsid w:val="00786D4A"/>
    <w:rsid w:val="00786DD3"/>
    <w:rsid w:val="007906C4"/>
    <w:rsid w:val="0079087E"/>
    <w:rsid w:val="00793AC9"/>
    <w:rsid w:val="00793BB2"/>
    <w:rsid w:val="007940EA"/>
    <w:rsid w:val="00794B7E"/>
    <w:rsid w:val="00794E0F"/>
    <w:rsid w:val="007967E8"/>
    <w:rsid w:val="00796B84"/>
    <w:rsid w:val="00796EF6"/>
    <w:rsid w:val="007A0503"/>
    <w:rsid w:val="007A2170"/>
    <w:rsid w:val="007A22BF"/>
    <w:rsid w:val="007A3323"/>
    <w:rsid w:val="007A3B47"/>
    <w:rsid w:val="007B1254"/>
    <w:rsid w:val="007B15C5"/>
    <w:rsid w:val="007B42D1"/>
    <w:rsid w:val="007B5F89"/>
    <w:rsid w:val="007B72B8"/>
    <w:rsid w:val="007B7A58"/>
    <w:rsid w:val="007C21B5"/>
    <w:rsid w:val="007C315A"/>
    <w:rsid w:val="007C52F3"/>
    <w:rsid w:val="007C55D1"/>
    <w:rsid w:val="007C7070"/>
    <w:rsid w:val="007C752D"/>
    <w:rsid w:val="007D041F"/>
    <w:rsid w:val="007D17E5"/>
    <w:rsid w:val="007D5F3D"/>
    <w:rsid w:val="007D643C"/>
    <w:rsid w:val="007D6727"/>
    <w:rsid w:val="007D7866"/>
    <w:rsid w:val="007E1311"/>
    <w:rsid w:val="007E2E9F"/>
    <w:rsid w:val="007E4BD2"/>
    <w:rsid w:val="007E4CBD"/>
    <w:rsid w:val="007E4F57"/>
    <w:rsid w:val="007E6551"/>
    <w:rsid w:val="007E7933"/>
    <w:rsid w:val="007E7F5E"/>
    <w:rsid w:val="007F1AB9"/>
    <w:rsid w:val="007F24C4"/>
    <w:rsid w:val="007F265A"/>
    <w:rsid w:val="007F3E80"/>
    <w:rsid w:val="007F3FC0"/>
    <w:rsid w:val="007F5DC2"/>
    <w:rsid w:val="007F609D"/>
    <w:rsid w:val="007F665F"/>
    <w:rsid w:val="0080088B"/>
    <w:rsid w:val="00801393"/>
    <w:rsid w:val="00801540"/>
    <w:rsid w:val="00802F88"/>
    <w:rsid w:val="00804223"/>
    <w:rsid w:val="00804760"/>
    <w:rsid w:val="00807CFC"/>
    <w:rsid w:val="008100E0"/>
    <w:rsid w:val="00810E60"/>
    <w:rsid w:val="008126C3"/>
    <w:rsid w:val="0081293E"/>
    <w:rsid w:val="008131AF"/>
    <w:rsid w:val="00814795"/>
    <w:rsid w:val="00815465"/>
    <w:rsid w:val="00817E9A"/>
    <w:rsid w:val="00822B36"/>
    <w:rsid w:val="0082705F"/>
    <w:rsid w:val="008306BD"/>
    <w:rsid w:val="00831A80"/>
    <w:rsid w:val="008328A4"/>
    <w:rsid w:val="00833743"/>
    <w:rsid w:val="008340A4"/>
    <w:rsid w:val="00836E72"/>
    <w:rsid w:val="0084092C"/>
    <w:rsid w:val="0084191A"/>
    <w:rsid w:val="00841B57"/>
    <w:rsid w:val="00843DF9"/>
    <w:rsid w:val="00844822"/>
    <w:rsid w:val="0084580A"/>
    <w:rsid w:val="00845FF9"/>
    <w:rsid w:val="008465B8"/>
    <w:rsid w:val="008479B7"/>
    <w:rsid w:val="00850B89"/>
    <w:rsid w:val="00851B1F"/>
    <w:rsid w:val="0085410E"/>
    <w:rsid w:val="00856146"/>
    <w:rsid w:val="0086154B"/>
    <w:rsid w:val="00861886"/>
    <w:rsid w:val="00861A23"/>
    <w:rsid w:val="00863B1B"/>
    <w:rsid w:val="00866A2D"/>
    <w:rsid w:val="0087135F"/>
    <w:rsid w:val="00872D94"/>
    <w:rsid w:val="00873039"/>
    <w:rsid w:val="00876983"/>
    <w:rsid w:val="00880364"/>
    <w:rsid w:val="00881896"/>
    <w:rsid w:val="0088349F"/>
    <w:rsid w:val="008835B4"/>
    <w:rsid w:val="00887BB1"/>
    <w:rsid w:val="00891293"/>
    <w:rsid w:val="00891592"/>
    <w:rsid w:val="00891E9E"/>
    <w:rsid w:val="008933AA"/>
    <w:rsid w:val="008A2F68"/>
    <w:rsid w:val="008A5101"/>
    <w:rsid w:val="008B04A2"/>
    <w:rsid w:val="008B0EF2"/>
    <w:rsid w:val="008B411A"/>
    <w:rsid w:val="008B4FA6"/>
    <w:rsid w:val="008B5282"/>
    <w:rsid w:val="008B6756"/>
    <w:rsid w:val="008B775C"/>
    <w:rsid w:val="008B7C17"/>
    <w:rsid w:val="008B7E15"/>
    <w:rsid w:val="008C1CF2"/>
    <w:rsid w:val="008C2D01"/>
    <w:rsid w:val="008C40E6"/>
    <w:rsid w:val="008C7767"/>
    <w:rsid w:val="008D0940"/>
    <w:rsid w:val="008D0F7A"/>
    <w:rsid w:val="008D3035"/>
    <w:rsid w:val="008D3221"/>
    <w:rsid w:val="008D3826"/>
    <w:rsid w:val="008D3831"/>
    <w:rsid w:val="008D68E4"/>
    <w:rsid w:val="008D6BF2"/>
    <w:rsid w:val="008D7C76"/>
    <w:rsid w:val="008D7E29"/>
    <w:rsid w:val="008E0202"/>
    <w:rsid w:val="008E0506"/>
    <w:rsid w:val="008E0CFF"/>
    <w:rsid w:val="008E1911"/>
    <w:rsid w:val="008E35A4"/>
    <w:rsid w:val="008E5D6B"/>
    <w:rsid w:val="008E638F"/>
    <w:rsid w:val="008E6FEF"/>
    <w:rsid w:val="008E76F0"/>
    <w:rsid w:val="008E7D09"/>
    <w:rsid w:val="008F1176"/>
    <w:rsid w:val="008F15FE"/>
    <w:rsid w:val="008F2D29"/>
    <w:rsid w:val="008F3C35"/>
    <w:rsid w:val="008F5187"/>
    <w:rsid w:val="008F60D8"/>
    <w:rsid w:val="008F6826"/>
    <w:rsid w:val="009017EA"/>
    <w:rsid w:val="00902727"/>
    <w:rsid w:val="0090312B"/>
    <w:rsid w:val="00905658"/>
    <w:rsid w:val="00905E90"/>
    <w:rsid w:val="00907B6A"/>
    <w:rsid w:val="00910EC2"/>
    <w:rsid w:val="0091427A"/>
    <w:rsid w:val="00914884"/>
    <w:rsid w:val="00915BC7"/>
    <w:rsid w:val="0091736D"/>
    <w:rsid w:val="009176E9"/>
    <w:rsid w:val="0092080C"/>
    <w:rsid w:val="0092476F"/>
    <w:rsid w:val="009269A2"/>
    <w:rsid w:val="009301FC"/>
    <w:rsid w:val="0093037A"/>
    <w:rsid w:val="00932254"/>
    <w:rsid w:val="00934883"/>
    <w:rsid w:val="00936D22"/>
    <w:rsid w:val="00940063"/>
    <w:rsid w:val="0094154D"/>
    <w:rsid w:val="00951201"/>
    <w:rsid w:val="0095155F"/>
    <w:rsid w:val="00952222"/>
    <w:rsid w:val="00952288"/>
    <w:rsid w:val="00954429"/>
    <w:rsid w:val="009560B3"/>
    <w:rsid w:val="009563CE"/>
    <w:rsid w:val="00956456"/>
    <w:rsid w:val="00960175"/>
    <w:rsid w:val="009603FB"/>
    <w:rsid w:val="00961493"/>
    <w:rsid w:val="00961E9C"/>
    <w:rsid w:val="009647ED"/>
    <w:rsid w:val="00967013"/>
    <w:rsid w:val="00971CAA"/>
    <w:rsid w:val="0097320D"/>
    <w:rsid w:val="0097456F"/>
    <w:rsid w:val="0097457F"/>
    <w:rsid w:val="009750AB"/>
    <w:rsid w:val="00976328"/>
    <w:rsid w:val="0097680D"/>
    <w:rsid w:val="00977B8B"/>
    <w:rsid w:val="00977E9A"/>
    <w:rsid w:val="00981DD6"/>
    <w:rsid w:val="00982438"/>
    <w:rsid w:val="0098404C"/>
    <w:rsid w:val="0098409A"/>
    <w:rsid w:val="00985283"/>
    <w:rsid w:val="00985AD0"/>
    <w:rsid w:val="00991232"/>
    <w:rsid w:val="00991489"/>
    <w:rsid w:val="00991EC5"/>
    <w:rsid w:val="00994F01"/>
    <w:rsid w:val="00995992"/>
    <w:rsid w:val="009978BB"/>
    <w:rsid w:val="009A03E5"/>
    <w:rsid w:val="009A0F3B"/>
    <w:rsid w:val="009A1BB4"/>
    <w:rsid w:val="009A2628"/>
    <w:rsid w:val="009A3200"/>
    <w:rsid w:val="009A58AC"/>
    <w:rsid w:val="009B0897"/>
    <w:rsid w:val="009B08E9"/>
    <w:rsid w:val="009B23B4"/>
    <w:rsid w:val="009B369F"/>
    <w:rsid w:val="009B7BD9"/>
    <w:rsid w:val="009C07EF"/>
    <w:rsid w:val="009C2219"/>
    <w:rsid w:val="009C39AD"/>
    <w:rsid w:val="009C66A5"/>
    <w:rsid w:val="009C6CF7"/>
    <w:rsid w:val="009C6D4F"/>
    <w:rsid w:val="009C7CA5"/>
    <w:rsid w:val="009C7DD5"/>
    <w:rsid w:val="009D057B"/>
    <w:rsid w:val="009D71A4"/>
    <w:rsid w:val="009E05BA"/>
    <w:rsid w:val="009E095F"/>
    <w:rsid w:val="009E1BDA"/>
    <w:rsid w:val="009E2131"/>
    <w:rsid w:val="009E227D"/>
    <w:rsid w:val="009E2FA0"/>
    <w:rsid w:val="009E42C2"/>
    <w:rsid w:val="009E5019"/>
    <w:rsid w:val="009E68D0"/>
    <w:rsid w:val="009F074C"/>
    <w:rsid w:val="009F0F1E"/>
    <w:rsid w:val="009F1412"/>
    <w:rsid w:val="009F28EE"/>
    <w:rsid w:val="009F3AF9"/>
    <w:rsid w:val="009F7214"/>
    <w:rsid w:val="00A01578"/>
    <w:rsid w:val="00A01C52"/>
    <w:rsid w:val="00A03143"/>
    <w:rsid w:val="00A04D1D"/>
    <w:rsid w:val="00A04E9B"/>
    <w:rsid w:val="00A04F1B"/>
    <w:rsid w:val="00A0501B"/>
    <w:rsid w:val="00A0643B"/>
    <w:rsid w:val="00A067F1"/>
    <w:rsid w:val="00A0768E"/>
    <w:rsid w:val="00A07EE9"/>
    <w:rsid w:val="00A12741"/>
    <w:rsid w:val="00A1347F"/>
    <w:rsid w:val="00A14947"/>
    <w:rsid w:val="00A16C5D"/>
    <w:rsid w:val="00A22BA3"/>
    <w:rsid w:val="00A251B9"/>
    <w:rsid w:val="00A27F77"/>
    <w:rsid w:val="00A3161D"/>
    <w:rsid w:val="00A32A83"/>
    <w:rsid w:val="00A346EC"/>
    <w:rsid w:val="00A3470B"/>
    <w:rsid w:val="00A34E98"/>
    <w:rsid w:val="00A368DB"/>
    <w:rsid w:val="00A373F4"/>
    <w:rsid w:val="00A379F2"/>
    <w:rsid w:val="00A40C9C"/>
    <w:rsid w:val="00A41061"/>
    <w:rsid w:val="00A41E83"/>
    <w:rsid w:val="00A423AA"/>
    <w:rsid w:val="00A44525"/>
    <w:rsid w:val="00A50891"/>
    <w:rsid w:val="00A51ADC"/>
    <w:rsid w:val="00A53EC6"/>
    <w:rsid w:val="00A54411"/>
    <w:rsid w:val="00A55814"/>
    <w:rsid w:val="00A55959"/>
    <w:rsid w:val="00A55C0F"/>
    <w:rsid w:val="00A578DD"/>
    <w:rsid w:val="00A57BB5"/>
    <w:rsid w:val="00A60241"/>
    <w:rsid w:val="00A6212D"/>
    <w:rsid w:val="00A62C61"/>
    <w:rsid w:val="00A632ED"/>
    <w:rsid w:val="00A63F5E"/>
    <w:rsid w:val="00A659BF"/>
    <w:rsid w:val="00A71B83"/>
    <w:rsid w:val="00A7591E"/>
    <w:rsid w:val="00A764D3"/>
    <w:rsid w:val="00A81EE7"/>
    <w:rsid w:val="00A835FE"/>
    <w:rsid w:val="00A84687"/>
    <w:rsid w:val="00A84823"/>
    <w:rsid w:val="00A84CBB"/>
    <w:rsid w:val="00A86E7A"/>
    <w:rsid w:val="00A8713F"/>
    <w:rsid w:val="00A90049"/>
    <w:rsid w:val="00A90BA1"/>
    <w:rsid w:val="00A926D1"/>
    <w:rsid w:val="00A95831"/>
    <w:rsid w:val="00A95AA4"/>
    <w:rsid w:val="00A95C47"/>
    <w:rsid w:val="00A97A9A"/>
    <w:rsid w:val="00AA0671"/>
    <w:rsid w:val="00AA2531"/>
    <w:rsid w:val="00AA7EBB"/>
    <w:rsid w:val="00AB075E"/>
    <w:rsid w:val="00AB19F7"/>
    <w:rsid w:val="00AB1E09"/>
    <w:rsid w:val="00AB5330"/>
    <w:rsid w:val="00AB630F"/>
    <w:rsid w:val="00AB7700"/>
    <w:rsid w:val="00AB7747"/>
    <w:rsid w:val="00AC14CE"/>
    <w:rsid w:val="00AC2A56"/>
    <w:rsid w:val="00AC7B01"/>
    <w:rsid w:val="00AD055E"/>
    <w:rsid w:val="00AD0B0A"/>
    <w:rsid w:val="00AD399A"/>
    <w:rsid w:val="00AD3AF9"/>
    <w:rsid w:val="00AD47A7"/>
    <w:rsid w:val="00AD6768"/>
    <w:rsid w:val="00AD75B9"/>
    <w:rsid w:val="00AE08B5"/>
    <w:rsid w:val="00AE54B0"/>
    <w:rsid w:val="00AE5504"/>
    <w:rsid w:val="00AE5FC6"/>
    <w:rsid w:val="00AE77EB"/>
    <w:rsid w:val="00AF0CA5"/>
    <w:rsid w:val="00AF0CBF"/>
    <w:rsid w:val="00AF257F"/>
    <w:rsid w:val="00AF33CF"/>
    <w:rsid w:val="00AF4982"/>
    <w:rsid w:val="00AF4D50"/>
    <w:rsid w:val="00AF5A10"/>
    <w:rsid w:val="00AF6179"/>
    <w:rsid w:val="00AF67D9"/>
    <w:rsid w:val="00AF76D3"/>
    <w:rsid w:val="00AF7CCC"/>
    <w:rsid w:val="00B007DB"/>
    <w:rsid w:val="00B012EB"/>
    <w:rsid w:val="00B015DE"/>
    <w:rsid w:val="00B019DD"/>
    <w:rsid w:val="00B02DE5"/>
    <w:rsid w:val="00B0606B"/>
    <w:rsid w:val="00B11487"/>
    <w:rsid w:val="00B11FAD"/>
    <w:rsid w:val="00B1295A"/>
    <w:rsid w:val="00B12A20"/>
    <w:rsid w:val="00B12D4C"/>
    <w:rsid w:val="00B131EC"/>
    <w:rsid w:val="00B173D3"/>
    <w:rsid w:val="00B20506"/>
    <w:rsid w:val="00B20741"/>
    <w:rsid w:val="00B20A45"/>
    <w:rsid w:val="00B22C5C"/>
    <w:rsid w:val="00B24D94"/>
    <w:rsid w:val="00B24F30"/>
    <w:rsid w:val="00B26C50"/>
    <w:rsid w:val="00B27F7F"/>
    <w:rsid w:val="00B316D2"/>
    <w:rsid w:val="00B31ABF"/>
    <w:rsid w:val="00B33BE3"/>
    <w:rsid w:val="00B353E2"/>
    <w:rsid w:val="00B403CF"/>
    <w:rsid w:val="00B40E2C"/>
    <w:rsid w:val="00B412B4"/>
    <w:rsid w:val="00B43C6B"/>
    <w:rsid w:val="00B45E8D"/>
    <w:rsid w:val="00B460AF"/>
    <w:rsid w:val="00B506C2"/>
    <w:rsid w:val="00B51008"/>
    <w:rsid w:val="00B53B5D"/>
    <w:rsid w:val="00B53FF6"/>
    <w:rsid w:val="00B54DFA"/>
    <w:rsid w:val="00B56E39"/>
    <w:rsid w:val="00B6055E"/>
    <w:rsid w:val="00B62721"/>
    <w:rsid w:val="00B6283F"/>
    <w:rsid w:val="00B629CF"/>
    <w:rsid w:val="00B62E84"/>
    <w:rsid w:val="00B6317D"/>
    <w:rsid w:val="00B64F77"/>
    <w:rsid w:val="00B702B5"/>
    <w:rsid w:val="00B7230D"/>
    <w:rsid w:val="00B72EBC"/>
    <w:rsid w:val="00B73B45"/>
    <w:rsid w:val="00B77001"/>
    <w:rsid w:val="00B7723F"/>
    <w:rsid w:val="00B77268"/>
    <w:rsid w:val="00B80534"/>
    <w:rsid w:val="00B82743"/>
    <w:rsid w:val="00B8433C"/>
    <w:rsid w:val="00B844F6"/>
    <w:rsid w:val="00B84D6C"/>
    <w:rsid w:val="00B87491"/>
    <w:rsid w:val="00B90AD0"/>
    <w:rsid w:val="00B95517"/>
    <w:rsid w:val="00B95DB1"/>
    <w:rsid w:val="00B9609C"/>
    <w:rsid w:val="00BA025A"/>
    <w:rsid w:val="00BA29E9"/>
    <w:rsid w:val="00BA3712"/>
    <w:rsid w:val="00BA5CC5"/>
    <w:rsid w:val="00BA7142"/>
    <w:rsid w:val="00BA721F"/>
    <w:rsid w:val="00BA743F"/>
    <w:rsid w:val="00BB02AC"/>
    <w:rsid w:val="00BB237C"/>
    <w:rsid w:val="00BB3D13"/>
    <w:rsid w:val="00BB41A3"/>
    <w:rsid w:val="00BB4825"/>
    <w:rsid w:val="00BB5746"/>
    <w:rsid w:val="00BB7324"/>
    <w:rsid w:val="00BC32DC"/>
    <w:rsid w:val="00BC35B6"/>
    <w:rsid w:val="00BC3EB3"/>
    <w:rsid w:val="00BC4498"/>
    <w:rsid w:val="00BC5230"/>
    <w:rsid w:val="00BD1B51"/>
    <w:rsid w:val="00BD20CC"/>
    <w:rsid w:val="00BD4596"/>
    <w:rsid w:val="00BD7136"/>
    <w:rsid w:val="00BE1405"/>
    <w:rsid w:val="00BE312D"/>
    <w:rsid w:val="00BF0354"/>
    <w:rsid w:val="00BF1C20"/>
    <w:rsid w:val="00BF27F9"/>
    <w:rsid w:val="00BF45A6"/>
    <w:rsid w:val="00BF5292"/>
    <w:rsid w:val="00BF7078"/>
    <w:rsid w:val="00C002B2"/>
    <w:rsid w:val="00C03F3E"/>
    <w:rsid w:val="00C043CF"/>
    <w:rsid w:val="00C04526"/>
    <w:rsid w:val="00C068F2"/>
    <w:rsid w:val="00C10578"/>
    <w:rsid w:val="00C11C8C"/>
    <w:rsid w:val="00C135BC"/>
    <w:rsid w:val="00C15C95"/>
    <w:rsid w:val="00C209A6"/>
    <w:rsid w:val="00C21112"/>
    <w:rsid w:val="00C21E88"/>
    <w:rsid w:val="00C23067"/>
    <w:rsid w:val="00C256B4"/>
    <w:rsid w:val="00C2596A"/>
    <w:rsid w:val="00C2639B"/>
    <w:rsid w:val="00C27537"/>
    <w:rsid w:val="00C27E1B"/>
    <w:rsid w:val="00C31DA1"/>
    <w:rsid w:val="00C328FE"/>
    <w:rsid w:val="00C3300E"/>
    <w:rsid w:val="00C33507"/>
    <w:rsid w:val="00C344A7"/>
    <w:rsid w:val="00C3558C"/>
    <w:rsid w:val="00C36373"/>
    <w:rsid w:val="00C41F36"/>
    <w:rsid w:val="00C4409D"/>
    <w:rsid w:val="00C44E72"/>
    <w:rsid w:val="00C45939"/>
    <w:rsid w:val="00C45A06"/>
    <w:rsid w:val="00C45A48"/>
    <w:rsid w:val="00C45D81"/>
    <w:rsid w:val="00C47497"/>
    <w:rsid w:val="00C47E5B"/>
    <w:rsid w:val="00C506FF"/>
    <w:rsid w:val="00C51474"/>
    <w:rsid w:val="00C53E13"/>
    <w:rsid w:val="00C55FFC"/>
    <w:rsid w:val="00C61E4B"/>
    <w:rsid w:val="00C64BFF"/>
    <w:rsid w:val="00C70205"/>
    <w:rsid w:val="00C704E9"/>
    <w:rsid w:val="00C72EEF"/>
    <w:rsid w:val="00C73C68"/>
    <w:rsid w:val="00C763C9"/>
    <w:rsid w:val="00C7726C"/>
    <w:rsid w:val="00C80057"/>
    <w:rsid w:val="00C81F42"/>
    <w:rsid w:val="00C82232"/>
    <w:rsid w:val="00C82913"/>
    <w:rsid w:val="00C82B8F"/>
    <w:rsid w:val="00C86E1A"/>
    <w:rsid w:val="00C8762B"/>
    <w:rsid w:val="00C87858"/>
    <w:rsid w:val="00C967BA"/>
    <w:rsid w:val="00C972B1"/>
    <w:rsid w:val="00CA1CD1"/>
    <w:rsid w:val="00CA2813"/>
    <w:rsid w:val="00CA2CCE"/>
    <w:rsid w:val="00CA43FD"/>
    <w:rsid w:val="00CA6E49"/>
    <w:rsid w:val="00CA7EF8"/>
    <w:rsid w:val="00CB1688"/>
    <w:rsid w:val="00CB1C14"/>
    <w:rsid w:val="00CB5C82"/>
    <w:rsid w:val="00CB77FC"/>
    <w:rsid w:val="00CC489B"/>
    <w:rsid w:val="00CC65F6"/>
    <w:rsid w:val="00CC7ED9"/>
    <w:rsid w:val="00CD2BCD"/>
    <w:rsid w:val="00CD315F"/>
    <w:rsid w:val="00CD3A4C"/>
    <w:rsid w:val="00CD7D81"/>
    <w:rsid w:val="00CE068A"/>
    <w:rsid w:val="00CE10E9"/>
    <w:rsid w:val="00CE2910"/>
    <w:rsid w:val="00CE5393"/>
    <w:rsid w:val="00CE762E"/>
    <w:rsid w:val="00CE79E9"/>
    <w:rsid w:val="00CF14CE"/>
    <w:rsid w:val="00CF14EE"/>
    <w:rsid w:val="00CF2B50"/>
    <w:rsid w:val="00CF365D"/>
    <w:rsid w:val="00CF36BE"/>
    <w:rsid w:val="00CF39E5"/>
    <w:rsid w:val="00CF5873"/>
    <w:rsid w:val="00CF6000"/>
    <w:rsid w:val="00CF727F"/>
    <w:rsid w:val="00CF7E06"/>
    <w:rsid w:val="00D003F3"/>
    <w:rsid w:val="00D012AE"/>
    <w:rsid w:val="00D0364F"/>
    <w:rsid w:val="00D04504"/>
    <w:rsid w:val="00D06834"/>
    <w:rsid w:val="00D07DE3"/>
    <w:rsid w:val="00D10810"/>
    <w:rsid w:val="00D11B85"/>
    <w:rsid w:val="00D137E2"/>
    <w:rsid w:val="00D13AE4"/>
    <w:rsid w:val="00D2543C"/>
    <w:rsid w:val="00D2683A"/>
    <w:rsid w:val="00D26D9F"/>
    <w:rsid w:val="00D27394"/>
    <w:rsid w:val="00D308ED"/>
    <w:rsid w:val="00D32E20"/>
    <w:rsid w:val="00D36D86"/>
    <w:rsid w:val="00D36F9C"/>
    <w:rsid w:val="00D41FE8"/>
    <w:rsid w:val="00D428AA"/>
    <w:rsid w:val="00D45C84"/>
    <w:rsid w:val="00D4663B"/>
    <w:rsid w:val="00D50A34"/>
    <w:rsid w:val="00D510FD"/>
    <w:rsid w:val="00D51B01"/>
    <w:rsid w:val="00D531F7"/>
    <w:rsid w:val="00D53EFA"/>
    <w:rsid w:val="00D5653E"/>
    <w:rsid w:val="00D57055"/>
    <w:rsid w:val="00D60E3F"/>
    <w:rsid w:val="00D62B8E"/>
    <w:rsid w:val="00D63456"/>
    <w:rsid w:val="00D638C1"/>
    <w:rsid w:val="00D65C49"/>
    <w:rsid w:val="00D65FF6"/>
    <w:rsid w:val="00D6600F"/>
    <w:rsid w:val="00D761D9"/>
    <w:rsid w:val="00D7795F"/>
    <w:rsid w:val="00D82AC4"/>
    <w:rsid w:val="00D82AF7"/>
    <w:rsid w:val="00D872EE"/>
    <w:rsid w:val="00D8750E"/>
    <w:rsid w:val="00D90DB6"/>
    <w:rsid w:val="00D94A7C"/>
    <w:rsid w:val="00D95896"/>
    <w:rsid w:val="00D96234"/>
    <w:rsid w:val="00DA248D"/>
    <w:rsid w:val="00DA4DBF"/>
    <w:rsid w:val="00DA7EBC"/>
    <w:rsid w:val="00DB0E9A"/>
    <w:rsid w:val="00DB2983"/>
    <w:rsid w:val="00DB4119"/>
    <w:rsid w:val="00DB49EF"/>
    <w:rsid w:val="00DC1257"/>
    <w:rsid w:val="00DC3DC0"/>
    <w:rsid w:val="00DC4BE4"/>
    <w:rsid w:val="00DC5B2B"/>
    <w:rsid w:val="00DC610C"/>
    <w:rsid w:val="00DC652E"/>
    <w:rsid w:val="00DC7E44"/>
    <w:rsid w:val="00DD16B3"/>
    <w:rsid w:val="00DD318D"/>
    <w:rsid w:val="00DD4BC8"/>
    <w:rsid w:val="00DD6E8A"/>
    <w:rsid w:val="00DE1D25"/>
    <w:rsid w:val="00DE24BE"/>
    <w:rsid w:val="00DF2E12"/>
    <w:rsid w:val="00DF514A"/>
    <w:rsid w:val="00DF5562"/>
    <w:rsid w:val="00DF6690"/>
    <w:rsid w:val="00DF6804"/>
    <w:rsid w:val="00E0358D"/>
    <w:rsid w:val="00E04323"/>
    <w:rsid w:val="00E070A2"/>
    <w:rsid w:val="00E0771F"/>
    <w:rsid w:val="00E13367"/>
    <w:rsid w:val="00E15AA4"/>
    <w:rsid w:val="00E16400"/>
    <w:rsid w:val="00E212D6"/>
    <w:rsid w:val="00E2656A"/>
    <w:rsid w:val="00E27888"/>
    <w:rsid w:val="00E326A4"/>
    <w:rsid w:val="00E32ADC"/>
    <w:rsid w:val="00E36CBB"/>
    <w:rsid w:val="00E40B27"/>
    <w:rsid w:val="00E412D0"/>
    <w:rsid w:val="00E438EC"/>
    <w:rsid w:val="00E439F3"/>
    <w:rsid w:val="00E470DB"/>
    <w:rsid w:val="00E51C9C"/>
    <w:rsid w:val="00E51D9A"/>
    <w:rsid w:val="00E56322"/>
    <w:rsid w:val="00E60982"/>
    <w:rsid w:val="00E62C62"/>
    <w:rsid w:val="00E63567"/>
    <w:rsid w:val="00E63F48"/>
    <w:rsid w:val="00E654C1"/>
    <w:rsid w:val="00E65D97"/>
    <w:rsid w:val="00E6749C"/>
    <w:rsid w:val="00E72A5A"/>
    <w:rsid w:val="00E72F76"/>
    <w:rsid w:val="00E731A4"/>
    <w:rsid w:val="00E73354"/>
    <w:rsid w:val="00E7371D"/>
    <w:rsid w:val="00E746F0"/>
    <w:rsid w:val="00E7474A"/>
    <w:rsid w:val="00E76E63"/>
    <w:rsid w:val="00E77F87"/>
    <w:rsid w:val="00E82A7A"/>
    <w:rsid w:val="00E8458D"/>
    <w:rsid w:val="00E84FCC"/>
    <w:rsid w:val="00E90003"/>
    <w:rsid w:val="00E91B6E"/>
    <w:rsid w:val="00E9242D"/>
    <w:rsid w:val="00E93958"/>
    <w:rsid w:val="00E93C0D"/>
    <w:rsid w:val="00EA2DB8"/>
    <w:rsid w:val="00EA6485"/>
    <w:rsid w:val="00EA79F0"/>
    <w:rsid w:val="00EB5255"/>
    <w:rsid w:val="00EB5C47"/>
    <w:rsid w:val="00EC1D4B"/>
    <w:rsid w:val="00EC2441"/>
    <w:rsid w:val="00EC3B72"/>
    <w:rsid w:val="00EC69E9"/>
    <w:rsid w:val="00EC6C5C"/>
    <w:rsid w:val="00EC718B"/>
    <w:rsid w:val="00EC719C"/>
    <w:rsid w:val="00EC7839"/>
    <w:rsid w:val="00ED0639"/>
    <w:rsid w:val="00ED1E0B"/>
    <w:rsid w:val="00ED2CB9"/>
    <w:rsid w:val="00ED46E4"/>
    <w:rsid w:val="00ED561F"/>
    <w:rsid w:val="00EE1DC7"/>
    <w:rsid w:val="00EE297D"/>
    <w:rsid w:val="00EE535C"/>
    <w:rsid w:val="00EE624D"/>
    <w:rsid w:val="00EE6307"/>
    <w:rsid w:val="00EE7A19"/>
    <w:rsid w:val="00EF06FF"/>
    <w:rsid w:val="00EF380A"/>
    <w:rsid w:val="00EF3A13"/>
    <w:rsid w:val="00EF4755"/>
    <w:rsid w:val="00EF5111"/>
    <w:rsid w:val="00EF5D4F"/>
    <w:rsid w:val="00EF7135"/>
    <w:rsid w:val="00EF7A0B"/>
    <w:rsid w:val="00F027DB"/>
    <w:rsid w:val="00F041D4"/>
    <w:rsid w:val="00F04637"/>
    <w:rsid w:val="00F0534C"/>
    <w:rsid w:val="00F05622"/>
    <w:rsid w:val="00F07224"/>
    <w:rsid w:val="00F14A7A"/>
    <w:rsid w:val="00F15230"/>
    <w:rsid w:val="00F17D8D"/>
    <w:rsid w:val="00F218E0"/>
    <w:rsid w:val="00F22985"/>
    <w:rsid w:val="00F26C52"/>
    <w:rsid w:val="00F2723D"/>
    <w:rsid w:val="00F272D4"/>
    <w:rsid w:val="00F27E42"/>
    <w:rsid w:val="00F303EA"/>
    <w:rsid w:val="00F310E5"/>
    <w:rsid w:val="00F32D3E"/>
    <w:rsid w:val="00F3383E"/>
    <w:rsid w:val="00F34454"/>
    <w:rsid w:val="00F34951"/>
    <w:rsid w:val="00F36B49"/>
    <w:rsid w:val="00F404A7"/>
    <w:rsid w:val="00F407F5"/>
    <w:rsid w:val="00F40FBB"/>
    <w:rsid w:val="00F41E1B"/>
    <w:rsid w:val="00F42ABF"/>
    <w:rsid w:val="00F43C9C"/>
    <w:rsid w:val="00F44296"/>
    <w:rsid w:val="00F4432D"/>
    <w:rsid w:val="00F44EE6"/>
    <w:rsid w:val="00F4552B"/>
    <w:rsid w:val="00F458BC"/>
    <w:rsid w:val="00F465A7"/>
    <w:rsid w:val="00F4669D"/>
    <w:rsid w:val="00F467F4"/>
    <w:rsid w:val="00F50822"/>
    <w:rsid w:val="00F50B7C"/>
    <w:rsid w:val="00F550E6"/>
    <w:rsid w:val="00F57509"/>
    <w:rsid w:val="00F6480E"/>
    <w:rsid w:val="00F64D14"/>
    <w:rsid w:val="00F65015"/>
    <w:rsid w:val="00F71726"/>
    <w:rsid w:val="00F74345"/>
    <w:rsid w:val="00F75328"/>
    <w:rsid w:val="00F80A0A"/>
    <w:rsid w:val="00F82B19"/>
    <w:rsid w:val="00F83987"/>
    <w:rsid w:val="00F84BF7"/>
    <w:rsid w:val="00F90802"/>
    <w:rsid w:val="00F9212D"/>
    <w:rsid w:val="00F95569"/>
    <w:rsid w:val="00F965DA"/>
    <w:rsid w:val="00FA0BDE"/>
    <w:rsid w:val="00FA399A"/>
    <w:rsid w:val="00FA406A"/>
    <w:rsid w:val="00FA5AA4"/>
    <w:rsid w:val="00FA7CD9"/>
    <w:rsid w:val="00FB2821"/>
    <w:rsid w:val="00FB503A"/>
    <w:rsid w:val="00FB516C"/>
    <w:rsid w:val="00FC0DED"/>
    <w:rsid w:val="00FD0236"/>
    <w:rsid w:val="00FD0ABC"/>
    <w:rsid w:val="00FD0EDD"/>
    <w:rsid w:val="00FD18B7"/>
    <w:rsid w:val="00FD18F4"/>
    <w:rsid w:val="00FD2E63"/>
    <w:rsid w:val="00FD54DB"/>
    <w:rsid w:val="00FD619F"/>
    <w:rsid w:val="00FE0C6F"/>
    <w:rsid w:val="00FE18D7"/>
    <w:rsid w:val="00FE2431"/>
    <w:rsid w:val="00FE32E3"/>
    <w:rsid w:val="00FE35A0"/>
    <w:rsid w:val="00FE3ABF"/>
    <w:rsid w:val="00FE3C4C"/>
    <w:rsid w:val="00FE609C"/>
    <w:rsid w:val="00FE6F93"/>
    <w:rsid w:val="00FE7CEE"/>
    <w:rsid w:val="00FF0BD1"/>
    <w:rsid w:val="00FF204F"/>
    <w:rsid w:val="00FF4F09"/>
    <w:rsid w:val="00FF527C"/>
    <w:rsid w:val="01061CC7"/>
    <w:rsid w:val="011776BC"/>
    <w:rsid w:val="01213882"/>
    <w:rsid w:val="0127533C"/>
    <w:rsid w:val="01290F7E"/>
    <w:rsid w:val="01415CD2"/>
    <w:rsid w:val="014F03EF"/>
    <w:rsid w:val="01527EDF"/>
    <w:rsid w:val="015D1E09"/>
    <w:rsid w:val="016E583E"/>
    <w:rsid w:val="017E4BCA"/>
    <w:rsid w:val="019B52A7"/>
    <w:rsid w:val="01CA3F1A"/>
    <w:rsid w:val="01D31020"/>
    <w:rsid w:val="01F3521E"/>
    <w:rsid w:val="020F6097"/>
    <w:rsid w:val="021D35F2"/>
    <w:rsid w:val="02290C40"/>
    <w:rsid w:val="025A704C"/>
    <w:rsid w:val="02697903"/>
    <w:rsid w:val="02B32C00"/>
    <w:rsid w:val="02BF3353"/>
    <w:rsid w:val="02D432A2"/>
    <w:rsid w:val="02D908B8"/>
    <w:rsid w:val="02F474A0"/>
    <w:rsid w:val="02F96569"/>
    <w:rsid w:val="03062D2F"/>
    <w:rsid w:val="030B6598"/>
    <w:rsid w:val="033621BA"/>
    <w:rsid w:val="03604B36"/>
    <w:rsid w:val="03681C3C"/>
    <w:rsid w:val="0381685A"/>
    <w:rsid w:val="038A3960"/>
    <w:rsid w:val="03BB7FBE"/>
    <w:rsid w:val="03EA7B21"/>
    <w:rsid w:val="04163446"/>
    <w:rsid w:val="041A1188"/>
    <w:rsid w:val="042C4A18"/>
    <w:rsid w:val="042E69E2"/>
    <w:rsid w:val="045F3B29"/>
    <w:rsid w:val="04695151"/>
    <w:rsid w:val="04952975"/>
    <w:rsid w:val="04EA6DAD"/>
    <w:rsid w:val="04EC6A32"/>
    <w:rsid w:val="04F217BD"/>
    <w:rsid w:val="05495B10"/>
    <w:rsid w:val="05704DD8"/>
    <w:rsid w:val="057378B9"/>
    <w:rsid w:val="05854EED"/>
    <w:rsid w:val="05891F13"/>
    <w:rsid w:val="058A40EC"/>
    <w:rsid w:val="05900FD6"/>
    <w:rsid w:val="05926AFC"/>
    <w:rsid w:val="05AC3439"/>
    <w:rsid w:val="05F83EAE"/>
    <w:rsid w:val="061D286A"/>
    <w:rsid w:val="063E7D85"/>
    <w:rsid w:val="065D710A"/>
    <w:rsid w:val="06AE3E0A"/>
    <w:rsid w:val="06B56F46"/>
    <w:rsid w:val="06D517F6"/>
    <w:rsid w:val="06F757B1"/>
    <w:rsid w:val="06FF6413"/>
    <w:rsid w:val="07293586"/>
    <w:rsid w:val="07295285"/>
    <w:rsid w:val="075F05A0"/>
    <w:rsid w:val="07636392"/>
    <w:rsid w:val="07770C56"/>
    <w:rsid w:val="07A1571D"/>
    <w:rsid w:val="07CA07CF"/>
    <w:rsid w:val="07E27773"/>
    <w:rsid w:val="07FD6DF7"/>
    <w:rsid w:val="08204893"/>
    <w:rsid w:val="0825634E"/>
    <w:rsid w:val="085E53BC"/>
    <w:rsid w:val="08607386"/>
    <w:rsid w:val="089B03BE"/>
    <w:rsid w:val="08A454C4"/>
    <w:rsid w:val="08A545A1"/>
    <w:rsid w:val="08A933D9"/>
    <w:rsid w:val="08AA23AF"/>
    <w:rsid w:val="08B64025"/>
    <w:rsid w:val="08F747A1"/>
    <w:rsid w:val="0902043D"/>
    <w:rsid w:val="091268D2"/>
    <w:rsid w:val="092217DD"/>
    <w:rsid w:val="093A7294"/>
    <w:rsid w:val="09521F84"/>
    <w:rsid w:val="09540C99"/>
    <w:rsid w:val="09556B95"/>
    <w:rsid w:val="095F763D"/>
    <w:rsid w:val="09694018"/>
    <w:rsid w:val="097E3F67"/>
    <w:rsid w:val="09992B4F"/>
    <w:rsid w:val="09F00295"/>
    <w:rsid w:val="0A06351A"/>
    <w:rsid w:val="0A2420F8"/>
    <w:rsid w:val="0A263993"/>
    <w:rsid w:val="0A2D3AC2"/>
    <w:rsid w:val="0A2F1883"/>
    <w:rsid w:val="0A344626"/>
    <w:rsid w:val="0A3F7E52"/>
    <w:rsid w:val="0A58078B"/>
    <w:rsid w:val="0A6F1B02"/>
    <w:rsid w:val="0AA01CBB"/>
    <w:rsid w:val="0AA4385A"/>
    <w:rsid w:val="0AA755DF"/>
    <w:rsid w:val="0ACB19B1"/>
    <w:rsid w:val="0AE53B72"/>
    <w:rsid w:val="0B0F299D"/>
    <w:rsid w:val="0B120D44"/>
    <w:rsid w:val="0B1D06A0"/>
    <w:rsid w:val="0B460AB5"/>
    <w:rsid w:val="0B6350C8"/>
    <w:rsid w:val="0B7E61E1"/>
    <w:rsid w:val="0B815649"/>
    <w:rsid w:val="0B97065B"/>
    <w:rsid w:val="0B9A495D"/>
    <w:rsid w:val="0B9D61FB"/>
    <w:rsid w:val="0BB87E33"/>
    <w:rsid w:val="0BD27BF6"/>
    <w:rsid w:val="0BE4725F"/>
    <w:rsid w:val="0BF7590B"/>
    <w:rsid w:val="0C2536B0"/>
    <w:rsid w:val="0C37664F"/>
    <w:rsid w:val="0C3B3C7D"/>
    <w:rsid w:val="0CAB2EAE"/>
    <w:rsid w:val="0CD10852"/>
    <w:rsid w:val="0D026C5D"/>
    <w:rsid w:val="0D553231"/>
    <w:rsid w:val="0D584ACF"/>
    <w:rsid w:val="0D621C7D"/>
    <w:rsid w:val="0D8D4779"/>
    <w:rsid w:val="0D9976FC"/>
    <w:rsid w:val="0DBF06AB"/>
    <w:rsid w:val="0DDA7292"/>
    <w:rsid w:val="0E126AA5"/>
    <w:rsid w:val="0E73034D"/>
    <w:rsid w:val="0E7771D7"/>
    <w:rsid w:val="0E83792A"/>
    <w:rsid w:val="0E9D34B8"/>
    <w:rsid w:val="0EE303C9"/>
    <w:rsid w:val="0EEF152E"/>
    <w:rsid w:val="0F073061"/>
    <w:rsid w:val="0F13775A"/>
    <w:rsid w:val="0F19784D"/>
    <w:rsid w:val="0F4C0664"/>
    <w:rsid w:val="0F5B2655"/>
    <w:rsid w:val="0F5F45FE"/>
    <w:rsid w:val="0F64150A"/>
    <w:rsid w:val="0F6C4862"/>
    <w:rsid w:val="0F711E78"/>
    <w:rsid w:val="0F9A112B"/>
    <w:rsid w:val="0FAF3FD3"/>
    <w:rsid w:val="0FCE2E27"/>
    <w:rsid w:val="0FEB5787"/>
    <w:rsid w:val="10142F30"/>
    <w:rsid w:val="104B4477"/>
    <w:rsid w:val="10616317"/>
    <w:rsid w:val="106D2F64"/>
    <w:rsid w:val="10B004D9"/>
    <w:rsid w:val="10B22749"/>
    <w:rsid w:val="10B63710"/>
    <w:rsid w:val="10B95885"/>
    <w:rsid w:val="10C16D46"/>
    <w:rsid w:val="10CF6D44"/>
    <w:rsid w:val="10DE52EC"/>
    <w:rsid w:val="10F10820"/>
    <w:rsid w:val="10F16DCD"/>
    <w:rsid w:val="10FB7C4C"/>
    <w:rsid w:val="11186A50"/>
    <w:rsid w:val="111C2F7A"/>
    <w:rsid w:val="112278CE"/>
    <w:rsid w:val="11333889"/>
    <w:rsid w:val="11380EA0"/>
    <w:rsid w:val="113E5D8A"/>
    <w:rsid w:val="11487E7E"/>
    <w:rsid w:val="11665CA1"/>
    <w:rsid w:val="116C6D9B"/>
    <w:rsid w:val="118045F5"/>
    <w:rsid w:val="11951E4E"/>
    <w:rsid w:val="11D566EF"/>
    <w:rsid w:val="11FB7ED8"/>
    <w:rsid w:val="1202500A"/>
    <w:rsid w:val="12080872"/>
    <w:rsid w:val="120B3EBE"/>
    <w:rsid w:val="12957C2C"/>
    <w:rsid w:val="12C74A5D"/>
    <w:rsid w:val="12E34E3B"/>
    <w:rsid w:val="12E36F72"/>
    <w:rsid w:val="12F901BB"/>
    <w:rsid w:val="131E5E73"/>
    <w:rsid w:val="13525B1D"/>
    <w:rsid w:val="135D699C"/>
    <w:rsid w:val="135E44C2"/>
    <w:rsid w:val="13637D2A"/>
    <w:rsid w:val="137D703E"/>
    <w:rsid w:val="13951726"/>
    <w:rsid w:val="13B30CB1"/>
    <w:rsid w:val="13D73967"/>
    <w:rsid w:val="13E70DBD"/>
    <w:rsid w:val="13F217DA"/>
    <w:rsid w:val="141612E7"/>
    <w:rsid w:val="14237BE5"/>
    <w:rsid w:val="14294AD0"/>
    <w:rsid w:val="14396509"/>
    <w:rsid w:val="14531B4D"/>
    <w:rsid w:val="145C06AD"/>
    <w:rsid w:val="149C4067"/>
    <w:rsid w:val="14AC28D9"/>
    <w:rsid w:val="14D709D0"/>
    <w:rsid w:val="14DD2C3C"/>
    <w:rsid w:val="15006304"/>
    <w:rsid w:val="15581B10"/>
    <w:rsid w:val="15772373"/>
    <w:rsid w:val="1585042C"/>
    <w:rsid w:val="159A2336"/>
    <w:rsid w:val="15A0143E"/>
    <w:rsid w:val="15BF56EC"/>
    <w:rsid w:val="15CA22E2"/>
    <w:rsid w:val="15E433A4"/>
    <w:rsid w:val="16005D04"/>
    <w:rsid w:val="16087E1D"/>
    <w:rsid w:val="160C28FB"/>
    <w:rsid w:val="161D2575"/>
    <w:rsid w:val="1638669F"/>
    <w:rsid w:val="163B60AC"/>
    <w:rsid w:val="16481FEE"/>
    <w:rsid w:val="166242C9"/>
    <w:rsid w:val="16B0768E"/>
    <w:rsid w:val="16C46D32"/>
    <w:rsid w:val="16C531D6"/>
    <w:rsid w:val="16CE30FE"/>
    <w:rsid w:val="16EF0253"/>
    <w:rsid w:val="16F969DB"/>
    <w:rsid w:val="170B670F"/>
    <w:rsid w:val="17214184"/>
    <w:rsid w:val="1752433D"/>
    <w:rsid w:val="17701D14"/>
    <w:rsid w:val="17735226"/>
    <w:rsid w:val="177469AA"/>
    <w:rsid w:val="17946704"/>
    <w:rsid w:val="17982698"/>
    <w:rsid w:val="17A51F73"/>
    <w:rsid w:val="17A56B63"/>
    <w:rsid w:val="17B71DAB"/>
    <w:rsid w:val="17F8592E"/>
    <w:rsid w:val="1820443C"/>
    <w:rsid w:val="18862C5B"/>
    <w:rsid w:val="189F624C"/>
    <w:rsid w:val="18E86D07"/>
    <w:rsid w:val="18FA4B15"/>
    <w:rsid w:val="18FD1EED"/>
    <w:rsid w:val="19055247"/>
    <w:rsid w:val="19212219"/>
    <w:rsid w:val="19231B12"/>
    <w:rsid w:val="192F6693"/>
    <w:rsid w:val="19571E4D"/>
    <w:rsid w:val="196B16E7"/>
    <w:rsid w:val="19810F0A"/>
    <w:rsid w:val="1985592C"/>
    <w:rsid w:val="19C57049"/>
    <w:rsid w:val="19CF6119"/>
    <w:rsid w:val="19EA4D01"/>
    <w:rsid w:val="19EE2A43"/>
    <w:rsid w:val="1A163D48"/>
    <w:rsid w:val="1A1C66C0"/>
    <w:rsid w:val="1A3348FA"/>
    <w:rsid w:val="1A3441CE"/>
    <w:rsid w:val="1A42393B"/>
    <w:rsid w:val="1A59213D"/>
    <w:rsid w:val="1A8E1B30"/>
    <w:rsid w:val="1AAD45DE"/>
    <w:rsid w:val="1ADD03C2"/>
    <w:rsid w:val="1AF35C55"/>
    <w:rsid w:val="1B046F80"/>
    <w:rsid w:val="1B2D7920"/>
    <w:rsid w:val="1B3267B5"/>
    <w:rsid w:val="1B3B1B1A"/>
    <w:rsid w:val="1B40161D"/>
    <w:rsid w:val="1B441859"/>
    <w:rsid w:val="1B461C1B"/>
    <w:rsid w:val="1B6606B1"/>
    <w:rsid w:val="1B753202"/>
    <w:rsid w:val="1B950C9D"/>
    <w:rsid w:val="1BC670A8"/>
    <w:rsid w:val="1BD21EF1"/>
    <w:rsid w:val="1C1B0867"/>
    <w:rsid w:val="1C252021"/>
    <w:rsid w:val="1C5E7925"/>
    <w:rsid w:val="1C8925AF"/>
    <w:rsid w:val="1CB83695"/>
    <w:rsid w:val="1CC23D13"/>
    <w:rsid w:val="1CF163A7"/>
    <w:rsid w:val="1CFD070F"/>
    <w:rsid w:val="1D4A4435"/>
    <w:rsid w:val="1D5F6196"/>
    <w:rsid w:val="1D6132A5"/>
    <w:rsid w:val="1D6D1ED1"/>
    <w:rsid w:val="1D7E5E8C"/>
    <w:rsid w:val="1D8E56D5"/>
    <w:rsid w:val="1D9B4C90"/>
    <w:rsid w:val="1DBE44DB"/>
    <w:rsid w:val="1E0C7DEE"/>
    <w:rsid w:val="1E537319"/>
    <w:rsid w:val="1E7A43DA"/>
    <w:rsid w:val="1E831280"/>
    <w:rsid w:val="1E8C6387"/>
    <w:rsid w:val="1EAE17BF"/>
    <w:rsid w:val="1EBC7EFD"/>
    <w:rsid w:val="1EF12203"/>
    <w:rsid w:val="1EF328AA"/>
    <w:rsid w:val="1F317E5F"/>
    <w:rsid w:val="1F325180"/>
    <w:rsid w:val="1F3F5AEF"/>
    <w:rsid w:val="1F5E41C7"/>
    <w:rsid w:val="1F6B41EE"/>
    <w:rsid w:val="1F861028"/>
    <w:rsid w:val="1FA031FF"/>
    <w:rsid w:val="1FA7278D"/>
    <w:rsid w:val="1FAB4F33"/>
    <w:rsid w:val="1FE7539E"/>
    <w:rsid w:val="1FEC1075"/>
    <w:rsid w:val="1FFC12EA"/>
    <w:rsid w:val="20012DA5"/>
    <w:rsid w:val="20097592"/>
    <w:rsid w:val="20371FFC"/>
    <w:rsid w:val="20445415"/>
    <w:rsid w:val="20511CA9"/>
    <w:rsid w:val="20671BE0"/>
    <w:rsid w:val="2093687F"/>
    <w:rsid w:val="20963CB8"/>
    <w:rsid w:val="20A81A1B"/>
    <w:rsid w:val="20B07FB6"/>
    <w:rsid w:val="20B646FB"/>
    <w:rsid w:val="20CE2C87"/>
    <w:rsid w:val="20CF69FF"/>
    <w:rsid w:val="20FA7F20"/>
    <w:rsid w:val="21117FE1"/>
    <w:rsid w:val="211803A6"/>
    <w:rsid w:val="213B74B1"/>
    <w:rsid w:val="2149055F"/>
    <w:rsid w:val="215701A5"/>
    <w:rsid w:val="215A2310"/>
    <w:rsid w:val="215A451A"/>
    <w:rsid w:val="215B7C77"/>
    <w:rsid w:val="21845A3B"/>
    <w:rsid w:val="2198698B"/>
    <w:rsid w:val="21A954A2"/>
    <w:rsid w:val="21BF2058"/>
    <w:rsid w:val="21D27798"/>
    <w:rsid w:val="21DE318A"/>
    <w:rsid w:val="21EF5B80"/>
    <w:rsid w:val="220821C8"/>
    <w:rsid w:val="22407BB4"/>
    <w:rsid w:val="224F6049"/>
    <w:rsid w:val="22537639"/>
    <w:rsid w:val="22576990"/>
    <w:rsid w:val="22DD5403"/>
    <w:rsid w:val="22EC3898"/>
    <w:rsid w:val="22F47480"/>
    <w:rsid w:val="22F8048F"/>
    <w:rsid w:val="23021C41"/>
    <w:rsid w:val="231057D9"/>
    <w:rsid w:val="2331574F"/>
    <w:rsid w:val="23502079"/>
    <w:rsid w:val="238654DF"/>
    <w:rsid w:val="238B1303"/>
    <w:rsid w:val="23D305B4"/>
    <w:rsid w:val="23DE1C48"/>
    <w:rsid w:val="23DE58D7"/>
    <w:rsid w:val="23DF33FD"/>
    <w:rsid w:val="240210CD"/>
    <w:rsid w:val="2409047A"/>
    <w:rsid w:val="240B41F2"/>
    <w:rsid w:val="24294551"/>
    <w:rsid w:val="242E2628"/>
    <w:rsid w:val="249E0BC2"/>
    <w:rsid w:val="24A84769"/>
    <w:rsid w:val="24B91EA0"/>
    <w:rsid w:val="24BF09F7"/>
    <w:rsid w:val="24E567F1"/>
    <w:rsid w:val="24FE5B05"/>
    <w:rsid w:val="2503311B"/>
    <w:rsid w:val="252D53FE"/>
    <w:rsid w:val="256212EF"/>
    <w:rsid w:val="25AD6BEE"/>
    <w:rsid w:val="25D24FC7"/>
    <w:rsid w:val="25EC2D81"/>
    <w:rsid w:val="260E7FC9"/>
    <w:rsid w:val="261645C6"/>
    <w:rsid w:val="26215F4F"/>
    <w:rsid w:val="26307F40"/>
    <w:rsid w:val="264D28A0"/>
    <w:rsid w:val="26571970"/>
    <w:rsid w:val="26774571"/>
    <w:rsid w:val="26C62652"/>
    <w:rsid w:val="26D05437"/>
    <w:rsid w:val="27202A22"/>
    <w:rsid w:val="27466F3A"/>
    <w:rsid w:val="276A7481"/>
    <w:rsid w:val="277057A2"/>
    <w:rsid w:val="27743E5C"/>
    <w:rsid w:val="27BE3361"/>
    <w:rsid w:val="281F2012"/>
    <w:rsid w:val="2821095A"/>
    <w:rsid w:val="28255F7E"/>
    <w:rsid w:val="28976054"/>
    <w:rsid w:val="28A10C81"/>
    <w:rsid w:val="28ED2118"/>
    <w:rsid w:val="29206EB8"/>
    <w:rsid w:val="29214440"/>
    <w:rsid w:val="2939535D"/>
    <w:rsid w:val="29595666"/>
    <w:rsid w:val="29607FF1"/>
    <w:rsid w:val="297243AB"/>
    <w:rsid w:val="29815BE4"/>
    <w:rsid w:val="29874881"/>
    <w:rsid w:val="29DF5F05"/>
    <w:rsid w:val="29E325E0"/>
    <w:rsid w:val="29EE439A"/>
    <w:rsid w:val="2A16744D"/>
    <w:rsid w:val="2A3B1D51"/>
    <w:rsid w:val="2A452503"/>
    <w:rsid w:val="2AB56C65"/>
    <w:rsid w:val="2ACD3FAF"/>
    <w:rsid w:val="2AF05EF0"/>
    <w:rsid w:val="2B125E66"/>
    <w:rsid w:val="2B2D4A4E"/>
    <w:rsid w:val="2B637489"/>
    <w:rsid w:val="2B6568DD"/>
    <w:rsid w:val="2B920D55"/>
    <w:rsid w:val="2B9B40AD"/>
    <w:rsid w:val="2BA32F62"/>
    <w:rsid w:val="2BA936A8"/>
    <w:rsid w:val="2BB331A5"/>
    <w:rsid w:val="2C027C88"/>
    <w:rsid w:val="2C315A5A"/>
    <w:rsid w:val="2C3F2C8B"/>
    <w:rsid w:val="2C44486D"/>
    <w:rsid w:val="2C4B1C25"/>
    <w:rsid w:val="2C624BCB"/>
    <w:rsid w:val="2C732934"/>
    <w:rsid w:val="2C853C4D"/>
    <w:rsid w:val="2CD71115"/>
    <w:rsid w:val="2CEB2E12"/>
    <w:rsid w:val="2D2B320F"/>
    <w:rsid w:val="2D3C6253"/>
    <w:rsid w:val="2D4219D1"/>
    <w:rsid w:val="2D566D27"/>
    <w:rsid w:val="2D6E25A8"/>
    <w:rsid w:val="2D7C5238"/>
    <w:rsid w:val="2D9A12BA"/>
    <w:rsid w:val="2D9E56F5"/>
    <w:rsid w:val="2DED6716"/>
    <w:rsid w:val="2DF4125D"/>
    <w:rsid w:val="2E1A575D"/>
    <w:rsid w:val="2E41718E"/>
    <w:rsid w:val="2E456552"/>
    <w:rsid w:val="2E580034"/>
    <w:rsid w:val="2E667F96"/>
    <w:rsid w:val="2E6B3988"/>
    <w:rsid w:val="2E7C01C6"/>
    <w:rsid w:val="2E8226AB"/>
    <w:rsid w:val="2EAB2859"/>
    <w:rsid w:val="2EBC6814"/>
    <w:rsid w:val="2ECE7B23"/>
    <w:rsid w:val="2ED33B5E"/>
    <w:rsid w:val="2EDD678B"/>
    <w:rsid w:val="2EED4C20"/>
    <w:rsid w:val="2EF019D0"/>
    <w:rsid w:val="2EFC4E63"/>
    <w:rsid w:val="2F1E74CF"/>
    <w:rsid w:val="2F2F5238"/>
    <w:rsid w:val="2F3A1E60"/>
    <w:rsid w:val="2F614205"/>
    <w:rsid w:val="2F77098D"/>
    <w:rsid w:val="2FD065E6"/>
    <w:rsid w:val="2FD96870"/>
    <w:rsid w:val="2FDF4A42"/>
    <w:rsid w:val="2FE36023"/>
    <w:rsid w:val="2FEE3D4E"/>
    <w:rsid w:val="2FFD5337"/>
    <w:rsid w:val="30197C97"/>
    <w:rsid w:val="303F5845"/>
    <w:rsid w:val="30580BC9"/>
    <w:rsid w:val="30640F12"/>
    <w:rsid w:val="308C4190"/>
    <w:rsid w:val="309C4B4F"/>
    <w:rsid w:val="309D61D2"/>
    <w:rsid w:val="30D36097"/>
    <w:rsid w:val="311E2ED7"/>
    <w:rsid w:val="312406A1"/>
    <w:rsid w:val="313703D4"/>
    <w:rsid w:val="31464B29"/>
    <w:rsid w:val="315619EE"/>
    <w:rsid w:val="315C449C"/>
    <w:rsid w:val="31A43590"/>
    <w:rsid w:val="31B732C3"/>
    <w:rsid w:val="31B82709"/>
    <w:rsid w:val="31C0661C"/>
    <w:rsid w:val="31C70022"/>
    <w:rsid w:val="31D05482"/>
    <w:rsid w:val="32326DEE"/>
    <w:rsid w:val="32400B34"/>
    <w:rsid w:val="32496611"/>
    <w:rsid w:val="32732C9B"/>
    <w:rsid w:val="329E6876"/>
    <w:rsid w:val="32B67A1F"/>
    <w:rsid w:val="32BC3287"/>
    <w:rsid w:val="32CC0FF0"/>
    <w:rsid w:val="32D00AE0"/>
    <w:rsid w:val="32DD144F"/>
    <w:rsid w:val="33025375"/>
    <w:rsid w:val="333015F2"/>
    <w:rsid w:val="333472C1"/>
    <w:rsid w:val="3337290D"/>
    <w:rsid w:val="333F17C2"/>
    <w:rsid w:val="334B6320"/>
    <w:rsid w:val="334C15D5"/>
    <w:rsid w:val="33572FB0"/>
    <w:rsid w:val="337F6063"/>
    <w:rsid w:val="338673F1"/>
    <w:rsid w:val="339125E3"/>
    <w:rsid w:val="33D934D4"/>
    <w:rsid w:val="33EF31E8"/>
    <w:rsid w:val="33FE2F6A"/>
    <w:rsid w:val="3400642D"/>
    <w:rsid w:val="34086058"/>
    <w:rsid w:val="340E07E5"/>
    <w:rsid w:val="34235BF7"/>
    <w:rsid w:val="344277BC"/>
    <w:rsid w:val="346F257B"/>
    <w:rsid w:val="34AA5361"/>
    <w:rsid w:val="34AB05B0"/>
    <w:rsid w:val="34FC0CCA"/>
    <w:rsid w:val="35035E5B"/>
    <w:rsid w:val="35150A2C"/>
    <w:rsid w:val="35380BBF"/>
    <w:rsid w:val="355539A4"/>
    <w:rsid w:val="3575771D"/>
    <w:rsid w:val="358C5FA8"/>
    <w:rsid w:val="35A26038"/>
    <w:rsid w:val="35C15DF1"/>
    <w:rsid w:val="35DC643A"/>
    <w:rsid w:val="3600792F"/>
    <w:rsid w:val="36074A7F"/>
    <w:rsid w:val="363E0457"/>
    <w:rsid w:val="365A2467"/>
    <w:rsid w:val="36923549"/>
    <w:rsid w:val="369736C3"/>
    <w:rsid w:val="36B50719"/>
    <w:rsid w:val="36B75FBF"/>
    <w:rsid w:val="36BD0C45"/>
    <w:rsid w:val="36DD37CC"/>
    <w:rsid w:val="36E32719"/>
    <w:rsid w:val="371B2546"/>
    <w:rsid w:val="376161AB"/>
    <w:rsid w:val="377A0996"/>
    <w:rsid w:val="3787198A"/>
    <w:rsid w:val="37BC7885"/>
    <w:rsid w:val="37C70277"/>
    <w:rsid w:val="37C955BB"/>
    <w:rsid w:val="37DA0906"/>
    <w:rsid w:val="37DE77FC"/>
    <w:rsid w:val="37E00298"/>
    <w:rsid w:val="383401C0"/>
    <w:rsid w:val="385C022E"/>
    <w:rsid w:val="3874441B"/>
    <w:rsid w:val="388C7258"/>
    <w:rsid w:val="389600D6"/>
    <w:rsid w:val="389B393F"/>
    <w:rsid w:val="38B302F9"/>
    <w:rsid w:val="38B8277E"/>
    <w:rsid w:val="38C618CB"/>
    <w:rsid w:val="38DB1F8D"/>
    <w:rsid w:val="38F12CD3"/>
    <w:rsid w:val="38F8330B"/>
    <w:rsid w:val="38F94775"/>
    <w:rsid w:val="390D35AE"/>
    <w:rsid w:val="3914549F"/>
    <w:rsid w:val="391D1947"/>
    <w:rsid w:val="392971ED"/>
    <w:rsid w:val="39325651"/>
    <w:rsid w:val="39812B34"/>
    <w:rsid w:val="39873EC3"/>
    <w:rsid w:val="398E6C9E"/>
    <w:rsid w:val="3A445910"/>
    <w:rsid w:val="3A59760D"/>
    <w:rsid w:val="3A872856"/>
    <w:rsid w:val="3B081C5B"/>
    <w:rsid w:val="3B0E664A"/>
    <w:rsid w:val="3B181276"/>
    <w:rsid w:val="3B196D9D"/>
    <w:rsid w:val="3B3763D1"/>
    <w:rsid w:val="3B3B6D13"/>
    <w:rsid w:val="3B400DB5"/>
    <w:rsid w:val="3B4958D4"/>
    <w:rsid w:val="3B682244"/>
    <w:rsid w:val="3BB05953"/>
    <w:rsid w:val="3BB865B6"/>
    <w:rsid w:val="3BC907C3"/>
    <w:rsid w:val="3BCE5DD9"/>
    <w:rsid w:val="3C2F6E1E"/>
    <w:rsid w:val="3C3E5644"/>
    <w:rsid w:val="3C4F64BA"/>
    <w:rsid w:val="3C552056"/>
    <w:rsid w:val="3C636F2C"/>
    <w:rsid w:val="3C954F0B"/>
    <w:rsid w:val="3C9E1C4F"/>
    <w:rsid w:val="3CAC15FD"/>
    <w:rsid w:val="3CDA245A"/>
    <w:rsid w:val="3CE04016"/>
    <w:rsid w:val="3CF96617"/>
    <w:rsid w:val="3D006466"/>
    <w:rsid w:val="3D0F66A9"/>
    <w:rsid w:val="3D1E06B7"/>
    <w:rsid w:val="3D3305EA"/>
    <w:rsid w:val="3D714C6E"/>
    <w:rsid w:val="3D7A6218"/>
    <w:rsid w:val="3DA34375"/>
    <w:rsid w:val="3E3D2DA2"/>
    <w:rsid w:val="3E481E73"/>
    <w:rsid w:val="3E6622F9"/>
    <w:rsid w:val="3EAE0024"/>
    <w:rsid w:val="3EAF2B6F"/>
    <w:rsid w:val="3EC139D3"/>
    <w:rsid w:val="3EDA0523"/>
    <w:rsid w:val="3EDE0D0A"/>
    <w:rsid w:val="3EE15E23"/>
    <w:rsid w:val="3F116709"/>
    <w:rsid w:val="3F1572FC"/>
    <w:rsid w:val="3F3348D1"/>
    <w:rsid w:val="3F3D3AD4"/>
    <w:rsid w:val="3F4C7741"/>
    <w:rsid w:val="3F5C54AA"/>
    <w:rsid w:val="3F710F55"/>
    <w:rsid w:val="3F7368F9"/>
    <w:rsid w:val="3F830286"/>
    <w:rsid w:val="3F93536F"/>
    <w:rsid w:val="3F942E96"/>
    <w:rsid w:val="3FCC0881"/>
    <w:rsid w:val="400973E0"/>
    <w:rsid w:val="401A783F"/>
    <w:rsid w:val="40204729"/>
    <w:rsid w:val="402B655D"/>
    <w:rsid w:val="40302BBE"/>
    <w:rsid w:val="403326AF"/>
    <w:rsid w:val="405D3DE2"/>
    <w:rsid w:val="405D772B"/>
    <w:rsid w:val="407A6407"/>
    <w:rsid w:val="407C7075"/>
    <w:rsid w:val="409E5F2B"/>
    <w:rsid w:val="40B27A77"/>
    <w:rsid w:val="40D85E7D"/>
    <w:rsid w:val="41061B71"/>
    <w:rsid w:val="416B7C26"/>
    <w:rsid w:val="416D73CA"/>
    <w:rsid w:val="4200449D"/>
    <w:rsid w:val="42084DF8"/>
    <w:rsid w:val="421F738E"/>
    <w:rsid w:val="423A3BCC"/>
    <w:rsid w:val="42440BA3"/>
    <w:rsid w:val="424E4E13"/>
    <w:rsid w:val="424E57D2"/>
    <w:rsid w:val="428617AE"/>
    <w:rsid w:val="42891115"/>
    <w:rsid w:val="42B26C49"/>
    <w:rsid w:val="42E47C90"/>
    <w:rsid w:val="431E7BDE"/>
    <w:rsid w:val="43302ED5"/>
    <w:rsid w:val="433A6FE6"/>
    <w:rsid w:val="43480868"/>
    <w:rsid w:val="4350713C"/>
    <w:rsid w:val="436653E0"/>
    <w:rsid w:val="43C4431A"/>
    <w:rsid w:val="43E51F12"/>
    <w:rsid w:val="43F50E47"/>
    <w:rsid w:val="44354C47"/>
    <w:rsid w:val="44A91191"/>
    <w:rsid w:val="44B951CC"/>
    <w:rsid w:val="44C14F4F"/>
    <w:rsid w:val="44CB735A"/>
    <w:rsid w:val="44CD14E0"/>
    <w:rsid w:val="44DD0E3B"/>
    <w:rsid w:val="44F20B0B"/>
    <w:rsid w:val="450A60D4"/>
    <w:rsid w:val="451505D5"/>
    <w:rsid w:val="452A22D2"/>
    <w:rsid w:val="452E5F4C"/>
    <w:rsid w:val="455C4456"/>
    <w:rsid w:val="45612018"/>
    <w:rsid w:val="45637592"/>
    <w:rsid w:val="456B6447"/>
    <w:rsid w:val="458946E9"/>
    <w:rsid w:val="458D460F"/>
    <w:rsid w:val="45A47C0E"/>
    <w:rsid w:val="45B944ED"/>
    <w:rsid w:val="45BC420E"/>
    <w:rsid w:val="45E32481"/>
    <w:rsid w:val="46001285"/>
    <w:rsid w:val="461E795D"/>
    <w:rsid w:val="46577FD6"/>
    <w:rsid w:val="467852BF"/>
    <w:rsid w:val="467C4A7C"/>
    <w:rsid w:val="46D955A7"/>
    <w:rsid w:val="46F5246C"/>
    <w:rsid w:val="46F81F5C"/>
    <w:rsid w:val="46FE2A73"/>
    <w:rsid w:val="47084895"/>
    <w:rsid w:val="471054F8"/>
    <w:rsid w:val="47133957"/>
    <w:rsid w:val="47394A4E"/>
    <w:rsid w:val="47460F19"/>
    <w:rsid w:val="47525016"/>
    <w:rsid w:val="47680E90"/>
    <w:rsid w:val="477261B2"/>
    <w:rsid w:val="478101A3"/>
    <w:rsid w:val="478B2DD0"/>
    <w:rsid w:val="47A07E0C"/>
    <w:rsid w:val="47BA5463"/>
    <w:rsid w:val="47C83319"/>
    <w:rsid w:val="47FB370B"/>
    <w:rsid w:val="481132D5"/>
    <w:rsid w:val="482A4397"/>
    <w:rsid w:val="483B06FA"/>
    <w:rsid w:val="48541414"/>
    <w:rsid w:val="486F6C6D"/>
    <w:rsid w:val="4870272E"/>
    <w:rsid w:val="488A7939"/>
    <w:rsid w:val="48937B73"/>
    <w:rsid w:val="48D83DF3"/>
    <w:rsid w:val="48E00EFA"/>
    <w:rsid w:val="48E24C72"/>
    <w:rsid w:val="48E520AB"/>
    <w:rsid w:val="49107A31"/>
    <w:rsid w:val="4933371F"/>
    <w:rsid w:val="4937351F"/>
    <w:rsid w:val="49675177"/>
    <w:rsid w:val="499A554C"/>
    <w:rsid w:val="49A070CB"/>
    <w:rsid w:val="49A364C0"/>
    <w:rsid w:val="49B54134"/>
    <w:rsid w:val="49CE14F0"/>
    <w:rsid w:val="49D97E23"/>
    <w:rsid w:val="49DC7715"/>
    <w:rsid w:val="49EB5DA8"/>
    <w:rsid w:val="49FC7FB5"/>
    <w:rsid w:val="4A023139"/>
    <w:rsid w:val="4A031344"/>
    <w:rsid w:val="4A183041"/>
    <w:rsid w:val="4A3B6D2F"/>
    <w:rsid w:val="4A5872B8"/>
    <w:rsid w:val="4A7B576F"/>
    <w:rsid w:val="4A81774B"/>
    <w:rsid w:val="4A8835F7"/>
    <w:rsid w:val="4AA303D3"/>
    <w:rsid w:val="4AB63F2B"/>
    <w:rsid w:val="4AC21D2C"/>
    <w:rsid w:val="4AD05403"/>
    <w:rsid w:val="4AE9678B"/>
    <w:rsid w:val="4AF561A9"/>
    <w:rsid w:val="4B0E7FA0"/>
    <w:rsid w:val="4B3D0885"/>
    <w:rsid w:val="4B8C6B57"/>
    <w:rsid w:val="4B9425A7"/>
    <w:rsid w:val="4B9D5892"/>
    <w:rsid w:val="4BD27220"/>
    <w:rsid w:val="4BEE392E"/>
    <w:rsid w:val="4C453E95"/>
    <w:rsid w:val="4C4A0649"/>
    <w:rsid w:val="4C5E0AB3"/>
    <w:rsid w:val="4C6562E6"/>
    <w:rsid w:val="4C7E5ECA"/>
    <w:rsid w:val="4C876AA5"/>
    <w:rsid w:val="4C9A1846"/>
    <w:rsid w:val="4CED2C69"/>
    <w:rsid w:val="4CF12E00"/>
    <w:rsid w:val="4CF51418"/>
    <w:rsid w:val="4D0E00FB"/>
    <w:rsid w:val="4D176606"/>
    <w:rsid w:val="4D4128AF"/>
    <w:rsid w:val="4D775994"/>
    <w:rsid w:val="4DB5066C"/>
    <w:rsid w:val="4DEC4FB0"/>
    <w:rsid w:val="4E075D8A"/>
    <w:rsid w:val="4E5C7274"/>
    <w:rsid w:val="4E775D86"/>
    <w:rsid w:val="4E7D7917"/>
    <w:rsid w:val="4E8862BB"/>
    <w:rsid w:val="4EAB51B8"/>
    <w:rsid w:val="4EB3158A"/>
    <w:rsid w:val="4EBE3A8B"/>
    <w:rsid w:val="4EC00FAD"/>
    <w:rsid w:val="4EE80B08"/>
    <w:rsid w:val="4F253311"/>
    <w:rsid w:val="4F4B17C3"/>
    <w:rsid w:val="4F6C34E7"/>
    <w:rsid w:val="4F9843DC"/>
    <w:rsid w:val="4FBF3F5F"/>
    <w:rsid w:val="4FC62A8C"/>
    <w:rsid w:val="4FD709B8"/>
    <w:rsid w:val="4FE20F0D"/>
    <w:rsid w:val="4FE47521"/>
    <w:rsid w:val="4FE51552"/>
    <w:rsid w:val="4FF82FCD"/>
    <w:rsid w:val="4FFF25AD"/>
    <w:rsid w:val="50504C4B"/>
    <w:rsid w:val="50770396"/>
    <w:rsid w:val="507B7E86"/>
    <w:rsid w:val="50962F12"/>
    <w:rsid w:val="509C6E7C"/>
    <w:rsid w:val="50E5317A"/>
    <w:rsid w:val="50F95D7B"/>
    <w:rsid w:val="50FD1D91"/>
    <w:rsid w:val="51040FB1"/>
    <w:rsid w:val="51543B32"/>
    <w:rsid w:val="5162104E"/>
    <w:rsid w:val="516235BA"/>
    <w:rsid w:val="51A7386E"/>
    <w:rsid w:val="51A96C75"/>
    <w:rsid w:val="51DB6702"/>
    <w:rsid w:val="51E8779D"/>
    <w:rsid w:val="51F97200"/>
    <w:rsid w:val="52151C14"/>
    <w:rsid w:val="522331E2"/>
    <w:rsid w:val="522956BF"/>
    <w:rsid w:val="5239284C"/>
    <w:rsid w:val="523C0F9C"/>
    <w:rsid w:val="52404A3D"/>
    <w:rsid w:val="5248023B"/>
    <w:rsid w:val="526861E8"/>
    <w:rsid w:val="52923265"/>
    <w:rsid w:val="52F263F9"/>
    <w:rsid w:val="530B205C"/>
    <w:rsid w:val="5334431C"/>
    <w:rsid w:val="533E519B"/>
    <w:rsid w:val="53810178"/>
    <w:rsid w:val="53A039CC"/>
    <w:rsid w:val="53A1505A"/>
    <w:rsid w:val="53A414A2"/>
    <w:rsid w:val="53CC3E89"/>
    <w:rsid w:val="53E62D75"/>
    <w:rsid w:val="54063E08"/>
    <w:rsid w:val="541C54DC"/>
    <w:rsid w:val="543437E8"/>
    <w:rsid w:val="548A4B3B"/>
    <w:rsid w:val="54A43723"/>
    <w:rsid w:val="54F73313"/>
    <w:rsid w:val="54F80955"/>
    <w:rsid w:val="55051615"/>
    <w:rsid w:val="55200FFC"/>
    <w:rsid w:val="553726DA"/>
    <w:rsid w:val="553954FC"/>
    <w:rsid w:val="554271C4"/>
    <w:rsid w:val="555170A7"/>
    <w:rsid w:val="555B72E4"/>
    <w:rsid w:val="556A1C36"/>
    <w:rsid w:val="5570445A"/>
    <w:rsid w:val="5587536D"/>
    <w:rsid w:val="55894132"/>
    <w:rsid w:val="559B174B"/>
    <w:rsid w:val="55C93441"/>
    <w:rsid w:val="55CC4322"/>
    <w:rsid w:val="55CE0CF4"/>
    <w:rsid w:val="55D342C0"/>
    <w:rsid w:val="55D818D6"/>
    <w:rsid w:val="55DF0EB7"/>
    <w:rsid w:val="55F935FB"/>
    <w:rsid w:val="55FB244F"/>
    <w:rsid w:val="561641AD"/>
    <w:rsid w:val="561D553B"/>
    <w:rsid w:val="56262642"/>
    <w:rsid w:val="565A678F"/>
    <w:rsid w:val="5660442A"/>
    <w:rsid w:val="5661367A"/>
    <w:rsid w:val="5664316A"/>
    <w:rsid w:val="567963D0"/>
    <w:rsid w:val="567B1855"/>
    <w:rsid w:val="567C3686"/>
    <w:rsid w:val="56892BD1"/>
    <w:rsid w:val="56B22A9C"/>
    <w:rsid w:val="56B539C6"/>
    <w:rsid w:val="56B85264"/>
    <w:rsid w:val="56D71B8E"/>
    <w:rsid w:val="56DC53F6"/>
    <w:rsid w:val="56F20776"/>
    <w:rsid w:val="57415259"/>
    <w:rsid w:val="57463B07"/>
    <w:rsid w:val="57995095"/>
    <w:rsid w:val="57B72A76"/>
    <w:rsid w:val="57C3426C"/>
    <w:rsid w:val="57CE1F93"/>
    <w:rsid w:val="57E36310"/>
    <w:rsid w:val="582B03E3"/>
    <w:rsid w:val="583D0117"/>
    <w:rsid w:val="58474FB6"/>
    <w:rsid w:val="585B64A7"/>
    <w:rsid w:val="58696422"/>
    <w:rsid w:val="586A7ED7"/>
    <w:rsid w:val="588743D1"/>
    <w:rsid w:val="5887701A"/>
    <w:rsid w:val="58977827"/>
    <w:rsid w:val="58B24629"/>
    <w:rsid w:val="58D42829"/>
    <w:rsid w:val="58FA1B64"/>
    <w:rsid w:val="59080725"/>
    <w:rsid w:val="591A3FB4"/>
    <w:rsid w:val="592E180D"/>
    <w:rsid w:val="595C637A"/>
    <w:rsid w:val="597B2134"/>
    <w:rsid w:val="597F2936"/>
    <w:rsid w:val="59B9557B"/>
    <w:rsid w:val="59C0439F"/>
    <w:rsid w:val="59D6612D"/>
    <w:rsid w:val="59F273E9"/>
    <w:rsid w:val="5A1530F9"/>
    <w:rsid w:val="5A294875"/>
    <w:rsid w:val="5A2F3A8F"/>
    <w:rsid w:val="5A3A48D6"/>
    <w:rsid w:val="5A4C63EF"/>
    <w:rsid w:val="5A53777D"/>
    <w:rsid w:val="5A6E3EE3"/>
    <w:rsid w:val="5A943D85"/>
    <w:rsid w:val="5ABE2233"/>
    <w:rsid w:val="5AD563E4"/>
    <w:rsid w:val="5ADF1011"/>
    <w:rsid w:val="5B102637"/>
    <w:rsid w:val="5B484E08"/>
    <w:rsid w:val="5B4E1979"/>
    <w:rsid w:val="5BDF5D95"/>
    <w:rsid w:val="5BEF34D6"/>
    <w:rsid w:val="5BFE7528"/>
    <w:rsid w:val="5C017BBE"/>
    <w:rsid w:val="5C190553"/>
    <w:rsid w:val="5C2B3EB8"/>
    <w:rsid w:val="5C471564"/>
    <w:rsid w:val="5C5E1FA0"/>
    <w:rsid w:val="5C6111B5"/>
    <w:rsid w:val="5C930305"/>
    <w:rsid w:val="5C9F6CAA"/>
    <w:rsid w:val="5CD70880"/>
    <w:rsid w:val="5D144222"/>
    <w:rsid w:val="5D341F49"/>
    <w:rsid w:val="5D4930BA"/>
    <w:rsid w:val="5D7A1726"/>
    <w:rsid w:val="5D845EA0"/>
    <w:rsid w:val="5D885990"/>
    <w:rsid w:val="5D9500AD"/>
    <w:rsid w:val="5D9C143B"/>
    <w:rsid w:val="5D9F2CDA"/>
    <w:rsid w:val="5DA402F0"/>
    <w:rsid w:val="5DDB01B6"/>
    <w:rsid w:val="5DE54B90"/>
    <w:rsid w:val="5DEC2C84"/>
    <w:rsid w:val="5E0A57D7"/>
    <w:rsid w:val="5E2467F1"/>
    <w:rsid w:val="5E437B09"/>
    <w:rsid w:val="5E471286"/>
    <w:rsid w:val="5EA22A81"/>
    <w:rsid w:val="5EB120A8"/>
    <w:rsid w:val="5EFF7ED4"/>
    <w:rsid w:val="5F0444AD"/>
    <w:rsid w:val="5F1073D0"/>
    <w:rsid w:val="5F1A2B43"/>
    <w:rsid w:val="5F21609C"/>
    <w:rsid w:val="5FAD16DE"/>
    <w:rsid w:val="5FB054BF"/>
    <w:rsid w:val="5FB837BB"/>
    <w:rsid w:val="5FD82819"/>
    <w:rsid w:val="602120CC"/>
    <w:rsid w:val="60343BAD"/>
    <w:rsid w:val="60365B77"/>
    <w:rsid w:val="60483AFC"/>
    <w:rsid w:val="608F34D9"/>
    <w:rsid w:val="60CC405A"/>
    <w:rsid w:val="60EC092C"/>
    <w:rsid w:val="610712C2"/>
    <w:rsid w:val="611759A9"/>
    <w:rsid w:val="61774699"/>
    <w:rsid w:val="61954B1F"/>
    <w:rsid w:val="61B93DC7"/>
    <w:rsid w:val="61CC56D8"/>
    <w:rsid w:val="61DB4C28"/>
    <w:rsid w:val="61E215D8"/>
    <w:rsid w:val="620F042E"/>
    <w:rsid w:val="621B3775"/>
    <w:rsid w:val="62364782"/>
    <w:rsid w:val="62A50A9C"/>
    <w:rsid w:val="62B66AFB"/>
    <w:rsid w:val="62CC631F"/>
    <w:rsid w:val="63043D0B"/>
    <w:rsid w:val="63256F26"/>
    <w:rsid w:val="635051A2"/>
    <w:rsid w:val="635A392B"/>
    <w:rsid w:val="639257BA"/>
    <w:rsid w:val="6394356A"/>
    <w:rsid w:val="63BD210C"/>
    <w:rsid w:val="63C61B2C"/>
    <w:rsid w:val="63C811DC"/>
    <w:rsid w:val="63D40BE9"/>
    <w:rsid w:val="63E731AD"/>
    <w:rsid w:val="63E92F01"/>
    <w:rsid w:val="640E2967"/>
    <w:rsid w:val="64102431"/>
    <w:rsid w:val="64512006"/>
    <w:rsid w:val="64882719"/>
    <w:rsid w:val="64A5243A"/>
    <w:rsid w:val="64B27A1F"/>
    <w:rsid w:val="64BD2656"/>
    <w:rsid w:val="64CD45D0"/>
    <w:rsid w:val="64DE67DD"/>
    <w:rsid w:val="64F531DE"/>
    <w:rsid w:val="64FB738F"/>
    <w:rsid w:val="650B7121"/>
    <w:rsid w:val="65373578"/>
    <w:rsid w:val="65530F79"/>
    <w:rsid w:val="6562155E"/>
    <w:rsid w:val="65705687"/>
    <w:rsid w:val="65834AA0"/>
    <w:rsid w:val="65A611D6"/>
    <w:rsid w:val="65B71508"/>
    <w:rsid w:val="65BD329C"/>
    <w:rsid w:val="65CD0D2C"/>
    <w:rsid w:val="65D15072"/>
    <w:rsid w:val="65F04C3C"/>
    <w:rsid w:val="65F242EE"/>
    <w:rsid w:val="662326FA"/>
    <w:rsid w:val="66263F98"/>
    <w:rsid w:val="66393B0C"/>
    <w:rsid w:val="664663E8"/>
    <w:rsid w:val="664E34EF"/>
    <w:rsid w:val="66722524"/>
    <w:rsid w:val="66A95F85"/>
    <w:rsid w:val="66D01D36"/>
    <w:rsid w:val="66E16828"/>
    <w:rsid w:val="66E8698C"/>
    <w:rsid w:val="670267B3"/>
    <w:rsid w:val="671F124A"/>
    <w:rsid w:val="672D1356"/>
    <w:rsid w:val="673646AF"/>
    <w:rsid w:val="674566A0"/>
    <w:rsid w:val="674C7A2E"/>
    <w:rsid w:val="6760797E"/>
    <w:rsid w:val="67670D0C"/>
    <w:rsid w:val="676C79FD"/>
    <w:rsid w:val="676E5F98"/>
    <w:rsid w:val="677A33C6"/>
    <w:rsid w:val="679813E7"/>
    <w:rsid w:val="67B304D6"/>
    <w:rsid w:val="67F81964"/>
    <w:rsid w:val="68016AB7"/>
    <w:rsid w:val="681F6961"/>
    <w:rsid w:val="683055A2"/>
    <w:rsid w:val="68330BEE"/>
    <w:rsid w:val="684626D0"/>
    <w:rsid w:val="685079F2"/>
    <w:rsid w:val="68570D81"/>
    <w:rsid w:val="685D2492"/>
    <w:rsid w:val="68610A2F"/>
    <w:rsid w:val="687F1367"/>
    <w:rsid w:val="68805514"/>
    <w:rsid w:val="68BF2482"/>
    <w:rsid w:val="68D0643D"/>
    <w:rsid w:val="68D31515"/>
    <w:rsid w:val="68E36170"/>
    <w:rsid w:val="68F24605"/>
    <w:rsid w:val="68F52A9F"/>
    <w:rsid w:val="690305C1"/>
    <w:rsid w:val="69316E2F"/>
    <w:rsid w:val="69390486"/>
    <w:rsid w:val="69490395"/>
    <w:rsid w:val="694E2071"/>
    <w:rsid w:val="695026BA"/>
    <w:rsid w:val="69766163"/>
    <w:rsid w:val="697A3B33"/>
    <w:rsid w:val="698855D6"/>
    <w:rsid w:val="69A413DF"/>
    <w:rsid w:val="69A74DC4"/>
    <w:rsid w:val="69A9510D"/>
    <w:rsid w:val="69D44760"/>
    <w:rsid w:val="69E5416A"/>
    <w:rsid w:val="6A227DA9"/>
    <w:rsid w:val="6A2B7DCF"/>
    <w:rsid w:val="6A520EC7"/>
    <w:rsid w:val="6A7A0D56"/>
    <w:rsid w:val="6A837C0B"/>
    <w:rsid w:val="6A8E035E"/>
    <w:rsid w:val="6AA47B81"/>
    <w:rsid w:val="6AB44268"/>
    <w:rsid w:val="6ABE0C43"/>
    <w:rsid w:val="6AE61F48"/>
    <w:rsid w:val="6AE663EC"/>
    <w:rsid w:val="6AF87E20"/>
    <w:rsid w:val="6B00125C"/>
    <w:rsid w:val="6B056872"/>
    <w:rsid w:val="6B322639"/>
    <w:rsid w:val="6B454EC0"/>
    <w:rsid w:val="6B6317EA"/>
    <w:rsid w:val="6B824366"/>
    <w:rsid w:val="6B87197D"/>
    <w:rsid w:val="6BA90182"/>
    <w:rsid w:val="6BAC13E3"/>
    <w:rsid w:val="6BAF2C82"/>
    <w:rsid w:val="6BFC213B"/>
    <w:rsid w:val="6C186305"/>
    <w:rsid w:val="6C3B62C3"/>
    <w:rsid w:val="6C44161C"/>
    <w:rsid w:val="6C5C0714"/>
    <w:rsid w:val="6C636C38"/>
    <w:rsid w:val="6CA33B4D"/>
    <w:rsid w:val="6CB001B6"/>
    <w:rsid w:val="6D237483"/>
    <w:rsid w:val="6D52423C"/>
    <w:rsid w:val="6D6D4BA2"/>
    <w:rsid w:val="6DAC7479"/>
    <w:rsid w:val="6DB34098"/>
    <w:rsid w:val="6DB545B6"/>
    <w:rsid w:val="6DCA78FF"/>
    <w:rsid w:val="6DE02FB4"/>
    <w:rsid w:val="6DF8446C"/>
    <w:rsid w:val="6DFD1A82"/>
    <w:rsid w:val="6E0077C5"/>
    <w:rsid w:val="6E166FE8"/>
    <w:rsid w:val="6E1B45FE"/>
    <w:rsid w:val="6E235E6A"/>
    <w:rsid w:val="6E514CED"/>
    <w:rsid w:val="6E6E2980"/>
    <w:rsid w:val="6E737F96"/>
    <w:rsid w:val="6EA77C40"/>
    <w:rsid w:val="6EAA28C1"/>
    <w:rsid w:val="6EB563D5"/>
    <w:rsid w:val="6EC66318"/>
    <w:rsid w:val="6ED92677"/>
    <w:rsid w:val="6F0F4163"/>
    <w:rsid w:val="6F225983"/>
    <w:rsid w:val="6F26501D"/>
    <w:rsid w:val="6F2B0713"/>
    <w:rsid w:val="6F4E25C1"/>
    <w:rsid w:val="6F9B1553"/>
    <w:rsid w:val="6FA97924"/>
    <w:rsid w:val="6FB14A0E"/>
    <w:rsid w:val="6FC30AAA"/>
    <w:rsid w:val="6FC860C0"/>
    <w:rsid w:val="6FD04AEC"/>
    <w:rsid w:val="6FD827A7"/>
    <w:rsid w:val="6FE0340A"/>
    <w:rsid w:val="6FE538EF"/>
    <w:rsid w:val="6FF84BF7"/>
    <w:rsid w:val="6FFC5590"/>
    <w:rsid w:val="70090BB2"/>
    <w:rsid w:val="701B5115"/>
    <w:rsid w:val="70227EC6"/>
    <w:rsid w:val="703B4AE4"/>
    <w:rsid w:val="704716DB"/>
    <w:rsid w:val="706D1DD0"/>
    <w:rsid w:val="70781894"/>
    <w:rsid w:val="70856B87"/>
    <w:rsid w:val="709F0F55"/>
    <w:rsid w:val="70A6245E"/>
    <w:rsid w:val="70D527EE"/>
    <w:rsid w:val="70DC1E23"/>
    <w:rsid w:val="70F25AEA"/>
    <w:rsid w:val="71211CA2"/>
    <w:rsid w:val="71312ADB"/>
    <w:rsid w:val="713F6856"/>
    <w:rsid w:val="715B5300"/>
    <w:rsid w:val="717C2450"/>
    <w:rsid w:val="71CD79BE"/>
    <w:rsid w:val="71D27F8A"/>
    <w:rsid w:val="71DC40A5"/>
    <w:rsid w:val="720E0702"/>
    <w:rsid w:val="72233A82"/>
    <w:rsid w:val="72254ED4"/>
    <w:rsid w:val="72553024"/>
    <w:rsid w:val="726A345E"/>
    <w:rsid w:val="727A6C71"/>
    <w:rsid w:val="727B38BE"/>
    <w:rsid w:val="728704B4"/>
    <w:rsid w:val="728C1627"/>
    <w:rsid w:val="728E35F1"/>
    <w:rsid w:val="72A44BC2"/>
    <w:rsid w:val="72EC0317"/>
    <w:rsid w:val="72ED32D1"/>
    <w:rsid w:val="72FB1C68"/>
    <w:rsid w:val="731024B8"/>
    <w:rsid w:val="73122968"/>
    <w:rsid w:val="731F5D5E"/>
    <w:rsid w:val="7343262D"/>
    <w:rsid w:val="73441F01"/>
    <w:rsid w:val="736D3206"/>
    <w:rsid w:val="73C51AD5"/>
    <w:rsid w:val="73C74564"/>
    <w:rsid w:val="73EC53BF"/>
    <w:rsid w:val="741E793C"/>
    <w:rsid w:val="745E3944"/>
    <w:rsid w:val="74624D35"/>
    <w:rsid w:val="74A0585D"/>
    <w:rsid w:val="74B530B7"/>
    <w:rsid w:val="74D478E6"/>
    <w:rsid w:val="74D53759"/>
    <w:rsid w:val="74EE481B"/>
    <w:rsid w:val="751275C7"/>
    <w:rsid w:val="751E2749"/>
    <w:rsid w:val="753D30AC"/>
    <w:rsid w:val="753D4E5A"/>
    <w:rsid w:val="7590142E"/>
    <w:rsid w:val="75AE0E41"/>
    <w:rsid w:val="75D51537"/>
    <w:rsid w:val="75F93477"/>
    <w:rsid w:val="7634625D"/>
    <w:rsid w:val="7635099D"/>
    <w:rsid w:val="76366479"/>
    <w:rsid w:val="764F753B"/>
    <w:rsid w:val="76522B87"/>
    <w:rsid w:val="76906246"/>
    <w:rsid w:val="76946CFC"/>
    <w:rsid w:val="769A6A08"/>
    <w:rsid w:val="76B21261"/>
    <w:rsid w:val="76B4739E"/>
    <w:rsid w:val="76BE1FCB"/>
    <w:rsid w:val="76E238BF"/>
    <w:rsid w:val="77051FF0"/>
    <w:rsid w:val="772079A5"/>
    <w:rsid w:val="773724A9"/>
    <w:rsid w:val="776313D5"/>
    <w:rsid w:val="77762421"/>
    <w:rsid w:val="77A613DD"/>
    <w:rsid w:val="77B56B1F"/>
    <w:rsid w:val="780F09F4"/>
    <w:rsid w:val="783C764B"/>
    <w:rsid w:val="784968FE"/>
    <w:rsid w:val="78846027"/>
    <w:rsid w:val="7889062A"/>
    <w:rsid w:val="78A90480"/>
    <w:rsid w:val="78C064CE"/>
    <w:rsid w:val="78C769AE"/>
    <w:rsid w:val="78C87131"/>
    <w:rsid w:val="79115842"/>
    <w:rsid w:val="79132AA2"/>
    <w:rsid w:val="799314ED"/>
    <w:rsid w:val="79BD3575"/>
    <w:rsid w:val="79BD656A"/>
    <w:rsid w:val="79C36276"/>
    <w:rsid w:val="79FE72AE"/>
    <w:rsid w:val="7A010B4C"/>
    <w:rsid w:val="7A0F14BB"/>
    <w:rsid w:val="7A2F1D59"/>
    <w:rsid w:val="7A364017"/>
    <w:rsid w:val="7A8265E1"/>
    <w:rsid w:val="7A831561"/>
    <w:rsid w:val="7A8D23E0"/>
    <w:rsid w:val="7A951295"/>
    <w:rsid w:val="7ADB314B"/>
    <w:rsid w:val="7B1B0457"/>
    <w:rsid w:val="7B30793B"/>
    <w:rsid w:val="7B686D42"/>
    <w:rsid w:val="7B841746"/>
    <w:rsid w:val="7B851222"/>
    <w:rsid w:val="7BB10350"/>
    <w:rsid w:val="7BBA2B53"/>
    <w:rsid w:val="7C0875B1"/>
    <w:rsid w:val="7C4371FA"/>
    <w:rsid w:val="7C6C5AC7"/>
    <w:rsid w:val="7C8617DD"/>
    <w:rsid w:val="7CAA54CB"/>
    <w:rsid w:val="7CB43C54"/>
    <w:rsid w:val="7CC6544B"/>
    <w:rsid w:val="7CD75B94"/>
    <w:rsid w:val="7CDF7D02"/>
    <w:rsid w:val="7CE34539"/>
    <w:rsid w:val="7CFB7AD5"/>
    <w:rsid w:val="7D0239FF"/>
    <w:rsid w:val="7D07647A"/>
    <w:rsid w:val="7D083FA0"/>
    <w:rsid w:val="7D0E09F6"/>
    <w:rsid w:val="7D24527D"/>
    <w:rsid w:val="7D5E40CD"/>
    <w:rsid w:val="7D782ED3"/>
    <w:rsid w:val="7D7B6E68"/>
    <w:rsid w:val="7D9341B1"/>
    <w:rsid w:val="7DA55C93"/>
    <w:rsid w:val="7DC47A9D"/>
    <w:rsid w:val="7DCD56F2"/>
    <w:rsid w:val="7DD02D0F"/>
    <w:rsid w:val="7DDA2EA4"/>
    <w:rsid w:val="7DE87F48"/>
    <w:rsid w:val="7DF06F0E"/>
    <w:rsid w:val="7E5E47BF"/>
    <w:rsid w:val="7E717AD0"/>
    <w:rsid w:val="7E8D6605"/>
    <w:rsid w:val="7E954A46"/>
    <w:rsid w:val="7E991353"/>
    <w:rsid w:val="7EAF0B77"/>
    <w:rsid w:val="7EC42148"/>
    <w:rsid w:val="7EC565EC"/>
    <w:rsid w:val="7EE051D4"/>
    <w:rsid w:val="7F001CE7"/>
    <w:rsid w:val="7F037ABC"/>
    <w:rsid w:val="7F1E3F4E"/>
    <w:rsid w:val="7F631961"/>
    <w:rsid w:val="7F820039"/>
    <w:rsid w:val="7FB20B2C"/>
    <w:rsid w:val="7FE47E50"/>
    <w:rsid w:val="7FE72B0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qFormat="1" w:unhideWhenUsed="0" w:uiPriority="99" w:semiHidden="0" w:name="toc 2" w:locked="1"/>
    <w:lsdException w:uiPriority="39" w:name="toc 3" w:locked="1"/>
    <w:lsdException w:uiPriority="39" w:name="toc 4" w:locked="1"/>
    <w:lsdException w:uiPriority="39" w:name="toc 5" w:locked="1"/>
    <w:lsdException w:uiPriority="39" w:name="toc 6" w:locked="1"/>
    <w:lsdException w:qFormat="1" w:unhideWhenUsed="0" w:uiPriority="99" w:semiHidden="0" w:name="toc 7" w:locked="1"/>
    <w:lsdException w:uiPriority="39" w:name="toc 8" w:locked="1"/>
    <w:lsdException w:uiPriority="39" w:name="toc 9" w:locked="1"/>
    <w:lsdException w:qFormat="1" w:unhideWhenUsed="0" w:uiPriority="99" w:semiHidden="0" w:name="Normal Indent" w:locked="1"/>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qFormat="1" w:unhideWhenUsed="0" w:uiPriority="99" w:semiHidden="0"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99" w:semiHidden="0" w:name="Body Text First Indent" w:locked="1"/>
    <w:lsdException w:qFormat="1" w:unhideWhenUsed="0" w:uiPriority="99" w:semiHidden="0" w:name="Body Text First Indent 2" w:locked="1"/>
    <w:lsdException w:qFormat="1" w:unhideWhenUsed="0" w:uiPriority="99" w:semiHidden="0" w:name="Note Heading" w:locked="1"/>
    <w:lsdException w:qFormat="1" w:unhideWhenUsed="0" w:uiPriority="99" w:semiHidden="0" w:name="Body Text 2" w:locked="1"/>
    <w:lsdException w:uiPriority="99" w:name="Body Text 3" w:locked="1"/>
    <w:lsdException w:uiPriority="99" w:name="Body Text Indent 2" w:locked="1"/>
    <w:lsdException w:uiPriority="99" w:name="Body Text Indent 3" w:locked="1"/>
    <w:lsdException w:qFormat="1" w:unhideWhenUsed="0" w:uiPriority="99" w:semiHidden="0" w:name="Block Text" w:locked="1"/>
    <w:lsdException w:qFormat="1" w:unhideWhenUsed="0" w:uiPriority="99" w:semiHidden="0" w:name="Hyperlink" w:locked="1"/>
    <w:lsdException w:qFormat="1" w:unhideWhenUsed="0" w:uiPriority="99" w:semiHidden="0" w:name="FollowedHyperlink" w:locked="1"/>
    <w:lsdException w:qFormat="1" w:unhideWhenUsed="0" w:uiPriority="0" w:semiHidden="0" w:name="Strong"/>
    <w:lsdException w:qFormat="1" w:unhideWhenUsed="0" w:uiPriority="99" w:semiHidden="0" w:name="Emphasis" w:locked="1"/>
    <w:lsdException w:qFormat="1" w:unhideWhenUsed="0" w:uiPriority="99" w:semiHidden="0" w:name="Document Map" w:locked="1"/>
    <w:lsdException w:qFormat="1" w:unhideWhenUsed="0" w:uiPriority="99"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5"/>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36"/>
    <w:qFormat/>
    <w:locked/>
    <w:uiPriority w:val="99"/>
    <w:pPr>
      <w:keepNext/>
      <w:keepLines/>
      <w:outlineLvl w:val="1"/>
    </w:pPr>
    <w:rPr>
      <w:rFonts w:ascii="Arial" w:hAnsi="Arial"/>
      <w:b/>
      <w:sz w:val="24"/>
    </w:rPr>
  </w:style>
  <w:style w:type="paragraph" w:styleId="5">
    <w:name w:val="heading 3"/>
    <w:basedOn w:val="1"/>
    <w:next w:val="1"/>
    <w:link w:val="37"/>
    <w:qFormat/>
    <w:locked/>
    <w:uiPriority w:val="99"/>
    <w:pPr>
      <w:keepNext/>
      <w:keepLines/>
      <w:spacing w:before="260" w:after="260" w:line="416" w:lineRule="auto"/>
      <w:outlineLvl w:val="2"/>
    </w:pPr>
    <w:rPr>
      <w:b/>
      <w:bCs/>
      <w:sz w:val="32"/>
      <w:szCs w:val="32"/>
    </w:rPr>
  </w:style>
  <w:style w:type="paragraph" w:styleId="6">
    <w:name w:val="heading 4"/>
    <w:basedOn w:val="1"/>
    <w:next w:val="1"/>
    <w:link w:val="38"/>
    <w:qFormat/>
    <w:locked/>
    <w:uiPriority w:val="99"/>
    <w:pPr>
      <w:keepNext/>
      <w:keepLines/>
      <w:jc w:val="center"/>
      <w:outlineLvl w:val="3"/>
    </w:pPr>
  </w:style>
  <w:style w:type="character" w:default="1" w:styleId="29">
    <w:name w:val="Default Paragraph Font"/>
    <w:semiHidden/>
    <w:qFormat/>
    <w:uiPriority w:val="99"/>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54"/>
    <w:qFormat/>
    <w:locked/>
    <w:uiPriority w:val="99"/>
    <w:pPr>
      <w:spacing w:line="480" w:lineRule="atLeast"/>
      <w:ind w:firstLine="420"/>
    </w:pPr>
    <w:rPr>
      <w:rFonts w:eastAsia="仿宋_GB2312"/>
      <w:sz w:val="28"/>
      <w:szCs w:val="20"/>
    </w:rPr>
  </w:style>
  <w:style w:type="paragraph" w:styleId="7">
    <w:name w:val="toc 7"/>
    <w:basedOn w:val="1"/>
    <w:next w:val="1"/>
    <w:qFormat/>
    <w:locked/>
    <w:uiPriority w:val="99"/>
    <w:pPr>
      <w:ind w:left="1260"/>
      <w:jc w:val="left"/>
    </w:pPr>
    <w:rPr>
      <w:rFonts w:ascii="Calibri" w:hAnsi="Calibri"/>
      <w:sz w:val="18"/>
      <w:szCs w:val="18"/>
    </w:rPr>
  </w:style>
  <w:style w:type="paragraph" w:styleId="8">
    <w:name w:val="Note Heading"/>
    <w:basedOn w:val="1"/>
    <w:next w:val="1"/>
    <w:link w:val="39"/>
    <w:qFormat/>
    <w:locked/>
    <w:uiPriority w:val="99"/>
    <w:pPr>
      <w:jc w:val="center"/>
    </w:pPr>
  </w:style>
  <w:style w:type="paragraph" w:styleId="9">
    <w:name w:val="Document Map"/>
    <w:basedOn w:val="1"/>
    <w:link w:val="40"/>
    <w:qFormat/>
    <w:locked/>
    <w:uiPriority w:val="99"/>
    <w:pPr>
      <w:widowControl/>
      <w:spacing w:line="360" w:lineRule="auto"/>
      <w:ind w:firstLine="200" w:firstLineChars="200"/>
      <w:jc w:val="left"/>
    </w:pPr>
    <w:rPr>
      <w:rFonts w:ascii="宋体"/>
      <w:sz w:val="18"/>
      <w:szCs w:val="18"/>
    </w:rPr>
  </w:style>
  <w:style w:type="paragraph" w:styleId="10">
    <w:name w:val="annotation text"/>
    <w:basedOn w:val="1"/>
    <w:link w:val="41"/>
    <w:semiHidden/>
    <w:qFormat/>
    <w:uiPriority w:val="99"/>
    <w:pPr>
      <w:jc w:val="left"/>
    </w:pPr>
    <w:rPr>
      <w:kern w:val="0"/>
      <w:sz w:val="24"/>
      <w:szCs w:val="20"/>
    </w:rPr>
  </w:style>
  <w:style w:type="paragraph" w:styleId="11">
    <w:name w:val="Body Text"/>
    <w:basedOn w:val="1"/>
    <w:next w:val="8"/>
    <w:link w:val="42"/>
    <w:qFormat/>
    <w:uiPriority w:val="99"/>
    <w:pPr>
      <w:widowControl/>
      <w:snapToGrid w:val="0"/>
      <w:spacing w:before="60" w:after="160" w:line="259" w:lineRule="auto"/>
      <w:ind w:right="113"/>
    </w:pPr>
    <w:rPr>
      <w:kern w:val="0"/>
      <w:sz w:val="18"/>
      <w:szCs w:val="20"/>
    </w:rPr>
  </w:style>
  <w:style w:type="paragraph" w:styleId="12">
    <w:name w:val="Body Text Indent"/>
    <w:basedOn w:val="1"/>
    <w:next w:val="13"/>
    <w:link w:val="43"/>
    <w:qFormat/>
    <w:uiPriority w:val="99"/>
    <w:pPr>
      <w:spacing w:after="120"/>
      <w:ind w:left="420" w:leftChars="200"/>
    </w:pPr>
    <w:rPr>
      <w:kern w:val="0"/>
      <w:sz w:val="24"/>
      <w:szCs w:val="20"/>
    </w:rPr>
  </w:style>
  <w:style w:type="paragraph" w:styleId="13">
    <w:name w:val="Body Text First Indent 2"/>
    <w:basedOn w:val="12"/>
    <w:next w:val="14"/>
    <w:link w:val="44"/>
    <w:qFormat/>
    <w:locked/>
    <w:uiPriority w:val="99"/>
    <w:pPr>
      <w:ind w:firstLine="420" w:firstLineChars="200"/>
    </w:pPr>
    <w:rPr>
      <w:kern w:val="2"/>
      <w:sz w:val="21"/>
      <w:szCs w:val="24"/>
    </w:rPr>
  </w:style>
  <w:style w:type="paragraph" w:styleId="14">
    <w:name w:val="Body Text First Indent"/>
    <w:basedOn w:val="11"/>
    <w:next w:val="1"/>
    <w:link w:val="45"/>
    <w:qFormat/>
    <w:locked/>
    <w:uiPriority w:val="99"/>
    <w:pPr>
      <w:widowControl w:val="0"/>
      <w:tabs>
        <w:tab w:val="left" w:pos="1620"/>
        <w:tab w:val="left" w:pos="2700"/>
      </w:tabs>
      <w:spacing w:line="240" w:lineRule="exact"/>
      <w:ind w:firstLine="420" w:firstLineChars="100"/>
      <w:jc w:val="center"/>
    </w:pPr>
    <w:rPr>
      <w:kern w:val="2"/>
      <w:sz w:val="28"/>
    </w:rPr>
  </w:style>
  <w:style w:type="paragraph" w:styleId="15">
    <w:name w:val="Block Text"/>
    <w:basedOn w:val="1"/>
    <w:qFormat/>
    <w:locked/>
    <w:uiPriority w:val="99"/>
    <w:pPr>
      <w:spacing w:line="440" w:lineRule="exact"/>
      <w:ind w:left="113" w:right="113" w:firstLine="567"/>
    </w:pPr>
    <w:rPr>
      <w:rFonts w:ascii="仿宋_GB2312" w:eastAsia="仿宋_GB2312"/>
      <w:sz w:val="28"/>
    </w:rPr>
  </w:style>
  <w:style w:type="paragraph" w:styleId="16">
    <w:name w:val="Plain Text"/>
    <w:basedOn w:val="1"/>
    <w:next w:val="11"/>
    <w:link w:val="46"/>
    <w:qFormat/>
    <w:locked/>
    <w:uiPriority w:val="99"/>
    <w:rPr>
      <w:rFonts w:ascii="宋体" w:hAnsi="Courier New"/>
      <w:szCs w:val="21"/>
    </w:rPr>
  </w:style>
  <w:style w:type="paragraph" w:styleId="17">
    <w:name w:val="Date"/>
    <w:basedOn w:val="1"/>
    <w:next w:val="1"/>
    <w:link w:val="47"/>
    <w:qFormat/>
    <w:uiPriority w:val="99"/>
    <w:pPr>
      <w:ind w:left="100" w:leftChars="2500"/>
    </w:pPr>
    <w:rPr>
      <w:kern w:val="0"/>
      <w:sz w:val="24"/>
      <w:szCs w:val="20"/>
    </w:rPr>
  </w:style>
  <w:style w:type="paragraph" w:styleId="18">
    <w:name w:val="Balloon Text"/>
    <w:basedOn w:val="1"/>
    <w:link w:val="48"/>
    <w:semiHidden/>
    <w:qFormat/>
    <w:uiPriority w:val="99"/>
    <w:rPr>
      <w:kern w:val="0"/>
      <w:sz w:val="18"/>
      <w:szCs w:val="20"/>
    </w:rPr>
  </w:style>
  <w:style w:type="paragraph" w:styleId="19">
    <w:name w:val="footer"/>
    <w:basedOn w:val="1"/>
    <w:link w:val="49"/>
    <w:qFormat/>
    <w:uiPriority w:val="99"/>
    <w:pPr>
      <w:tabs>
        <w:tab w:val="center" w:pos="4153"/>
        <w:tab w:val="right" w:pos="8306"/>
      </w:tabs>
      <w:snapToGrid w:val="0"/>
      <w:jc w:val="left"/>
    </w:pPr>
    <w:rPr>
      <w:kern w:val="0"/>
      <w:sz w:val="18"/>
      <w:szCs w:val="20"/>
    </w:rPr>
  </w:style>
  <w:style w:type="paragraph" w:styleId="20">
    <w:name w:val="header"/>
    <w:basedOn w:val="1"/>
    <w:link w:val="50"/>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List"/>
    <w:basedOn w:val="1"/>
    <w:qFormat/>
    <w:locked/>
    <w:uiPriority w:val="99"/>
    <w:pPr>
      <w:ind w:left="200" w:hanging="200" w:hangingChars="200"/>
    </w:pPr>
  </w:style>
  <w:style w:type="paragraph" w:styleId="22">
    <w:name w:val="table of figures"/>
    <w:basedOn w:val="1"/>
    <w:next w:val="1"/>
    <w:qFormat/>
    <w:locked/>
    <w:uiPriority w:val="99"/>
    <w:pPr>
      <w:ind w:left="200" w:leftChars="200" w:hanging="200" w:hangingChars="200"/>
    </w:pPr>
  </w:style>
  <w:style w:type="paragraph" w:styleId="23">
    <w:name w:val="toc 2"/>
    <w:basedOn w:val="1"/>
    <w:next w:val="1"/>
    <w:qFormat/>
    <w:locked/>
    <w:uiPriority w:val="99"/>
    <w:pPr>
      <w:ind w:left="210"/>
      <w:jc w:val="left"/>
    </w:pPr>
    <w:rPr>
      <w:rFonts w:ascii="Calibri" w:hAnsi="Calibri"/>
      <w:smallCaps/>
      <w:sz w:val="20"/>
      <w:szCs w:val="20"/>
    </w:rPr>
  </w:style>
  <w:style w:type="paragraph" w:styleId="24">
    <w:name w:val="Body Text 2"/>
    <w:basedOn w:val="1"/>
    <w:link w:val="51"/>
    <w:qFormat/>
    <w:locked/>
    <w:uiPriority w:val="99"/>
    <w:pPr>
      <w:spacing w:after="120" w:line="480" w:lineRule="auto"/>
    </w:pPr>
  </w:style>
  <w:style w:type="paragraph" w:styleId="25">
    <w:name w:val="Normal (Web)"/>
    <w:basedOn w:val="1"/>
    <w:link w:val="55"/>
    <w:qFormat/>
    <w:uiPriority w:val="99"/>
    <w:pPr>
      <w:widowControl/>
      <w:spacing w:before="100" w:beforeAutospacing="1" w:after="100" w:afterAutospacing="1"/>
      <w:jc w:val="left"/>
    </w:pPr>
    <w:rPr>
      <w:rFonts w:ascii="宋体" w:hAnsi="宋体"/>
      <w:kern w:val="0"/>
      <w:sz w:val="24"/>
      <w:szCs w:val="20"/>
    </w:rPr>
  </w:style>
  <w:style w:type="paragraph" w:styleId="26">
    <w:name w:val="annotation subject"/>
    <w:basedOn w:val="10"/>
    <w:next w:val="10"/>
    <w:link w:val="52"/>
    <w:semiHidden/>
    <w:qFormat/>
    <w:uiPriority w:val="99"/>
    <w:rPr>
      <w:b/>
      <w:kern w:val="2"/>
    </w:rPr>
  </w:style>
  <w:style w:type="table" w:styleId="28">
    <w:name w:val="Table Grid"/>
    <w:basedOn w:val="27"/>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locked/>
    <w:uiPriority w:val="99"/>
    <w:rPr>
      <w:rFonts w:cs="Times New Roman"/>
    </w:rPr>
  </w:style>
  <w:style w:type="character" w:styleId="31">
    <w:name w:val="FollowedHyperlink"/>
    <w:basedOn w:val="29"/>
    <w:qFormat/>
    <w:locked/>
    <w:uiPriority w:val="99"/>
    <w:rPr>
      <w:rFonts w:ascii="Times New Roman" w:hAnsi="Times New Roman" w:eastAsia="宋体" w:cs="Times New Roman"/>
      <w:color w:val="333333"/>
      <w:sz w:val="24"/>
      <w:u w:val="none"/>
    </w:rPr>
  </w:style>
  <w:style w:type="character" w:styleId="32">
    <w:name w:val="Emphasis"/>
    <w:basedOn w:val="29"/>
    <w:qFormat/>
    <w:locked/>
    <w:uiPriority w:val="99"/>
    <w:rPr>
      <w:rFonts w:cs="Times New Roman"/>
      <w:i/>
    </w:rPr>
  </w:style>
  <w:style w:type="character" w:styleId="33">
    <w:name w:val="Hyperlink"/>
    <w:basedOn w:val="29"/>
    <w:qFormat/>
    <w:locked/>
    <w:uiPriority w:val="99"/>
    <w:rPr>
      <w:rFonts w:cs="Times New Roman"/>
      <w:color w:val="0000FF"/>
      <w:u w:val="single"/>
    </w:rPr>
  </w:style>
  <w:style w:type="character" w:styleId="34">
    <w:name w:val="annotation reference"/>
    <w:basedOn w:val="29"/>
    <w:semiHidden/>
    <w:qFormat/>
    <w:uiPriority w:val="99"/>
    <w:rPr>
      <w:rFonts w:cs="Times New Roman"/>
      <w:sz w:val="21"/>
    </w:rPr>
  </w:style>
  <w:style w:type="character" w:customStyle="1" w:styleId="35">
    <w:name w:val="Heading 1 Char"/>
    <w:basedOn w:val="29"/>
    <w:link w:val="3"/>
    <w:qFormat/>
    <w:locked/>
    <w:uiPriority w:val="99"/>
    <w:rPr>
      <w:rFonts w:cs="Times New Roman"/>
      <w:b/>
      <w:bCs/>
      <w:kern w:val="44"/>
      <w:sz w:val="44"/>
      <w:szCs w:val="44"/>
    </w:rPr>
  </w:style>
  <w:style w:type="character" w:customStyle="1" w:styleId="36">
    <w:name w:val="Heading 2 Char"/>
    <w:basedOn w:val="29"/>
    <w:link w:val="4"/>
    <w:semiHidden/>
    <w:qFormat/>
    <w:uiPriority w:val="9"/>
    <w:rPr>
      <w:rFonts w:asciiTheme="majorHAnsi" w:hAnsiTheme="majorHAnsi" w:eastAsiaTheme="majorEastAsia" w:cstheme="majorBidi"/>
      <w:b/>
      <w:bCs/>
      <w:sz w:val="32"/>
      <w:szCs w:val="32"/>
    </w:rPr>
  </w:style>
  <w:style w:type="character" w:customStyle="1" w:styleId="37">
    <w:name w:val="Heading 3 Char"/>
    <w:basedOn w:val="29"/>
    <w:link w:val="5"/>
    <w:semiHidden/>
    <w:qFormat/>
    <w:locked/>
    <w:uiPriority w:val="99"/>
    <w:rPr>
      <w:b/>
      <w:kern w:val="2"/>
      <w:sz w:val="32"/>
    </w:rPr>
  </w:style>
  <w:style w:type="character" w:customStyle="1" w:styleId="38">
    <w:name w:val="Heading 4 Char"/>
    <w:basedOn w:val="29"/>
    <w:link w:val="6"/>
    <w:semiHidden/>
    <w:qFormat/>
    <w:uiPriority w:val="9"/>
    <w:rPr>
      <w:rFonts w:asciiTheme="majorHAnsi" w:hAnsiTheme="majorHAnsi" w:eastAsiaTheme="majorEastAsia" w:cstheme="majorBidi"/>
      <w:b/>
      <w:bCs/>
      <w:sz w:val="28"/>
      <w:szCs w:val="28"/>
    </w:rPr>
  </w:style>
  <w:style w:type="character" w:customStyle="1" w:styleId="39">
    <w:name w:val="Note Heading Char"/>
    <w:basedOn w:val="29"/>
    <w:link w:val="8"/>
    <w:semiHidden/>
    <w:qFormat/>
    <w:uiPriority w:val="99"/>
    <w:rPr>
      <w:szCs w:val="24"/>
    </w:rPr>
  </w:style>
  <w:style w:type="character" w:customStyle="1" w:styleId="40">
    <w:name w:val="Document Map Char"/>
    <w:basedOn w:val="29"/>
    <w:link w:val="9"/>
    <w:qFormat/>
    <w:locked/>
    <w:uiPriority w:val="99"/>
    <w:rPr>
      <w:rFonts w:ascii="宋体"/>
      <w:kern w:val="2"/>
      <w:sz w:val="18"/>
    </w:rPr>
  </w:style>
  <w:style w:type="character" w:customStyle="1" w:styleId="41">
    <w:name w:val="Comment Text Char"/>
    <w:basedOn w:val="29"/>
    <w:link w:val="10"/>
    <w:qFormat/>
    <w:locked/>
    <w:uiPriority w:val="99"/>
    <w:rPr>
      <w:rFonts w:ascii="Times New Roman" w:hAnsi="Times New Roman" w:eastAsia="宋体"/>
      <w:sz w:val="24"/>
    </w:rPr>
  </w:style>
  <w:style w:type="character" w:customStyle="1" w:styleId="42">
    <w:name w:val="Body Text Char"/>
    <w:basedOn w:val="29"/>
    <w:link w:val="11"/>
    <w:qFormat/>
    <w:locked/>
    <w:uiPriority w:val="99"/>
    <w:rPr>
      <w:sz w:val="18"/>
    </w:rPr>
  </w:style>
  <w:style w:type="character" w:customStyle="1" w:styleId="43">
    <w:name w:val="Body Text Indent Char"/>
    <w:basedOn w:val="29"/>
    <w:link w:val="12"/>
    <w:semiHidden/>
    <w:qFormat/>
    <w:locked/>
    <w:uiPriority w:val="99"/>
    <w:rPr>
      <w:rFonts w:ascii="Times New Roman" w:hAnsi="Times New Roman" w:eastAsia="宋体"/>
      <w:sz w:val="24"/>
    </w:rPr>
  </w:style>
  <w:style w:type="character" w:customStyle="1" w:styleId="44">
    <w:name w:val="Body Text First Indent 2 Char"/>
    <w:basedOn w:val="43"/>
    <w:link w:val="13"/>
    <w:qFormat/>
    <w:locked/>
    <w:uiPriority w:val="99"/>
    <w:rPr>
      <w:kern w:val="2"/>
    </w:rPr>
  </w:style>
  <w:style w:type="character" w:customStyle="1" w:styleId="45">
    <w:name w:val="Body Text First Indent Char"/>
    <w:basedOn w:val="42"/>
    <w:link w:val="14"/>
    <w:semiHidden/>
    <w:qFormat/>
    <w:uiPriority w:val="99"/>
    <w:rPr>
      <w:szCs w:val="24"/>
    </w:rPr>
  </w:style>
  <w:style w:type="character" w:customStyle="1" w:styleId="46">
    <w:name w:val="Plain Text Char"/>
    <w:basedOn w:val="29"/>
    <w:link w:val="16"/>
    <w:qFormat/>
    <w:locked/>
    <w:uiPriority w:val="99"/>
    <w:rPr>
      <w:rFonts w:ascii="宋体" w:hAnsi="Courier New"/>
      <w:kern w:val="2"/>
      <w:sz w:val="21"/>
    </w:rPr>
  </w:style>
  <w:style w:type="character" w:customStyle="1" w:styleId="47">
    <w:name w:val="Date Char"/>
    <w:basedOn w:val="29"/>
    <w:link w:val="17"/>
    <w:qFormat/>
    <w:locked/>
    <w:uiPriority w:val="99"/>
    <w:rPr>
      <w:rFonts w:ascii="Times New Roman" w:hAnsi="Times New Roman" w:eastAsia="宋体"/>
      <w:sz w:val="24"/>
    </w:rPr>
  </w:style>
  <w:style w:type="character" w:customStyle="1" w:styleId="48">
    <w:name w:val="Balloon Text Char"/>
    <w:basedOn w:val="29"/>
    <w:link w:val="18"/>
    <w:semiHidden/>
    <w:qFormat/>
    <w:locked/>
    <w:uiPriority w:val="99"/>
    <w:rPr>
      <w:rFonts w:ascii="Times New Roman" w:hAnsi="Times New Roman" w:eastAsia="宋体"/>
      <w:sz w:val="18"/>
    </w:rPr>
  </w:style>
  <w:style w:type="character" w:customStyle="1" w:styleId="49">
    <w:name w:val="Footer Char"/>
    <w:basedOn w:val="29"/>
    <w:link w:val="19"/>
    <w:qFormat/>
    <w:locked/>
    <w:uiPriority w:val="99"/>
    <w:rPr>
      <w:sz w:val="18"/>
    </w:rPr>
  </w:style>
  <w:style w:type="character" w:customStyle="1" w:styleId="50">
    <w:name w:val="Header Char"/>
    <w:basedOn w:val="29"/>
    <w:link w:val="20"/>
    <w:qFormat/>
    <w:locked/>
    <w:uiPriority w:val="99"/>
    <w:rPr>
      <w:sz w:val="18"/>
    </w:rPr>
  </w:style>
  <w:style w:type="character" w:customStyle="1" w:styleId="51">
    <w:name w:val="Body Text 2 Char"/>
    <w:basedOn w:val="29"/>
    <w:link w:val="24"/>
    <w:qFormat/>
    <w:locked/>
    <w:uiPriority w:val="99"/>
    <w:rPr>
      <w:kern w:val="2"/>
      <w:sz w:val="24"/>
    </w:rPr>
  </w:style>
  <w:style w:type="character" w:customStyle="1" w:styleId="52">
    <w:name w:val="Comment Subject Char"/>
    <w:basedOn w:val="41"/>
    <w:link w:val="26"/>
    <w:semiHidden/>
    <w:qFormat/>
    <w:locked/>
    <w:uiPriority w:val="99"/>
    <w:rPr>
      <w:b/>
      <w:kern w:val="2"/>
    </w:rPr>
  </w:style>
  <w:style w:type="paragraph" w:customStyle="1" w:styleId="53">
    <w:name w:val="样式 黑色 行距: 最小值 26 磅"/>
    <w:basedOn w:val="1"/>
    <w:qFormat/>
    <w:uiPriority w:val="99"/>
    <w:pPr>
      <w:ind w:firstLine="200" w:firstLineChars="200"/>
      <w:jc w:val="left"/>
    </w:pPr>
    <w:rPr>
      <w:rFonts w:eastAsia="楷体_GB2312" w:cs="宋体"/>
      <w:color w:val="000000"/>
      <w:spacing w:val="6"/>
      <w:sz w:val="28"/>
      <w:szCs w:val="20"/>
    </w:rPr>
  </w:style>
  <w:style w:type="character" w:customStyle="1" w:styleId="54">
    <w:name w:val="Normal Indent Char"/>
    <w:link w:val="2"/>
    <w:qFormat/>
    <w:locked/>
    <w:uiPriority w:val="99"/>
    <w:rPr>
      <w:rFonts w:eastAsia="仿宋_GB2312"/>
      <w:kern w:val="2"/>
      <w:sz w:val="28"/>
    </w:rPr>
  </w:style>
  <w:style w:type="character" w:customStyle="1" w:styleId="55">
    <w:name w:val="Normal (Web) Char"/>
    <w:link w:val="25"/>
    <w:qFormat/>
    <w:locked/>
    <w:uiPriority w:val="99"/>
    <w:rPr>
      <w:rFonts w:ascii="宋体" w:hAnsi="宋体" w:eastAsia="宋体"/>
      <w:sz w:val="24"/>
    </w:rPr>
  </w:style>
  <w:style w:type="character" w:customStyle="1" w:styleId="56">
    <w:name w:val="页脚 字符"/>
    <w:basedOn w:val="29"/>
    <w:qFormat/>
    <w:uiPriority w:val="99"/>
    <w:rPr>
      <w:rFonts w:cs="Times New Roman"/>
    </w:rPr>
  </w:style>
  <w:style w:type="character" w:customStyle="1" w:styleId="57">
    <w:name w:val="正文文本 字符1"/>
    <w:semiHidden/>
    <w:qFormat/>
    <w:uiPriority w:val="99"/>
    <w:rPr>
      <w:rFonts w:ascii="Times New Roman" w:hAnsi="Times New Roman" w:eastAsia="宋体"/>
      <w:sz w:val="24"/>
    </w:rPr>
  </w:style>
  <w:style w:type="character" w:customStyle="1" w:styleId="58">
    <w:name w:val="表格 Char"/>
    <w:link w:val="59"/>
    <w:qFormat/>
    <w:locked/>
    <w:uiPriority w:val="99"/>
    <w:rPr>
      <w:rFonts w:ascii="宋体"/>
      <w:sz w:val="21"/>
    </w:rPr>
  </w:style>
  <w:style w:type="paragraph" w:customStyle="1" w:styleId="59">
    <w:name w:val="表格"/>
    <w:basedOn w:val="1"/>
    <w:next w:val="1"/>
    <w:link w:val="58"/>
    <w:qFormat/>
    <w:uiPriority w:val="99"/>
    <w:pPr>
      <w:adjustRightInd w:val="0"/>
      <w:snapToGrid w:val="0"/>
      <w:spacing w:beforeLines="10" w:afterLines="10" w:line="259" w:lineRule="auto"/>
      <w:jc w:val="center"/>
    </w:pPr>
    <w:rPr>
      <w:rFonts w:ascii="宋体"/>
      <w:kern w:val="0"/>
      <w:szCs w:val="20"/>
    </w:rPr>
  </w:style>
  <w:style w:type="character" w:customStyle="1" w:styleId="60">
    <w:name w:val="日期 字符"/>
    <w:semiHidden/>
    <w:qFormat/>
    <w:uiPriority w:val="99"/>
    <w:rPr>
      <w:rFonts w:ascii="Times New Roman" w:hAnsi="Times New Roman" w:eastAsia="宋体"/>
      <w:sz w:val="24"/>
    </w:rPr>
  </w:style>
  <w:style w:type="character" w:customStyle="1" w:styleId="61">
    <w:name w:val="批注文字 字符1"/>
    <w:semiHidden/>
    <w:qFormat/>
    <w:uiPriority w:val="99"/>
    <w:rPr>
      <w:rFonts w:ascii="Times New Roman" w:hAnsi="Times New Roman" w:eastAsia="宋体"/>
      <w:sz w:val="24"/>
    </w:rPr>
  </w:style>
  <w:style w:type="paragraph" w:customStyle="1" w:styleId="62">
    <w:name w:val="正文_10"/>
    <w:qFormat/>
    <w:uiPriority w:val="99"/>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普通(网站)2"/>
    <w:basedOn w:val="1"/>
    <w:qFormat/>
    <w:uiPriority w:val="99"/>
    <w:pPr>
      <w:widowControl/>
      <w:spacing w:before="100" w:beforeAutospacing="1" w:after="100" w:afterAutospacing="1"/>
      <w:jc w:val="left"/>
    </w:pPr>
    <w:rPr>
      <w:rFonts w:ascii="宋体" w:hAnsi="宋体"/>
      <w:sz w:val="24"/>
      <w:szCs w:val="20"/>
    </w:rPr>
  </w:style>
  <w:style w:type="paragraph" w:styleId="64">
    <w:name w:val="No Spacing"/>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标题111"/>
    <w:basedOn w:val="25"/>
    <w:link w:val="66"/>
    <w:qFormat/>
    <w:uiPriority w:val="99"/>
    <w:pPr>
      <w:adjustRightInd w:val="0"/>
      <w:snapToGrid w:val="0"/>
      <w:spacing w:before="0" w:beforeAutospacing="0" w:after="0" w:afterAutospacing="0" w:line="360" w:lineRule="auto"/>
      <w:jc w:val="center"/>
      <w:outlineLvl w:val="0"/>
    </w:pPr>
    <w:rPr>
      <w:rFonts w:eastAsia="黑体"/>
      <w:sz w:val="32"/>
      <w:szCs w:val="30"/>
    </w:rPr>
  </w:style>
  <w:style w:type="character" w:customStyle="1" w:styleId="66">
    <w:name w:val="标题111 Char"/>
    <w:link w:val="65"/>
    <w:qFormat/>
    <w:locked/>
    <w:uiPriority w:val="99"/>
    <w:rPr>
      <w:rFonts w:ascii="宋体" w:hAnsi="宋体" w:eastAsia="黑体"/>
      <w:sz w:val="30"/>
    </w:rPr>
  </w:style>
  <w:style w:type="paragraph" w:customStyle="1" w:styleId="67">
    <w:name w:val="表正文"/>
    <w:basedOn w:val="1"/>
    <w:link w:val="68"/>
    <w:qFormat/>
    <w:uiPriority w:val="99"/>
    <w:pPr>
      <w:widowControl/>
      <w:spacing w:line="360" w:lineRule="auto"/>
      <w:ind w:firstLine="200" w:firstLineChars="200"/>
      <w:jc w:val="left"/>
    </w:pPr>
    <w:rPr>
      <w:sz w:val="24"/>
    </w:rPr>
  </w:style>
  <w:style w:type="character" w:customStyle="1" w:styleId="68">
    <w:name w:val="表正文 Char"/>
    <w:link w:val="67"/>
    <w:qFormat/>
    <w:locked/>
    <w:uiPriority w:val="99"/>
    <w:rPr>
      <w:kern w:val="2"/>
      <w:sz w:val="24"/>
    </w:rPr>
  </w:style>
  <w:style w:type="paragraph" w:customStyle="1" w:styleId="69">
    <w:name w:val="标题3"/>
    <w:basedOn w:val="1"/>
    <w:link w:val="70"/>
    <w:qFormat/>
    <w:uiPriority w:val="99"/>
    <w:pPr>
      <w:widowControl/>
      <w:spacing w:line="360" w:lineRule="auto"/>
      <w:jc w:val="left"/>
      <w:outlineLvl w:val="2"/>
    </w:pPr>
    <w:rPr>
      <w:b/>
      <w:sz w:val="24"/>
    </w:rPr>
  </w:style>
  <w:style w:type="character" w:customStyle="1" w:styleId="70">
    <w:name w:val="标题3 Char"/>
    <w:link w:val="69"/>
    <w:qFormat/>
    <w:locked/>
    <w:uiPriority w:val="99"/>
    <w:rPr>
      <w:b/>
      <w:kern w:val="2"/>
      <w:sz w:val="24"/>
    </w:rPr>
  </w:style>
  <w:style w:type="character" w:customStyle="1" w:styleId="71">
    <w:name w:val="图文标题 Char"/>
    <w:link w:val="72"/>
    <w:qFormat/>
    <w:locked/>
    <w:uiPriority w:val="99"/>
    <w:rPr>
      <w:rFonts w:ascii="Arial" w:hAnsi="Arial"/>
      <w:b/>
      <w:kern w:val="2"/>
      <w:sz w:val="22"/>
    </w:rPr>
  </w:style>
  <w:style w:type="paragraph" w:customStyle="1" w:styleId="72">
    <w:name w:val="图文标题"/>
    <w:basedOn w:val="1"/>
    <w:next w:val="1"/>
    <w:link w:val="71"/>
    <w:qFormat/>
    <w:uiPriority w:val="99"/>
    <w:pPr>
      <w:widowControl/>
      <w:spacing w:line="360" w:lineRule="auto"/>
      <w:jc w:val="center"/>
    </w:pPr>
    <w:rPr>
      <w:rFonts w:ascii="Arial" w:hAnsi="Arial"/>
      <w:b/>
      <w:sz w:val="24"/>
      <w:szCs w:val="22"/>
    </w:rPr>
  </w:style>
  <w:style w:type="paragraph" w:customStyle="1" w:styleId="73">
    <w:name w:val="111表格"/>
    <w:basedOn w:val="1"/>
    <w:link w:val="74"/>
    <w:qFormat/>
    <w:uiPriority w:val="99"/>
    <w:pPr>
      <w:autoSpaceDE w:val="0"/>
      <w:autoSpaceDN w:val="0"/>
      <w:adjustRightInd w:val="0"/>
      <w:snapToGrid w:val="0"/>
      <w:spacing w:line="360" w:lineRule="auto"/>
      <w:ind w:firstLine="200" w:firstLineChars="200"/>
    </w:pPr>
    <w:rPr>
      <w:kern w:val="0"/>
      <w:szCs w:val="21"/>
    </w:rPr>
  </w:style>
  <w:style w:type="character" w:customStyle="1" w:styleId="74">
    <w:name w:val="111表格 Char"/>
    <w:link w:val="73"/>
    <w:qFormat/>
    <w:locked/>
    <w:uiPriority w:val="99"/>
    <w:rPr>
      <w:sz w:val="21"/>
    </w:rPr>
  </w:style>
  <w:style w:type="character" w:customStyle="1" w:styleId="75">
    <w:name w:val="正文的格式52 Char"/>
    <w:link w:val="76"/>
    <w:qFormat/>
    <w:locked/>
    <w:uiPriority w:val="99"/>
    <w:rPr>
      <w:sz w:val="24"/>
    </w:rPr>
  </w:style>
  <w:style w:type="paragraph" w:customStyle="1" w:styleId="76">
    <w:name w:val="正文的格式52"/>
    <w:basedOn w:val="1"/>
    <w:link w:val="75"/>
    <w:qFormat/>
    <w:uiPriority w:val="99"/>
    <w:pPr>
      <w:spacing w:line="360" w:lineRule="auto"/>
      <w:ind w:firstLine="200" w:firstLineChars="200"/>
    </w:pPr>
    <w:rPr>
      <w:kern w:val="0"/>
      <w:sz w:val="24"/>
      <w:szCs w:val="20"/>
    </w:rPr>
  </w:style>
  <w:style w:type="character" w:customStyle="1" w:styleId="77">
    <w:name w:val="标题2 Char"/>
    <w:link w:val="78"/>
    <w:qFormat/>
    <w:locked/>
    <w:uiPriority w:val="99"/>
    <w:rPr>
      <w:rFonts w:eastAsia="黑体"/>
      <w:kern w:val="2"/>
      <w:sz w:val="30"/>
    </w:rPr>
  </w:style>
  <w:style w:type="paragraph" w:customStyle="1" w:styleId="78">
    <w:name w:val="标题2"/>
    <w:basedOn w:val="16"/>
    <w:link w:val="77"/>
    <w:qFormat/>
    <w:uiPriority w:val="99"/>
    <w:pPr>
      <w:spacing w:line="360" w:lineRule="auto"/>
      <w:outlineLvl w:val="1"/>
    </w:pPr>
    <w:rPr>
      <w:rFonts w:ascii="Times New Roman" w:hAnsi="Times New Roman" w:eastAsia="黑体"/>
      <w:sz w:val="30"/>
      <w:szCs w:val="30"/>
    </w:rPr>
  </w:style>
  <w:style w:type="paragraph" w:customStyle="1" w:styleId="79">
    <w:name w:val="正文111"/>
    <w:basedOn w:val="76"/>
    <w:link w:val="80"/>
    <w:qFormat/>
    <w:uiPriority w:val="99"/>
    <w:pPr>
      <w:ind w:firstLine="480"/>
    </w:pPr>
  </w:style>
  <w:style w:type="character" w:customStyle="1" w:styleId="80">
    <w:name w:val="正文111 Char"/>
    <w:basedOn w:val="75"/>
    <w:link w:val="79"/>
    <w:qFormat/>
    <w:locked/>
    <w:uiPriority w:val="99"/>
    <w:rPr>
      <w:rFonts w:cs="Times New Roman"/>
    </w:rPr>
  </w:style>
  <w:style w:type="paragraph" w:customStyle="1" w:styleId="81">
    <w:name w:val="11正文"/>
    <w:basedOn w:val="79"/>
    <w:link w:val="82"/>
    <w:qFormat/>
    <w:uiPriority w:val="99"/>
  </w:style>
  <w:style w:type="character" w:customStyle="1" w:styleId="82">
    <w:name w:val="11正文 Char"/>
    <w:basedOn w:val="80"/>
    <w:link w:val="81"/>
    <w:qFormat/>
    <w:locked/>
    <w:uiPriority w:val="99"/>
  </w:style>
  <w:style w:type="paragraph" w:customStyle="1" w:styleId="83">
    <w:name w:val="22标题2"/>
    <w:basedOn w:val="78"/>
    <w:link w:val="84"/>
    <w:qFormat/>
    <w:uiPriority w:val="99"/>
    <w:pPr>
      <w:adjustRightInd w:val="0"/>
      <w:snapToGrid w:val="0"/>
    </w:pPr>
    <w:rPr>
      <w:color w:val="0000FF"/>
    </w:rPr>
  </w:style>
  <w:style w:type="character" w:customStyle="1" w:styleId="84">
    <w:name w:val="22标题2 Char"/>
    <w:link w:val="83"/>
    <w:qFormat/>
    <w:locked/>
    <w:uiPriority w:val="99"/>
    <w:rPr>
      <w:rFonts w:eastAsia="黑体"/>
      <w:color w:val="0000FF"/>
      <w:kern w:val="2"/>
      <w:sz w:val="30"/>
    </w:rPr>
  </w:style>
  <w:style w:type="paragraph" w:customStyle="1" w:styleId="85">
    <w:name w:val="111表头"/>
    <w:basedOn w:val="67"/>
    <w:link w:val="86"/>
    <w:qFormat/>
    <w:uiPriority w:val="99"/>
    <w:pPr>
      <w:adjustRightInd w:val="0"/>
      <w:snapToGrid w:val="0"/>
      <w:spacing w:line="240" w:lineRule="auto"/>
      <w:ind w:firstLine="0" w:firstLineChars="0"/>
      <w:jc w:val="center"/>
    </w:pPr>
    <w:rPr>
      <w:rFonts w:eastAsia="黑体"/>
      <w:color w:val="0000FF"/>
    </w:rPr>
  </w:style>
  <w:style w:type="character" w:customStyle="1" w:styleId="86">
    <w:name w:val="111表头 Char"/>
    <w:link w:val="85"/>
    <w:qFormat/>
    <w:locked/>
    <w:uiPriority w:val="99"/>
    <w:rPr>
      <w:rFonts w:eastAsia="黑体"/>
      <w:color w:val="0000FF"/>
      <w:kern w:val="2"/>
      <w:sz w:val="24"/>
    </w:rPr>
  </w:style>
  <w:style w:type="character" w:customStyle="1" w:styleId="87">
    <w:name w:val="表表表表 Char"/>
    <w:link w:val="88"/>
    <w:qFormat/>
    <w:locked/>
    <w:uiPriority w:val="99"/>
    <w:rPr>
      <w:rFonts w:eastAsia="方正楷体简体"/>
      <w:kern w:val="2"/>
      <w:sz w:val="21"/>
    </w:rPr>
  </w:style>
  <w:style w:type="paragraph" w:customStyle="1" w:styleId="88">
    <w:name w:val="表表表表"/>
    <w:basedOn w:val="1"/>
    <w:link w:val="87"/>
    <w:qFormat/>
    <w:uiPriority w:val="99"/>
    <w:pPr>
      <w:widowControl/>
      <w:jc w:val="center"/>
    </w:pPr>
    <w:rPr>
      <w:rFonts w:eastAsia="方正楷体简体"/>
      <w:szCs w:val="21"/>
    </w:rPr>
  </w:style>
  <w:style w:type="paragraph" w:customStyle="1" w:styleId="89">
    <w:name w:val="表哥的格式"/>
    <w:basedOn w:val="1"/>
    <w:link w:val="90"/>
    <w:qFormat/>
    <w:uiPriority w:val="99"/>
    <w:pPr>
      <w:widowControl/>
      <w:autoSpaceDE w:val="0"/>
      <w:autoSpaceDN w:val="0"/>
      <w:adjustRightInd w:val="0"/>
      <w:snapToGrid w:val="0"/>
      <w:spacing w:line="360" w:lineRule="auto"/>
      <w:ind w:firstLine="200" w:firstLineChars="200"/>
      <w:jc w:val="center"/>
    </w:pPr>
    <w:rPr>
      <w:kern w:val="0"/>
      <w:szCs w:val="21"/>
    </w:rPr>
  </w:style>
  <w:style w:type="character" w:customStyle="1" w:styleId="90">
    <w:name w:val="表哥的格式 Char"/>
    <w:link w:val="89"/>
    <w:qFormat/>
    <w:locked/>
    <w:uiPriority w:val="99"/>
    <w:rPr>
      <w:sz w:val="21"/>
    </w:rPr>
  </w:style>
  <w:style w:type="character" w:customStyle="1" w:styleId="91">
    <w:name w:val="正文11111111111 Char Char"/>
    <w:link w:val="92"/>
    <w:qFormat/>
    <w:locked/>
    <w:uiPriority w:val="99"/>
    <w:rPr>
      <w:rFonts w:ascii="宋体" w:eastAsia="宋体"/>
      <w:kern w:val="2"/>
      <w:sz w:val="24"/>
    </w:rPr>
  </w:style>
  <w:style w:type="paragraph" w:customStyle="1" w:styleId="92">
    <w:name w:val="正文11111111111"/>
    <w:basedOn w:val="1"/>
    <w:link w:val="91"/>
    <w:qFormat/>
    <w:uiPriority w:val="99"/>
    <w:pPr>
      <w:widowControl/>
      <w:spacing w:line="360" w:lineRule="auto"/>
      <w:ind w:firstLine="480" w:firstLineChars="200"/>
      <w:jc w:val="left"/>
    </w:pPr>
    <w:rPr>
      <w:rFonts w:ascii="宋体" w:hAnsi="宋体"/>
      <w:sz w:val="24"/>
    </w:rPr>
  </w:style>
  <w:style w:type="paragraph" w:customStyle="1" w:styleId="93">
    <w:name w:val="22表格"/>
    <w:basedOn w:val="88"/>
    <w:link w:val="94"/>
    <w:qFormat/>
    <w:uiPriority w:val="99"/>
    <w:pPr>
      <w:adjustRightInd w:val="0"/>
      <w:snapToGrid w:val="0"/>
      <w:textAlignment w:val="center"/>
    </w:pPr>
    <w:rPr>
      <w:color w:val="000000"/>
    </w:rPr>
  </w:style>
  <w:style w:type="character" w:customStyle="1" w:styleId="94">
    <w:name w:val="22表格 Char"/>
    <w:link w:val="93"/>
    <w:qFormat/>
    <w:locked/>
    <w:uiPriority w:val="99"/>
    <w:rPr>
      <w:rFonts w:eastAsia="方正楷体简体"/>
      <w:color w:val="000000"/>
      <w:kern w:val="2"/>
      <w:sz w:val="21"/>
    </w:rPr>
  </w:style>
  <w:style w:type="character" w:customStyle="1" w:styleId="95">
    <w:name w:val="表格内容 Char"/>
    <w:link w:val="96"/>
    <w:qFormat/>
    <w:locked/>
    <w:uiPriority w:val="99"/>
    <w:rPr>
      <w:kern w:val="2"/>
      <w:sz w:val="22"/>
    </w:rPr>
  </w:style>
  <w:style w:type="paragraph" w:customStyle="1" w:styleId="96">
    <w:name w:val="表格内容"/>
    <w:basedOn w:val="21"/>
    <w:next w:val="1"/>
    <w:link w:val="95"/>
    <w:qFormat/>
    <w:uiPriority w:val="99"/>
    <w:pPr>
      <w:widowControl/>
      <w:jc w:val="center"/>
    </w:pPr>
    <w:rPr>
      <w:szCs w:val="22"/>
    </w:rPr>
  </w:style>
  <w:style w:type="paragraph" w:customStyle="1" w:styleId="97">
    <w:name w:val="表格标题"/>
    <w:basedOn w:val="1"/>
    <w:next w:val="1"/>
    <w:link w:val="98"/>
    <w:qFormat/>
    <w:uiPriority w:val="99"/>
    <w:pPr>
      <w:widowControl/>
      <w:numPr>
        <w:ilvl w:val="0"/>
        <w:numId w:val="1"/>
      </w:numPr>
      <w:spacing w:line="360" w:lineRule="auto"/>
      <w:jc w:val="center"/>
      <w:outlineLvl w:val="4"/>
    </w:pPr>
    <w:rPr>
      <w:b/>
      <w:kern w:val="0"/>
      <w:sz w:val="24"/>
    </w:rPr>
  </w:style>
  <w:style w:type="character" w:customStyle="1" w:styleId="98">
    <w:name w:val="表格标题 Char1"/>
    <w:link w:val="97"/>
    <w:qFormat/>
    <w:locked/>
    <w:uiPriority w:val="99"/>
    <w:rPr>
      <w:b/>
      <w:sz w:val="24"/>
    </w:rPr>
  </w:style>
  <w:style w:type="paragraph" w:customStyle="1" w:styleId="99">
    <w:name w:val="111正文的格式"/>
    <w:basedOn w:val="1"/>
    <w:link w:val="100"/>
    <w:qFormat/>
    <w:uiPriority w:val="99"/>
    <w:pPr>
      <w:adjustRightInd w:val="0"/>
      <w:snapToGrid w:val="0"/>
      <w:spacing w:line="360" w:lineRule="auto"/>
      <w:ind w:firstLine="200" w:firstLineChars="200"/>
    </w:pPr>
    <w:rPr>
      <w:color w:val="0000FF"/>
      <w:sz w:val="24"/>
    </w:rPr>
  </w:style>
  <w:style w:type="character" w:customStyle="1" w:styleId="100">
    <w:name w:val="111正文的格式 Char"/>
    <w:link w:val="99"/>
    <w:qFormat/>
    <w:locked/>
    <w:uiPriority w:val="99"/>
    <w:rPr>
      <w:color w:val="0000FF"/>
      <w:kern w:val="2"/>
      <w:sz w:val="24"/>
    </w:rPr>
  </w:style>
  <w:style w:type="paragraph" w:customStyle="1" w:styleId="101">
    <w:name w:val="尾注文本1"/>
    <w:basedOn w:val="1"/>
    <w:qFormat/>
    <w:uiPriority w:val="99"/>
    <w:pPr>
      <w:jc w:val="left"/>
    </w:pPr>
    <w:rPr>
      <w:sz w:val="24"/>
    </w:rPr>
  </w:style>
  <w:style w:type="character" w:customStyle="1" w:styleId="102">
    <w:name w:val="111表格的格式 Char"/>
    <w:link w:val="103"/>
    <w:qFormat/>
    <w:locked/>
    <w:uiPriority w:val="99"/>
    <w:rPr>
      <w:kern w:val="2"/>
      <w:sz w:val="24"/>
    </w:rPr>
  </w:style>
  <w:style w:type="paragraph" w:customStyle="1" w:styleId="103">
    <w:name w:val="111表格的格式"/>
    <w:basedOn w:val="1"/>
    <w:link w:val="102"/>
    <w:qFormat/>
    <w:uiPriority w:val="99"/>
    <w:pPr>
      <w:adjustRightInd w:val="0"/>
      <w:snapToGrid w:val="0"/>
      <w:jc w:val="center"/>
    </w:pPr>
  </w:style>
  <w:style w:type="paragraph" w:customStyle="1" w:styleId="104">
    <w:name w:val="11111表土"/>
    <w:basedOn w:val="1"/>
    <w:link w:val="105"/>
    <w:qFormat/>
    <w:uiPriority w:val="99"/>
    <w:pPr>
      <w:widowControl/>
      <w:adjustRightInd w:val="0"/>
      <w:snapToGrid w:val="0"/>
      <w:jc w:val="center"/>
    </w:pPr>
    <w:rPr>
      <w:rFonts w:eastAsia="黑体"/>
      <w:kern w:val="0"/>
      <w:sz w:val="24"/>
    </w:rPr>
  </w:style>
  <w:style w:type="character" w:customStyle="1" w:styleId="105">
    <w:name w:val="11111表土 Char"/>
    <w:link w:val="104"/>
    <w:qFormat/>
    <w:locked/>
    <w:uiPriority w:val="99"/>
    <w:rPr>
      <w:rFonts w:eastAsia="黑体"/>
      <w:sz w:val="24"/>
    </w:rPr>
  </w:style>
  <w:style w:type="paragraph" w:customStyle="1" w:styleId="106">
    <w:name w:val="0正文"/>
    <w:link w:val="107"/>
    <w:qFormat/>
    <w:uiPriority w:val="99"/>
    <w:pPr>
      <w:widowControl w:val="0"/>
      <w:spacing w:line="360" w:lineRule="auto"/>
      <w:ind w:firstLine="720" w:firstLineChars="200"/>
    </w:pPr>
    <w:rPr>
      <w:rFonts w:ascii="Times New Roman" w:hAnsi="Times New Roman" w:eastAsia="宋体" w:cs="Times New Roman"/>
      <w:kern w:val="0"/>
      <w:sz w:val="24"/>
      <w:szCs w:val="22"/>
      <w:lang w:val="en-US" w:eastAsia="zh-CN" w:bidi="ar-SA"/>
    </w:rPr>
  </w:style>
  <w:style w:type="character" w:customStyle="1" w:styleId="107">
    <w:name w:val="0正文 Char"/>
    <w:link w:val="106"/>
    <w:qFormat/>
    <w:locked/>
    <w:uiPriority w:val="99"/>
    <w:rPr>
      <w:sz w:val="22"/>
    </w:rPr>
  </w:style>
  <w:style w:type="character" w:customStyle="1" w:styleId="108">
    <w:name w:val="表格的格式 Char"/>
    <w:link w:val="109"/>
    <w:qFormat/>
    <w:locked/>
    <w:uiPriority w:val="99"/>
    <w:rPr>
      <w:sz w:val="21"/>
    </w:rPr>
  </w:style>
  <w:style w:type="paragraph" w:customStyle="1" w:styleId="109">
    <w:name w:val="表格的格式"/>
    <w:basedOn w:val="1"/>
    <w:link w:val="108"/>
    <w:qFormat/>
    <w:uiPriority w:val="99"/>
    <w:pPr>
      <w:jc w:val="center"/>
    </w:pPr>
    <w:rPr>
      <w:kern w:val="0"/>
      <w:sz w:val="20"/>
      <w:szCs w:val="21"/>
    </w:rPr>
  </w:style>
  <w:style w:type="paragraph" w:customStyle="1" w:styleId="110">
    <w:name w:val="表头111"/>
    <w:basedOn w:val="1"/>
    <w:link w:val="111"/>
    <w:qFormat/>
    <w:uiPriority w:val="99"/>
    <w:pPr>
      <w:jc w:val="center"/>
    </w:pPr>
    <w:rPr>
      <w:rFonts w:eastAsia="黑体"/>
      <w:color w:val="000000"/>
      <w:sz w:val="24"/>
    </w:rPr>
  </w:style>
  <w:style w:type="character" w:customStyle="1" w:styleId="111">
    <w:name w:val="表头111 Char"/>
    <w:link w:val="110"/>
    <w:qFormat/>
    <w:locked/>
    <w:uiPriority w:val="99"/>
    <w:rPr>
      <w:rFonts w:eastAsia="黑体"/>
      <w:color w:val="000000"/>
      <w:kern w:val="2"/>
      <w:sz w:val="24"/>
    </w:rPr>
  </w:style>
  <w:style w:type="character" w:customStyle="1" w:styleId="112">
    <w:name w:val="正文格式111 Char"/>
    <w:link w:val="113"/>
    <w:qFormat/>
    <w:locked/>
    <w:uiPriority w:val="99"/>
    <w:rPr>
      <w:sz w:val="24"/>
    </w:rPr>
  </w:style>
  <w:style w:type="paragraph" w:customStyle="1" w:styleId="113">
    <w:name w:val="正文格式111"/>
    <w:basedOn w:val="1"/>
    <w:link w:val="112"/>
    <w:qFormat/>
    <w:uiPriority w:val="99"/>
    <w:pPr>
      <w:widowControl/>
      <w:spacing w:line="420" w:lineRule="auto"/>
      <w:ind w:firstLine="480" w:firstLineChars="200"/>
      <w:jc w:val="left"/>
    </w:pPr>
    <w:rPr>
      <w:bCs/>
      <w:kern w:val="0"/>
      <w:sz w:val="24"/>
    </w:rPr>
  </w:style>
  <w:style w:type="character" w:customStyle="1" w:styleId="114">
    <w:name w:val="111正文 Char"/>
    <w:link w:val="115"/>
    <w:qFormat/>
    <w:locked/>
    <w:uiPriority w:val="99"/>
    <w:rPr>
      <w:color w:val="C00000"/>
      <w:sz w:val="32"/>
    </w:rPr>
  </w:style>
  <w:style w:type="paragraph" w:customStyle="1" w:styleId="115">
    <w:name w:val="111正文"/>
    <w:basedOn w:val="1"/>
    <w:link w:val="114"/>
    <w:qFormat/>
    <w:uiPriority w:val="99"/>
    <w:pPr>
      <w:widowControl/>
      <w:tabs>
        <w:tab w:val="left" w:pos="7276"/>
      </w:tabs>
      <w:adjustRightInd w:val="0"/>
      <w:snapToGrid w:val="0"/>
      <w:spacing w:line="360" w:lineRule="auto"/>
      <w:ind w:firstLine="480" w:firstLineChars="200"/>
      <w:jc w:val="left"/>
    </w:pPr>
    <w:rPr>
      <w:color w:val="C00000"/>
      <w:kern w:val="0"/>
      <w:sz w:val="24"/>
      <w:szCs w:val="32"/>
    </w:rPr>
  </w:style>
  <w:style w:type="paragraph" w:customStyle="1" w:styleId="116">
    <w:name w:val="333标题3"/>
    <w:basedOn w:val="1"/>
    <w:link w:val="117"/>
    <w:qFormat/>
    <w:uiPriority w:val="99"/>
    <w:pPr>
      <w:adjustRightInd w:val="0"/>
      <w:snapToGrid w:val="0"/>
      <w:spacing w:line="360" w:lineRule="auto"/>
      <w:outlineLvl w:val="2"/>
    </w:pPr>
    <w:rPr>
      <w:rFonts w:eastAsia="黑体"/>
      <w:bCs/>
      <w:spacing w:val="-10"/>
      <w:sz w:val="28"/>
      <w:szCs w:val="21"/>
    </w:rPr>
  </w:style>
  <w:style w:type="character" w:customStyle="1" w:styleId="117">
    <w:name w:val="333标题3 Char"/>
    <w:link w:val="116"/>
    <w:qFormat/>
    <w:locked/>
    <w:uiPriority w:val="99"/>
    <w:rPr>
      <w:rFonts w:eastAsia="黑体"/>
      <w:spacing w:val="-10"/>
      <w:kern w:val="2"/>
      <w:sz w:val="21"/>
    </w:rPr>
  </w:style>
  <w:style w:type="paragraph" w:customStyle="1" w:styleId="118">
    <w:name w:val="44标题444"/>
    <w:basedOn w:val="1"/>
    <w:link w:val="119"/>
    <w:qFormat/>
    <w:uiPriority w:val="99"/>
    <w:pPr>
      <w:adjustRightInd w:val="0"/>
      <w:snapToGrid w:val="0"/>
      <w:spacing w:line="360" w:lineRule="auto"/>
      <w:outlineLvl w:val="3"/>
    </w:pPr>
    <w:rPr>
      <w:rFonts w:eastAsia="黑体"/>
      <w:bCs/>
      <w:spacing w:val="-10"/>
      <w:sz w:val="24"/>
      <w:szCs w:val="21"/>
    </w:rPr>
  </w:style>
  <w:style w:type="character" w:customStyle="1" w:styleId="119">
    <w:name w:val="44标题444 Char"/>
    <w:link w:val="118"/>
    <w:qFormat/>
    <w:locked/>
    <w:uiPriority w:val="99"/>
    <w:rPr>
      <w:rFonts w:eastAsia="黑体"/>
      <w:spacing w:val="-10"/>
      <w:kern w:val="2"/>
      <w:sz w:val="21"/>
    </w:rPr>
  </w:style>
  <w:style w:type="character" w:customStyle="1" w:styleId="120">
    <w:name w:val="curpage"/>
    <w:qFormat/>
    <w:uiPriority w:val="99"/>
    <w:rPr>
      <w:rFonts w:ascii="Times New Roman" w:hAnsi="Times New Roman" w:eastAsia="宋体"/>
      <w:color w:val="D03425"/>
      <w:sz w:val="24"/>
    </w:rPr>
  </w:style>
  <w:style w:type="paragraph" w:customStyle="1" w:styleId="121">
    <w:name w:val="表内容"/>
    <w:basedOn w:val="1"/>
    <w:qFormat/>
    <w:uiPriority w:val="99"/>
    <w:pPr>
      <w:widowControl/>
      <w:jc w:val="center"/>
    </w:pPr>
    <w:rPr>
      <w:kern w:val="0"/>
      <w:lang w:val="en-GB"/>
    </w:rPr>
  </w:style>
  <w:style w:type="paragraph" w:customStyle="1" w:styleId="122">
    <w:name w:val="【表格文字】"/>
    <w:basedOn w:val="1"/>
    <w:next w:val="1"/>
    <w:qFormat/>
    <w:uiPriority w:val="99"/>
    <w:pPr>
      <w:adjustRightInd w:val="0"/>
      <w:snapToGrid w:val="0"/>
      <w:jc w:val="center"/>
    </w:pPr>
  </w:style>
  <w:style w:type="paragraph" w:customStyle="1" w:styleId="123">
    <w:name w:val="Heart List"/>
    <w:qFormat/>
    <w:uiPriority w:val="99"/>
    <w:pPr>
      <w:widowControl w:val="0"/>
      <w:autoSpaceDE w:val="0"/>
      <w:autoSpaceDN w:val="0"/>
      <w:adjustRightInd w:val="0"/>
      <w:ind w:left="720" w:hanging="431"/>
    </w:pPr>
    <w:rPr>
      <w:rFonts w:ascii="Times New Roman" w:hAnsi="Times New Roman" w:eastAsia="宋体" w:cs="Times New Roman"/>
      <w:kern w:val="0"/>
      <w:sz w:val="24"/>
      <w:szCs w:val="20"/>
      <w:lang w:val="en-US" w:eastAsia="zh-CN" w:bidi="ar-SA"/>
    </w:rPr>
  </w:style>
  <w:style w:type="paragraph" w:customStyle="1" w:styleId="124">
    <w:name w:val="Default"/>
    <w:basedOn w:val="125"/>
    <w:next w:val="126"/>
    <w:qFormat/>
    <w:uiPriority w:val="99"/>
    <w:pPr>
      <w:autoSpaceDE w:val="0"/>
      <w:autoSpaceDN w:val="0"/>
      <w:adjustRightInd w:val="0"/>
    </w:pPr>
    <w:rPr>
      <w:rFonts w:hAnsi="Times New Roman" w:cs="宋体"/>
      <w:color w:val="000000"/>
      <w:sz w:val="24"/>
    </w:rPr>
  </w:style>
  <w:style w:type="paragraph" w:customStyle="1" w:styleId="125">
    <w:name w:val="纯文本1"/>
    <w:basedOn w:val="1"/>
    <w:next w:val="16"/>
    <w:qFormat/>
    <w:uiPriority w:val="99"/>
    <w:pPr>
      <w:textAlignment w:val="baseline"/>
    </w:pPr>
    <w:rPr>
      <w:rFonts w:ascii="宋体" w:hAnsi="Courier New"/>
    </w:rPr>
  </w:style>
  <w:style w:type="paragraph" w:customStyle="1" w:styleId="126">
    <w:name w:val="样式35"/>
    <w:next w:val="127"/>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27">
    <w:name w:val="font6"/>
    <w:basedOn w:val="1"/>
    <w:next w:val="23"/>
    <w:qFormat/>
    <w:uiPriority w:val="99"/>
    <w:pPr>
      <w:widowControl/>
      <w:spacing w:before="100" w:beforeAutospacing="1" w:after="100" w:afterAutospacing="1"/>
      <w:jc w:val="left"/>
    </w:pPr>
    <w:rPr>
      <w:rFonts w:ascii="宋体" w:hAnsi="宋体"/>
      <w:sz w:val="20"/>
      <w:szCs w:val="20"/>
    </w:rPr>
  </w:style>
  <w:style w:type="paragraph" w:customStyle="1" w:styleId="128">
    <w:name w:val="批注文字1"/>
    <w:qFormat/>
    <w:uiPriority w:val="99"/>
    <w:pPr>
      <w:widowControl w:val="0"/>
    </w:pPr>
    <w:rPr>
      <w:rFonts w:ascii="Times New Roman" w:hAnsi="Times New Roman" w:eastAsia="宋体" w:cs="Times New Roman"/>
      <w:color w:val="000000"/>
      <w:kern w:val="2"/>
      <w:sz w:val="21"/>
      <w:szCs w:val="24"/>
      <w:lang w:val="en-US" w:eastAsia="zh-CN" w:bidi="ar-SA"/>
    </w:rPr>
  </w:style>
  <w:style w:type="paragraph" w:customStyle="1" w:styleId="129">
    <w:name w:val="111"/>
    <w:basedOn w:val="1"/>
    <w:link w:val="130"/>
    <w:qFormat/>
    <w:uiPriority w:val="99"/>
    <w:pPr>
      <w:adjustRightInd w:val="0"/>
      <w:snapToGrid w:val="0"/>
      <w:ind w:right="862"/>
      <w:jc w:val="left"/>
    </w:pPr>
    <w:rPr>
      <w:iCs/>
      <w:sz w:val="24"/>
      <w:szCs w:val="22"/>
    </w:rPr>
  </w:style>
  <w:style w:type="character" w:customStyle="1" w:styleId="130">
    <w:name w:val="111 Char"/>
    <w:link w:val="129"/>
    <w:qFormat/>
    <w:locked/>
    <w:uiPriority w:val="99"/>
    <w:rPr>
      <w:kern w:val="2"/>
      <w:sz w:val="22"/>
    </w:rPr>
  </w:style>
  <w:style w:type="paragraph" w:customStyle="1" w:styleId="131">
    <w:name w:val="Char Char Char Char Char Char1 Char"/>
    <w:basedOn w:val="1"/>
    <w:semiHidden/>
    <w:qFormat/>
    <w:uiPriority w:val="99"/>
    <w:rPr>
      <w:szCs w:val="22"/>
    </w:rPr>
  </w:style>
  <w:style w:type="character" w:customStyle="1" w:styleId="132">
    <w:name w:val="111正文格式111 Char"/>
    <w:link w:val="133"/>
    <w:qFormat/>
    <w:locked/>
    <w:uiPriority w:val="99"/>
    <w:rPr>
      <w:kern w:val="2"/>
      <w:sz w:val="24"/>
    </w:rPr>
  </w:style>
  <w:style w:type="paragraph" w:customStyle="1" w:styleId="133">
    <w:name w:val="111正文格式111"/>
    <w:basedOn w:val="1"/>
    <w:link w:val="132"/>
    <w:qFormat/>
    <w:uiPriority w:val="99"/>
    <w:pPr>
      <w:adjustRightInd w:val="0"/>
      <w:snapToGrid w:val="0"/>
      <w:spacing w:line="360" w:lineRule="auto"/>
      <w:ind w:firstLine="200" w:firstLineChars="200"/>
    </w:pPr>
    <w:rPr>
      <w:bCs/>
      <w:sz w:val="24"/>
    </w:rPr>
  </w:style>
  <w:style w:type="character" w:customStyle="1" w:styleId="134">
    <w:name w:val="3标题 Char"/>
    <w:link w:val="135"/>
    <w:qFormat/>
    <w:locked/>
    <w:uiPriority w:val="99"/>
    <w:rPr>
      <w:b/>
      <w:sz w:val="28"/>
    </w:rPr>
  </w:style>
  <w:style w:type="paragraph" w:customStyle="1" w:styleId="135">
    <w:name w:val="3标题"/>
    <w:basedOn w:val="1"/>
    <w:link w:val="134"/>
    <w:qFormat/>
    <w:uiPriority w:val="99"/>
    <w:pPr>
      <w:keepNext/>
      <w:keepLines/>
      <w:tabs>
        <w:tab w:val="left" w:pos="420"/>
        <w:tab w:val="left" w:pos="927"/>
      </w:tabs>
      <w:spacing w:beforeLines="100"/>
      <w:jc w:val="left"/>
      <w:outlineLvl w:val="2"/>
    </w:pPr>
    <w:rPr>
      <w:b/>
      <w:bCs/>
      <w:kern w:val="0"/>
      <w:sz w:val="28"/>
      <w:szCs w:val="28"/>
    </w:rPr>
  </w:style>
  <w:style w:type="paragraph" w:customStyle="1" w:styleId="136">
    <w:name w:val="11正文格式"/>
    <w:basedOn w:val="1"/>
    <w:link w:val="137"/>
    <w:qFormat/>
    <w:uiPriority w:val="99"/>
    <w:pPr>
      <w:adjustRightInd w:val="0"/>
      <w:snapToGrid w:val="0"/>
      <w:spacing w:line="360" w:lineRule="auto"/>
      <w:ind w:firstLine="200" w:firstLineChars="200"/>
    </w:pPr>
    <w:rPr>
      <w:color w:val="C00000"/>
      <w:kern w:val="0"/>
      <w:sz w:val="24"/>
    </w:rPr>
  </w:style>
  <w:style w:type="character" w:customStyle="1" w:styleId="137">
    <w:name w:val="11正文格式 Char"/>
    <w:link w:val="136"/>
    <w:qFormat/>
    <w:locked/>
    <w:uiPriority w:val="99"/>
    <w:rPr>
      <w:color w:val="C00000"/>
      <w:sz w:val="24"/>
    </w:rPr>
  </w:style>
  <w:style w:type="paragraph" w:customStyle="1" w:styleId="138">
    <w:name w:val="头"/>
    <w:basedOn w:val="1"/>
    <w:link w:val="139"/>
    <w:qFormat/>
    <w:uiPriority w:val="99"/>
    <w:pPr>
      <w:widowControl/>
      <w:spacing w:line="365" w:lineRule="atLeast"/>
      <w:ind w:left="1"/>
      <w:jc w:val="center"/>
      <w:textAlignment w:val="bottom"/>
    </w:pPr>
    <w:rPr>
      <w:rFonts w:eastAsia="黑体"/>
      <w:kern w:val="0"/>
      <w:sz w:val="24"/>
    </w:rPr>
  </w:style>
  <w:style w:type="character" w:customStyle="1" w:styleId="139">
    <w:name w:val="头 Char"/>
    <w:link w:val="138"/>
    <w:qFormat/>
    <w:locked/>
    <w:uiPriority w:val="99"/>
    <w:rPr>
      <w:rFonts w:eastAsia="黑体"/>
      <w:sz w:val="24"/>
    </w:rPr>
  </w:style>
  <w:style w:type="paragraph" w:customStyle="1" w:styleId="140">
    <w:name w:val="10、表格内容"/>
    <w:basedOn w:val="11"/>
    <w:link w:val="141"/>
    <w:qFormat/>
    <w:uiPriority w:val="99"/>
    <w:pPr>
      <w:widowControl w:val="0"/>
      <w:adjustRightInd w:val="0"/>
      <w:spacing w:before="0" w:after="0" w:line="280" w:lineRule="exact"/>
      <w:ind w:right="0"/>
      <w:jc w:val="center"/>
    </w:pPr>
    <w:rPr>
      <w:color w:val="000000"/>
      <w:kern w:val="2"/>
      <w:sz w:val="21"/>
      <w:szCs w:val="24"/>
    </w:rPr>
  </w:style>
  <w:style w:type="character" w:customStyle="1" w:styleId="141">
    <w:name w:val="10、表格内容 Char"/>
    <w:link w:val="140"/>
    <w:qFormat/>
    <w:locked/>
    <w:uiPriority w:val="99"/>
    <w:rPr>
      <w:color w:val="000000"/>
      <w:kern w:val="2"/>
      <w:sz w:val="24"/>
    </w:rPr>
  </w:style>
  <w:style w:type="character" w:customStyle="1" w:styleId="142">
    <w:name w:val="正文的是呵呵呵 Char"/>
    <w:link w:val="143"/>
    <w:qFormat/>
    <w:locked/>
    <w:uiPriority w:val="99"/>
    <w:rPr>
      <w:rFonts w:hAnsi="宋体"/>
      <w:sz w:val="24"/>
    </w:rPr>
  </w:style>
  <w:style w:type="paragraph" w:customStyle="1" w:styleId="143">
    <w:name w:val="正文的是呵呵呵"/>
    <w:basedOn w:val="1"/>
    <w:link w:val="142"/>
    <w:qFormat/>
    <w:uiPriority w:val="99"/>
    <w:pPr>
      <w:snapToGrid w:val="0"/>
      <w:spacing w:line="360" w:lineRule="auto"/>
      <w:ind w:firstLine="200" w:firstLineChars="200"/>
    </w:pPr>
    <w:rPr>
      <w:rFonts w:hAnsi="宋体"/>
      <w:kern w:val="0"/>
      <w:sz w:val="24"/>
      <w:szCs w:val="20"/>
    </w:rPr>
  </w:style>
  <w:style w:type="character" w:customStyle="1" w:styleId="144">
    <w:name w:val="常用 Char Char"/>
    <w:qFormat/>
    <w:uiPriority w:val="99"/>
    <w:rPr>
      <w:rFonts w:ascii="黑体" w:eastAsia="宋体"/>
      <w:kern w:val="2"/>
      <w:sz w:val="24"/>
      <w:lang w:val="en-US" w:eastAsia="zh-CN"/>
    </w:rPr>
  </w:style>
  <w:style w:type="character" w:customStyle="1" w:styleId="145">
    <w:name w:val="脚注引用1"/>
    <w:qFormat/>
    <w:uiPriority w:val="99"/>
    <w:rPr>
      <w:sz w:val="20"/>
      <w:vertAlign w:val="superscript"/>
    </w:rPr>
  </w:style>
  <w:style w:type="character" w:customStyle="1" w:styleId="146">
    <w:name w:val="表哥哥哥哥哥哥哥哥 Char"/>
    <w:link w:val="147"/>
    <w:qFormat/>
    <w:locked/>
    <w:uiPriority w:val="99"/>
    <w:rPr>
      <w:sz w:val="21"/>
    </w:rPr>
  </w:style>
  <w:style w:type="paragraph" w:customStyle="1" w:styleId="147">
    <w:name w:val="表哥哥哥哥哥哥哥哥"/>
    <w:basedOn w:val="1"/>
    <w:link w:val="146"/>
    <w:qFormat/>
    <w:uiPriority w:val="99"/>
    <w:pPr>
      <w:jc w:val="center"/>
    </w:pPr>
    <w:rPr>
      <w:kern w:val="0"/>
      <w:sz w:val="20"/>
      <w:szCs w:val="21"/>
    </w:rPr>
  </w:style>
  <w:style w:type="character" w:customStyle="1" w:styleId="148">
    <w:name w:val="表格格式 Char"/>
    <w:link w:val="149"/>
    <w:qFormat/>
    <w:locked/>
    <w:uiPriority w:val="99"/>
    <w:rPr>
      <w:rFonts w:ascii="宋体" w:eastAsia="宋体"/>
      <w:b/>
      <w:sz w:val="21"/>
    </w:rPr>
  </w:style>
  <w:style w:type="paragraph" w:customStyle="1" w:styleId="149">
    <w:name w:val="表格格式"/>
    <w:basedOn w:val="1"/>
    <w:link w:val="148"/>
    <w:qFormat/>
    <w:uiPriority w:val="99"/>
    <w:pPr>
      <w:widowControl/>
      <w:spacing w:line="360" w:lineRule="auto"/>
      <w:ind w:firstLine="422"/>
      <w:jc w:val="center"/>
    </w:pPr>
    <w:rPr>
      <w:rFonts w:ascii="宋体" w:hAnsi="宋体"/>
      <w:b/>
      <w:kern w:val="0"/>
      <w:sz w:val="20"/>
      <w:szCs w:val="21"/>
    </w:rPr>
  </w:style>
  <w:style w:type="character" w:customStyle="1" w:styleId="150">
    <w:name w:val="333标准 Char"/>
    <w:link w:val="151"/>
    <w:qFormat/>
    <w:locked/>
    <w:uiPriority w:val="99"/>
    <w:rPr>
      <w:rFonts w:eastAsia="黑体"/>
      <w:color w:val="C00000"/>
      <w:kern w:val="2"/>
      <w:sz w:val="24"/>
    </w:rPr>
  </w:style>
  <w:style w:type="paragraph" w:customStyle="1" w:styleId="151">
    <w:name w:val="333标准"/>
    <w:basedOn w:val="1"/>
    <w:link w:val="150"/>
    <w:qFormat/>
    <w:uiPriority w:val="99"/>
    <w:pPr>
      <w:keepNext/>
      <w:keepLines/>
      <w:adjustRightInd w:val="0"/>
      <w:snapToGrid w:val="0"/>
      <w:spacing w:line="360" w:lineRule="auto"/>
      <w:outlineLvl w:val="2"/>
    </w:pPr>
    <w:rPr>
      <w:rFonts w:eastAsia="黑体"/>
      <w:bCs/>
      <w:color w:val="C00000"/>
      <w:sz w:val="28"/>
    </w:rPr>
  </w:style>
  <w:style w:type="paragraph" w:customStyle="1" w:styleId="152">
    <w:name w:val="z正文"/>
    <w:basedOn w:val="12"/>
    <w:qFormat/>
    <w:uiPriority w:val="99"/>
    <w:pPr>
      <w:autoSpaceDE w:val="0"/>
      <w:autoSpaceDN w:val="0"/>
      <w:adjustRightInd w:val="0"/>
      <w:snapToGrid w:val="0"/>
      <w:spacing w:after="0" w:line="360" w:lineRule="auto"/>
      <w:ind w:left="0" w:leftChars="0" w:firstLine="200" w:firstLineChars="200"/>
      <w:textAlignment w:val="baseline"/>
    </w:pPr>
  </w:style>
  <w:style w:type="paragraph" w:customStyle="1" w:styleId="153">
    <w:name w:val="è??¡Ў¡ìæ ¼å†Ў­å"/>
    <w:basedOn w:val="1"/>
    <w:qFormat/>
    <w:uiPriority w:val="99"/>
    <w:pPr>
      <w:jc w:val="center"/>
    </w:pPr>
    <w:rPr>
      <w:sz w:val="20"/>
    </w:rPr>
  </w:style>
  <w:style w:type="paragraph" w:customStyle="1" w:styleId="154">
    <w:name w:val="表格内容居中"/>
    <w:qFormat/>
    <w:uiPriority w:val="99"/>
    <w:pPr>
      <w:adjustRightInd w:val="0"/>
      <w:snapToGrid w:val="0"/>
      <w:jc w:val="center"/>
    </w:pPr>
    <w:rPr>
      <w:rFonts w:ascii="Times New Roman" w:hAnsi="Times New Roman" w:eastAsia="宋体" w:cs="Times New Roman"/>
      <w:kern w:val="0"/>
      <w:sz w:val="21"/>
      <w:szCs w:val="21"/>
      <w:lang w:val="en-US" w:eastAsia="zh-CN" w:bidi="ar-SA"/>
    </w:rPr>
  </w:style>
  <w:style w:type="character" w:customStyle="1" w:styleId="155">
    <w:name w:val="正文格式 Char"/>
    <w:link w:val="156"/>
    <w:qFormat/>
    <w:locked/>
    <w:uiPriority w:val="99"/>
    <w:rPr>
      <w:color w:val="000000"/>
      <w:sz w:val="24"/>
    </w:rPr>
  </w:style>
  <w:style w:type="paragraph" w:customStyle="1" w:styleId="156">
    <w:name w:val="正文格式"/>
    <w:basedOn w:val="1"/>
    <w:link w:val="155"/>
    <w:qFormat/>
    <w:uiPriority w:val="99"/>
    <w:pPr>
      <w:spacing w:before="120" w:line="360" w:lineRule="auto"/>
      <w:ind w:firstLine="200" w:firstLineChars="200"/>
    </w:pPr>
    <w:rPr>
      <w:color w:val="000000"/>
      <w:kern w:val="0"/>
      <w:sz w:val="24"/>
    </w:rPr>
  </w:style>
  <w:style w:type="character" w:customStyle="1" w:styleId="157">
    <w:name w:val="样式 样式 样式 首行缩进:  2 字符 + 居中 + 行距: 固定值 17 磅 Char Char"/>
    <w:link w:val="158"/>
    <w:qFormat/>
    <w:locked/>
    <w:uiPriority w:val="99"/>
    <w:rPr>
      <w:color w:val="000000"/>
      <w:kern w:val="2"/>
      <w:sz w:val="21"/>
    </w:rPr>
  </w:style>
  <w:style w:type="paragraph" w:customStyle="1" w:styleId="158">
    <w:name w:val="样式 样式 样式 首行缩进:  2 字符 + 居中 + 行距: 固定值 17 磅"/>
    <w:basedOn w:val="1"/>
    <w:link w:val="157"/>
    <w:qFormat/>
    <w:uiPriority w:val="99"/>
    <w:pPr>
      <w:adjustRightInd w:val="0"/>
      <w:snapToGrid w:val="0"/>
      <w:spacing w:line="340" w:lineRule="exact"/>
      <w:jc w:val="center"/>
    </w:pPr>
    <w:rPr>
      <w:color w:val="000000"/>
      <w:szCs w:val="20"/>
    </w:rPr>
  </w:style>
  <w:style w:type="character" w:customStyle="1" w:styleId="159">
    <w:name w:val="表格标题（） Char"/>
    <w:link w:val="160"/>
    <w:qFormat/>
    <w:locked/>
    <w:uiPriority w:val="99"/>
    <w:rPr>
      <w:rFonts w:eastAsia="黑体"/>
      <w:color w:val="00B0F0"/>
      <w:kern w:val="2"/>
      <w:sz w:val="24"/>
      <w:lang w:val="zh-CN"/>
    </w:rPr>
  </w:style>
  <w:style w:type="paragraph" w:customStyle="1" w:styleId="160">
    <w:name w:val="表格标题（）"/>
    <w:basedOn w:val="1"/>
    <w:link w:val="159"/>
    <w:qFormat/>
    <w:uiPriority w:val="99"/>
    <w:pPr>
      <w:widowControl/>
      <w:jc w:val="center"/>
    </w:pPr>
    <w:rPr>
      <w:rFonts w:eastAsia="黑体"/>
      <w:color w:val="00B0F0"/>
      <w:sz w:val="24"/>
      <w:lang w:val="zh-CN" w:bidi="he-IL"/>
    </w:rPr>
  </w:style>
  <w:style w:type="character" w:customStyle="1" w:styleId="161">
    <w:name w:val="表中正文 Char"/>
    <w:link w:val="162"/>
    <w:qFormat/>
    <w:locked/>
    <w:uiPriority w:val="99"/>
    <w:rPr>
      <w:rFonts w:ascii="宋体" w:eastAsia="宋体"/>
      <w:spacing w:val="6"/>
      <w:kern w:val="20"/>
      <w:sz w:val="24"/>
    </w:rPr>
  </w:style>
  <w:style w:type="paragraph" w:customStyle="1" w:styleId="162">
    <w:name w:val="表中正文"/>
    <w:basedOn w:val="1"/>
    <w:link w:val="161"/>
    <w:qFormat/>
    <w:uiPriority w:val="99"/>
    <w:pPr>
      <w:widowControl/>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character" w:customStyle="1" w:styleId="163">
    <w:name w:val="比啊哥哥哥哥哥哥 Char"/>
    <w:link w:val="164"/>
    <w:qFormat/>
    <w:locked/>
    <w:uiPriority w:val="99"/>
    <w:rPr>
      <w:sz w:val="24"/>
    </w:rPr>
  </w:style>
  <w:style w:type="paragraph" w:customStyle="1" w:styleId="164">
    <w:name w:val="比啊哥哥哥哥哥哥"/>
    <w:basedOn w:val="1"/>
    <w:link w:val="163"/>
    <w:qFormat/>
    <w:uiPriority w:val="99"/>
    <w:pPr>
      <w:widowControl/>
      <w:jc w:val="left"/>
    </w:pPr>
    <w:rPr>
      <w:kern w:val="0"/>
      <w:sz w:val="20"/>
    </w:rPr>
  </w:style>
  <w:style w:type="character" w:customStyle="1" w:styleId="165">
    <w:name w:val="正文111111 Char Char"/>
    <w:link w:val="166"/>
    <w:qFormat/>
    <w:locked/>
    <w:uiPriority w:val="99"/>
    <w:rPr>
      <w:sz w:val="24"/>
    </w:rPr>
  </w:style>
  <w:style w:type="paragraph" w:customStyle="1" w:styleId="166">
    <w:name w:val="正文111111"/>
    <w:basedOn w:val="1"/>
    <w:link w:val="165"/>
    <w:qFormat/>
    <w:uiPriority w:val="99"/>
    <w:pPr>
      <w:spacing w:line="360" w:lineRule="auto"/>
      <w:ind w:firstLine="480" w:firstLineChars="200"/>
    </w:pPr>
    <w:rPr>
      <w:kern w:val="0"/>
      <w:sz w:val="24"/>
    </w:rPr>
  </w:style>
  <w:style w:type="character" w:customStyle="1" w:styleId="167">
    <w:name w:val="表格 Char Char"/>
    <w:qFormat/>
    <w:uiPriority w:val="99"/>
    <w:rPr>
      <w:rFonts w:hAnsi="宋体"/>
      <w:spacing w:val="-10"/>
      <w:kern w:val="2"/>
      <w:sz w:val="18"/>
    </w:rPr>
  </w:style>
  <w:style w:type="paragraph" w:customStyle="1" w:styleId="168">
    <w:name w:val="样式4"/>
    <w:basedOn w:val="1"/>
    <w:qFormat/>
    <w:uiPriority w:val="99"/>
    <w:pPr>
      <w:autoSpaceDE w:val="0"/>
      <w:autoSpaceDN w:val="0"/>
      <w:adjustRightInd w:val="0"/>
      <w:snapToGrid w:val="0"/>
      <w:jc w:val="center"/>
    </w:pPr>
    <w:rPr>
      <w:rFonts w:eastAsia="黑体"/>
      <w:kern w:val="0"/>
      <w:sz w:val="24"/>
      <w:szCs w:val="20"/>
    </w:rPr>
  </w:style>
  <w:style w:type="character" w:customStyle="1" w:styleId="169">
    <w:name w:val="表格内容（） Char"/>
    <w:link w:val="170"/>
    <w:qFormat/>
    <w:locked/>
    <w:uiPriority w:val="99"/>
    <w:rPr>
      <w:color w:val="00B0F0"/>
      <w:kern w:val="2"/>
      <w:sz w:val="21"/>
    </w:rPr>
  </w:style>
  <w:style w:type="paragraph" w:customStyle="1" w:styleId="170">
    <w:name w:val="表格内容（）"/>
    <w:basedOn w:val="1"/>
    <w:link w:val="169"/>
    <w:qFormat/>
    <w:uiPriority w:val="99"/>
    <w:pPr>
      <w:jc w:val="center"/>
    </w:pPr>
    <w:rPr>
      <w:color w:val="00B0F0"/>
      <w:szCs w:val="21"/>
    </w:rPr>
  </w:style>
  <w:style w:type="character" w:customStyle="1" w:styleId="171">
    <w:name w:val="font21"/>
    <w:qFormat/>
    <w:uiPriority w:val="99"/>
    <w:rPr>
      <w:rFonts w:ascii="宋体" w:hAnsi="宋体" w:eastAsia="宋体"/>
      <w:color w:val="000000"/>
      <w:sz w:val="24"/>
      <w:u w:val="none"/>
    </w:rPr>
  </w:style>
  <w:style w:type="character" w:customStyle="1" w:styleId="172">
    <w:name w:val="font31"/>
    <w:basedOn w:val="29"/>
    <w:qFormat/>
    <w:uiPriority w:val="99"/>
    <w:rPr>
      <w:rFonts w:ascii="Arial" w:hAnsi="Arial" w:cs="Arial"/>
      <w:color w:val="000000"/>
      <w:sz w:val="24"/>
      <w:szCs w:val="24"/>
      <w:u w:val="none"/>
    </w:rPr>
  </w:style>
  <w:style w:type="character" w:customStyle="1" w:styleId="173">
    <w:name w:val="三级标题（） Char"/>
    <w:link w:val="174"/>
    <w:qFormat/>
    <w:locked/>
    <w:uiPriority w:val="99"/>
    <w:rPr>
      <w:rFonts w:eastAsia="黑体"/>
      <w:color w:val="5B9BD5"/>
      <w:kern w:val="2"/>
      <w:sz w:val="30"/>
    </w:rPr>
  </w:style>
  <w:style w:type="paragraph" w:customStyle="1" w:styleId="174">
    <w:name w:val="三级标题（）"/>
    <w:basedOn w:val="1"/>
    <w:link w:val="173"/>
    <w:qFormat/>
    <w:uiPriority w:val="99"/>
    <w:pPr>
      <w:tabs>
        <w:tab w:val="left" w:pos="3840"/>
      </w:tabs>
      <w:spacing w:line="360" w:lineRule="auto"/>
      <w:outlineLvl w:val="2"/>
    </w:pPr>
    <w:rPr>
      <w:rFonts w:eastAsia="黑体"/>
      <w:color w:val="5B9BD5"/>
      <w:sz w:val="28"/>
      <w:szCs w:val="30"/>
    </w:rPr>
  </w:style>
  <w:style w:type="character" w:customStyle="1" w:styleId="175">
    <w:name w:val="二级标题（） Char"/>
    <w:link w:val="176"/>
    <w:qFormat/>
    <w:locked/>
    <w:uiPriority w:val="99"/>
    <w:rPr>
      <w:rFonts w:eastAsia="黑体"/>
      <w:color w:val="5B9BD5"/>
      <w:kern w:val="2"/>
      <w:sz w:val="30"/>
    </w:rPr>
  </w:style>
  <w:style w:type="paragraph" w:customStyle="1" w:styleId="176">
    <w:name w:val="二级标题（）"/>
    <w:basedOn w:val="1"/>
    <w:link w:val="175"/>
    <w:qFormat/>
    <w:uiPriority w:val="99"/>
    <w:pPr>
      <w:spacing w:line="360" w:lineRule="auto"/>
      <w:outlineLvl w:val="1"/>
    </w:pPr>
    <w:rPr>
      <w:rFonts w:eastAsia="黑体"/>
      <w:color w:val="5B9BD5"/>
      <w:sz w:val="30"/>
      <w:szCs w:val="30"/>
    </w:rPr>
  </w:style>
  <w:style w:type="character" w:customStyle="1" w:styleId="177">
    <w:name w:val="15"/>
    <w:qFormat/>
    <w:uiPriority w:val="99"/>
    <w:rPr>
      <w:rFonts w:ascii="宋体" w:hAnsi="宋体" w:eastAsia="宋体"/>
      <w:color w:val="4BACC6"/>
      <w:sz w:val="24"/>
    </w:rPr>
  </w:style>
  <w:style w:type="paragraph" w:customStyle="1" w:styleId="178">
    <w:name w:val="样式1"/>
    <w:basedOn w:val="1"/>
    <w:qFormat/>
    <w:uiPriority w:val="99"/>
    <w:pPr>
      <w:ind w:firstLine="510"/>
    </w:pPr>
    <w:rPr>
      <w:szCs w:val="20"/>
    </w:rPr>
  </w:style>
  <w:style w:type="paragraph" w:customStyle="1" w:styleId="179">
    <w:name w:val="正文1"/>
    <w:basedOn w:val="12"/>
    <w:qFormat/>
    <w:uiPriority w:val="99"/>
    <w:pPr>
      <w:snapToGrid w:val="0"/>
      <w:spacing w:beforeLines="10" w:line="440" w:lineRule="atLeast"/>
      <w:ind w:firstLine="567"/>
    </w:pPr>
  </w:style>
  <w:style w:type="character" w:customStyle="1" w:styleId="180">
    <w:name w:val="表格内文字 Char"/>
    <w:link w:val="181"/>
    <w:qFormat/>
    <w:locked/>
    <w:uiPriority w:val="99"/>
    <w:rPr>
      <w:color w:val="0000FF"/>
      <w:sz w:val="21"/>
    </w:rPr>
  </w:style>
  <w:style w:type="paragraph" w:customStyle="1" w:styleId="181">
    <w:name w:val="表格内文字"/>
    <w:basedOn w:val="182"/>
    <w:next w:val="1"/>
    <w:link w:val="180"/>
    <w:qFormat/>
    <w:uiPriority w:val="99"/>
    <w:pPr>
      <w:widowControl/>
    </w:pPr>
    <w:rPr>
      <w:b w:val="0"/>
      <w:color w:val="0000FF"/>
      <w:kern w:val="0"/>
      <w:sz w:val="21"/>
      <w:szCs w:val="20"/>
    </w:rPr>
  </w:style>
  <w:style w:type="paragraph" w:customStyle="1" w:styleId="182">
    <w:name w:val="表格名称"/>
    <w:basedOn w:val="1"/>
    <w:next w:val="181"/>
    <w:qFormat/>
    <w:uiPriority w:val="99"/>
    <w:pPr>
      <w:spacing w:line="360" w:lineRule="auto"/>
      <w:jc w:val="center"/>
    </w:pPr>
    <w:rPr>
      <w:b/>
      <w:sz w:val="24"/>
    </w:rPr>
  </w:style>
  <w:style w:type="character" w:customStyle="1" w:styleId="183">
    <w:name w:val="文档结构图 Char1"/>
    <w:qFormat/>
    <w:uiPriority w:val="99"/>
    <w:rPr>
      <w:rFonts w:ascii="Microsoft YaHei UI" w:eastAsia="Microsoft YaHei UI"/>
      <w:kern w:val="2"/>
      <w:sz w:val="18"/>
    </w:rPr>
  </w:style>
  <w:style w:type="character" w:customStyle="1" w:styleId="184">
    <w:name w:val="正文（） Char"/>
    <w:link w:val="185"/>
    <w:qFormat/>
    <w:locked/>
    <w:uiPriority w:val="99"/>
    <w:rPr>
      <w:color w:val="5B9BD5"/>
      <w:kern w:val="2"/>
      <w:sz w:val="24"/>
    </w:rPr>
  </w:style>
  <w:style w:type="paragraph" w:customStyle="1" w:styleId="185">
    <w:name w:val="正文（）"/>
    <w:basedOn w:val="1"/>
    <w:link w:val="184"/>
    <w:qFormat/>
    <w:uiPriority w:val="99"/>
    <w:pPr>
      <w:adjustRightInd w:val="0"/>
      <w:snapToGrid w:val="0"/>
      <w:spacing w:line="360" w:lineRule="auto"/>
      <w:ind w:firstLine="200" w:firstLineChars="200"/>
      <w:jc w:val="left"/>
    </w:pPr>
    <w:rPr>
      <w:color w:val="5B9BD5"/>
      <w:sz w:val="24"/>
    </w:rPr>
  </w:style>
  <w:style w:type="character" w:customStyle="1" w:styleId="186">
    <w:name w:val="表名图名 Char Char"/>
    <w:link w:val="187"/>
    <w:qFormat/>
    <w:locked/>
    <w:uiPriority w:val="99"/>
    <w:rPr>
      <w:b/>
      <w:sz w:val="24"/>
      <w:lang w:eastAsia="en-US"/>
    </w:rPr>
  </w:style>
  <w:style w:type="paragraph" w:customStyle="1" w:styleId="187">
    <w:name w:val="表名图名"/>
    <w:basedOn w:val="1"/>
    <w:link w:val="186"/>
    <w:qFormat/>
    <w:uiPriority w:val="99"/>
    <w:pPr>
      <w:widowControl/>
      <w:spacing w:before="120" w:line="360" w:lineRule="auto"/>
      <w:jc w:val="center"/>
    </w:pPr>
    <w:rPr>
      <w:b/>
      <w:kern w:val="0"/>
      <w:lang w:eastAsia="en-US"/>
    </w:rPr>
  </w:style>
  <w:style w:type="paragraph" w:customStyle="1" w:styleId="188">
    <w:name w:val="Body text|1"/>
    <w:basedOn w:val="1"/>
    <w:qFormat/>
    <w:uiPriority w:val="99"/>
    <w:pPr>
      <w:spacing w:after="100" w:line="406" w:lineRule="auto"/>
      <w:ind w:firstLine="400"/>
    </w:pPr>
    <w:rPr>
      <w:rFonts w:ascii="宋体" w:hAnsi="宋体" w:cs="宋体"/>
      <w:lang w:val="zh-TW" w:eastAsia="zh-TW"/>
    </w:rPr>
  </w:style>
  <w:style w:type="paragraph" w:customStyle="1" w:styleId="189">
    <w:name w:val="正文(首行缩进)"/>
    <w:qFormat/>
    <w:uiPriority w:val="99"/>
    <w:pPr>
      <w:widowControl w:val="0"/>
      <w:adjustRightInd w:val="0"/>
      <w:snapToGrid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190">
    <w:name w:val="Table Paragraph"/>
    <w:qFormat/>
    <w:uiPriority w:val="99"/>
    <w:pPr>
      <w:widowControl w:val="0"/>
      <w:adjustRightInd w:val="0"/>
      <w:snapToGrid w:val="0"/>
    </w:pPr>
    <w:rPr>
      <w:rFonts w:ascii="Calibri" w:hAnsi="Calibri" w:eastAsia="宋体" w:cs="Times New Roman"/>
      <w:kern w:val="0"/>
      <w:sz w:val="22"/>
      <w:szCs w:val="22"/>
      <w:lang w:val="en-US" w:eastAsia="en-US" w:bidi="ar-SA"/>
    </w:rPr>
  </w:style>
  <w:style w:type="paragraph" w:customStyle="1" w:styleId="191">
    <w:name w:val="Default1"/>
    <w:qFormat/>
    <w:uiPriority w:val="99"/>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92">
    <w:name w:val="样式2"/>
    <w:basedOn w:val="1"/>
    <w:qFormat/>
    <w:uiPriority w:val="99"/>
    <w:pPr>
      <w:adjustRightInd w:val="0"/>
      <w:ind w:left="170"/>
      <w:jc w:val="left"/>
      <w:textAlignment w:val="baseline"/>
    </w:pPr>
    <w:rPr>
      <w:b/>
      <w:kern w:val="0"/>
      <w:sz w:val="24"/>
      <w:szCs w:val="20"/>
    </w:rPr>
  </w:style>
  <w:style w:type="paragraph" w:customStyle="1" w:styleId="193">
    <w:name w:val="注释"/>
    <w:qFormat/>
    <w:uiPriority w:val="99"/>
    <w:pPr>
      <w:widowControl w:val="0"/>
      <w:adjustRightInd w:val="0"/>
      <w:snapToGrid w:val="0"/>
      <w:spacing w:line="360" w:lineRule="auto"/>
      <w:jc w:val="both"/>
      <w:textAlignment w:val="baseline"/>
    </w:pPr>
    <w:rPr>
      <w:rFonts w:ascii="Calibri" w:hAnsi="Calibri" w:eastAsia="宋体" w:cs="宋体"/>
      <w:spacing w:val="4"/>
      <w:kern w:val="0"/>
      <w:sz w:val="24"/>
      <w:szCs w:val="21"/>
      <w:lang w:val="en-US" w:eastAsia="zh-CN" w:bidi="ar-SA"/>
    </w:rPr>
  </w:style>
  <w:style w:type="paragraph" w:customStyle="1" w:styleId="194">
    <w:name w:val="文本"/>
    <w:qFormat/>
    <w:uiPriority w:val="99"/>
    <w:pPr>
      <w:widowControl w:val="0"/>
      <w:spacing w:line="360" w:lineRule="auto"/>
      <w:ind w:firstLine="480" w:firstLineChars="200"/>
      <w:jc w:val="both"/>
    </w:pPr>
    <w:rPr>
      <w:rFonts w:ascii="Times New Roman" w:hAnsi="Times New Roman" w:eastAsia="宋体" w:cs="宋体"/>
      <w:color w:val="000000"/>
      <w:kern w:val="0"/>
      <w:sz w:val="24"/>
      <w:szCs w:val="20"/>
      <w:lang w:val="en-US" w:eastAsia="zh-CN" w:bidi="ar-SA"/>
    </w:rPr>
  </w:style>
  <w:style w:type="paragraph" w:customStyle="1" w:styleId="195">
    <w:name w:val="闽创报告正文"/>
    <w:basedOn w:val="1"/>
    <w:qFormat/>
    <w:uiPriority w:val="99"/>
    <w:pPr>
      <w:tabs>
        <w:tab w:val="left" w:pos="0"/>
      </w:tabs>
      <w:spacing w:line="360" w:lineRule="auto"/>
      <w:ind w:firstLine="200" w:firstLineChars="200"/>
    </w:pPr>
    <w:rPr>
      <w:color w:val="000000"/>
      <w:sz w:val="24"/>
      <w:szCs w:val="20"/>
    </w:rPr>
  </w:style>
  <w:style w:type="paragraph" w:customStyle="1" w:styleId="196">
    <w:name w:val="正文（小四）"/>
    <w:qFormat/>
    <w:uiPriority w:val="99"/>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97">
    <w:name w:val="金皇-正文"/>
    <w:basedOn w:val="1"/>
    <w:qFormat/>
    <w:uiPriority w:val="99"/>
    <w:pPr>
      <w:spacing w:line="360" w:lineRule="auto"/>
      <w:ind w:firstLine="200" w:firstLineChars="200"/>
    </w:pPr>
    <w:rPr>
      <w:sz w:val="24"/>
    </w:rPr>
  </w:style>
  <w:style w:type="paragraph" w:customStyle="1" w:styleId="198">
    <w:name w:val="金皇-表格内文字"/>
    <w:basedOn w:val="1"/>
    <w:qFormat/>
    <w:uiPriority w:val="99"/>
    <w:pPr>
      <w:tabs>
        <w:tab w:val="left" w:pos="0"/>
      </w:tabs>
      <w:adjustRightInd w:val="0"/>
      <w:snapToGrid w:val="0"/>
      <w:jc w:val="center"/>
    </w:pPr>
    <w:rPr>
      <w:szCs w:val="21"/>
    </w:rPr>
  </w:style>
  <w:style w:type="paragraph" w:customStyle="1" w:styleId="199">
    <w:name w:val="金皇表（图）头"/>
    <w:basedOn w:val="1"/>
    <w:qFormat/>
    <w:uiPriority w:val="99"/>
    <w:pPr>
      <w:adjustRightInd w:val="0"/>
      <w:jc w:val="center"/>
      <w:outlineLvl w:val="4"/>
    </w:pPr>
    <w:rPr>
      <w:rFonts w:eastAsia="黑体"/>
      <w:b/>
      <w:sz w:val="24"/>
      <w:szCs w:val="22"/>
    </w:rPr>
  </w:style>
  <w:style w:type="character" w:customStyle="1" w:styleId="200">
    <w:name w:val="表格内容 Char1"/>
    <w:qFormat/>
    <w:uiPriority w:val="99"/>
    <w:rPr>
      <w:rFonts w:ascii="宋体" w:hAnsi="宋体" w:eastAsia="宋体"/>
      <w:kern w:val="0"/>
      <w:sz w:val="21"/>
    </w:rPr>
  </w:style>
  <w:style w:type="paragraph" w:customStyle="1" w:styleId="201">
    <w:name w:val="BGZX"/>
    <w:next w:val="1"/>
    <w:qFormat/>
    <w:uiPriority w:val="99"/>
    <w:pPr>
      <w:widowControl w:val="0"/>
      <w:spacing w:line="360" w:lineRule="auto"/>
      <w:ind w:firstLine="482" w:firstLineChars="200"/>
      <w:jc w:val="both"/>
      <w:textAlignment w:val="center"/>
    </w:pPr>
    <w:rPr>
      <w:rFonts w:ascii="Times New Roman" w:hAnsi="Times New Roman" w:eastAsia="宋体" w:cs="Times New Roman"/>
      <w:b/>
      <w:kern w:val="0"/>
      <w:sz w:val="24"/>
      <w:szCs w:val="20"/>
      <w:lang w:val="en-US" w:eastAsia="zh-CN" w:bidi="ar-SA"/>
    </w:rPr>
  </w:style>
  <w:style w:type="paragraph" w:customStyle="1" w:styleId="202">
    <w:name w:val="w报告表标题1.1.1"/>
    <w:basedOn w:val="1"/>
    <w:link w:val="203"/>
    <w:qFormat/>
    <w:uiPriority w:val="99"/>
    <w:pPr>
      <w:tabs>
        <w:tab w:val="left" w:pos="0"/>
      </w:tabs>
      <w:spacing w:beforeLines="20" w:afterLines="20"/>
      <w:ind w:left="720" w:hanging="720"/>
    </w:pPr>
    <w:rPr>
      <w:rFonts w:ascii="等线" w:hAnsi="等线"/>
      <w:b/>
      <w:kern w:val="0"/>
      <w:sz w:val="24"/>
      <w:szCs w:val="20"/>
    </w:rPr>
  </w:style>
  <w:style w:type="character" w:customStyle="1" w:styleId="203">
    <w:name w:val="w报告表标题1.1.1 Char"/>
    <w:link w:val="202"/>
    <w:qFormat/>
    <w:locked/>
    <w:uiPriority w:val="99"/>
    <w:rPr>
      <w:rFonts w:ascii="等线" w:hAnsi="等线" w:eastAsia="宋体"/>
      <w:b/>
      <w:kern w:val="0"/>
      <w:sz w:val="20"/>
    </w:rPr>
  </w:style>
  <w:style w:type="paragraph" w:customStyle="1" w:styleId="204">
    <w:name w:val="w报告表正文"/>
    <w:basedOn w:val="1"/>
    <w:qFormat/>
    <w:uiPriority w:val="99"/>
    <w:pPr>
      <w:spacing w:line="360" w:lineRule="auto"/>
      <w:ind w:firstLine="720" w:firstLineChars="200"/>
    </w:pPr>
    <w:rPr>
      <w:sz w:val="24"/>
    </w:rPr>
  </w:style>
  <w:style w:type="paragraph" w:customStyle="1" w:styleId="205">
    <w:name w:val="表格字体"/>
    <w:basedOn w:val="1"/>
    <w:qFormat/>
    <w:uiPriority w:val="99"/>
    <w:pPr>
      <w:jc w:val="center"/>
    </w:pPr>
  </w:style>
  <w:style w:type="paragraph" w:customStyle="1" w:styleId="206">
    <w:name w:val="w表格内容"/>
    <w:basedOn w:val="1"/>
    <w:qFormat/>
    <w:uiPriority w:val="99"/>
    <w:pPr>
      <w:jc w:val="center"/>
    </w:pPr>
  </w:style>
  <w:style w:type="paragraph" w:customStyle="1" w:styleId="207">
    <w:name w:val="Other|1"/>
    <w:basedOn w:val="1"/>
    <w:qFormat/>
    <w:uiPriority w:val="99"/>
    <w:pPr>
      <w:spacing w:after="30" w:line="425" w:lineRule="auto"/>
      <w:ind w:firstLine="400"/>
    </w:pPr>
    <w:rPr>
      <w:rFonts w:ascii="宋体" w:hAnsi="宋体" w:cs="宋体"/>
      <w:sz w:val="24"/>
      <w:lang w:val="zh-TW" w:eastAsia="zh-TW"/>
    </w:rPr>
  </w:style>
  <w:style w:type="paragraph" w:customStyle="1" w:styleId="208">
    <w:name w:val="首行缩进正文"/>
    <w:basedOn w:val="1"/>
    <w:qFormat/>
    <w:uiPriority w:val="99"/>
    <w:pPr>
      <w:adjustRightInd w:val="0"/>
      <w:snapToGrid w:val="0"/>
      <w:spacing w:beforeLines="50" w:line="300" w:lineRule="auto"/>
      <w:ind w:firstLine="480" w:firstLineChars="200"/>
    </w:pPr>
    <w:rPr>
      <w:sz w:val="24"/>
    </w:rPr>
  </w:style>
  <w:style w:type="paragraph" w:customStyle="1" w:styleId="209">
    <w:name w:val="7表格(治)"/>
    <w:qFormat/>
    <w:uiPriority w:val="99"/>
    <w:pPr>
      <w:widowControl w:val="0"/>
      <w:tabs>
        <w:tab w:val="center" w:pos="4153"/>
        <w:tab w:val="right" w:pos="8306"/>
      </w:tabs>
      <w:suppressAutoHyphens/>
      <w:snapToGrid w:val="0"/>
      <w:jc w:val="center"/>
    </w:pPr>
    <w:rPr>
      <w:rFonts w:ascii="Times New Roman" w:hAnsi="Times New Roman" w:eastAsia="宋体" w:cs="Times New Roman"/>
      <w:kern w:val="2"/>
      <w:sz w:val="21"/>
      <w:szCs w:val="36"/>
      <w:lang w:val="en-US" w:eastAsia="zh-CN" w:bidi="ar-SA"/>
    </w:rPr>
  </w:style>
  <w:style w:type="character" w:customStyle="1" w:styleId="210">
    <w:name w:val="font81"/>
    <w:basedOn w:val="29"/>
    <w:qFormat/>
    <w:uiPriority w:val="99"/>
    <w:rPr>
      <w:rFonts w:ascii="Times New Roman" w:hAnsi="Times New Roman" w:cs="Times New Roman"/>
      <w:color w:val="000000"/>
      <w:sz w:val="21"/>
      <w:szCs w:val="21"/>
      <w:u w:val="none"/>
      <w:vertAlign w:val="subscript"/>
    </w:rPr>
  </w:style>
  <w:style w:type="character" w:customStyle="1" w:styleId="211">
    <w:name w:val="font61"/>
    <w:basedOn w:val="29"/>
    <w:qFormat/>
    <w:uiPriority w:val="99"/>
    <w:rPr>
      <w:rFonts w:ascii="宋体" w:hAnsi="宋体" w:eastAsia="宋体" w:cs="宋体"/>
      <w:color w:val="000000"/>
      <w:sz w:val="21"/>
      <w:szCs w:val="21"/>
      <w:u w:val="none"/>
    </w:rPr>
  </w:style>
  <w:style w:type="character" w:customStyle="1" w:styleId="212">
    <w:name w:val="font01"/>
    <w:basedOn w:val="29"/>
    <w:qFormat/>
    <w:uiPriority w:val="99"/>
    <w:rPr>
      <w:rFonts w:ascii="Times New Roman" w:hAnsi="Times New Roman" w:cs="Times New Roman"/>
      <w:color w:val="000000"/>
      <w:sz w:val="21"/>
      <w:szCs w:val="21"/>
      <w:u w:val="none"/>
      <w:vertAlign w:val="superscript"/>
    </w:rPr>
  </w:style>
  <w:style w:type="paragraph" w:customStyle="1" w:styleId="213">
    <w:name w:val="EIA文本样式"/>
    <w:qFormat/>
    <w:uiPriority w:val="99"/>
    <w:pPr>
      <w:tabs>
        <w:tab w:val="left" w:pos="0"/>
      </w:tabs>
      <w:spacing w:line="360" w:lineRule="auto"/>
      <w:ind w:firstLine="456" w:firstLineChars="200"/>
      <w:jc w:val="center"/>
    </w:pPr>
    <w:rPr>
      <w:rFonts w:ascii="Times New Roman" w:hAnsi="Times New Roman" w:eastAsia="宋体" w:cs="Times New Roman"/>
      <w:spacing w:val="-6"/>
      <w:kern w:val="2"/>
      <w:sz w:val="24"/>
      <w:szCs w:val="24"/>
      <w:lang w:val="en-US" w:eastAsia="zh-CN" w:bidi="ar-SA"/>
    </w:rPr>
  </w:style>
  <w:style w:type="paragraph" w:customStyle="1" w:styleId="214">
    <w:name w:val="7正文（锐）"/>
    <w:basedOn w:val="1"/>
    <w:qFormat/>
    <w:uiPriority w:val="99"/>
    <w:pPr>
      <w:topLinePunct/>
      <w:spacing w:line="360" w:lineRule="auto"/>
      <w:ind w:firstLine="480" w:firstLineChars="200"/>
    </w:pPr>
    <w:rPr>
      <w:sz w:val="24"/>
    </w:rPr>
  </w:style>
  <w:style w:type="paragraph" w:customStyle="1" w:styleId="215">
    <w:name w:val="规范表格目录"/>
    <w:basedOn w:val="22"/>
    <w:qFormat/>
    <w:uiPriority w:val="99"/>
    <w:pPr>
      <w:spacing w:beforeLines="50" w:line="360" w:lineRule="auto"/>
      <w:ind w:left="0" w:leftChars="0" w:firstLine="0" w:firstLineChars="0"/>
      <w:jc w:val="center"/>
    </w:pPr>
    <w:rPr>
      <w:rFonts w:ascii="Calibri" w:hAnsi="Calibri"/>
      <w:b/>
      <w:kern w:val="0"/>
      <w:sz w:val="24"/>
      <w:szCs w:val="28"/>
    </w:rPr>
  </w:style>
  <w:style w:type="paragraph" w:customStyle="1" w:styleId="216">
    <w:name w:val="规范表格文"/>
    <w:basedOn w:val="11"/>
    <w:next w:val="1"/>
    <w:qFormat/>
    <w:uiPriority w:val="99"/>
    <w:pPr>
      <w:jc w:val="center"/>
    </w:pPr>
  </w:style>
  <w:style w:type="character" w:customStyle="1" w:styleId="217">
    <w:name w:val="fontstyle01"/>
    <w:basedOn w:val="29"/>
    <w:qFormat/>
    <w:uiPriority w:val="99"/>
    <w:rPr>
      <w:rFonts w:ascii="宋体" w:hAnsi="宋体" w:eastAsia="宋体" w:cs="宋体"/>
      <w:color w:val="000000"/>
      <w:sz w:val="18"/>
      <w:szCs w:val="18"/>
    </w:rPr>
  </w:style>
  <w:style w:type="character" w:customStyle="1" w:styleId="218">
    <w:name w:val="fontstyle21"/>
    <w:basedOn w:val="29"/>
    <w:qFormat/>
    <w:uiPriority w:val="99"/>
    <w:rPr>
      <w:rFonts w:ascii="TimesNewRomanPSMT" w:hAnsi="TimesNewRomanPSMT" w:eastAsia="Times New Roman" w:cs="TimesNewRomanPSMT"/>
      <w:color w:val="00000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w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footer" Target="footer3.xml"/><Relationship Id="rId49" Type="http://schemas.openxmlformats.org/officeDocument/2006/relationships/image" Target="media/image29.emf"/><Relationship Id="rId48" Type="http://schemas.openxmlformats.org/officeDocument/2006/relationships/image" Target="media/image28.png"/><Relationship Id="rId47" Type="http://schemas.openxmlformats.org/officeDocument/2006/relationships/image" Target="media/image27.emf"/><Relationship Id="rId46" Type="http://schemas.openxmlformats.org/officeDocument/2006/relationships/image" Target="media/image26.wmf"/><Relationship Id="rId45" Type="http://schemas.openxmlformats.org/officeDocument/2006/relationships/image" Target="media/image25.wmf"/><Relationship Id="rId44" Type="http://schemas.openxmlformats.org/officeDocument/2006/relationships/image" Target="media/image24.wmf"/><Relationship Id="rId43" Type="http://schemas.openxmlformats.org/officeDocument/2006/relationships/image" Target="media/image23.wmf"/><Relationship Id="rId42" Type="http://schemas.openxmlformats.org/officeDocument/2006/relationships/image" Target="media/image22.jpeg"/><Relationship Id="rId41" Type="http://schemas.openxmlformats.org/officeDocument/2006/relationships/image" Target="media/image21.wmf"/><Relationship Id="rId40" Type="http://schemas.openxmlformats.org/officeDocument/2006/relationships/image" Target="media/image20.wmf"/><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emf"/><Relationship Id="rId34" Type="http://schemas.openxmlformats.org/officeDocument/2006/relationships/oleObject" Target="embeddings/oleObject12.bin"/><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e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2.png"/><Relationship Id="rId28" Type="http://schemas.openxmlformats.org/officeDocument/2006/relationships/image" Target="media/image11.jpeg"/><Relationship Id="rId27" Type="http://schemas.openxmlformats.org/officeDocument/2006/relationships/image" Target="media/image10.emf"/><Relationship Id="rId26" Type="http://schemas.openxmlformats.org/officeDocument/2006/relationships/oleObject" Target="embeddings/oleObject10.bin"/><Relationship Id="rId25" Type="http://schemas.openxmlformats.org/officeDocument/2006/relationships/image" Target="media/image9.emf"/><Relationship Id="rId24" Type="http://schemas.openxmlformats.org/officeDocument/2006/relationships/oleObject" Target="embeddings/oleObject9.bin"/><Relationship Id="rId23" Type="http://schemas.openxmlformats.org/officeDocument/2006/relationships/image" Target="media/image8.wmf"/><Relationship Id="rId22" Type="http://schemas.openxmlformats.org/officeDocument/2006/relationships/oleObject" Target="embeddings/oleObject8.bin"/><Relationship Id="rId21" Type="http://schemas.openxmlformats.org/officeDocument/2006/relationships/image" Target="media/image7.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6.bin"/><Relationship Id="rId17" Type="http://schemas.openxmlformats.org/officeDocument/2006/relationships/image" Target="media/image5.wmf"/><Relationship Id="rId16" Type="http://schemas.openxmlformats.org/officeDocument/2006/relationships/oleObject" Target="embeddings/oleObject5.bin"/><Relationship Id="rId15" Type="http://schemas.openxmlformats.org/officeDocument/2006/relationships/image" Target="media/image4.wmf"/><Relationship Id="rId14" Type="http://schemas.openxmlformats.org/officeDocument/2006/relationships/oleObject" Target="embeddings/oleObject4.bin"/><Relationship Id="rId13" Type="http://schemas.openxmlformats.org/officeDocument/2006/relationships/image" Target="media/image3.wmf"/><Relationship Id="rId12" Type="http://schemas.openxmlformats.org/officeDocument/2006/relationships/oleObject" Target="embeddings/oleObject3.bin"/><Relationship Id="rId11" Type="http://schemas.openxmlformats.org/officeDocument/2006/relationships/image" Target="media/image2.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微软中国</Company>
  <Pages>119</Pages>
  <Words>39559</Words>
  <Characters>45585</Characters>
  <Lines>0</Lines>
  <Paragraphs>0</Paragraphs>
  <TotalTime>36</TotalTime>
  <ScaleCrop>false</ScaleCrop>
  <LinksUpToDate>false</LinksUpToDate>
  <CharactersWithSpaces>45827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2022-03-28T02:55:00Z</dcterms:created>
  <dc:creator>lhj</dc:creator>
  <cp:lastModifiedBy>苏光洋</cp:lastModifiedBy>
  <cp:lastPrinted>2021-05-20T08:11:00Z</cp:lastPrinted>
  <dcterms:modified xsi:type="dcterms:W3CDTF">2023-08-24T01:12:40Z</dcterms:modified>
  <dc:title>附件2</dc:title>
  <cp:revision>159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E58D756F1D704E8A8049EA9FF94838BA_13</vt:lpwstr>
  </property>
</Properties>
</file>