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63" w:line="360" w:lineRule="auto"/>
        <w:ind w:firstLine="723"/>
        <w:jc w:val="center"/>
        <w:rPr>
          <w:rFonts w:ascii="Times New Roman"/>
          <w:b/>
          <w:color w:val="000000"/>
          <w:kern w:val="0"/>
          <w:sz w:val="36"/>
          <w:szCs w:val="36"/>
        </w:rPr>
      </w:pPr>
      <w:r>
        <w:rPr>
          <w:rFonts w:ascii="Times New Roman"/>
          <w:b/>
          <w:color w:val="000000"/>
          <w:kern w:val="0"/>
          <w:sz w:val="36"/>
          <w:szCs w:val="36"/>
        </w:rPr>
        <w:t>清洁生产审核公示</w:t>
      </w:r>
    </w:p>
    <w:p>
      <w:pPr>
        <w:widowControl/>
        <w:shd w:val="clear" w:color="auto" w:fill="FFFFFF"/>
        <w:snapToGrid w:val="0"/>
        <w:spacing w:afterLines="0" w:line="360" w:lineRule="auto"/>
        <w:ind w:firstLine="480"/>
        <w:jc w:val="both"/>
        <w:rPr>
          <w:rFonts w:hint="eastAsia" w:ascii="Times New Roman"/>
          <w:color w:val="000000"/>
          <w:kern w:val="0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根据</w:t>
      </w:r>
      <w:r>
        <w:rPr>
          <w:rFonts w:hint="default" w:ascii="Times New Roman" w:hAnsi="Times New Roman" w:cs="Times New Roman"/>
          <w:kern w:val="0"/>
          <w:sz w:val="24"/>
          <w:szCs w:val="24"/>
        </w:rPr>
        <w:t>《福建省生态环境厅关于公布20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US" w:eastAsia="zh-CN"/>
        </w:rPr>
        <w:t>22</w:t>
      </w:r>
      <w:r>
        <w:rPr>
          <w:rFonts w:hint="default" w:ascii="Times New Roman" w:hAnsi="Times New Roman" w:cs="Times New Roman"/>
          <w:kern w:val="0"/>
          <w:sz w:val="24"/>
          <w:szCs w:val="24"/>
        </w:rPr>
        <w:t>年</w:t>
      </w:r>
      <w:r>
        <w:rPr>
          <w:rFonts w:hint="eastAsia"/>
          <w:color w:val="auto"/>
          <w:lang w:val="en-US" w:eastAsia="zh-CN"/>
        </w:rPr>
        <w:t>第一批实施</w:t>
      </w:r>
      <w:r>
        <w:rPr>
          <w:rFonts w:hint="default" w:ascii="Times New Roman" w:hAnsi="Times New Roman" w:cs="Times New Roman"/>
          <w:kern w:val="0"/>
          <w:sz w:val="24"/>
          <w:szCs w:val="24"/>
        </w:rPr>
        <w:t>强制性清洁生产审核相关企业名单的通知》（闽环保科财〔2022〕12号）</w:t>
      </w:r>
      <w:r>
        <w:rPr>
          <w:rFonts w:hint="default" w:ascii="Times New Roman" w:hAnsi="Times New Roman" w:cs="Times New Roman"/>
          <w:sz w:val="24"/>
          <w:szCs w:val="24"/>
        </w:rPr>
        <w:t>，</w:t>
      </w:r>
      <w:r>
        <w:rPr>
          <w:rFonts w:hint="eastAsia" w:ascii="Times New Roman" w:cs="Times New Roman"/>
          <w:sz w:val="24"/>
          <w:szCs w:val="24"/>
          <w:lang w:eastAsia="zh-CN"/>
        </w:rPr>
        <w:t>福建铜浪建材科技发展有限公司</w:t>
      </w:r>
      <w:r>
        <w:rPr>
          <w:rFonts w:hint="default" w:ascii="Times New Roman" w:hAnsi="Times New Roman" w:cs="Times New Roman"/>
          <w:sz w:val="24"/>
          <w:szCs w:val="24"/>
        </w:rPr>
        <w:t>作</w:t>
      </w:r>
      <w:r>
        <w:rPr>
          <w:rFonts w:hint="default" w:ascii="Times New Roman" w:hAnsi="Times New Roman" w:cs="Times New Roman"/>
          <w:spacing w:val="10"/>
          <w:sz w:val="24"/>
          <w:szCs w:val="24"/>
        </w:rPr>
        <w:t>为“第</w:t>
      </w:r>
      <w:r>
        <w:rPr>
          <w:rFonts w:hint="default" w:ascii="Times New Roman" w:hAnsi="Times New Roman" w:cs="Times New Roman"/>
          <w:spacing w:val="10"/>
          <w:sz w:val="24"/>
          <w:szCs w:val="24"/>
          <w:lang w:val="en-US" w:eastAsia="zh-CN"/>
        </w:rPr>
        <w:t>三</w:t>
      </w:r>
      <w:r>
        <w:rPr>
          <w:rFonts w:hint="default" w:ascii="Times New Roman" w:hAnsi="Times New Roman" w:cs="Times New Roman"/>
          <w:spacing w:val="10"/>
          <w:sz w:val="24"/>
          <w:szCs w:val="24"/>
        </w:rPr>
        <w:t>类重点企业”（生产过程中使用有毒有害物质）</w:t>
      </w:r>
      <w:r>
        <w:rPr>
          <w:rFonts w:ascii="Times New Roman"/>
          <w:color w:val="000000"/>
          <w:kern w:val="0"/>
          <w:szCs w:val="24"/>
        </w:rPr>
        <w:t>，</w:t>
      </w:r>
      <w:r>
        <w:rPr>
          <w:rFonts w:hint="eastAsia" w:ascii="Times New Roman"/>
          <w:color w:val="000000"/>
          <w:kern w:val="0"/>
          <w:szCs w:val="24"/>
          <w:lang w:eastAsia="zh-CN"/>
        </w:rPr>
        <w:t>福建铜浪建材科技发展有限公司</w:t>
      </w:r>
      <w:r>
        <w:rPr>
          <w:rFonts w:ascii="Times New Roman"/>
          <w:color w:val="000000"/>
          <w:kern w:val="0"/>
          <w:szCs w:val="24"/>
        </w:rPr>
        <w:t>由于在生产过程中使用和排放有毒有害物质（</w:t>
      </w:r>
      <w:r>
        <w:rPr>
          <w:rFonts w:hint="eastAsia" w:ascii="Times New Roman"/>
          <w:color w:val="000000"/>
          <w:kern w:val="0"/>
          <w:szCs w:val="24"/>
          <w:lang w:val="en-US" w:eastAsia="zh-CN"/>
        </w:rPr>
        <w:t>沥青、橡胶粉、基础油等</w:t>
      </w:r>
      <w:r>
        <w:rPr>
          <w:rFonts w:ascii="Times New Roman"/>
          <w:color w:val="000000"/>
          <w:kern w:val="0"/>
          <w:szCs w:val="24"/>
        </w:rPr>
        <w:t>）被列入名单之中。</w:t>
      </w:r>
    </w:p>
    <w:p>
      <w:pPr>
        <w:widowControl/>
        <w:shd w:val="clear" w:color="auto" w:fill="FFFFFF"/>
        <w:snapToGrid w:val="0"/>
        <w:spacing w:afterLines="0" w:line="360" w:lineRule="auto"/>
        <w:ind w:firstLine="480"/>
        <w:jc w:val="both"/>
        <w:rPr>
          <w:rFonts w:ascii="Times New Roman"/>
          <w:color w:val="000000"/>
          <w:kern w:val="0"/>
          <w:szCs w:val="24"/>
        </w:rPr>
      </w:pPr>
      <w:r>
        <w:rPr>
          <w:rFonts w:hint="eastAsia" w:ascii="Times New Roman"/>
          <w:lang w:eastAsia="zh-CN"/>
        </w:rPr>
        <w:t>福建铜浪建材科技发展有限公司</w:t>
      </w:r>
      <w:r>
        <w:rPr>
          <w:rFonts w:ascii="Times New Roman"/>
          <w:color w:val="000000"/>
          <w:kern w:val="0"/>
          <w:szCs w:val="24"/>
        </w:rPr>
        <w:t>按照法律法规规定向公众公示我司的基本情况（即：企业名称、法人代表、企业所在地址）及审核前（20</w:t>
      </w:r>
      <w:r>
        <w:rPr>
          <w:rFonts w:hint="eastAsia" w:ascii="Times New Roman"/>
          <w:color w:val="000000"/>
          <w:kern w:val="0"/>
          <w:szCs w:val="24"/>
          <w:lang w:val="en-US" w:eastAsia="zh-CN"/>
        </w:rPr>
        <w:t>22</w:t>
      </w:r>
      <w:r>
        <w:rPr>
          <w:rFonts w:ascii="Times New Roman"/>
          <w:color w:val="000000"/>
          <w:kern w:val="0"/>
          <w:szCs w:val="24"/>
        </w:rPr>
        <w:t>年度）的生产情况（即：使用有毒有害原料的名称、数量、用途，排放有毒有害物质的名称、浓度和数量，危险废物的产生和处置情况，依法落实环境风险防控措施情况等）。请社会各界对我公司实施强制性清洁生产审核的情况进行监督。公示信息内容如下表：</w:t>
      </w:r>
    </w:p>
    <w:tbl>
      <w:tblPr>
        <w:tblStyle w:val="6"/>
        <w:tblW w:w="5000" w:type="pct"/>
        <w:tblInd w:w="0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843"/>
        <w:gridCol w:w="1473"/>
        <w:gridCol w:w="1721"/>
        <w:gridCol w:w="1632"/>
        <w:gridCol w:w="2599"/>
        <w:gridCol w:w="1207"/>
        <w:gridCol w:w="1624"/>
        <w:gridCol w:w="20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3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2510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eastAsia="zh-CN"/>
              </w:rPr>
              <w:t>福建铜浪建材科技发展有限公司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法人代表</w:t>
            </w:r>
          </w:p>
        </w:tc>
        <w:tc>
          <w:tcPr>
            <w:tcW w:w="1257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eastAsia="zh-CN"/>
              </w:rPr>
              <w:t>傅如阳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3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所在地址</w:t>
            </w:r>
          </w:p>
        </w:tc>
        <w:tc>
          <w:tcPr>
            <w:tcW w:w="4176" w:type="pct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</w:rPr>
              <w:t>福建省三明市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三元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</w:rPr>
              <w:t>区经济开发区小蕉工业园区兴业二路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</w:rPr>
              <w:t>号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000" w:type="pct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使用有毒有害原辅料情况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3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49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58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年消耗量</w:t>
            </w:r>
          </w:p>
        </w:tc>
        <w:tc>
          <w:tcPr>
            <w:tcW w:w="55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使用部位</w:t>
            </w:r>
          </w:p>
        </w:tc>
        <w:tc>
          <w:tcPr>
            <w:tcW w:w="2544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具体用途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3" w:type="pct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热塑性丁苯橡胶（SBS）</w:t>
            </w:r>
          </w:p>
        </w:tc>
        <w:tc>
          <w:tcPr>
            <w:tcW w:w="498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t</w:t>
            </w:r>
          </w:p>
        </w:tc>
        <w:tc>
          <w:tcPr>
            <w:tcW w:w="581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1004.71</w:t>
            </w:r>
          </w:p>
        </w:tc>
        <w:tc>
          <w:tcPr>
            <w:tcW w:w="55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44" w:type="pct"/>
            <w:gridSpan w:val="4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生产线原辅材料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3" w:type="pct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无规聚丙烯（APP)</w:t>
            </w:r>
          </w:p>
        </w:tc>
        <w:tc>
          <w:tcPr>
            <w:tcW w:w="498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t</w:t>
            </w:r>
          </w:p>
        </w:tc>
        <w:tc>
          <w:tcPr>
            <w:tcW w:w="581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578.6</w:t>
            </w:r>
          </w:p>
        </w:tc>
        <w:tc>
          <w:tcPr>
            <w:tcW w:w="551" w:type="pct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44" w:type="pct"/>
            <w:gridSpan w:val="4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3" w:type="pct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滑石粉</w:t>
            </w:r>
          </w:p>
        </w:tc>
        <w:tc>
          <w:tcPr>
            <w:tcW w:w="498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t</w:t>
            </w:r>
          </w:p>
        </w:tc>
        <w:tc>
          <w:tcPr>
            <w:tcW w:w="581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578.6</w:t>
            </w:r>
          </w:p>
        </w:tc>
        <w:tc>
          <w:tcPr>
            <w:tcW w:w="551" w:type="pct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44" w:type="pct"/>
            <w:gridSpan w:val="4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3" w:type="pct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橡胶粉</w:t>
            </w:r>
          </w:p>
        </w:tc>
        <w:tc>
          <w:tcPr>
            <w:tcW w:w="498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t</w:t>
            </w:r>
          </w:p>
        </w:tc>
        <w:tc>
          <w:tcPr>
            <w:tcW w:w="581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5655.6</w:t>
            </w:r>
          </w:p>
        </w:tc>
        <w:tc>
          <w:tcPr>
            <w:tcW w:w="551" w:type="pct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44" w:type="pct"/>
            <w:gridSpan w:val="4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3" w:type="pct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基础油</w:t>
            </w:r>
          </w:p>
        </w:tc>
        <w:tc>
          <w:tcPr>
            <w:tcW w:w="498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t</w:t>
            </w:r>
          </w:p>
        </w:tc>
        <w:tc>
          <w:tcPr>
            <w:tcW w:w="581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1808.4</w:t>
            </w:r>
          </w:p>
        </w:tc>
        <w:tc>
          <w:tcPr>
            <w:tcW w:w="551" w:type="pct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44" w:type="pct"/>
            <w:gridSpan w:val="4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3" w:type="pct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10#沥青</w:t>
            </w:r>
          </w:p>
        </w:tc>
        <w:tc>
          <w:tcPr>
            <w:tcW w:w="498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t</w:t>
            </w:r>
          </w:p>
        </w:tc>
        <w:tc>
          <w:tcPr>
            <w:tcW w:w="581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2712.6</w:t>
            </w:r>
          </w:p>
        </w:tc>
        <w:tc>
          <w:tcPr>
            <w:tcW w:w="551" w:type="pct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44" w:type="pct"/>
            <w:gridSpan w:val="4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3" w:type="pct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100#沥青</w:t>
            </w:r>
          </w:p>
        </w:tc>
        <w:tc>
          <w:tcPr>
            <w:tcW w:w="498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t</w:t>
            </w:r>
          </w:p>
        </w:tc>
        <w:tc>
          <w:tcPr>
            <w:tcW w:w="581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7210.6</w:t>
            </w:r>
          </w:p>
        </w:tc>
        <w:tc>
          <w:tcPr>
            <w:tcW w:w="551" w:type="pct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44" w:type="pct"/>
            <w:gridSpan w:val="4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3" w:type="pct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玻璃纤维布</w:t>
            </w:r>
          </w:p>
        </w:tc>
        <w:tc>
          <w:tcPr>
            <w:tcW w:w="498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万m</w:t>
            </w:r>
            <w:r>
              <w:rPr>
                <w:rFonts w:hint="eastAsia" w:ascii="Times New Roman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vertAlign w:val="superscript"/>
                <w:lang w:val="en-US" w:eastAsia="zh-CN" w:bidi="ar-SA"/>
              </w:rPr>
              <w:t>2</w:t>
            </w:r>
          </w:p>
        </w:tc>
        <w:tc>
          <w:tcPr>
            <w:tcW w:w="581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5222.2</w:t>
            </w:r>
          </w:p>
        </w:tc>
        <w:tc>
          <w:tcPr>
            <w:tcW w:w="551" w:type="pct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44" w:type="pct"/>
            <w:gridSpan w:val="4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3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PVC底压膜</w:t>
            </w:r>
          </w:p>
        </w:tc>
        <w:tc>
          <w:tcPr>
            <w:tcW w:w="498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万m</w:t>
            </w:r>
            <w:r>
              <w:rPr>
                <w:rFonts w:hint="eastAsia" w:ascii="Times New Roman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vertAlign w:val="superscript"/>
                <w:lang w:val="en-US" w:eastAsia="zh-CN" w:bidi="ar-SA"/>
              </w:rPr>
              <w:t>2</w:t>
            </w:r>
          </w:p>
        </w:tc>
        <w:tc>
          <w:tcPr>
            <w:tcW w:w="581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565.9</w:t>
            </w:r>
          </w:p>
        </w:tc>
        <w:tc>
          <w:tcPr>
            <w:tcW w:w="551" w:type="pct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44" w:type="pct"/>
            <w:gridSpan w:val="4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23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PET镀铝膜</w:t>
            </w:r>
          </w:p>
        </w:tc>
        <w:tc>
          <w:tcPr>
            <w:tcW w:w="49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万m</w:t>
            </w:r>
            <w:r>
              <w:rPr>
                <w:rFonts w:hint="eastAsia" w:ascii="Times New Roman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vertAlign w:val="superscript"/>
                <w:lang w:val="en-US" w:eastAsia="zh-CN" w:bidi="ar-SA"/>
              </w:rPr>
              <w:t>2</w:t>
            </w:r>
          </w:p>
        </w:tc>
        <w:tc>
          <w:tcPr>
            <w:tcW w:w="58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566.1</w:t>
            </w:r>
          </w:p>
        </w:tc>
        <w:tc>
          <w:tcPr>
            <w:tcW w:w="551" w:type="pct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44" w:type="pct"/>
            <w:gridSpan w:val="4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000" w:type="pct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排放有毒有害物质情况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21" w:type="pct"/>
            <w:gridSpan w:val="3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种类名称</w:t>
            </w:r>
          </w:p>
        </w:tc>
        <w:tc>
          <w:tcPr>
            <w:tcW w:w="2012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年排放浓度</w:t>
            </w: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年排放总量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21" w:type="pct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55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排放标准</w:t>
            </w:r>
          </w:p>
        </w:tc>
        <w:tc>
          <w:tcPr>
            <w:tcW w:w="8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实际/折算排放浓度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5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核定排放总量</w:t>
            </w:r>
          </w:p>
        </w:tc>
        <w:tc>
          <w:tcPr>
            <w:tcW w:w="70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实际排放总量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3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Style w:val="13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DA00</w:t>
            </w:r>
            <w:r>
              <w:rPr>
                <w:rStyle w:val="13"/>
                <w:rFonts w:hint="eastAsia" w:ascii="Times New Roman" w:cs="Times New Roman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导热油锅炉</w:t>
            </w:r>
          </w:p>
        </w:tc>
        <w:tc>
          <w:tcPr>
            <w:tcW w:w="783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颗粒物</w:t>
            </w:r>
          </w:p>
        </w:tc>
        <w:tc>
          <w:tcPr>
            <w:tcW w:w="58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55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8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24.2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5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89.175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3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Style w:val="13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83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二氧化硫</w:t>
            </w:r>
          </w:p>
        </w:tc>
        <w:tc>
          <w:tcPr>
            <w:tcW w:w="58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55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8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5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62.35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3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Style w:val="13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83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氮氧化物</w:t>
            </w:r>
          </w:p>
        </w:tc>
        <w:tc>
          <w:tcPr>
            <w:tcW w:w="58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55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8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5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527.8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3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Style w:val="13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DA00</w:t>
            </w:r>
            <w:r>
              <w:rPr>
                <w:rFonts w:hint="eastAsia" w:asci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沥青卷材</w:t>
            </w:r>
          </w:p>
        </w:tc>
        <w:tc>
          <w:tcPr>
            <w:tcW w:w="783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颗粒物</w:t>
            </w:r>
          </w:p>
        </w:tc>
        <w:tc>
          <w:tcPr>
            <w:tcW w:w="58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55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8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3.6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5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150.075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3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3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非甲烷总烃</w:t>
            </w:r>
          </w:p>
        </w:tc>
        <w:tc>
          <w:tcPr>
            <w:tcW w:w="58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55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8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16.4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5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3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3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沥青烟</w:t>
            </w:r>
          </w:p>
        </w:tc>
        <w:tc>
          <w:tcPr>
            <w:tcW w:w="58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55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8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3.0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</w:p>
        </w:tc>
        <w:tc>
          <w:tcPr>
            <w:tcW w:w="5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89.175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3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3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苯并[a]芘</w:t>
            </w:r>
          </w:p>
        </w:tc>
        <w:tc>
          <w:tcPr>
            <w:tcW w:w="58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55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bCs/>
                <w:color w:val="000000"/>
                <w:szCs w:val="21"/>
                <w:lang w:val="en-US" w:eastAsia="zh-CN"/>
              </w:rPr>
              <w:t>＜0.00002</w:t>
            </w:r>
          </w:p>
        </w:tc>
        <w:tc>
          <w:tcPr>
            <w:tcW w:w="8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3.21×10-5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</w:t>
            </w:r>
          </w:p>
        </w:tc>
        <w:tc>
          <w:tcPr>
            <w:tcW w:w="5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317.55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000" w:type="pct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危险废物的产生和处置情况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49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类别编号</w:t>
            </w:r>
          </w:p>
        </w:tc>
        <w:tc>
          <w:tcPr>
            <w:tcW w:w="58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55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年产生量</w:t>
            </w:r>
          </w:p>
        </w:tc>
        <w:tc>
          <w:tcPr>
            <w:tcW w:w="2544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处置方式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3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危险废物</w:t>
            </w:r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废矿物油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08 251-003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-08</w:t>
            </w:r>
          </w:p>
        </w:tc>
        <w:tc>
          <w:tcPr>
            <w:tcW w:w="58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544" w:type="pct"/>
            <w:gridSpan w:val="4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委托有资质单位转运处置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3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废活性炭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HW49 900-039-49</w:t>
            </w:r>
          </w:p>
        </w:tc>
        <w:tc>
          <w:tcPr>
            <w:tcW w:w="58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544" w:type="pct"/>
            <w:gridSpan w:val="4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000" w:type="pct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依法落实环境风险防控措施情况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000" w:type="pct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0" w:line="240" w:lineRule="auto"/>
              <w:ind w:left="0" w:leftChars="0" w:firstLine="0" w:firstLineChars="0"/>
              <w:jc w:val="both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企业编制完成了《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eastAsia="zh-CN"/>
              </w:rPr>
              <w:t>福建铜浪建材科技发展有限公司</w:t>
            </w: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突发环境事件应急预案》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（FJTLFSHBYA-202109（第三版））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备案号：</w:t>
            </w:r>
            <w:r>
              <w:rPr>
                <w:rFonts w:hint="eastAsia" w:eastAsia="宋体" w:cs="Times New Roman"/>
                <w:color w:val="000000"/>
                <w:kern w:val="0"/>
                <w:sz w:val="24"/>
                <w:lang w:val="en-US" w:eastAsia="zh-CN"/>
              </w:rPr>
              <w:t>350402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-202</w:t>
            </w:r>
            <w:r>
              <w:rPr>
                <w:rFonts w:hint="eastAsia" w:eastAsia="宋体" w:cs="Times New Roman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-0</w:t>
            </w:r>
            <w:r>
              <w:rPr>
                <w:rFonts w:hint="eastAsia" w:eastAsia="宋体" w:cs="Times New Roman"/>
                <w:color w:val="000000"/>
                <w:kern w:val="0"/>
                <w:sz w:val="24"/>
                <w:lang w:val="en-US" w:eastAsia="zh-CN"/>
              </w:rPr>
              <w:t>03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-L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eastAsia="zh-CN"/>
              </w:rPr>
              <w:t>），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制定了相应的应急处置措施。</w:t>
            </w:r>
          </w:p>
        </w:tc>
      </w:tr>
    </w:tbl>
    <w:p>
      <w:pPr>
        <w:widowControl/>
        <w:shd w:val="clear" w:color="auto" w:fill="FFFFFF"/>
        <w:snapToGrid w:val="0"/>
        <w:spacing w:afterLines="0" w:line="360" w:lineRule="auto"/>
        <w:ind w:firstLine="480"/>
        <w:jc w:val="both"/>
        <w:rPr>
          <w:rFonts w:ascii="Times New Roman"/>
          <w:color w:val="000000"/>
          <w:kern w:val="0"/>
          <w:szCs w:val="24"/>
        </w:rPr>
      </w:pPr>
    </w:p>
    <w:p>
      <w:pPr>
        <w:widowControl/>
        <w:shd w:val="clear" w:color="auto" w:fill="FFFFFF"/>
        <w:snapToGrid w:val="0"/>
        <w:spacing w:afterLines="0" w:line="360" w:lineRule="auto"/>
        <w:ind w:firstLine="480"/>
        <w:jc w:val="both"/>
        <w:rPr>
          <w:rFonts w:ascii="Times New Roman"/>
          <w:color w:val="000000"/>
          <w:kern w:val="0"/>
          <w:szCs w:val="24"/>
        </w:rPr>
      </w:pPr>
      <w:r>
        <w:rPr>
          <w:rFonts w:ascii="Times New Roman"/>
          <w:color w:val="000000"/>
          <w:kern w:val="0"/>
          <w:szCs w:val="24"/>
        </w:rPr>
        <w:t>各污染物的排放总量都未超过（证字号：</w:t>
      </w:r>
      <w:r>
        <w:rPr>
          <w:rFonts w:hint="eastAsia" w:ascii="Times New Roman"/>
          <w:color w:val="000000"/>
          <w:kern w:val="0"/>
          <w:szCs w:val="24"/>
          <w:lang w:val="en-US" w:eastAsia="zh-CN"/>
        </w:rPr>
        <w:t>9135040279606800X7001C</w:t>
      </w:r>
      <w:r>
        <w:rPr>
          <w:rFonts w:ascii="Times New Roman"/>
          <w:color w:val="000000"/>
          <w:kern w:val="0"/>
          <w:szCs w:val="24"/>
        </w:rPr>
        <w:t>）《</w:t>
      </w:r>
      <w:r>
        <w:rPr>
          <w:rFonts w:hint="eastAsia" w:ascii="Times New Roman"/>
          <w:color w:val="000000"/>
          <w:kern w:val="0"/>
          <w:szCs w:val="24"/>
          <w:lang w:val="en-US" w:eastAsia="zh-CN"/>
        </w:rPr>
        <w:t>国家</w:t>
      </w:r>
      <w:r>
        <w:rPr>
          <w:rFonts w:ascii="Times New Roman"/>
          <w:color w:val="000000"/>
          <w:kern w:val="0"/>
          <w:szCs w:val="24"/>
        </w:rPr>
        <w:t>污染物许可证》的排放限值。</w:t>
      </w:r>
    </w:p>
    <w:p>
      <w:pPr>
        <w:widowControl/>
        <w:shd w:val="clear" w:color="auto" w:fill="FFFFFF"/>
        <w:snapToGrid w:val="0"/>
        <w:spacing w:after="163" w:line="360" w:lineRule="auto"/>
        <w:ind w:firstLine="0" w:firstLineChars="0"/>
        <w:jc w:val="both"/>
        <w:rPr>
          <w:rFonts w:hint="eastAsia" w:ascii="Times New Roman" w:eastAsia="宋体"/>
          <w:color w:val="000000"/>
          <w:kern w:val="0"/>
          <w:szCs w:val="24"/>
          <w:lang w:eastAsia="zh-CN"/>
        </w:rPr>
      </w:pPr>
      <w:r>
        <w:rPr>
          <w:rFonts w:ascii="Times New Roman"/>
          <w:color w:val="000000"/>
          <w:kern w:val="0"/>
          <w:szCs w:val="24"/>
        </w:rPr>
        <w:t>企业名称：</w:t>
      </w:r>
      <w:r>
        <w:rPr>
          <w:rFonts w:hint="eastAsia" w:ascii="Times New Roman"/>
          <w:color w:val="000000"/>
          <w:kern w:val="0"/>
          <w:szCs w:val="24"/>
          <w:lang w:eastAsia="zh-CN"/>
        </w:rPr>
        <w:t>福建铜浪建材科技发展有限公司</w:t>
      </w:r>
    </w:p>
    <w:p>
      <w:pPr>
        <w:widowControl/>
        <w:shd w:val="clear" w:color="auto" w:fill="FFFFFF"/>
        <w:snapToGrid w:val="0"/>
        <w:spacing w:after="163" w:line="360" w:lineRule="auto"/>
        <w:ind w:firstLine="0" w:firstLineChars="0"/>
        <w:jc w:val="both"/>
        <w:rPr>
          <w:rFonts w:ascii="Times New Roman"/>
          <w:color w:val="000000"/>
          <w:kern w:val="0"/>
          <w:szCs w:val="24"/>
        </w:rPr>
      </w:pPr>
      <w:r>
        <w:rPr>
          <w:rFonts w:ascii="Times New Roman"/>
          <w:color w:val="000000"/>
          <w:kern w:val="0"/>
          <w:szCs w:val="24"/>
        </w:rPr>
        <w:t>地址：</w:t>
      </w:r>
      <w:r>
        <w:rPr>
          <w:rFonts w:hint="eastAsia" w:cs="Times New Roman"/>
          <w:szCs w:val="21"/>
        </w:rPr>
        <w:t>福建省三明市</w:t>
      </w:r>
      <w:r>
        <w:rPr>
          <w:rFonts w:hint="eastAsia" w:cs="Times New Roman"/>
          <w:szCs w:val="21"/>
          <w:lang w:val="en-US" w:eastAsia="zh-CN"/>
        </w:rPr>
        <w:t>三元</w:t>
      </w:r>
      <w:r>
        <w:rPr>
          <w:rFonts w:hint="eastAsia" w:cs="Times New Roman"/>
          <w:szCs w:val="21"/>
        </w:rPr>
        <w:t>区经济开发区小蕉工业园区兴业二路2</w:t>
      </w:r>
      <w:r>
        <w:rPr>
          <w:rFonts w:hint="eastAsia" w:cs="Times New Roman"/>
          <w:szCs w:val="21"/>
          <w:lang w:val="en-US" w:eastAsia="zh-CN"/>
        </w:rPr>
        <w:t>6</w:t>
      </w:r>
      <w:r>
        <w:rPr>
          <w:rFonts w:hint="eastAsia" w:cs="Times New Roman"/>
          <w:szCs w:val="21"/>
        </w:rPr>
        <w:t>号</w:t>
      </w:r>
    </w:p>
    <w:p>
      <w:pPr>
        <w:widowControl/>
        <w:shd w:val="clear" w:color="auto" w:fill="FFFFFF"/>
        <w:snapToGrid w:val="0"/>
        <w:spacing w:after="163" w:line="360" w:lineRule="auto"/>
        <w:ind w:firstLine="0" w:firstLineChars="0"/>
        <w:jc w:val="both"/>
        <w:rPr>
          <w:rFonts w:hint="eastAsia" w:ascii="Times New Roman" w:eastAsia="宋体"/>
          <w:color w:val="000000"/>
          <w:kern w:val="0"/>
          <w:szCs w:val="24"/>
          <w:lang w:val="en-US" w:eastAsia="zh-CN"/>
        </w:rPr>
      </w:pPr>
      <w:r>
        <w:rPr>
          <w:rFonts w:ascii="Times New Roman"/>
          <w:color w:val="000000"/>
          <w:kern w:val="0"/>
          <w:szCs w:val="24"/>
        </w:rPr>
        <w:t>法人代表：</w:t>
      </w:r>
      <w:r>
        <w:rPr>
          <w:rFonts w:hint="eastAsia" w:ascii="Times New Roman"/>
          <w:color w:val="000000"/>
          <w:kern w:val="0"/>
          <w:szCs w:val="24"/>
          <w:lang w:eastAsia="zh-CN"/>
        </w:rPr>
        <w:t>傅如阳</w:t>
      </w:r>
    </w:p>
    <w:p>
      <w:pPr>
        <w:widowControl/>
        <w:shd w:val="clear" w:color="auto" w:fill="FFFFFF"/>
        <w:snapToGrid w:val="0"/>
        <w:spacing w:after="163" w:line="360" w:lineRule="auto"/>
        <w:ind w:firstLine="0" w:firstLineChars="0"/>
        <w:jc w:val="both"/>
        <w:rPr>
          <w:rFonts w:hint="default" w:ascii="Times New Roman"/>
          <w:color w:val="000000"/>
          <w:kern w:val="0"/>
          <w:szCs w:val="24"/>
          <w:lang w:val="en-US" w:eastAsia="zh-CN"/>
        </w:rPr>
      </w:pPr>
      <w:r>
        <w:rPr>
          <w:rFonts w:hint="eastAsia" w:ascii="Times New Roman"/>
          <w:color w:val="000000"/>
          <w:kern w:val="0"/>
          <w:szCs w:val="24"/>
          <w:lang w:eastAsia="zh-CN"/>
        </w:rPr>
        <w:t>联系电话：13507598387</w:t>
      </w:r>
      <w:bookmarkStart w:id="0" w:name="_GoBack"/>
      <w:bookmarkEnd w:id="0"/>
    </w:p>
    <w:p>
      <w:pPr>
        <w:widowControl/>
        <w:shd w:val="clear" w:color="auto" w:fill="FFFFFF"/>
        <w:snapToGrid w:val="0"/>
        <w:spacing w:afterLines="0" w:line="360" w:lineRule="auto"/>
        <w:ind w:firstLine="0" w:firstLineChars="0"/>
        <w:jc w:val="right"/>
        <w:rPr>
          <w:rFonts w:hint="eastAsia" w:ascii="Times New Roman" w:eastAsia="宋体"/>
          <w:color w:val="000000"/>
          <w:kern w:val="0"/>
          <w:szCs w:val="24"/>
          <w:lang w:eastAsia="zh-CN"/>
        </w:rPr>
      </w:pPr>
      <w:r>
        <w:rPr>
          <w:rFonts w:hint="eastAsia" w:ascii="Times New Roman"/>
          <w:color w:val="000000"/>
          <w:kern w:val="0"/>
          <w:szCs w:val="24"/>
          <w:lang w:eastAsia="zh-CN"/>
        </w:rPr>
        <w:t>福建铜浪建材科技发展有限公司</w:t>
      </w:r>
    </w:p>
    <w:p>
      <w:pPr>
        <w:widowControl/>
        <w:shd w:val="clear" w:color="auto" w:fill="FFFFFF"/>
        <w:snapToGrid w:val="0"/>
        <w:spacing w:afterLines="0" w:line="360" w:lineRule="auto"/>
        <w:ind w:firstLine="0" w:firstLineChars="0"/>
        <w:jc w:val="right"/>
        <w:rPr>
          <w:rFonts w:hint="default" w:ascii="Times New Roman" w:eastAsia="宋体"/>
          <w:color w:val="000000"/>
          <w:kern w:val="0"/>
          <w:szCs w:val="24"/>
          <w:lang w:val="en-US" w:eastAsia="zh-CN"/>
        </w:rPr>
      </w:pPr>
      <w:r>
        <w:rPr>
          <w:rFonts w:ascii="Times New Roman"/>
          <w:color w:val="000000"/>
          <w:kern w:val="0"/>
          <w:szCs w:val="24"/>
        </w:rPr>
        <w:t>20</w:t>
      </w:r>
      <w:r>
        <w:rPr>
          <w:rFonts w:hint="eastAsia" w:ascii="Times New Roman"/>
          <w:color w:val="000000"/>
          <w:kern w:val="0"/>
          <w:szCs w:val="24"/>
          <w:lang w:val="en-US" w:eastAsia="zh-CN"/>
        </w:rPr>
        <w:t>23.4.10</w:t>
      </w:r>
    </w:p>
    <w:sectPr>
      <w:headerReference r:id="rId7" w:type="first"/>
      <w:footerReference r:id="rId9" w:type="first"/>
      <w:headerReference r:id="rId5" w:type="default"/>
      <w:headerReference r:id="rId6" w:type="even"/>
      <w:footerReference r:id="rId8" w:type="even"/>
      <w:pgSz w:w="16838" w:h="11906" w:orient="landscape"/>
      <w:pgMar w:top="1134" w:right="1134" w:bottom="1134" w:left="1134" w:header="851" w:footer="992" w:gutter="0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480"/>
      </w:pPr>
      <w:r>
        <w:separator/>
      </w:r>
    </w:p>
  </w:footnote>
  <w:footnote w:type="continuationSeparator" w:id="1">
    <w:p>
      <w:pPr>
        <w:spacing w:before="0" w:after="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0MWM3MmRkZWM1YjVlNmQ4ZjM5MWJlMTI3NTFjOTQifQ=="/>
    <w:docVar w:name="KSO_WPS_MARK_KEY" w:val="dc7dbd10-19bc-43f9-8c61-c52c37d1b050"/>
  </w:docVars>
  <w:rsids>
    <w:rsidRoot w:val="009E608D"/>
    <w:rsid w:val="0010658B"/>
    <w:rsid w:val="001C73AE"/>
    <w:rsid w:val="001D5BBF"/>
    <w:rsid w:val="00257027"/>
    <w:rsid w:val="002A4A3F"/>
    <w:rsid w:val="00317D00"/>
    <w:rsid w:val="003A076E"/>
    <w:rsid w:val="004C2BF1"/>
    <w:rsid w:val="004E293F"/>
    <w:rsid w:val="00506BCC"/>
    <w:rsid w:val="005F32F1"/>
    <w:rsid w:val="005F4C33"/>
    <w:rsid w:val="006A3327"/>
    <w:rsid w:val="00745CD7"/>
    <w:rsid w:val="007C0192"/>
    <w:rsid w:val="008327ED"/>
    <w:rsid w:val="008640D7"/>
    <w:rsid w:val="00957651"/>
    <w:rsid w:val="009E608D"/>
    <w:rsid w:val="00A9178A"/>
    <w:rsid w:val="00C327B3"/>
    <w:rsid w:val="00C5015D"/>
    <w:rsid w:val="00C54453"/>
    <w:rsid w:val="00C562FA"/>
    <w:rsid w:val="00C66AAD"/>
    <w:rsid w:val="00C82840"/>
    <w:rsid w:val="00D13320"/>
    <w:rsid w:val="00D71A37"/>
    <w:rsid w:val="00E16D64"/>
    <w:rsid w:val="00E620CC"/>
    <w:rsid w:val="00E62980"/>
    <w:rsid w:val="00EA4822"/>
    <w:rsid w:val="00EA7B1C"/>
    <w:rsid w:val="0782604B"/>
    <w:rsid w:val="09ED6F52"/>
    <w:rsid w:val="0C542AED"/>
    <w:rsid w:val="0EF96925"/>
    <w:rsid w:val="1AF06BCE"/>
    <w:rsid w:val="23460798"/>
    <w:rsid w:val="25536C66"/>
    <w:rsid w:val="285E73CE"/>
    <w:rsid w:val="2FFD62EB"/>
    <w:rsid w:val="34BD2067"/>
    <w:rsid w:val="402347E2"/>
    <w:rsid w:val="45343C8C"/>
    <w:rsid w:val="55AA4B41"/>
    <w:rsid w:val="57C5756C"/>
    <w:rsid w:val="5F18020F"/>
    <w:rsid w:val="649225FE"/>
    <w:rsid w:val="6D6E267C"/>
    <w:rsid w:val="779B115D"/>
    <w:rsid w:val="780E1BE4"/>
    <w:rsid w:val="7E3D0231"/>
    <w:rsid w:val="7E9E4E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qFormat="1" w:uiPriority="39" w:semiHidden="0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Lines="50" w:line="440" w:lineRule="atLeast"/>
      <w:ind w:firstLine="200" w:firstLineChars="200"/>
    </w:pPr>
    <w:rPr>
      <w:rFonts w:ascii="宋体" w:hAnsi="Times New Roman" w:eastAsia="宋体" w:cs="Times New Roman"/>
      <w:kern w:val="2"/>
      <w:sz w:val="24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unhideWhenUsed/>
    <w:qFormat/>
    <w:uiPriority w:val="39"/>
    <w:pPr>
      <w:spacing w:line="240" w:lineRule="auto"/>
      <w:ind w:left="2520" w:leftChars="1200"/>
    </w:pPr>
    <w:rPr>
      <w:rFonts w:ascii="Calibri" w:hAnsi="Calibri"/>
      <w:sz w:val="21"/>
      <w:szCs w:val="22"/>
    </w:rPr>
  </w:style>
  <w:style w:type="paragraph" w:styleId="3">
    <w:name w:val="Block Text"/>
    <w:basedOn w:val="1"/>
    <w:qFormat/>
    <w:uiPriority w:val="0"/>
    <w:pPr>
      <w:spacing w:after="120" w:afterLines="0"/>
      <w:ind w:left="1440" w:leftChars="700" w:right="1440" w:rightChars="700"/>
    </w:pPr>
    <w:rPr>
      <w:rFonts w:ascii="Times New Roman" w:hAnsi="Times New Roman"/>
      <w:szCs w:val="20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afterLines="0" w:line="240" w:lineRule="auto"/>
      <w:ind w:firstLine="0" w:firstLineChars="0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Lines="0"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customStyle="1" w:styleId="8">
    <w:name w:val="Default"/>
    <w:next w:val="2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font01"/>
    <w:basedOn w:val="7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2">
    <w:name w:val="font3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11"/>
    <w:basedOn w:val="7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21"/>
    <w:basedOn w:val="7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1073</Words>
  <Characters>1419</Characters>
  <Lines>10</Lines>
  <Paragraphs>3</Paragraphs>
  <TotalTime>0</TotalTime>
  <ScaleCrop>false</ScaleCrop>
  <LinksUpToDate>false</LinksUpToDate>
  <CharactersWithSpaces>1423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2019-05-07T06:20:00Z</dcterms:created>
  <dc:creator>张淑珍</dc:creator>
  <cp:lastModifiedBy>陈永林</cp:lastModifiedBy>
  <dcterms:modified xsi:type="dcterms:W3CDTF">2023-08-30T06:02:46Z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6B3E6C1D867443569E55C06670B1D295_13</vt:lpwstr>
  </property>
</Properties>
</file>