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ascii="华文中宋" w:hAnsi="华文中宋" w:eastAsia="华文中宋"/>
          <w:spacing w:val="0"/>
          <w:position w:val="0"/>
          <w:sz w:val="48"/>
          <w:szCs w:val="24"/>
        </w:rPr>
      </w:pPr>
    </w:p>
    <w:p>
      <w:pPr>
        <w:adjustRightInd w:val="0"/>
        <w:snapToGrid w:val="0"/>
        <w:jc w:val="center"/>
        <w:rPr>
          <w:rFonts w:ascii="黑体" w:hAnsi="黑体" w:eastAsia="黑体" w:cs="黑体"/>
          <w:b/>
          <w:bCs/>
          <w:spacing w:val="0"/>
          <w:position w:val="0"/>
          <w:sz w:val="48"/>
          <w:szCs w:val="24"/>
        </w:rPr>
      </w:pPr>
    </w:p>
    <w:p>
      <w:pPr>
        <w:adjustRightInd w:val="0"/>
        <w:snapToGrid w:val="0"/>
        <w:spacing w:line="360" w:lineRule="auto"/>
        <w:jc w:val="center"/>
        <w:rPr>
          <w:rFonts w:ascii="黑体" w:hAnsi="黑体" w:eastAsia="黑体" w:cs="黑体"/>
          <w:b/>
          <w:bCs/>
          <w:spacing w:val="0"/>
          <w:position w:val="0"/>
          <w:sz w:val="48"/>
          <w:szCs w:val="24"/>
        </w:rPr>
      </w:pPr>
      <w:r>
        <w:rPr>
          <w:rFonts w:hint="eastAsia" w:ascii="黑体" w:hAnsi="黑体" w:eastAsia="黑体" w:cs="黑体"/>
          <w:b/>
          <w:bCs/>
          <w:spacing w:val="0"/>
          <w:position w:val="0"/>
          <w:sz w:val="48"/>
          <w:szCs w:val="24"/>
        </w:rPr>
        <w:t>福建悦聚科技有限公司</w:t>
      </w:r>
    </w:p>
    <w:p>
      <w:pPr>
        <w:adjustRightInd w:val="0"/>
        <w:snapToGrid w:val="0"/>
        <w:spacing w:line="360" w:lineRule="auto"/>
        <w:jc w:val="center"/>
        <w:rPr>
          <w:rFonts w:ascii="黑体" w:hAnsi="黑体" w:eastAsia="黑体" w:cs="黑体"/>
          <w:b/>
          <w:bCs/>
          <w:spacing w:val="0"/>
          <w:position w:val="0"/>
          <w:sz w:val="48"/>
          <w:szCs w:val="24"/>
        </w:rPr>
      </w:pPr>
      <w:r>
        <w:rPr>
          <w:rFonts w:hint="eastAsia" w:ascii="黑体" w:hAnsi="黑体" w:eastAsia="黑体" w:cs="黑体"/>
          <w:b/>
          <w:bCs/>
          <w:spacing w:val="0"/>
          <w:position w:val="0"/>
          <w:sz w:val="48"/>
          <w:szCs w:val="24"/>
        </w:rPr>
        <w:t>智能化高档纺织面料生产项目</w:t>
      </w:r>
    </w:p>
    <w:p>
      <w:pPr>
        <w:adjustRightInd w:val="0"/>
        <w:snapToGrid w:val="0"/>
        <w:spacing w:line="360" w:lineRule="auto"/>
        <w:jc w:val="center"/>
        <w:rPr>
          <w:rFonts w:ascii="黑体" w:hAnsi="黑体" w:eastAsia="黑体" w:cs="黑体"/>
          <w:b/>
          <w:bCs/>
          <w:spacing w:val="0"/>
          <w:position w:val="0"/>
          <w:sz w:val="72"/>
          <w:szCs w:val="72"/>
        </w:rPr>
      </w:pPr>
      <w:r>
        <w:rPr>
          <w:rFonts w:hint="eastAsia" w:ascii="黑体" w:hAnsi="黑体" w:eastAsia="黑体" w:cs="黑体"/>
          <w:b/>
          <w:bCs/>
          <w:spacing w:val="0"/>
          <w:position w:val="0"/>
          <w:sz w:val="72"/>
          <w:szCs w:val="72"/>
        </w:rPr>
        <w:t>环境影响报告书</w:t>
      </w:r>
    </w:p>
    <w:p>
      <w:pPr>
        <w:adjustRightInd w:val="0"/>
        <w:snapToGrid w:val="0"/>
        <w:spacing w:line="360" w:lineRule="auto"/>
        <w:jc w:val="center"/>
        <w:rPr>
          <w:rFonts w:ascii="华文中宋" w:hAnsi="华文中宋" w:eastAsia="华文中宋"/>
          <w:spacing w:val="0"/>
          <w:position w:val="0"/>
          <w:sz w:val="48"/>
          <w:szCs w:val="24"/>
        </w:rPr>
      </w:pPr>
      <w:r>
        <w:rPr>
          <w:rFonts w:hint="eastAsia" w:ascii="黑体" w:hAnsi="黑体" w:eastAsia="黑体" w:cs="黑体"/>
          <w:b/>
          <w:bCs/>
          <w:spacing w:val="0"/>
          <w:position w:val="0"/>
          <w:sz w:val="36"/>
          <w:szCs w:val="36"/>
        </w:rPr>
        <w:t>（</w:t>
      </w:r>
      <w:r>
        <w:rPr>
          <w:rFonts w:hint="eastAsia" w:ascii="黑体" w:hAnsi="黑体" w:eastAsia="黑体" w:cs="黑体"/>
          <w:b/>
          <w:bCs/>
          <w:spacing w:val="0"/>
          <w:position w:val="0"/>
          <w:sz w:val="36"/>
          <w:szCs w:val="36"/>
          <w:lang w:val="en-US" w:eastAsia="zh-CN"/>
        </w:rPr>
        <w:t>征求意见</w:t>
      </w:r>
      <w:r>
        <w:rPr>
          <w:rFonts w:hint="eastAsia" w:ascii="黑体" w:hAnsi="黑体" w:eastAsia="黑体" w:cs="黑体"/>
          <w:b/>
          <w:bCs/>
          <w:spacing w:val="0"/>
          <w:position w:val="0"/>
          <w:sz w:val="36"/>
          <w:szCs w:val="36"/>
        </w:rPr>
        <w:t>稿）</w:t>
      </w:r>
    </w:p>
    <w:p>
      <w:pPr>
        <w:adjustRightInd w:val="0"/>
        <w:snapToGrid w:val="0"/>
        <w:jc w:val="center"/>
        <w:rPr>
          <w:rFonts w:ascii="华文中宋" w:hAnsi="华文中宋" w:eastAsia="华文中宋"/>
          <w:spacing w:val="0"/>
          <w:position w:val="0"/>
          <w:sz w:val="48"/>
          <w:szCs w:val="24"/>
        </w:rPr>
      </w:pPr>
    </w:p>
    <w:p>
      <w:pPr>
        <w:adjustRightInd w:val="0"/>
        <w:snapToGrid w:val="0"/>
        <w:jc w:val="center"/>
        <w:rPr>
          <w:rFonts w:ascii="华文中宋" w:hAnsi="华文中宋" w:eastAsia="华文中宋"/>
          <w:spacing w:val="0"/>
          <w:position w:val="0"/>
          <w:sz w:val="48"/>
          <w:szCs w:val="24"/>
        </w:rPr>
      </w:pPr>
    </w:p>
    <w:p>
      <w:pPr>
        <w:adjustRightInd w:val="0"/>
        <w:snapToGrid w:val="0"/>
        <w:jc w:val="center"/>
        <w:rPr>
          <w:rFonts w:ascii="华文中宋" w:hAnsi="华文中宋" w:eastAsia="华文中宋"/>
          <w:spacing w:val="0"/>
          <w:position w:val="0"/>
          <w:sz w:val="48"/>
          <w:szCs w:val="24"/>
        </w:rPr>
      </w:pPr>
    </w:p>
    <w:p>
      <w:pPr>
        <w:adjustRightInd w:val="0"/>
        <w:snapToGrid w:val="0"/>
        <w:jc w:val="center"/>
        <w:rPr>
          <w:rFonts w:ascii="华文中宋" w:hAnsi="华文中宋" w:eastAsia="华文中宋"/>
          <w:spacing w:val="0"/>
          <w:position w:val="0"/>
          <w:sz w:val="48"/>
          <w:szCs w:val="24"/>
        </w:rPr>
      </w:pPr>
    </w:p>
    <w:p>
      <w:pPr>
        <w:adjustRightInd w:val="0"/>
        <w:snapToGrid w:val="0"/>
        <w:jc w:val="center"/>
        <w:rPr>
          <w:rFonts w:ascii="华文中宋" w:hAnsi="华文中宋" w:eastAsia="华文中宋"/>
          <w:spacing w:val="0"/>
          <w:position w:val="0"/>
          <w:sz w:val="48"/>
          <w:szCs w:val="24"/>
        </w:rPr>
      </w:pPr>
    </w:p>
    <w:p>
      <w:pPr>
        <w:adjustRightInd w:val="0"/>
        <w:snapToGrid w:val="0"/>
        <w:jc w:val="center"/>
        <w:rPr>
          <w:rFonts w:ascii="华文中宋" w:hAnsi="华文中宋" w:eastAsia="华文中宋"/>
          <w:spacing w:val="0"/>
          <w:position w:val="0"/>
          <w:sz w:val="48"/>
          <w:szCs w:val="24"/>
        </w:rPr>
      </w:pPr>
    </w:p>
    <w:p>
      <w:pPr>
        <w:adjustRightInd w:val="0"/>
        <w:snapToGrid w:val="0"/>
        <w:rPr>
          <w:rFonts w:ascii="华文中宋" w:hAnsi="华文中宋" w:eastAsia="华文中宋"/>
          <w:spacing w:val="0"/>
          <w:position w:val="0"/>
          <w:sz w:val="48"/>
          <w:szCs w:val="24"/>
        </w:rPr>
      </w:pPr>
    </w:p>
    <w:p>
      <w:pPr>
        <w:adjustRightInd w:val="0"/>
        <w:snapToGrid w:val="0"/>
        <w:spacing w:line="360" w:lineRule="auto"/>
        <w:ind w:firstLine="1205" w:firstLineChars="400"/>
        <w:rPr>
          <w:rFonts w:ascii="黑体" w:hAnsi="黑体" w:eastAsia="黑体" w:cs="黑体"/>
          <w:b/>
          <w:bCs/>
          <w:spacing w:val="0"/>
          <w:position w:val="0"/>
          <w:sz w:val="30"/>
          <w:szCs w:val="30"/>
        </w:rPr>
      </w:pPr>
      <w:r>
        <w:rPr>
          <w:rFonts w:hint="eastAsia" w:ascii="黑体" w:hAnsi="黑体" w:eastAsia="黑体" w:cs="黑体"/>
          <w:b/>
          <w:bCs/>
          <w:spacing w:val="0"/>
          <w:position w:val="0"/>
          <w:sz w:val="30"/>
          <w:szCs w:val="30"/>
        </w:rPr>
        <w:t>建设单位：福建悦聚科技有限公司</w:t>
      </w:r>
    </w:p>
    <w:p>
      <w:pPr>
        <w:adjustRightInd w:val="0"/>
        <w:snapToGrid w:val="0"/>
        <w:spacing w:line="360" w:lineRule="auto"/>
        <w:ind w:firstLine="1205" w:firstLineChars="400"/>
        <w:rPr>
          <w:rFonts w:ascii="黑体" w:hAnsi="黑体" w:eastAsia="黑体" w:cs="黑体"/>
          <w:b/>
          <w:bCs/>
          <w:spacing w:val="0"/>
          <w:position w:val="0"/>
          <w:sz w:val="30"/>
          <w:szCs w:val="30"/>
        </w:rPr>
      </w:pPr>
      <w:r>
        <w:rPr>
          <w:rFonts w:hint="eastAsia" w:ascii="黑体" w:hAnsi="黑体" w:eastAsia="黑体" w:cs="黑体"/>
          <w:b/>
          <w:bCs/>
          <w:spacing w:val="0"/>
          <w:position w:val="0"/>
          <w:sz w:val="30"/>
          <w:szCs w:val="30"/>
        </w:rPr>
        <w:t>评价单位：福建新时代环保科技有限公司</w:t>
      </w:r>
    </w:p>
    <w:p>
      <w:pPr>
        <w:adjustRightInd w:val="0"/>
        <w:snapToGrid w:val="0"/>
        <w:spacing w:line="360" w:lineRule="auto"/>
        <w:ind w:firstLine="1205" w:firstLineChars="400"/>
        <w:rPr>
          <w:rFonts w:ascii="黑体" w:hAnsi="黑体" w:eastAsia="黑体" w:cs="黑体"/>
          <w:b/>
          <w:bCs/>
          <w:spacing w:val="0"/>
          <w:position w:val="0"/>
          <w:sz w:val="30"/>
          <w:szCs w:val="30"/>
        </w:rPr>
      </w:pPr>
      <w:r>
        <w:rPr>
          <w:rFonts w:hint="eastAsia" w:ascii="黑体" w:hAnsi="黑体" w:eastAsia="黑体" w:cs="黑体"/>
          <w:b/>
          <w:bCs/>
          <w:spacing w:val="0"/>
          <w:position w:val="0"/>
          <w:sz w:val="30"/>
          <w:szCs w:val="30"/>
        </w:rPr>
        <w:t>编制时间：二〇二三年</w:t>
      </w:r>
      <w:r>
        <w:rPr>
          <w:rFonts w:hint="eastAsia" w:ascii="黑体" w:hAnsi="黑体" w:eastAsia="黑体" w:cs="黑体"/>
          <w:b/>
          <w:bCs/>
          <w:spacing w:val="0"/>
          <w:position w:val="0"/>
          <w:sz w:val="30"/>
          <w:szCs w:val="30"/>
          <w:lang w:val="en-US" w:eastAsia="zh-CN"/>
        </w:rPr>
        <w:t>十二</w:t>
      </w:r>
      <w:r>
        <w:rPr>
          <w:rFonts w:hint="eastAsia" w:ascii="黑体" w:hAnsi="黑体" w:eastAsia="黑体" w:cs="黑体"/>
          <w:b/>
          <w:bCs/>
          <w:spacing w:val="0"/>
          <w:position w:val="0"/>
          <w:sz w:val="30"/>
          <w:szCs w:val="30"/>
        </w:rPr>
        <w:t>月</w:t>
      </w:r>
    </w:p>
    <w:p>
      <w:pPr>
        <w:adjustRightInd w:val="0"/>
        <w:snapToGrid w:val="0"/>
        <w:rPr>
          <w:rFonts w:ascii="黑体" w:hAnsi="黑体" w:eastAsia="黑体" w:cs="黑体"/>
          <w:b/>
          <w:bCs/>
          <w:spacing w:val="0"/>
          <w:position w:val="0"/>
          <w:sz w:val="30"/>
          <w:szCs w:val="30"/>
        </w:rPr>
      </w:pPr>
      <w:r>
        <w:rPr>
          <w:rFonts w:hint="eastAsia" w:ascii="黑体" w:hAnsi="黑体" w:eastAsia="黑体" w:cs="黑体"/>
          <w:b/>
          <w:bCs/>
          <w:spacing w:val="0"/>
          <w:position w:val="0"/>
          <w:sz w:val="30"/>
          <w:szCs w:val="30"/>
        </w:rPr>
        <w:br w:type="page"/>
      </w:r>
    </w:p>
    <w:p>
      <w:pPr>
        <w:adjustRightInd w:val="0"/>
        <w:snapToGrid w:val="0"/>
        <w:spacing w:line="360" w:lineRule="auto"/>
        <w:ind w:firstLine="1205" w:firstLineChars="400"/>
        <w:rPr>
          <w:rFonts w:ascii="黑体" w:hAnsi="黑体" w:eastAsia="黑体" w:cs="黑体"/>
          <w:b/>
          <w:bCs/>
          <w:spacing w:val="0"/>
          <w:position w:val="0"/>
          <w:sz w:val="30"/>
          <w:szCs w:val="30"/>
        </w:rPr>
        <w:sectPr>
          <w:headerReference r:id="rId3" w:type="default"/>
          <w:footerReference r:id="rId4" w:type="default"/>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before="156" w:beforeLines="50" w:after="156" w:afterLines="50" w:line="360" w:lineRule="auto"/>
        <w:jc w:val="center"/>
        <w:outlineLvl w:val="0"/>
        <w:rPr>
          <w:rFonts w:ascii="宋体" w:hAnsi="宋体" w:cs="宋体"/>
          <w:b/>
          <w:bCs/>
          <w:spacing w:val="0"/>
          <w:position w:val="0"/>
          <w:sz w:val="36"/>
          <w:szCs w:val="36"/>
        </w:rPr>
      </w:pPr>
      <w:r>
        <w:rPr>
          <w:b/>
          <w:bCs/>
          <w:spacing w:val="0"/>
          <w:position w:val="0"/>
          <w:sz w:val="36"/>
          <w:szCs w:val="36"/>
        </w:rPr>
        <w:t>1</w:t>
      </w:r>
      <w:r>
        <w:rPr>
          <w:rFonts w:hint="eastAsia" w:ascii="宋体" w:hAnsi="宋体" w:cs="宋体"/>
          <w:b/>
          <w:bCs/>
          <w:spacing w:val="0"/>
          <w:position w:val="0"/>
          <w:sz w:val="36"/>
          <w:szCs w:val="36"/>
        </w:rPr>
        <w:t xml:space="preserve"> 概述</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cs="宋体"/>
          <w:b/>
          <w:bCs/>
          <w:spacing w:val="0"/>
          <w:position w:val="0"/>
          <w:sz w:val="30"/>
          <w:szCs w:val="30"/>
          <w:lang w:val="en-US" w:eastAsia="zh-CN"/>
        </w:rPr>
      </w:pPr>
      <w:r>
        <w:rPr>
          <w:rFonts w:hint="eastAsia" w:ascii="Times New Roman" w:hAnsi="Times New Roman" w:cs="宋体"/>
          <w:b/>
          <w:bCs/>
          <w:spacing w:val="0"/>
          <w:position w:val="0"/>
          <w:sz w:val="30"/>
          <w:szCs w:val="30"/>
          <w:lang w:val="en-US" w:eastAsia="zh-CN"/>
        </w:rPr>
        <w:t>1.1</w:t>
      </w:r>
      <w:r>
        <w:rPr>
          <w:rFonts w:hint="eastAsia" w:cs="宋体"/>
          <w:b/>
          <w:bCs/>
          <w:spacing w:val="0"/>
          <w:position w:val="0"/>
          <w:sz w:val="30"/>
          <w:szCs w:val="30"/>
          <w:lang w:val="en-US" w:eastAsia="zh-CN"/>
        </w:rPr>
        <w:t>建设项目由来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宋体"/>
          <w:b w:val="0"/>
          <w:bCs w:val="0"/>
          <w:spacing w:val="0"/>
          <w:position w:val="0"/>
          <w:sz w:val="24"/>
          <w:szCs w:val="24"/>
          <w:lang w:val="en-US" w:eastAsia="zh-CN"/>
        </w:rPr>
      </w:pPr>
      <w:r>
        <w:rPr>
          <w:rFonts w:hint="eastAsia" w:cs="宋体"/>
          <w:b w:val="0"/>
          <w:bCs w:val="0"/>
          <w:spacing w:val="0"/>
          <w:position w:val="0"/>
          <w:sz w:val="24"/>
          <w:szCs w:val="24"/>
          <w:lang w:eastAsia="zh-CN"/>
        </w:rPr>
        <w:t>福建悦聚科技有限公司拟建的</w:t>
      </w:r>
      <w:r>
        <w:rPr>
          <w:rFonts w:hint="eastAsia" w:cs="宋体"/>
          <w:b w:val="0"/>
          <w:bCs w:val="0"/>
          <w:spacing w:val="0"/>
          <w:position w:val="0"/>
          <w:sz w:val="24"/>
          <w:szCs w:val="24"/>
          <w:lang w:val="en-US" w:eastAsia="zh-CN"/>
        </w:rPr>
        <w:t>智能化高档纺织面料生产项目坐落于连江可门经济开发区内的绿色纺织产业园5号地块，</w:t>
      </w:r>
      <w:r>
        <w:rPr>
          <w:rFonts w:hint="eastAsia" w:cs="宋体"/>
          <w:b w:val="0"/>
          <w:bCs w:val="0"/>
          <w:spacing w:val="0"/>
          <w:position w:val="0"/>
          <w:sz w:val="24"/>
          <w:szCs w:val="24"/>
          <w:lang w:eastAsia="zh-CN"/>
        </w:rPr>
        <w:t>用地面积</w:t>
      </w:r>
      <w:r>
        <w:rPr>
          <w:rFonts w:hint="eastAsia" w:cs="宋体"/>
          <w:b w:val="0"/>
          <w:bCs w:val="0"/>
          <w:spacing w:val="0"/>
          <w:position w:val="0"/>
          <w:sz w:val="24"/>
          <w:szCs w:val="24"/>
          <w:lang w:val="en-US" w:eastAsia="zh-CN"/>
        </w:rPr>
        <w:t>40000</w:t>
      </w:r>
      <w:r>
        <w:rPr>
          <w:rFonts w:hint="eastAsia" w:cs="宋体"/>
          <w:b w:val="0"/>
          <w:bCs w:val="0"/>
          <w:spacing w:val="0"/>
          <w:position w:val="0"/>
          <w:sz w:val="24"/>
          <w:szCs w:val="24"/>
          <w:lang w:eastAsia="zh-CN"/>
        </w:rPr>
        <w:t>m</w:t>
      </w:r>
      <w:r>
        <w:rPr>
          <w:rFonts w:hint="eastAsia" w:cs="宋体"/>
          <w:b w:val="0"/>
          <w:bCs w:val="0"/>
          <w:spacing w:val="0"/>
          <w:position w:val="0"/>
          <w:sz w:val="24"/>
          <w:szCs w:val="24"/>
          <w:vertAlign w:val="superscript"/>
          <w:lang w:eastAsia="zh-CN"/>
        </w:rPr>
        <w:t>2</w:t>
      </w:r>
      <w:r>
        <w:rPr>
          <w:rFonts w:hint="eastAsia" w:cs="宋体"/>
          <w:b w:val="0"/>
          <w:bCs w:val="0"/>
          <w:spacing w:val="0"/>
          <w:position w:val="0"/>
          <w:sz w:val="24"/>
          <w:szCs w:val="24"/>
          <w:lang w:val="en-US" w:eastAsia="zh-CN"/>
        </w:rPr>
        <w:t>（占地共计60亩），厂址紧靠沈海高速支线、福州绕城公路支线等，临近长乐国际机场，交通位置优越，周边配套设施齐全。公司规划拟建设厂房及附属设施，购进经编机、高温高压溢流染色机、定型机、数码印花机等主要生产设备，建设共计28条印染生产线、10条印花生产线。项目建成后，产值约8.8亿元，年税收约3000万元，同时也为连江经济发展注入新的经济成长点，为"十四五"开好局、起好步打下坚实基础。公司在创立初期，确立"专业化、国际化、精益化、差异化"的发展理念，致力于打造一个智能化高档纺织面料的智能化工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该项目已于2021年</w:t>
      </w:r>
      <w:r>
        <w:rPr>
          <w:rFonts w:hint="eastAsia" w:cs="宋体"/>
          <w:b w:val="0"/>
          <w:bCs w:val="0"/>
          <w:spacing w:val="0"/>
          <w:position w:val="0"/>
          <w:sz w:val="24"/>
          <w:szCs w:val="24"/>
          <w:lang w:val="en-US" w:eastAsia="zh-CN"/>
        </w:rPr>
        <w:t>12</w:t>
      </w:r>
      <w:r>
        <w:rPr>
          <w:rFonts w:hint="eastAsia" w:cs="宋体"/>
          <w:b w:val="0"/>
          <w:bCs w:val="0"/>
          <w:spacing w:val="0"/>
          <w:position w:val="0"/>
          <w:sz w:val="24"/>
          <w:szCs w:val="24"/>
          <w:lang w:eastAsia="zh-CN"/>
        </w:rPr>
        <w:t>月</w:t>
      </w:r>
      <w:r>
        <w:rPr>
          <w:rFonts w:hint="eastAsia" w:cs="宋体"/>
          <w:b w:val="0"/>
          <w:bCs w:val="0"/>
          <w:spacing w:val="0"/>
          <w:position w:val="0"/>
          <w:sz w:val="24"/>
          <w:szCs w:val="24"/>
          <w:lang w:val="en-US" w:eastAsia="zh-CN"/>
        </w:rPr>
        <w:t>6</w:t>
      </w:r>
      <w:r>
        <w:rPr>
          <w:rFonts w:hint="eastAsia" w:cs="宋体"/>
          <w:b w:val="0"/>
          <w:bCs w:val="0"/>
          <w:spacing w:val="0"/>
          <w:position w:val="0"/>
          <w:sz w:val="24"/>
          <w:szCs w:val="24"/>
          <w:lang w:eastAsia="zh-CN"/>
        </w:rPr>
        <w:t>日在连江县发展和改革局备案，备案号为闽发改备[2021]A120</w:t>
      </w:r>
      <w:r>
        <w:rPr>
          <w:rFonts w:hint="eastAsia" w:cs="宋体"/>
          <w:b w:val="0"/>
          <w:bCs w:val="0"/>
          <w:spacing w:val="0"/>
          <w:position w:val="0"/>
          <w:sz w:val="24"/>
          <w:szCs w:val="24"/>
          <w:lang w:val="en-US" w:eastAsia="zh-CN"/>
        </w:rPr>
        <w:t>211</w:t>
      </w:r>
      <w:r>
        <w:rPr>
          <w:rFonts w:hint="eastAsia" w:cs="宋体"/>
          <w:b w:val="0"/>
          <w:bCs w:val="0"/>
          <w:spacing w:val="0"/>
          <w:position w:val="0"/>
          <w:sz w:val="24"/>
          <w:szCs w:val="24"/>
          <w:lang w:eastAsia="zh-CN"/>
        </w:rPr>
        <w:t>，项目代码2112-350122-04-01-559769，</w:t>
      </w:r>
      <w:r>
        <w:rPr>
          <w:rFonts w:hint="eastAsia" w:cs="宋体"/>
          <w:b w:val="0"/>
          <w:bCs w:val="0"/>
          <w:spacing w:val="0"/>
          <w:position w:val="0"/>
          <w:sz w:val="24"/>
          <w:szCs w:val="24"/>
          <w:lang w:val="en-US" w:eastAsia="zh-CN"/>
        </w:rPr>
        <w:t>详见附件2</w:t>
      </w:r>
      <w:r>
        <w:rPr>
          <w:rFonts w:hint="eastAsia" w:cs="宋体"/>
          <w:b w:val="0"/>
          <w:bCs w:val="0"/>
          <w:spacing w:val="0"/>
          <w:position w:val="0"/>
          <w:sz w:val="24"/>
          <w:szCs w:val="24"/>
          <w:lang w:eastAsia="zh-CN"/>
        </w:rPr>
        <w:t>。项目总用地面积</w:t>
      </w:r>
      <w:r>
        <w:rPr>
          <w:rFonts w:hint="eastAsia" w:cs="宋体"/>
          <w:b w:val="0"/>
          <w:bCs w:val="0"/>
          <w:spacing w:val="0"/>
          <w:position w:val="0"/>
          <w:sz w:val="24"/>
          <w:szCs w:val="24"/>
          <w:lang w:val="en-US" w:eastAsia="zh-CN"/>
        </w:rPr>
        <w:t>40000</w:t>
      </w:r>
      <w:r>
        <w:rPr>
          <w:rFonts w:hint="eastAsia" w:cs="宋体"/>
          <w:b w:val="0"/>
          <w:bCs w:val="0"/>
          <w:spacing w:val="0"/>
          <w:position w:val="0"/>
          <w:sz w:val="24"/>
          <w:szCs w:val="24"/>
          <w:lang w:eastAsia="zh-CN"/>
        </w:rPr>
        <w:t>m</w:t>
      </w:r>
      <w:r>
        <w:rPr>
          <w:rFonts w:hint="eastAsia" w:cs="宋体"/>
          <w:b w:val="0"/>
          <w:bCs w:val="0"/>
          <w:spacing w:val="0"/>
          <w:position w:val="0"/>
          <w:sz w:val="24"/>
          <w:szCs w:val="24"/>
          <w:vertAlign w:val="superscript"/>
          <w:lang w:eastAsia="zh-CN"/>
        </w:rPr>
        <w:t>2</w:t>
      </w:r>
      <w:r>
        <w:rPr>
          <w:rFonts w:hint="eastAsia" w:cs="宋体"/>
          <w:b w:val="0"/>
          <w:bCs w:val="0"/>
          <w:spacing w:val="0"/>
          <w:position w:val="0"/>
          <w:sz w:val="24"/>
          <w:szCs w:val="24"/>
          <w:lang w:eastAsia="zh-CN"/>
        </w:rPr>
        <w:t>，形成年</w:t>
      </w:r>
      <w:r>
        <w:rPr>
          <w:rFonts w:hint="eastAsia" w:cs="宋体"/>
          <w:b w:val="0"/>
          <w:bCs w:val="0"/>
          <w:spacing w:val="0"/>
          <w:position w:val="0"/>
          <w:sz w:val="24"/>
          <w:szCs w:val="24"/>
          <w:lang w:val="en-US" w:eastAsia="zh-CN"/>
        </w:rPr>
        <w:t>处理</w:t>
      </w:r>
      <w:r>
        <w:rPr>
          <w:rFonts w:hint="eastAsia" w:cs="宋体"/>
          <w:b w:val="0"/>
          <w:bCs w:val="0"/>
          <w:spacing w:val="0"/>
          <w:position w:val="0"/>
          <w:sz w:val="24"/>
          <w:szCs w:val="24"/>
          <w:lang w:eastAsia="zh-CN"/>
        </w:rPr>
        <w:t>19500吨针织坯布、4500吨印花面料的生产能力（</w:t>
      </w:r>
      <w:r>
        <w:rPr>
          <w:rFonts w:hint="eastAsia" w:cs="宋体"/>
          <w:b w:val="0"/>
          <w:bCs w:val="0"/>
          <w:spacing w:val="0"/>
          <w:position w:val="0"/>
          <w:sz w:val="24"/>
          <w:szCs w:val="24"/>
          <w:lang w:val="en-US" w:eastAsia="zh-CN"/>
        </w:rPr>
        <w:t>全部为本项目织造的坯布</w:t>
      </w:r>
      <w:r>
        <w:rPr>
          <w:rFonts w:hint="eastAsia" w:cs="宋体"/>
          <w:b w:val="0"/>
          <w:bCs w:val="0"/>
          <w:spacing w:val="0"/>
          <w:position w:val="0"/>
          <w:sz w:val="24"/>
          <w:szCs w:val="24"/>
          <w:lang w:eastAsia="zh-CN"/>
        </w:rPr>
        <w:t>），并配套建设公辅工程。</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cs="宋体"/>
          <w:b/>
          <w:bCs/>
          <w:spacing w:val="0"/>
          <w:position w:val="0"/>
          <w:sz w:val="30"/>
          <w:szCs w:val="30"/>
          <w:lang w:val="en-US" w:eastAsia="zh-CN"/>
        </w:rPr>
      </w:pPr>
      <w:r>
        <w:rPr>
          <w:rFonts w:hint="eastAsia" w:ascii="Times New Roman" w:hAnsi="Times New Roman" w:cs="宋体"/>
          <w:b/>
          <w:bCs/>
          <w:spacing w:val="0"/>
          <w:position w:val="0"/>
          <w:sz w:val="30"/>
          <w:szCs w:val="30"/>
          <w:lang w:val="en-US" w:eastAsia="zh-CN"/>
        </w:rPr>
        <w:t>1.2</w:t>
      </w:r>
      <w:r>
        <w:rPr>
          <w:rFonts w:hint="eastAsia" w:cs="宋体"/>
          <w:b/>
          <w:bCs/>
          <w:spacing w:val="0"/>
          <w:position w:val="0"/>
          <w:sz w:val="30"/>
          <w:szCs w:val="30"/>
          <w:lang w:val="en-US" w:eastAsia="zh-CN"/>
        </w:rPr>
        <w:t>评价工作过程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根据《中华人民共和国环境保护法》、《中华人民共和国环境影响评价法》（2018年修订）、《建设项目环境保护管理条例》及《建设项目环境影响评价分类管理名录》（2021年版）等文件的有关规定，本项目属于“十四、纺织业17”类别中的“化纤织造及印染精加工</w:t>
      </w:r>
      <w:r>
        <w:rPr>
          <w:rFonts w:hint="eastAsia" w:cs="宋体"/>
          <w:b w:val="0"/>
          <w:bCs w:val="0"/>
          <w:spacing w:val="0"/>
          <w:position w:val="0"/>
          <w:sz w:val="24"/>
          <w:szCs w:val="24"/>
          <w:lang w:val="en-US" w:eastAsia="zh-CN"/>
        </w:rPr>
        <w:t xml:space="preserve"> </w:t>
      </w:r>
      <w:r>
        <w:rPr>
          <w:rFonts w:hint="eastAsia" w:cs="宋体"/>
          <w:b w:val="0"/>
          <w:bCs w:val="0"/>
          <w:spacing w:val="0"/>
          <w:position w:val="0"/>
          <w:sz w:val="24"/>
          <w:szCs w:val="24"/>
          <w:lang w:eastAsia="zh-CN"/>
        </w:rPr>
        <w:t>175</w:t>
      </w:r>
      <w:r>
        <w:rPr>
          <w:rFonts w:hint="eastAsia" w:cs="宋体"/>
          <w:b w:val="0"/>
          <w:bCs w:val="0"/>
          <w:spacing w:val="0"/>
          <w:position w:val="0"/>
          <w:sz w:val="24"/>
          <w:szCs w:val="24"/>
          <w:lang w:val="en-US" w:eastAsia="zh-CN"/>
        </w:rPr>
        <w:t>*</w:t>
      </w:r>
      <w:r>
        <w:rPr>
          <w:rFonts w:hint="eastAsia" w:cs="宋体"/>
          <w:b w:val="0"/>
          <w:bCs w:val="0"/>
          <w:spacing w:val="0"/>
          <w:position w:val="0"/>
          <w:sz w:val="24"/>
          <w:szCs w:val="24"/>
          <w:lang w:eastAsia="zh-CN"/>
        </w:rPr>
        <w:t>”，包含化纤织造及印染精加工，染整工艺有前处理、染色工序，应编制环境影响报告书，详见表</w:t>
      </w:r>
      <w:r>
        <w:rPr>
          <w:rFonts w:hint="eastAsia" w:cs="宋体"/>
          <w:b w:val="0"/>
          <w:bCs w:val="0"/>
          <w:spacing w:val="0"/>
          <w:position w:val="0"/>
          <w:sz w:val="24"/>
          <w:szCs w:val="24"/>
          <w:lang w:val="en-US" w:eastAsia="zh-CN"/>
        </w:rPr>
        <w:t>1.2-1</w:t>
      </w:r>
      <w:r>
        <w:rPr>
          <w:rFonts w:hint="eastAsia" w:cs="宋体"/>
          <w:b w:val="0"/>
          <w:bCs w:val="0"/>
          <w:spacing w:val="0"/>
          <w:positio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为此，福建悦聚科技有限公司于20</w:t>
      </w:r>
      <w:r>
        <w:rPr>
          <w:rFonts w:hint="eastAsia" w:cs="宋体"/>
          <w:b w:val="0"/>
          <w:bCs w:val="0"/>
          <w:spacing w:val="0"/>
          <w:position w:val="0"/>
          <w:sz w:val="24"/>
          <w:szCs w:val="24"/>
          <w:lang w:val="en-US" w:eastAsia="zh-CN"/>
        </w:rPr>
        <w:t>23</w:t>
      </w:r>
      <w:r>
        <w:rPr>
          <w:rFonts w:hint="eastAsia" w:cs="宋体"/>
          <w:b w:val="0"/>
          <w:bCs w:val="0"/>
          <w:spacing w:val="0"/>
          <w:position w:val="0"/>
          <w:sz w:val="24"/>
          <w:szCs w:val="24"/>
          <w:lang w:eastAsia="zh-CN"/>
        </w:rPr>
        <w:t>年</w:t>
      </w:r>
      <w:r>
        <w:rPr>
          <w:rFonts w:hint="eastAsia" w:cs="宋体"/>
          <w:b w:val="0"/>
          <w:bCs w:val="0"/>
          <w:spacing w:val="0"/>
          <w:position w:val="0"/>
          <w:sz w:val="24"/>
          <w:szCs w:val="24"/>
          <w:lang w:val="en-US" w:eastAsia="zh-CN"/>
        </w:rPr>
        <w:t>9</w:t>
      </w:r>
      <w:r>
        <w:rPr>
          <w:rFonts w:hint="eastAsia" w:cs="宋体"/>
          <w:b w:val="0"/>
          <w:bCs w:val="0"/>
          <w:spacing w:val="0"/>
          <w:position w:val="0"/>
          <w:sz w:val="24"/>
          <w:szCs w:val="24"/>
          <w:lang w:eastAsia="zh-CN"/>
        </w:rPr>
        <w:t>月委托福建省新时代环保科技有限公司进行《福建悦聚科技有限公司智能化高档纺织面料生产项目》的环境影响评价工作，</w:t>
      </w:r>
      <w:r>
        <w:rPr>
          <w:rFonts w:hint="eastAsia" w:cs="宋体"/>
          <w:b w:val="0"/>
          <w:bCs w:val="0"/>
          <w:spacing w:val="0"/>
          <w:position w:val="0"/>
          <w:sz w:val="24"/>
          <w:szCs w:val="24"/>
          <w:lang w:val="en-US" w:eastAsia="zh-CN"/>
        </w:rPr>
        <w:t>详见附件1</w:t>
      </w:r>
      <w:r>
        <w:rPr>
          <w:rFonts w:hint="eastAsia" w:cs="宋体"/>
          <w:b w:val="0"/>
          <w:bCs w:val="0"/>
          <w:spacing w:val="0"/>
          <w:position w:val="0"/>
          <w:sz w:val="24"/>
          <w:szCs w:val="24"/>
          <w:lang w:eastAsia="zh-CN"/>
        </w:rPr>
        <w:t>。此后，环评单位多次组织现场踏勘，经初步工程分析，制定了本项目的环评工作方案，收集了相关资料；经工程深化分析、现状评价和影响预测分析等，于202</w:t>
      </w:r>
      <w:r>
        <w:rPr>
          <w:rFonts w:hint="eastAsia" w:cs="宋体"/>
          <w:b w:val="0"/>
          <w:bCs w:val="0"/>
          <w:spacing w:val="0"/>
          <w:position w:val="0"/>
          <w:sz w:val="24"/>
          <w:szCs w:val="24"/>
          <w:lang w:val="en-US" w:eastAsia="zh-CN"/>
        </w:rPr>
        <w:t>3</w:t>
      </w:r>
      <w:r>
        <w:rPr>
          <w:rFonts w:hint="eastAsia" w:cs="宋体"/>
          <w:b w:val="0"/>
          <w:bCs w:val="0"/>
          <w:spacing w:val="0"/>
          <w:position w:val="0"/>
          <w:sz w:val="24"/>
          <w:szCs w:val="24"/>
          <w:lang w:eastAsia="zh-CN"/>
        </w:rPr>
        <w:t>年1</w:t>
      </w:r>
      <w:r>
        <w:rPr>
          <w:rFonts w:hint="eastAsia" w:cs="宋体"/>
          <w:b w:val="0"/>
          <w:bCs w:val="0"/>
          <w:spacing w:val="0"/>
          <w:position w:val="0"/>
          <w:sz w:val="24"/>
          <w:szCs w:val="24"/>
          <w:lang w:val="en-US" w:eastAsia="zh-CN"/>
        </w:rPr>
        <w:t>1</w:t>
      </w:r>
      <w:r>
        <w:rPr>
          <w:rFonts w:hint="eastAsia" w:cs="宋体"/>
          <w:b w:val="0"/>
          <w:bCs w:val="0"/>
          <w:spacing w:val="0"/>
          <w:position w:val="0"/>
          <w:sz w:val="24"/>
          <w:szCs w:val="24"/>
          <w:lang w:eastAsia="zh-CN"/>
        </w:rPr>
        <w:t>月完成了环评报告书征求意见稿，由建设单位在政府公开网站上发布了本项目征求意见稿公示。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宋体"/>
          <w:b w:val="0"/>
          <w:bCs w:val="0"/>
          <w:spacing w:val="0"/>
          <w:position w:val="0"/>
          <w:sz w:val="24"/>
          <w:szCs w:val="24"/>
          <w:lang w:val="en-US" w:eastAsia="zh-CN"/>
        </w:rPr>
      </w:pPr>
    </w:p>
    <w:p>
      <w:pPr>
        <w:autoSpaceDE w:val="0"/>
        <w:autoSpaceDN w:val="0"/>
        <w:spacing w:line="240" w:lineRule="auto"/>
        <w:jc w:val="center"/>
        <w:textAlignment w:val="bottom"/>
        <w:rPr>
          <w:b/>
          <w:spacing w:val="0"/>
          <w:kern w:val="0"/>
          <w:position w:val="0"/>
          <w:sz w:val="24"/>
          <w:szCs w:val="24"/>
        </w:rPr>
      </w:pPr>
      <w:r>
        <w:rPr>
          <w:rFonts w:hint="eastAsia"/>
          <w:b/>
          <w:spacing w:val="0"/>
          <w:kern w:val="0"/>
          <w:position w:val="0"/>
          <w:sz w:val="24"/>
          <w:szCs w:val="24"/>
        </w:rPr>
        <w:t>表</w:t>
      </w:r>
      <w:r>
        <w:rPr>
          <w:rFonts w:hint="eastAsia"/>
          <w:b/>
          <w:spacing w:val="0"/>
          <w:kern w:val="0"/>
          <w:position w:val="0"/>
          <w:sz w:val="24"/>
          <w:szCs w:val="24"/>
          <w:lang w:val="en-US" w:eastAsia="zh-CN"/>
        </w:rPr>
        <w:t>1.2-1</w:t>
      </w:r>
      <w:r>
        <w:rPr>
          <w:rFonts w:hint="eastAsia"/>
          <w:b/>
          <w:spacing w:val="0"/>
          <w:kern w:val="0"/>
          <w:position w:val="0"/>
          <w:sz w:val="24"/>
          <w:szCs w:val="24"/>
        </w:rPr>
        <w:t>建设项目环境影响评价分类管理名录（摘录）</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5"/>
        <w:gridCol w:w="3141"/>
        <w:gridCol w:w="2492"/>
        <w:gridCol w:w="2047"/>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446" w:type="dxa"/>
            <w:gridSpan w:val="2"/>
            <w:shd w:val="clear" w:color="auto" w:fill="auto"/>
            <w:vAlign w:val="bottom"/>
          </w:tcPr>
          <w:p>
            <w:pPr>
              <w:autoSpaceDE w:val="0"/>
              <w:autoSpaceDN w:val="0"/>
              <w:spacing w:line="240" w:lineRule="auto"/>
              <w:jc w:val="right"/>
              <w:textAlignment w:val="bottom"/>
              <w:rPr>
                <w:spacing w:val="0"/>
                <w:position w:val="0"/>
                <w:sz w:val="21"/>
                <w:szCs w:val="21"/>
              </w:rPr>
            </w:pPr>
            <w:r>
              <w:rPr>
                <w:spacing w:val="0"/>
                <w:position w:val="0"/>
                <w:sz w:val="21"/>
                <w:szCs w:val="21"/>
              </w:rPr>
              <mc:AlternateContent>
                <mc:Choice Requires="wps">
                  <w:drawing>
                    <wp:anchor distT="0" distB="0" distL="114300" distR="114300" simplePos="0" relativeHeight="251660288" behindDoc="0" locked="0" layoutInCell="1" allowOverlap="1">
                      <wp:simplePos x="0" y="0"/>
                      <wp:positionH relativeFrom="column">
                        <wp:posOffset>-10795</wp:posOffset>
                      </wp:positionH>
                      <wp:positionV relativeFrom="paragraph">
                        <wp:posOffset>-10795</wp:posOffset>
                      </wp:positionV>
                      <wp:extent cx="2198370" cy="412750"/>
                      <wp:effectExtent l="635" t="4445" r="10795" b="20955"/>
                      <wp:wrapNone/>
                      <wp:docPr id="4" name="直接箭头连接符 4"/>
                      <wp:cNvGraphicFramePr/>
                      <a:graphic xmlns:a="http://schemas.openxmlformats.org/drawingml/2006/main">
                        <a:graphicData uri="http://schemas.microsoft.com/office/word/2010/wordprocessingShape">
                          <wps:wsp>
                            <wps:cNvCnPr/>
                            <wps:spPr>
                              <a:xfrm>
                                <a:off x="0" y="0"/>
                                <a:ext cx="2198370" cy="4127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85pt;height:32.5pt;width:173.1pt;z-index:251660288;mso-width-relative:page;mso-height-relative:page;" filled="f" stroked="t" coordsize="21600,21600" o:gfxdata="UEsDBAoAAAAAAIdO4kAAAAAAAAAAAAAAAAAEAAAAZHJzL1BLAwQUAAAACACHTuJAZrDL2dcAAAAI&#10;AQAADwAAAGRycy9kb3ducmV2LnhtbE2PQUvDQBCF74L/YRmhF2l307RV00xKETx4tC143WbHJDY7&#10;G7KbpvbXu4Kgp8fwHu99k28uthVn6n3jGCGZKRDEpTMNVwiH/cv0EYQPmo1uHRPCF3nYFLc3uc6M&#10;G/mNzrtQiVjCPtMIdQhdJqUva7Laz1xHHL0P11sd4tlX0vR6jOW2lXOlVtLqhuNCrTt6rqk87QaL&#10;QH5YJmr7ZKvD63W8f59fP8dujzi5S9QaRKBL+AvDD35EhyIyHd3AxosWYZo8xOSvRj9dLJYgjgir&#10;NAVZ5PL/A8U3UEsDBBQAAAAIAIdO4kCnx9vDBAIAAPEDAAAOAAAAZHJzL2Uyb0RvYy54bWytU82O&#10;0zAQviPxDpbvNE1p2d2o6R5alguCSsADuLaTWPKfPN6mfQleAIkTcAJOe+dpYHkMxk7pwnLpgRyc&#10;scfzzXyfZ+aXO6PJVgZQzta0HI0pkZY7oWxb0zevrx6dUwKRWcG0s7Kmewn0cvHwwbz3lZy4zmkh&#10;A0EQC1Xva9rF6KuiAN5Jw2DkvLTobFwwLOI2tIUIrEd0o4vJePyk6F0QPjguAfB0NTjpATGcAuia&#10;RnG5cvzaSBsH1CA1i0gJOuWBLnK1TSN5fNk0ICPRNUWmMa+YBO1NWovFnFVtYL5T/FACO6WEe5wM&#10;UxaTHqFWLDJyHdQ/UEbx4MA1ccSdKQYiWRFkUY7vafOqY15mLig1+KPo8P9g+YvtOhAlajqlxDKD&#10;D3777ubH24+3X798/3Dz89v7ZH/+RKZJqt5DhRFLuw6HHfh1SLx3TTDpj4zILsu7P8ord5FwPJyU&#10;F+ePz1B5jr5pOTmbZf2Lu2gfID6TzpBk1BRiYKrt4tJZiy/pQpk1ZtvnEDE/Bv4OSKm1JX1NL2aT&#10;GWZg2JkNdgSaxiM7sG2OBaeVuFJapwgI7WapA9my1B35SywR969rKcmKQTfcy66hbzrJxFMrSNx7&#10;1M3iuNBUgpGCEi1xupKFgKyKTOlTbmJqbbGCJPQgbbI2Tuyz4vkcOyHXeOja1Gp/7nP03aQ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sMvZ1wAAAAgBAAAPAAAAAAAAAAEAIAAAACIAAABkcnMv&#10;ZG93bnJldi54bWxQSwECFAAUAAAACACHTuJAp8fbwwQCAADxAwAADgAAAAAAAAABACAAAAAmAQAA&#10;ZHJzL2Uyb0RvYy54bWxQSwUGAAAAAAYABgBZAQAAnAUAAAAA&#10;">
                      <v:fill on="f" focussize="0,0"/>
                      <v:stroke color="#000000" joinstyle="round"/>
                      <v:imagedata o:title=""/>
                      <o:lock v:ext="edit" aspectratio="f"/>
                    </v:shape>
                  </w:pict>
                </mc:Fallback>
              </mc:AlternateContent>
            </w:r>
            <w:r>
              <w:rPr>
                <w:rFonts w:hint="eastAsia"/>
                <w:spacing w:val="0"/>
                <w:position w:val="0"/>
                <w:sz w:val="21"/>
                <w:szCs w:val="21"/>
              </w:rPr>
              <w:t>环评类别</w:t>
            </w:r>
          </w:p>
          <w:p>
            <w:pPr>
              <w:autoSpaceDE w:val="0"/>
              <w:autoSpaceDN w:val="0"/>
              <w:spacing w:line="240" w:lineRule="auto"/>
              <w:textAlignment w:val="bottom"/>
              <w:rPr>
                <w:spacing w:val="0"/>
                <w:kern w:val="0"/>
                <w:position w:val="0"/>
                <w:sz w:val="21"/>
                <w:szCs w:val="21"/>
              </w:rPr>
            </w:pPr>
            <w:r>
              <w:rPr>
                <w:rFonts w:hint="eastAsia"/>
                <w:spacing w:val="0"/>
                <w:position w:val="0"/>
                <w:sz w:val="21"/>
                <w:szCs w:val="21"/>
              </w:rPr>
              <w:t>项目类别</w:t>
            </w:r>
          </w:p>
        </w:tc>
        <w:tc>
          <w:tcPr>
            <w:tcW w:w="2492" w:type="dxa"/>
            <w:shd w:val="clear" w:color="auto" w:fill="BEBEBE" w:themeFill="background1" w:themeFillShade="BF"/>
            <w:vAlign w:val="center"/>
          </w:tcPr>
          <w:p>
            <w:pPr>
              <w:autoSpaceDE w:val="0"/>
              <w:autoSpaceDN w:val="0"/>
              <w:spacing w:line="240" w:lineRule="auto"/>
              <w:jc w:val="center"/>
              <w:textAlignment w:val="bottom"/>
              <w:rPr>
                <w:spacing w:val="0"/>
                <w:kern w:val="0"/>
                <w:position w:val="0"/>
                <w:sz w:val="21"/>
                <w:szCs w:val="21"/>
              </w:rPr>
            </w:pPr>
            <w:r>
              <w:rPr>
                <w:rFonts w:hint="eastAsia"/>
                <w:spacing w:val="0"/>
                <w:position w:val="0"/>
                <w:sz w:val="21"/>
                <w:szCs w:val="21"/>
              </w:rPr>
              <w:t>报告书</w:t>
            </w:r>
          </w:p>
        </w:tc>
        <w:tc>
          <w:tcPr>
            <w:tcW w:w="2047" w:type="dxa"/>
            <w:shd w:val="clear" w:color="auto" w:fill="auto"/>
            <w:vAlign w:val="center"/>
          </w:tcPr>
          <w:p>
            <w:pPr>
              <w:autoSpaceDE w:val="0"/>
              <w:autoSpaceDN w:val="0"/>
              <w:spacing w:line="240" w:lineRule="auto"/>
              <w:jc w:val="center"/>
              <w:textAlignment w:val="bottom"/>
              <w:rPr>
                <w:spacing w:val="0"/>
                <w:kern w:val="0"/>
                <w:position w:val="0"/>
                <w:sz w:val="21"/>
                <w:szCs w:val="21"/>
              </w:rPr>
            </w:pPr>
            <w:r>
              <w:rPr>
                <w:rFonts w:hint="eastAsia"/>
                <w:spacing w:val="0"/>
                <w:position w:val="0"/>
                <w:sz w:val="21"/>
                <w:szCs w:val="21"/>
              </w:rPr>
              <w:t>报告表</w:t>
            </w:r>
          </w:p>
        </w:tc>
        <w:tc>
          <w:tcPr>
            <w:tcW w:w="704" w:type="dxa"/>
            <w:vAlign w:val="center"/>
          </w:tcPr>
          <w:p>
            <w:pPr>
              <w:autoSpaceDE w:val="0"/>
              <w:autoSpaceDN w:val="0"/>
              <w:spacing w:line="240" w:lineRule="auto"/>
              <w:jc w:val="center"/>
              <w:textAlignment w:val="bottom"/>
              <w:rPr>
                <w:spacing w:val="0"/>
                <w:kern w:val="0"/>
                <w:position w:val="0"/>
                <w:sz w:val="21"/>
                <w:szCs w:val="21"/>
              </w:rPr>
            </w:pPr>
            <w:r>
              <w:rPr>
                <w:rFonts w:hint="eastAsia"/>
                <w:spacing w:val="0"/>
                <w:position w:val="0"/>
                <w:sz w:val="21"/>
                <w:szCs w:val="21"/>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689" w:type="dxa"/>
            <w:gridSpan w:val="5"/>
            <w:shd w:val="clear" w:color="auto" w:fill="BEBEBE" w:themeFill="background1" w:themeFillShade="BF"/>
            <w:vAlign w:val="center"/>
          </w:tcPr>
          <w:p>
            <w:pPr>
              <w:spacing w:line="240" w:lineRule="auto"/>
              <w:rPr>
                <w:rFonts w:hint="default" w:eastAsia="宋体"/>
                <w:spacing w:val="0"/>
                <w:kern w:val="0"/>
                <w:position w:val="0"/>
                <w:sz w:val="21"/>
                <w:szCs w:val="21"/>
                <w:lang w:val="en-US" w:eastAsia="zh-CN"/>
              </w:rPr>
            </w:pPr>
            <w:r>
              <w:rPr>
                <w:rFonts w:hint="eastAsia"/>
                <w:spacing w:val="0"/>
                <w:position w:val="0"/>
                <w:sz w:val="21"/>
                <w:szCs w:val="21"/>
                <w:lang w:eastAsia="zh-CN"/>
              </w:rPr>
              <w:t>十四</w:t>
            </w:r>
            <w:r>
              <w:rPr>
                <w:rFonts w:hint="eastAsia"/>
                <w:spacing w:val="0"/>
                <w:position w:val="0"/>
                <w:sz w:val="21"/>
                <w:szCs w:val="21"/>
              </w:rPr>
              <w:t>、</w:t>
            </w:r>
            <w:r>
              <w:rPr>
                <w:rFonts w:hint="eastAsia"/>
                <w:spacing w:val="0"/>
                <w:position w:val="0"/>
                <w:sz w:val="21"/>
                <w:szCs w:val="21"/>
                <w:lang w:eastAsia="zh-CN"/>
              </w:rPr>
              <w:t>纺织业</w:t>
            </w:r>
            <w:r>
              <w:rPr>
                <w:rFonts w:hint="eastAsia"/>
                <w:spacing w:val="0"/>
                <w:position w:val="0"/>
                <w:sz w:val="21"/>
                <w:szCs w:val="21"/>
                <w:lang w:val="en-US" w:eastAsia="zh-CN"/>
              </w:rPr>
              <w:t xml:space="preserve"> 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05" w:type="dxa"/>
            <w:shd w:val="clear" w:color="auto" w:fill="auto"/>
            <w:vAlign w:val="center"/>
          </w:tcPr>
          <w:p>
            <w:pPr>
              <w:pStyle w:val="51"/>
              <w:spacing w:line="240" w:lineRule="auto"/>
              <w:ind w:left="0" w:leftChars="0" w:right="0" w:rightChars="0"/>
              <w:rPr>
                <w:rFonts w:hint="default" w:eastAsia="宋体"/>
                <w:spacing w:val="0"/>
                <w:kern w:val="0"/>
                <w:position w:val="0"/>
                <w:lang w:val="en-US" w:eastAsia="zh-CN"/>
              </w:rPr>
            </w:pPr>
            <w:r>
              <w:rPr>
                <w:rFonts w:hint="eastAsia"/>
                <w:spacing w:val="0"/>
                <w:position w:val="0"/>
                <w:lang w:val="en-US" w:eastAsia="zh-CN"/>
              </w:rPr>
              <w:t>28</w:t>
            </w:r>
          </w:p>
        </w:tc>
        <w:tc>
          <w:tcPr>
            <w:tcW w:w="3141" w:type="dxa"/>
            <w:shd w:val="clear" w:color="auto" w:fill="auto"/>
            <w:vAlign w:val="center"/>
          </w:tcPr>
          <w:p>
            <w:pPr>
              <w:pStyle w:val="51"/>
              <w:spacing w:line="240" w:lineRule="auto"/>
              <w:ind w:left="0" w:leftChars="0" w:right="0" w:rightChars="0"/>
              <w:rPr>
                <w:spacing w:val="0"/>
                <w:kern w:val="0"/>
                <w:position w:val="0"/>
              </w:rPr>
            </w:pPr>
            <w:r>
              <w:rPr>
                <w:rFonts w:hint="eastAsia"/>
                <w:spacing w:val="0"/>
                <w:position w:val="0"/>
              </w:rPr>
              <w:t>棉纺织及印染精加工171*；毛纺织及染整精加工172*；麻纺织及染整精加工173*；丝绢纺织及印染精加工174*；化纤织造及印染精加工 175*；针织或钩针编织物及其制品制造 176*；家用纺织制成品制造177*；产业用纺织制成品制造178*</w:t>
            </w:r>
          </w:p>
        </w:tc>
        <w:tc>
          <w:tcPr>
            <w:tcW w:w="2492" w:type="dxa"/>
            <w:shd w:val="clear" w:color="auto" w:fill="BEBEBE" w:themeFill="background1" w:themeFillShade="BF"/>
            <w:vAlign w:val="center"/>
          </w:tcPr>
          <w:p>
            <w:pPr>
              <w:pStyle w:val="51"/>
              <w:spacing w:line="240" w:lineRule="auto"/>
              <w:ind w:left="0" w:leftChars="0" w:right="0" w:rightChars="0"/>
              <w:rPr>
                <w:rFonts w:hint="eastAsia" w:eastAsia="宋体"/>
                <w:spacing w:val="0"/>
                <w:kern w:val="0"/>
                <w:position w:val="0"/>
                <w:lang w:eastAsia="zh-CN"/>
              </w:rPr>
            </w:pPr>
            <w:r>
              <w:rPr>
                <w:rFonts w:hint="eastAsia"/>
                <w:spacing w:val="0"/>
                <w:kern w:val="0"/>
                <w:position w:val="0"/>
                <w:lang w:eastAsia="zh-CN"/>
              </w:rPr>
              <w:t>有洗毛、脱胶、缫丝工艺的；染整工艺有前处理、染色、印花（喷墨印花和数码印花的除外）工序的；有使用有机溶剂的涂层工艺的</w:t>
            </w:r>
          </w:p>
        </w:tc>
        <w:tc>
          <w:tcPr>
            <w:tcW w:w="2047" w:type="dxa"/>
            <w:shd w:val="clear" w:color="auto" w:fill="auto"/>
            <w:vAlign w:val="center"/>
          </w:tcPr>
          <w:p>
            <w:pPr>
              <w:pStyle w:val="51"/>
              <w:spacing w:line="240" w:lineRule="auto"/>
              <w:ind w:left="0" w:leftChars="0" w:right="0" w:rightChars="0"/>
              <w:rPr>
                <w:rFonts w:hint="eastAsia" w:eastAsia="宋体"/>
                <w:spacing w:val="0"/>
                <w:kern w:val="0"/>
                <w:position w:val="0"/>
                <w:lang w:eastAsia="zh-CN"/>
              </w:rPr>
            </w:pPr>
            <w:r>
              <w:rPr>
                <w:rFonts w:hint="eastAsia"/>
                <w:spacing w:val="0"/>
                <w:position w:val="0"/>
                <w:lang w:eastAsia="zh-CN"/>
              </w:rPr>
              <w:t>有喷墨印花或数码印花工艺的；后整理工序涉及有机溶剂的；有喷水织造工艺的；有水刺无纺布织造工艺的</w:t>
            </w:r>
          </w:p>
        </w:tc>
        <w:tc>
          <w:tcPr>
            <w:tcW w:w="704" w:type="dxa"/>
            <w:vAlign w:val="center"/>
          </w:tcPr>
          <w:p>
            <w:pPr>
              <w:pStyle w:val="51"/>
              <w:spacing w:line="240" w:lineRule="auto"/>
              <w:ind w:left="0" w:leftChars="0" w:right="0" w:rightChars="0"/>
              <w:rPr>
                <w:spacing w:val="0"/>
                <w:kern w:val="0"/>
                <w:position w:val="0"/>
              </w:rPr>
            </w:pPr>
            <w:r>
              <w:rPr>
                <w:rFonts w:hint="eastAsia"/>
                <w:spacing w:val="0"/>
                <w:position w:val="0"/>
              </w:rPr>
              <w:t>/</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cs="宋体"/>
          <w:b/>
          <w:bCs/>
          <w:spacing w:val="0"/>
          <w:position w:val="0"/>
          <w:sz w:val="30"/>
          <w:szCs w:val="30"/>
          <w:lang w:val="en-US" w:eastAsia="zh-CN"/>
        </w:rPr>
      </w:pPr>
      <w:r>
        <w:rPr>
          <w:rFonts w:hint="eastAsia" w:ascii="Times New Roman" w:hAnsi="Times New Roman" w:cs="宋体"/>
          <w:b/>
          <w:bCs/>
          <w:spacing w:val="0"/>
          <w:position w:val="0"/>
          <w:sz w:val="30"/>
          <w:szCs w:val="30"/>
          <w:lang w:val="en-US" w:eastAsia="zh-CN"/>
        </w:rPr>
        <w:t>1.3</w:t>
      </w:r>
      <w:r>
        <w:rPr>
          <w:rFonts w:hint="eastAsia" w:cs="宋体"/>
          <w:b/>
          <w:bCs/>
          <w:spacing w:val="0"/>
          <w:position w:val="0"/>
          <w:sz w:val="30"/>
          <w:szCs w:val="30"/>
          <w:lang w:val="en-US" w:eastAsia="zh-CN"/>
        </w:rPr>
        <w:t>建设项目的特点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（1）本项目位于连江可门绿色纺织产业园内，建设内容符合连江可门绿色纺织产业园的产业定位、功能布局，符合连江可门绿色纺织产业园规划环评的生态准入和污染防治要求。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（2）连江可门绿色纺织产业园集中供水、供热、供气，并配套建设园区污水处理厂集中处理园区内各企业废水并实现尾水湾外深海达标排放。本项目可充分利用园区的公共配套设施。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（3）针织染整技术工艺已相对成熟，运行管理稳定，拟采取的污染防治措施是技术规范推荐的可行性方案，环境风险可控。</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cs="宋体"/>
          <w:b/>
          <w:bCs/>
          <w:spacing w:val="0"/>
          <w:position w:val="0"/>
          <w:sz w:val="30"/>
          <w:szCs w:val="30"/>
          <w:lang w:val="en-US" w:eastAsia="zh-CN"/>
        </w:rPr>
      </w:pPr>
      <w:r>
        <w:rPr>
          <w:rFonts w:hint="eastAsia" w:ascii="Times New Roman" w:hAnsi="Times New Roman" w:cs="宋体"/>
          <w:b/>
          <w:bCs/>
          <w:spacing w:val="0"/>
          <w:position w:val="0"/>
          <w:sz w:val="30"/>
          <w:szCs w:val="30"/>
          <w:lang w:val="en-US" w:eastAsia="zh-CN"/>
        </w:rPr>
        <w:t>1.4</w:t>
      </w:r>
      <w:r>
        <w:rPr>
          <w:rFonts w:hint="eastAsia" w:cs="宋体"/>
          <w:b/>
          <w:bCs/>
          <w:spacing w:val="0"/>
          <w:position w:val="0"/>
          <w:sz w:val="30"/>
          <w:szCs w:val="30"/>
          <w:lang w:val="en-US" w:eastAsia="zh-CN"/>
        </w:rPr>
        <w:t>分析判定相关情况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（1）与产业政策的符合性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根据国家发展和改革委员会《产业结构调整指导目录（2019年本）》，本项目主要从事高档针织面料的印染加工，采用数字化智能化印染技术装备、采用小浴比染色机，属于鼓励类项目，采用的染色设备和定型设备均不属于限制和淘汰类设备。因此，符合《产业结构调整指导目录（2019年本）》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本项目采取的前处理和后整理技术、节能减排染色和印花技术、污染物处理与资源综合利用均属于《印染行业绿色发展技术指南》中的适用技术，有利于印染行业向绿色方向发展，工业用水重复利用率高于40%，符合《印染行业规范条件（2017版）》和《印染行业绿色发展技术指南》（2019版）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（2）与规划环评及审查意见的符合性分析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对照《连江可门绿色纺织产业园规划（一期）环境影响报告书》准入条件及审查意见，本项目采用先进的工艺和设备，无规划环评禁止的工艺，建设冷却水、冷凝水及余热回收装置，清浊分流，水重复利用率达到55%，中水回用率达到45%；建设定型机废气净化和余热回收，由园区集中供热。本项目与该规划环评及审查意见相符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（3）选址合理性分析结果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本项目位于连江县可门经济开发区可门绿色纺织产业园，环罗源湾地区工业产业布局规划中的先进织造染整产业园，产业发展符合《环罗源湾地区工业产业布局规划（2020-2025年）环境影响报告书》要求。产业园将集中供水、供热、供气，并配套建设园区污水处理厂，为项目入园提供便利条件。本项目不属于准入条件中禁止建设的行业，项目采用先进的生产工艺及装备、规模、性质和工艺路线，符合国家和地方相关环境保护法律法规、标准、政策、规范等要求，选址合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cs="宋体"/>
          <w:b/>
          <w:bCs/>
          <w:spacing w:val="0"/>
          <w:position w:val="0"/>
          <w:sz w:val="30"/>
          <w:szCs w:val="30"/>
          <w:lang w:val="en-US" w:eastAsia="zh-CN"/>
        </w:rPr>
      </w:pPr>
      <w:r>
        <w:rPr>
          <w:rFonts w:hint="eastAsia" w:ascii="Times New Roman" w:hAnsi="Times New Roman" w:cs="宋体"/>
          <w:b/>
          <w:bCs/>
          <w:spacing w:val="0"/>
          <w:position w:val="0"/>
          <w:sz w:val="30"/>
          <w:szCs w:val="30"/>
          <w:lang w:val="en-US" w:eastAsia="zh-CN"/>
        </w:rPr>
        <w:t>1.5关注的主要环境问题</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cs="宋体"/>
          <w:b/>
          <w:bCs/>
          <w:spacing w:val="0"/>
          <w:position w:val="0"/>
          <w:sz w:val="24"/>
          <w:szCs w:val="24"/>
          <w:lang w:eastAsia="zh-CN"/>
        </w:rPr>
      </w:pPr>
      <w:r>
        <w:rPr>
          <w:rFonts w:hint="eastAsia" w:cs="宋体"/>
          <w:b/>
          <w:bCs/>
          <w:spacing w:val="0"/>
          <w:position w:val="0"/>
          <w:sz w:val="24"/>
          <w:szCs w:val="24"/>
          <w:lang w:eastAsia="zh-CN"/>
        </w:rPr>
        <w:t>（</w:t>
      </w:r>
      <w:r>
        <w:rPr>
          <w:rFonts w:hint="eastAsia" w:cs="宋体"/>
          <w:b/>
          <w:bCs/>
          <w:spacing w:val="0"/>
          <w:position w:val="0"/>
          <w:sz w:val="24"/>
          <w:szCs w:val="24"/>
          <w:lang w:val="en-US" w:eastAsia="zh-CN"/>
        </w:rPr>
        <w:t>1</w:t>
      </w:r>
      <w:r>
        <w:rPr>
          <w:rFonts w:hint="eastAsia" w:cs="宋体"/>
          <w:b/>
          <w:bCs/>
          <w:spacing w:val="0"/>
          <w:position w:val="0"/>
          <w:sz w:val="24"/>
          <w:szCs w:val="24"/>
          <w:lang w:eastAsia="zh-CN"/>
        </w:rPr>
        <w:t>）施工期主要环境问题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①废水：施工期废水主要为建设产生的施工废水等。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宋体"/>
          <w:b w:val="0"/>
          <w:bCs w:val="0"/>
          <w:spacing w:val="0"/>
          <w:position w:val="0"/>
          <w:sz w:val="24"/>
          <w:szCs w:val="24"/>
          <w:lang w:val="en-US" w:eastAsia="zh-CN"/>
        </w:rPr>
      </w:pPr>
      <w:r>
        <w:rPr>
          <w:rFonts w:hint="eastAsia" w:cs="宋体"/>
          <w:b w:val="0"/>
          <w:bCs w:val="0"/>
          <w:spacing w:val="0"/>
          <w:position w:val="0"/>
          <w:sz w:val="24"/>
          <w:szCs w:val="24"/>
          <w:lang w:eastAsia="zh-CN"/>
        </w:rPr>
        <w:t>②废气：施工期大气污染物主要为施工扬尘，同时施工车辆、动力机械燃油时排放少量的</w:t>
      </w:r>
      <w:r>
        <w:rPr>
          <w:rFonts w:hint="eastAsia" w:cs="宋体"/>
          <w:b w:val="0"/>
          <w:bCs w:val="0"/>
          <w:spacing w:val="0"/>
          <w:position w:val="0"/>
          <w:sz w:val="24"/>
          <w:szCs w:val="24"/>
          <w:lang w:val="en-US" w:eastAsia="zh-CN"/>
        </w:rPr>
        <w:t>NOx、CO、烃类等污染物及装修过程产生的废气。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③噪声：施工期噪声主要为各种机械噪声、施工作业噪声和施工车辆噪声。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④固体废物：施工期固体废物主要来源于施工过程中产生的建筑垃圾、弃土，以及施工人员产生的生活垃圾。</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cs="宋体"/>
          <w:b w:val="0"/>
          <w:bCs w:val="0"/>
          <w:spacing w:val="0"/>
          <w:position w:val="0"/>
          <w:sz w:val="24"/>
          <w:szCs w:val="24"/>
          <w:lang w:eastAsia="zh-CN"/>
        </w:rPr>
      </w:pPr>
      <w:r>
        <w:rPr>
          <w:rFonts w:hint="eastAsia" w:cs="宋体"/>
          <w:b/>
          <w:bCs/>
          <w:spacing w:val="0"/>
          <w:position w:val="0"/>
          <w:sz w:val="24"/>
          <w:szCs w:val="24"/>
          <w:lang w:eastAsia="zh-CN"/>
        </w:rPr>
        <w:t>（</w:t>
      </w:r>
      <w:r>
        <w:rPr>
          <w:rFonts w:hint="eastAsia" w:cs="宋体"/>
          <w:b/>
          <w:bCs/>
          <w:spacing w:val="0"/>
          <w:position w:val="0"/>
          <w:sz w:val="24"/>
          <w:szCs w:val="24"/>
          <w:lang w:val="en-US" w:eastAsia="zh-CN"/>
        </w:rPr>
        <w:t>2</w:t>
      </w:r>
      <w:r>
        <w:rPr>
          <w:rFonts w:hint="eastAsia" w:cs="宋体"/>
          <w:b/>
          <w:bCs/>
          <w:spacing w:val="0"/>
          <w:position w:val="0"/>
          <w:sz w:val="24"/>
          <w:szCs w:val="24"/>
          <w:lang w:eastAsia="zh-CN"/>
        </w:rPr>
        <w:t>）运营期主要环境问题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①废水：项目运营期产生的废水主要包括生产废水（染整废水、印花生产废水、循环冷却排水、车间清洗废水）和生活污水等。其中生产废水还分为印染过程产生的高浓度、低浓度废水。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②废气：本项目运营期间，产生的主要废气污染物为定型废气以及印花工艺废气。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③噪声：本项目噪声主要来自经编机、定型机、染色机、印花机、空压机组、废气处理设施等设备的运转噪声。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④固体废物：项目运营期间产生的固体废物主要为：废丝、废布及次品、普通废包装、危化品废包装、废气处理废油、废机油、化验室废液、生活垃圾等。</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9"/>
        <w:rPr>
          <w:rFonts w:hint="eastAsia" w:cs="宋体"/>
          <w:b w:val="0"/>
          <w:bCs w:val="0"/>
          <w:spacing w:val="0"/>
          <w:position w:val="0"/>
          <w:sz w:val="24"/>
          <w:szCs w:val="24"/>
          <w:lang w:eastAsia="zh-CN"/>
        </w:rPr>
      </w:pPr>
      <w:r>
        <w:rPr>
          <w:rFonts w:hint="eastAsia" w:ascii="Times New Roman" w:hAnsi="Times New Roman" w:cs="宋体"/>
          <w:b/>
          <w:bCs/>
          <w:spacing w:val="0"/>
          <w:position w:val="0"/>
          <w:sz w:val="30"/>
          <w:szCs w:val="30"/>
          <w:lang w:val="en-US" w:eastAsia="zh-CN"/>
        </w:rPr>
        <w:t>1.6</w:t>
      </w:r>
      <w:r>
        <w:rPr>
          <w:rFonts w:hint="eastAsia" w:cs="宋体"/>
          <w:b/>
          <w:bCs/>
          <w:spacing w:val="0"/>
          <w:position w:val="0"/>
          <w:sz w:val="30"/>
          <w:szCs w:val="30"/>
          <w:lang w:val="en-US" w:eastAsia="zh-CN"/>
        </w:rPr>
        <w:t>环境影响评价结论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宋体"/>
          <w:b w:val="0"/>
          <w:bCs w:val="0"/>
          <w:spacing w:val="0"/>
          <w:position w:val="0"/>
          <w:sz w:val="24"/>
          <w:szCs w:val="24"/>
          <w:lang w:eastAsia="zh-CN"/>
        </w:rPr>
      </w:pPr>
      <w:r>
        <w:rPr>
          <w:rFonts w:hint="eastAsia" w:cs="宋体"/>
          <w:b w:val="0"/>
          <w:bCs w:val="0"/>
          <w:spacing w:val="0"/>
          <w:position w:val="0"/>
          <w:sz w:val="24"/>
          <w:szCs w:val="24"/>
          <w:lang w:eastAsia="zh-CN"/>
        </w:rPr>
        <w:t>福建悦聚科技有限公司智能化高档纺织面料生产项目选址于连江可门绿色纺织产业园，项目建设符合国家产业政策、园区规划及其规划环评的要求。项目拟采用的各项环保措施可实现污染物达标排放，项目所在地环境质量可达到相应环境功能区要求，项目建成后的环境影响可接受，环境风险总体可控。在严格执行环保“三同时”制度，认真落实本报告书提出的各项环保措施、环境风险防范与应急措施，实施清洁生产，加强环境管理的前提下，从环境影响角度分析，本项目的建设是可行的。</w:t>
      </w:r>
    </w:p>
    <w:p>
      <w:pPr>
        <w:adjustRightInd w:val="0"/>
        <w:snapToGrid w:val="0"/>
        <w:spacing w:before="156" w:beforeLines="50" w:after="156" w:afterLines="50" w:line="360" w:lineRule="auto"/>
        <w:jc w:val="center"/>
        <w:outlineLvl w:val="0"/>
        <w:rPr>
          <w:rFonts w:hint="eastAsia"/>
          <w:b/>
          <w:bCs/>
          <w:spacing w:val="0"/>
          <w:position w:val="0"/>
          <w:sz w:val="36"/>
          <w:szCs w:val="36"/>
        </w:rPr>
      </w:pPr>
      <w:r>
        <w:rPr>
          <w:rFonts w:hint="eastAsia" w:ascii="宋体" w:hAnsi="宋体" w:cs="宋体"/>
          <w:b/>
          <w:bCs/>
          <w:spacing w:val="0"/>
          <w:position w:val="0"/>
          <w:sz w:val="36"/>
          <w:szCs w:val="36"/>
        </w:rPr>
        <w:br w:type="page"/>
      </w:r>
      <w:r>
        <w:rPr>
          <w:b/>
          <w:bCs/>
          <w:spacing w:val="0"/>
          <w:position w:val="0"/>
          <w:sz w:val="36"/>
          <w:szCs w:val="36"/>
        </w:rPr>
        <w:t>2</w:t>
      </w:r>
      <w:r>
        <w:rPr>
          <w:rFonts w:hint="eastAsia"/>
          <w:b/>
          <w:bCs/>
          <w:spacing w:val="0"/>
          <w:position w:val="0"/>
          <w:sz w:val="36"/>
          <w:szCs w:val="36"/>
        </w:rPr>
        <w:t xml:space="preserve"> 总则</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bCs/>
          <w:spacing w:val="0"/>
          <w:position w:val="0"/>
          <w:sz w:val="30"/>
          <w:szCs w:val="30"/>
          <w:lang w:val="en-US" w:eastAsia="zh-CN"/>
        </w:rPr>
      </w:pPr>
      <w:r>
        <w:rPr>
          <w:b/>
          <w:bCs/>
          <w:spacing w:val="0"/>
          <w:position w:val="0"/>
          <w:sz w:val="30"/>
          <w:szCs w:val="30"/>
        </w:rPr>
        <w:t>2</w:t>
      </w:r>
      <w:r>
        <w:rPr>
          <w:rFonts w:hint="eastAsia"/>
          <w:b/>
          <w:bCs/>
          <w:spacing w:val="0"/>
          <w:position w:val="0"/>
          <w:sz w:val="30"/>
          <w:szCs w:val="30"/>
          <w:lang w:val="en-US" w:eastAsia="zh-CN"/>
        </w:rPr>
        <w:t>.1编制依据</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eastAsia="宋体"/>
          <w:b/>
          <w:bCs/>
          <w:spacing w:val="0"/>
          <w:position w:val="0"/>
          <w:sz w:val="28"/>
          <w:szCs w:val="28"/>
          <w:lang w:eastAsia="zh-CN"/>
        </w:rPr>
      </w:pPr>
      <w:r>
        <w:rPr>
          <w:b/>
          <w:bCs/>
          <w:spacing w:val="0"/>
          <w:position w:val="0"/>
          <w:sz w:val="28"/>
          <w:szCs w:val="28"/>
        </w:rPr>
        <w:t>2</w:t>
      </w:r>
      <w:r>
        <w:rPr>
          <w:rFonts w:hint="eastAsia"/>
          <w:b/>
          <w:bCs/>
          <w:spacing w:val="0"/>
          <w:position w:val="0"/>
          <w:sz w:val="28"/>
          <w:szCs w:val="28"/>
          <w:lang w:val="en-US" w:eastAsia="zh-CN"/>
        </w:rPr>
        <w:t>.1.1环保法律、法规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（1）《中华人民共和国环境保护法》，</w:t>
      </w:r>
      <w:r>
        <w:rPr>
          <w:rFonts w:hint="eastAsia"/>
          <w:b w:val="0"/>
          <w:bCs w:val="0"/>
          <w:spacing w:val="0"/>
          <w:position w:val="0"/>
          <w:sz w:val="24"/>
          <w:szCs w:val="24"/>
          <w:lang w:val="en-US" w:eastAsia="zh-CN"/>
        </w:rPr>
        <w:t>2015.1.1</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（2）《中华人民共和国环境影响评价法》，2018</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12</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9修正；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（3）《中华人民共和国水污染防治法》，</w:t>
      </w:r>
      <w:r>
        <w:rPr>
          <w:rFonts w:hint="eastAsia"/>
          <w:b w:val="0"/>
          <w:bCs w:val="0"/>
          <w:spacing w:val="0"/>
          <w:position w:val="0"/>
          <w:sz w:val="24"/>
          <w:szCs w:val="24"/>
          <w:lang w:val="en-US" w:eastAsia="zh-CN"/>
        </w:rPr>
        <w:t>2018.1.1</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（4）《中华人民共和国大气污染防治法》，2018</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10</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26修正；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（5）《中华人民共和国环境噪声污染防治法》，2018</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12</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29修正；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（6）《中华人民共和国固体废物污染环境防治法》，2020</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4</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29修订；</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（7）《中华人民共和国土壤污染防治法》，201</w:t>
      </w:r>
      <w:r>
        <w:rPr>
          <w:rFonts w:hint="eastAsia"/>
          <w:b w:val="0"/>
          <w:bCs w:val="0"/>
          <w:spacing w:val="0"/>
          <w:position w:val="0"/>
          <w:sz w:val="24"/>
          <w:szCs w:val="24"/>
          <w:lang w:val="en-US" w:eastAsia="zh-CN"/>
        </w:rPr>
        <w:t>9.1.</w:t>
      </w:r>
      <w:r>
        <w:rPr>
          <w:rFonts w:hint="eastAsia"/>
          <w:b w:val="0"/>
          <w:bCs w:val="0"/>
          <w:spacing w:val="0"/>
          <w:position w:val="0"/>
          <w:sz w:val="24"/>
          <w:szCs w:val="24"/>
          <w:lang w:eastAsia="zh-CN"/>
        </w:rPr>
        <w:t>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（8）《中华人民共和国水土保持法》，</w:t>
      </w:r>
      <w:r>
        <w:rPr>
          <w:rFonts w:hint="eastAsia"/>
          <w:b w:val="0"/>
          <w:bCs w:val="0"/>
          <w:spacing w:val="0"/>
          <w:position w:val="0"/>
          <w:sz w:val="24"/>
          <w:szCs w:val="24"/>
          <w:lang w:val="en-US" w:eastAsia="zh-CN"/>
        </w:rPr>
        <w:t>2011.3.1</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（9）《中华人民共和国清洁生产促进法》，</w:t>
      </w:r>
      <w:r>
        <w:rPr>
          <w:rFonts w:hint="eastAsia"/>
          <w:b w:val="0"/>
          <w:bCs w:val="0"/>
          <w:spacing w:val="0"/>
          <w:position w:val="0"/>
          <w:sz w:val="24"/>
          <w:szCs w:val="24"/>
          <w:lang w:val="en-US" w:eastAsia="zh-CN"/>
        </w:rPr>
        <w:t>2021.7.1</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（10）《建设项目环境保护管理条例》（国务院令第682号），2017</w:t>
      </w:r>
      <w:r>
        <w:rPr>
          <w:rFonts w:hint="eastAsia"/>
          <w:b w:val="0"/>
          <w:bCs w:val="0"/>
          <w:spacing w:val="0"/>
          <w:position w:val="0"/>
          <w:sz w:val="24"/>
          <w:szCs w:val="24"/>
          <w:lang w:val="en-US" w:eastAsia="zh-CN"/>
        </w:rPr>
        <w:t>.10.1</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（11）《危险化学品安全管理条例》（国务院令第591号），2011.12.1；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12</w:t>
      </w:r>
      <w:r>
        <w:rPr>
          <w:rFonts w:hint="eastAsia"/>
          <w:b w:val="0"/>
          <w:bCs w:val="0"/>
          <w:spacing w:val="0"/>
          <w:position w:val="0"/>
          <w:sz w:val="24"/>
          <w:szCs w:val="24"/>
          <w:lang w:eastAsia="zh-CN"/>
        </w:rPr>
        <w:t>）《福建省环境保护条例》，</w:t>
      </w:r>
      <w:r>
        <w:rPr>
          <w:rFonts w:hint="eastAsia"/>
          <w:b w:val="0"/>
          <w:bCs w:val="0"/>
          <w:spacing w:val="0"/>
          <w:position w:val="0"/>
          <w:sz w:val="24"/>
          <w:szCs w:val="24"/>
          <w:lang w:val="en-US" w:eastAsia="zh-CN"/>
        </w:rPr>
        <w:t>2021.3.29修订</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）《福建省大气污染防治条例》，2019</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4</w:t>
      </w:r>
      <w:r>
        <w:rPr>
          <w:rFonts w:hint="eastAsia"/>
          <w:b w:val="0"/>
          <w:bCs w:val="0"/>
          <w:spacing w:val="0"/>
          <w:position w:val="0"/>
          <w:sz w:val="24"/>
          <w:szCs w:val="24"/>
          <w:lang w:eastAsia="zh-CN"/>
        </w:rPr>
        <w:t>）《福建省水污染防治条例》，2021</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11</w:t>
      </w:r>
      <w:r>
        <w:rPr>
          <w:rFonts w:hint="eastAsia"/>
          <w:b w:val="0"/>
          <w:bCs w:val="0"/>
          <w:spacing w:val="0"/>
          <w:position w:val="0"/>
          <w:sz w:val="24"/>
          <w:szCs w:val="24"/>
          <w:lang w:val="en-US" w:eastAsia="zh-CN"/>
        </w:rPr>
        <w:t>.</w:t>
      </w:r>
      <w:r>
        <w:rPr>
          <w:rFonts w:hint="eastAsia"/>
          <w:b w:val="0"/>
          <w:bCs w:val="0"/>
          <w:spacing w:val="0"/>
          <w:position w:val="0"/>
          <w:sz w:val="24"/>
          <w:szCs w:val="24"/>
          <w:lang w:eastAsia="zh-CN"/>
        </w:rPr>
        <w:t>1。</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eastAsia="宋体"/>
          <w:b/>
          <w:bCs/>
          <w:spacing w:val="0"/>
          <w:position w:val="0"/>
          <w:sz w:val="28"/>
          <w:szCs w:val="28"/>
          <w:lang w:eastAsia="zh-CN"/>
        </w:rPr>
      </w:pPr>
      <w:r>
        <w:rPr>
          <w:b/>
          <w:bCs/>
          <w:spacing w:val="0"/>
          <w:position w:val="0"/>
          <w:sz w:val="28"/>
          <w:szCs w:val="28"/>
        </w:rPr>
        <w:t>2</w:t>
      </w:r>
      <w:r>
        <w:rPr>
          <w:rFonts w:hint="eastAsia"/>
          <w:b/>
          <w:bCs/>
          <w:spacing w:val="0"/>
          <w:position w:val="0"/>
          <w:sz w:val="28"/>
          <w:szCs w:val="28"/>
          <w:lang w:val="en-US" w:eastAsia="zh-CN"/>
        </w:rPr>
        <w:t>.1.2部门规章及规范性文件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（1）《建设项目环境影响评价分类管理名录》（生态环境部令第</w:t>
      </w:r>
      <w:r>
        <w:rPr>
          <w:rFonts w:hint="eastAsia"/>
          <w:b w:val="0"/>
          <w:bCs w:val="0"/>
          <w:spacing w:val="0"/>
          <w:position w:val="0"/>
          <w:sz w:val="24"/>
          <w:szCs w:val="24"/>
          <w:lang w:val="en-US" w:eastAsia="zh-CN"/>
        </w:rPr>
        <w:t>16号</w:t>
      </w: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2011.1.1</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）《福建省人民政府关于全省石化等七类产业布局的指导意见》，闽政〔2013〕56 号，福建省人民政府，2013.12.27；</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）《印染行业规范条件（2017版）》，中华人民共和国工业和信息化部；2017.8.31；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4</w:t>
      </w:r>
      <w:r>
        <w:rPr>
          <w:rFonts w:hint="eastAsia"/>
          <w:b w:val="0"/>
          <w:bCs w:val="0"/>
          <w:spacing w:val="0"/>
          <w:position w:val="0"/>
          <w:sz w:val="24"/>
          <w:szCs w:val="24"/>
          <w:lang w:eastAsia="zh-CN"/>
        </w:rPr>
        <w:t>）《环境影响评价公众参与办法》(生态环境部令第4号)；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5</w:t>
      </w:r>
      <w:r>
        <w:rPr>
          <w:rFonts w:hint="eastAsia"/>
          <w:b w:val="0"/>
          <w:bCs w:val="0"/>
          <w:spacing w:val="0"/>
          <w:position w:val="0"/>
          <w:sz w:val="24"/>
          <w:szCs w:val="24"/>
          <w:lang w:eastAsia="zh-CN"/>
        </w:rPr>
        <w:t>）《国家危险废物名录》（2021年版）；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6</w:t>
      </w:r>
      <w:r>
        <w:rPr>
          <w:rFonts w:hint="eastAsia"/>
          <w:b w:val="0"/>
          <w:bCs w:val="0"/>
          <w:spacing w:val="0"/>
          <w:position w:val="0"/>
          <w:sz w:val="24"/>
          <w:szCs w:val="24"/>
          <w:lang w:eastAsia="zh-CN"/>
        </w:rPr>
        <w:t>）《福建省人民政府关于进一步加强危险废物污染防治工作的意见》（闽政〔2015〕50号）；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7</w:t>
      </w:r>
      <w:r>
        <w:rPr>
          <w:rFonts w:hint="eastAsia"/>
          <w:b w:val="0"/>
          <w:bCs w:val="0"/>
          <w:spacing w:val="0"/>
          <w:position w:val="0"/>
          <w:sz w:val="24"/>
          <w:szCs w:val="24"/>
          <w:lang w:eastAsia="zh-CN"/>
        </w:rPr>
        <w:t>）《危险废物鉴别技术规范》（HJ/T 298-2007）；</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8</w:t>
      </w:r>
      <w:r>
        <w:rPr>
          <w:rFonts w:hint="eastAsia"/>
          <w:b w:val="0"/>
          <w:bCs w:val="0"/>
          <w:spacing w:val="0"/>
          <w:position w:val="0"/>
          <w:sz w:val="24"/>
          <w:szCs w:val="24"/>
          <w:lang w:eastAsia="zh-CN"/>
        </w:rPr>
        <w:t>）《危险废物污染防治技术政策》(环发［2001］199号)；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9</w:t>
      </w:r>
      <w:r>
        <w:rPr>
          <w:rFonts w:hint="eastAsia"/>
          <w:b w:val="0"/>
          <w:bCs w:val="0"/>
          <w:spacing w:val="0"/>
          <w:position w:val="0"/>
          <w:sz w:val="24"/>
          <w:szCs w:val="24"/>
          <w:lang w:eastAsia="zh-CN"/>
        </w:rPr>
        <w:t>）《福建省水污染防治行动计划工作方案》，闽政[2015]26号；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10</w:t>
      </w:r>
      <w:r>
        <w:rPr>
          <w:rFonts w:hint="eastAsia"/>
          <w:b w:val="0"/>
          <w:bCs w:val="0"/>
          <w:spacing w:val="0"/>
          <w:position w:val="0"/>
          <w:sz w:val="24"/>
          <w:szCs w:val="24"/>
          <w:lang w:eastAsia="zh-CN"/>
        </w:rPr>
        <w:t>）《福建省环保厅关于印发福建省重点行业挥发性有机物排放控制要求（试行）的通知》，闽环保大气〔2017〕9号；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11</w:t>
      </w:r>
      <w:r>
        <w:rPr>
          <w:rFonts w:hint="eastAsia"/>
          <w:b w:val="0"/>
          <w:bCs w:val="0"/>
          <w:spacing w:val="0"/>
          <w:position w:val="0"/>
          <w:sz w:val="24"/>
          <w:szCs w:val="24"/>
          <w:lang w:eastAsia="zh-CN"/>
        </w:rPr>
        <w:t>）《福建省大气污染防治行动计划实施细则》，闽政[2014]1号；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）《福建省水污染防治行动计划工作方案》，闽政〔2015〕26号；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）《福建省土壤污染防治行动计划实施方案》，闽政〔2016〕45号；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4</w:t>
      </w:r>
      <w:r>
        <w:rPr>
          <w:rFonts w:hint="eastAsia"/>
          <w:b w:val="0"/>
          <w:bCs w:val="0"/>
          <w:spacing w:val="0"/>
          <w:position w:val="0"/>
          <w:sz w:val="24"/>
          <w:szCs w:val="24"/>
          <w:lang w:eastAsia="zh-CN"/>
        </w:rPr>
        <w:t>）《福建省人民政府关于进一步加强危险废物污染防治工作的意见》（闽政〔2015〕50号）；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15</w:t>
      </w:r>
      <w:r>
        <w:rPr>
          <w:rFonts w:hint="eastAsia"/>
          <w:b w:val="0"/>
          <w:bCs w:val="0"/>
          <w:spacing w:val="0"/>
          <w:position w:val="0"/>
          <w:sz w:val="24"/>
          <w:szCs w:val="24"/>
          <w:lang w:eastAsia="zh-CN"/>
        </w:rPr>
        <w:t>）《福建省环保厅关于印发福建省重点行业挥发性有机物污染防治工作方案的通知》，闽环保大气〔2017〕6号；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16</w:t>
      </w:r>
      <w:r>
        <w:rPr>
          <w:rFonts w:hint="eastAsia"/>
          <w:b w:val="0"/>
          <w:bCs w:val="0"/>
          <w:spacing w:val="0"/>
          <w:position w:val="0"/>
          <w:sz w:val="24"/>
          <w:szCs w:val="24"/>
          <w:lang w:eastAsia="zh-CN"/>
        </w:rPr>
        <w:t>）《福州市人民政府关于印发福州市水污染防治行动计划工作方案的通知》（2015年12月）；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17</w:t>
      </w:r>
      <w:r>
        <w:rPr>
          <w:rFonts w:hint="eastAsia"/>
          <w:b w:val="0"/>
          <w:bCs w:val="0"/>
          <w:spacing w:val="0"/>
          <w:position w:val="0"/>
          <w:sz w:val="24"/>
          <w:szCs w:val="24"/>
          <w:lang w:eastAsia="zh-CN"/>
        </w:rPr>
        <w:t>）《福州市大气污染防治行动计划实施细则》，榕政综[2014]27号；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18</w:t>
      </w:r>
      <w:r>
        <w:rPr>
          <w:rFonts w:hint="eastAsia"/>
          <w:b w:val="0"/>
          <w:bCs w:val="0"/>
          <w:spacing w:val="0"/>
          <w:position w:val="0"/>
          <w:sz w:val="24"/>
          <w:szCs w:val="24"/>
          <w:lang w:eastAsia="zh-CN"/>
        </w:rPr>
        <w:t>）《福州市人民政府关于印发福州市土壤污染防治行动计划实施方案的通知》，榕政综〔2017〕36号。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19</w:t>
      </w:r>
      <w:r>
        <w:rPr>
          <w:rFonts w:hint="eastAsia"/>
          <w:b w:val="0"/>
          <w:bCs w:val="0"/>
          <w:spacing w:val="0"/>
          <w:position w:val="0"/>
          <w:sz w:val="24"/>
          <w:szCs w:val="24"/>
          <w:lang w:eastAsia="zh-CN"/>
        </w:rPr>
        <w:t>）《福州市大气污染防治行动计划实施细则》，榕政综〔2014〕27号；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20</w:t>
      </w:r>
      <w:r>
        <w:rPr>
          <w:rFonts w:hint="eastAsia"/>
          <w:b w:val="0"/>
          <w:bCs w:val="0"/>
          <w:spacing w:val="0"/>
          <w:position w:val="0"/>
          <w:sz w:val="24"/>
          <w:szCs w:val="24"/>
          <w:lang w:eastAsia="zh-CN"/>
        </w:rPr>
        <w:t>）《福州市人民政府关于印发福州市水污染防治行动计划工作方案的通知》（2015年12月）；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21</w:t>
      </w:r>
      <w:r>
        <w:rPr>
          <w:rFonts w:hint="eastAsia"/>
          <w:b w:val="0"/>
          <w:bCs w:val="0"/>
          <w:spacing w:val="0"/>
          <w:position w:val="0"/>
          <w:sz w:val="24"/>
          <w:szCs w:val="24"/>
          <w:lang w:eastAsia="zh-CN"/>
        </w:rPr>
        <w:t>）《福州市人民政府关于印发福州市土壤污染防治行动计划实施方案的通知》，榕政综〔2017〕36号。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eastAsia="宋体"/>
          <w:b/>
          <w:bCs/>
          <w:spacing w:val="0"/>
          <w:position w:val="0"/>
          <w:sz w:val="28"/>
          <w:szCs w:val="28"/>
          <w:lang w:eastAsia="zh-CN"/>
        </w:rPr>
      </w:pPr>
      <w:r>
        <w:rPr>
          <w:b/>
          <w:bCs/>
          <w:spacing w:val="0"/>
          <w:position w:val="0"/>
          <w:sz w:val="28"/>
          <w:szCs w:val="28"/>
        </w:rPr>
        <w:t>2</w:t>
      </w:r>
      <w:r>
        <w:rPr>
          <w:rFonts w:hint="eastAsia"/>
          <w:b/>
          <w:bCs/>
          <w:spacing w:val="0"/>
          <w:position w:val="0"/>
          <w:sz w:val="28"/>
          <w:szCs w:val="28"/>
          <w:lang w:val="en-US" w:eastAsia="zh-CN"/>
        </w:rPr>
        <w:t>.1.3技术规范、导则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（1）《建设项目环境影响评价技术导则</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总纲》（HJ 2.1-2016）；</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（2）《环境影响评价技术导则</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大气环境》（HJ 2.2-2018）；</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（3）《环境影响评价技术导则</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地表水环境》（HJ 2.3-2018）；</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（4）《环境影响评价技术导则</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声环境》（HJ 2.4-2021）；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（5）《环境影响评价技术导则</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地下水环境》（HJ 610-2016）；</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（6）《环境影响评价技术导则</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土壤环境（试行）》（HJ 964-2018）；</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（7）《环境影响评价技术导则</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生态影响》（HJ 19-2022）；</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（8）《建设项目环境风险评价技术导则》（HJ 169-2018）；</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（9）《企业突发环境事件风险分级方法》（HJ 941-2018）；</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（10）《危险化学品重大危险源辨识》（GB 18218-2018）；</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（11）《危险废物鉴别技术规范》（HJ298-2019）；</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（12）《建设项目危险废物环境影响评价指南》，环境保护部公告，2017年第43号；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（13）《国家危险废物名录》（2021年版）；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（14）《印染行业规范条件（2017版）》；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（15）《印染企业规范公告管理暂行办法》（2017年10月实施）；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（16）《印染行业绿色发展技术指南》（2019版）；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（17）《污染源源强核算技术指南纺织印染工业》（HJ 990-2018）；</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（18）《纺织染整工业废水治理工程技术规范》（HJ 471-2020）；</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（19）《纺织工业污染防治可行技术指南》（HJ 1177-2021）；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（20）《排污单位自行监测技术指南纺织印染工业》（HJ 879-2017）；</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（21）《排污许可证申请与核发技术规范纺织印染工业》（HJ 861-2017）；</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（22）《温室气体排放核算与报告要求第12部分：纺织服装企业》（GB/T32151.12-2015）；</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（23）《工业企业土壤和地下水自行监测技术指南（试行）》（HJ 1209-2021）。</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eastAsia="宋体"/>
          <w:b/>
          <w:bCs/>
          <w:spacing w:val="0"/>
          <w:position w:val="0"/>
          <w:sz w:val="28"/>
          <w:szCs w:val="28"/>
          <w:lang w:eastAsia="zh-CN"/>
        </w:rPr>
      </w:pPr>
      <w:r>
        <w:rPr>
          <w:b/>
          <w:bCs/>
          <w:spacing w:val="0"/>
          <w:position w:val="0"/>
          <w:sz w:val="28"/>
          <w:szCs w:val="28"/>
        </w:rPr>
        <w:t>2</w:t>
      </w:r>
      <w:r>
        <w:rPr>
          <w:rFonts w:hint="eastAsia"/>
          <w:b/>
          <w:bCs/>
          <w:spacing w:val="0"/>
          <w:position w:val="0"/>
          <w:sz w:val="28"/>
          <w:szCs w:val="28"/>
          <w:lang w:val="en-US" w:eastAsia="zh-CN"/>
        </w:rPr>
        <w:t>.1.4产业政策、规划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（1）《产业结构调整指导目录（2019年本）》（2020年1月1日实施）；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（2）《福建省“十四五”环境保护规划》（2021年10月）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）《福建省生态功能区划》，福建省环境保护局，2009年；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4</w:t>
      </w:r>
      <w:r>
        <w:rPr>
          <w:rFonts w:hint="eastAsia"/>
          <w:b w:val="0"/>
          <w:bCs w:val="0"/>
          <w:spacing w:val="0"/>
          <w:position w:val="0"/>
          <w:sz w:val="24"/>
          <w:szCs w:val="24"/>
          <w:lang w:eastAsia="zh-CN"/>
        </w:rPr>
        <w:t>）《福建省水（环境）功能区划》，福建省人民政府，2004年；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5</w:t>
      </w:r>
      <w:r>
        <w:rPr>
          <w:rFonts w:hint="eastAsia"/>
          <w:b w:val="0"/>
          <w:bCs w:val="0"/>
          <w:spacing w:val="0"/>
          <w:position w:val="0"/>
          <w:sz w:val="24"/>
          <w:szCs w:val="24"/>
          <w:lang w:eastAsia="zh-CN"/>
        </w:rPr>
        <w:t>）《福建省主体功能区规划》，2012年12月；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6</w:t>
      </w:r>
      <w:r>
        <w:rPr>
          <w:rFonts w:hint="eastAsia"/>
          <w:b w:val="0"/>
          <w:bCs w:val="0"/>
          <w:spacing w:val="0"/>
          <w:position w:val="0"/>
          <w:sz w:val="24"/>
          <w:szCs w:val="24"/>
          <w:lang w:eastAsia="zh-CN"/>
        </w:rPr>
        <w:t>）《环罗源湾地区工业产业布局规划（2020-2025）》；</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7</w:t>
      </w:r>
      <w:r>
        <w:rPr>
          <w:rFonts w:hint="eastAsia"/>
          <w:b w:val="0"/>
          <w:bCs w:val="0"/>
          <w:spacing w:val="0"/>
          <w:position w:val="0"/>
          <w:sz w:val="24"/>
          <w:szCs w:val="24"/>
          <w:lang w:eastAsia="zh-CN"/>
        </w:rPr>
        <w:t>）《福建罗源湾环境容量与海洋生态保护规划》（2006年5月）；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8</w:t>
      </w:r>
      <w:r>
        <w:rPr>
          <w:rFonts w:hint="eastAsia"/>
          <w:b w:val="0"/>
          <w:bCs w:val="0"/>
          <w:spacing w:val="0"/>
          <w:position w:val="0"/>
          <w:sz w:val="24"/>
          <w:szCs w:val="24"/>
          <w:lang w:eastAsia="zh-CN"/>
        </w:rPr>
        <w:t>）《环罗源湾区域环境保护规划》（2007年）；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9</w:t>
      </w:r>
      <w:r>
        <w:rPr>
          <w:rFonts w:hint="eastAsia"/>
          <w:b w:val="0"/>
          <w:bCs w:val="0"/>
          <w:spacing w:val="0"/>
          <w:position w:val="0"/>
          <w:sz w:val="24"/>
          <w:szCs w:val="24"/>
          <w:lang w:eastAsia="zh-CN"/>
        </w:rPr>
        <w:t>）《环罗源湾地区工业产业布局规划（2020-2025）》；</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10</w:t>
      </w:r>
      <w:r>
        <w:rPr>
          <w:rFonts w:hint="eastAsia"/>
          <w:b w:val="0"/>
          <w:bCs w:val="0"/>
          <w:spacing w:val="0"/>
          <w:position w:val="0"/>
          <w:sz w:val="24"/>
          <w:szCs w:val="24"/>
          <w:lang w:eastAsia="zh-CN"/>
        </w:rPr>
        <w:t>）《连江县县城总体规划（2015-2030年）》；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1</w:t>
      </w:r>
      <w:r>
        <w:rPr>
          <w:rFonts w:hint="eastAsia"/>
          <w:b w:val="0"/>
          <w:bCs w:val="0"/>
          <w:spacing w:val="0"/>
          <w:position w:val="0"/>
          <w:sz w:val="24"/>
          <w:szCs w:val="24"/>
          <w:lang w:eastAsia="zh-CN"/>
        </w:rPr>
        <w:t>）《连江可门经济开发区总体规划(2012-2030)》；</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）《连江可门绿色纺织产业园规划(一期)》。</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eastAsia="宋体"/>
          <w:b/>
          <w:bCs/>
          <w:spacing w:val="0"/>
          <w:position w:val="0"/>
          <w:sz w:val="28"/>
          <w:szCs w:val="28"/>
          <w:lang w:eastAsia="zh-CN"/>
        </w:rPr>
      </w:pPr>
      <w:r>
        <w:rPr>
          <w:b/>
          <w:bCs/>
          <w:spacing w:val="0"/>
          <w:position w:val="0"/>
          <w:sz w:val="28"/>
          <w:szCs w:val="28"/>
        </w:rPr>
        <w:t>2</w:t>
      </w:r>
      <w:r>
        <w:rPr>
          <w:rFonts w:hint="eastAsia"/>
          <w:b/>
          <w:bCs/>
          <w:spacing w:val="0"/>
          <w:position w:val="0"/>
          <w:sz w:val="28"/>
          <w:szCs w:val="28"/>
          <w:lang w:val="en-US" w:eastAsia="zh-CN"/>
        </w:rPr>
        <w:t>.1.5其他文件、资料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eastAsia="zh-CN"/>
        </w:rPr>
        <w:t>（1）《环罗源湾地区工业产业布局规划（2020-2025年）环境影响报告书》及审查意见，</w:t>
      </w:r>
      <w:r>
        <w:rPr>
          <w:rFonts w:hint="eastAsia"/>
          <w:b w:val="0"/>
          <w:bCs w:val="0"/>
          <w:spacing w:val="0"/>
          <w:position w:val="0"/>
          <w:sz w:val="24"/>
          <w:szCs w:val="24"/>
          <w:lang w:val="en-US" w:eastAsia="zh-CN"/>
        </w:rPr>
        <w:t>2022年3月；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）《连江可门经济开发区总体规划(2012-2030)环境影响报告书》及其审查意见，2018年4月；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）《连江可门绿色纺织产业园区规划（一期）环境影响报告书》及审查意见，</w:t>
      </w:r>
      <w:r>
        <w:rPr>
          <w:rFonts w:hint="eastAsia"/>
          <w:b w:val="0"/>
          <w:bCs w:val="0"/>
          <w:spacing w:val="0"/>
          <w:position w:val="0"/>
          <w:sz w:val="24"/>
          <w:szCs w:val="24"/>
          <w:lang w:val="en-US" w:eastAsia="zh-CN"/>
        </w:rPr>
        <w:t>2021年8月</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4</w:t>
      </w:r>
      <w:r>
        <w:rPr>
          <w:rFonts w:hint="eastAsia"/>
          <w:b w:val="0"/>
          <w:bCs w:val="0"/>
          <w:spacing w:val="0"/>
          <w:position w:val="0"/>
          <w:sz w:val="24"/>
          <w:szCs w:val="24"/>
          <w:lang w:eastAsia="zh-CN"/>
        </w:rPr>
        <w:t>）《可门港经济区（一期）供热专项规划（2021年-2030年）》及批复；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5</w:t>
      </w:r>
      <w:r>
        <w:rPr>
          <w:rFonts w:hint="eastAsia"/>
          <w:b w:val="0"/>
          <w:bCs w:val="0"/>
          <w:spacing w:val="0"/>
          <w:position w:val="0"/>
          <w:sz w:val="24"/>
          <w:szCs w:val="24"/>
          <w:lang w:eastAsia="zh-CN"/>
        </w:rPr>
        <w:t>）《福建悦聚科技有限公司智能化高档纺织面料生产项目可行性研究报告》（202</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年</w:t>
      </w:r>
      <w:r>
        <w:rPr>
          <w:rFonts w:hint="eastAsia"/>
          <w:b w:val="0"/>
          <w:bCs w:val="0"/>
          <w:spacing w:val="0"/>
          <w:position w:val="0"/>
          <w:sz w:val="24"/>
          <w:szCs w:val="24"/>
          <w:lang w:val="en-US" w:eastAsia="zh-CN"/>
        </w:rPr>
        <w:t>7</w:t>
      </w:r>
      <w:r>
        <w:rPr>
          <w:rFonts w:hint="eastAsia"/>
          <w:b w:val="0"/>
          <w:bCs w:val="0"/>
          <w:spacing w:val="0"/>
          <w:position w:val="0"/>
          <w:sz w:val="24"/>
          <w:szCs w:val="24"/>
          <w:lang w:eastAsia="zh-CN"/>
        </w:rPr>
        <w:t>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6</w:t>
      </w:r>
      <w:r>
        <w:rPr>
          <w:rFonts w:hint="eastAsia"/>
          <w:b w:val="0"/>
          <w:bCs w:val="0"/>
          <w:spacing w:val="0"/>
          <w:position w:val="0"/>
          <w:sz w:val="24"/>
          <w:szCs w:val="24"/>
          <w:lang w:eastAsia="zh-CN"/>
        </w:rPr>
        <w:t>）建设单位提供的其他资料。</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b/>
          <w:bCs/>
          <w:spacing w:val="0"/>
          <w:position w:val="0"/>
          <w:sz w:val="30"/>
          <w:szCs w:val="30"/>
          <w:lang w:val="en-US" w:eastAsia="zh-CN"/>
        </w:rPr>
      </w:pPr>
      <w:r>
        <w:rPr>
          <w:b/>
          <w:bCs/>
          <w:spacing w:val="0"/>
          <w:position w:val="0"/>
          <w:sz w:val="30"/>
          <w:szCs w:val="30"/>
        </w:rPr>
        <w:t>2</w:t>
      </w:r>
      <w:r>
        <w:rPr>
          <w:rFonts w:hint="eastAsia"/>
          <w:b/>
          <w:bCs/>
          <w:spacing w:val="0"/>
          <w:position w:val="0"/>
          <w:sz w:val="30"/>
          <w:szCs w:val="30"/>
          <w:lang w:val="en-US" w:eastAsia="zh-CN"/>
        </w:rPr>
        <w:t>.2评价目的及评价原则</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val="0"/>
          <w:bCs w:val="0"/>
          <w:spacing w:val="0"/>
          <w:position w:val="0"/>
          <w:sz w:val="24"/>
          <w:szCs w:val="24"/>
          <w:lang w:val="en-US" w:eastAsia="zh-CN"/>
        </w:rPr>
      </w:pPr>
      <w:r>
        <w:rPr>
          <w:b/>
          <w:bCs/>
          <w:spacing w:val="0"/>
          <w:position w:val="0"/>
          <w:sz w:val="28"/>
          <w:szCs w:val="28"/>
        </w:rPr>
        <w:t>2</w:t>
      </w:r>
      <w:r>
        <w:rPr>
          <w:rFonts w:hint="eastAsia"/>
          <w:b/>
          <w:bCs/>
          <w:spacing w:val="0"/>
          <w:position w:val="0"/>
          <w:sz w:val="28"/>
          <w:szCs w:val="28"/>
          <w:lang w:val="en-US" w:eastAsia="zh-CN"/>
        </w:rPr>
        <w:t>.2.1评价目的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w:t>
      </w:r>
      <w:r>
        <w:rPr>
          <w:rFonts w:hint="eastAsia"/>
          <w:b w:val="0"/>
          <w:bCs w:val="0"/>
          <w:spacing w:val="0"/>
          <w:position w:val="0"/>
          <w:sz w:val="24"/>
          <w:szCs w:val="24"/>
          <w:lang w:eastAsia="zh-CN"/>
        </w:rPr>
        <w:t>）</w:t>
      </w:r>
      <w:r>
        <w:rPr>
          <w:rFonts w:hint="eastAsia"/>
          <w:b w:val="0"/>
          <w:bCs w:val="0"/>
          <w:spacing w:val="0"/>
          <w:position w:val="0"/>
          <w:sz w:val="24"/>
          <w:szCs w:val="24"/>
        </w:rPr>
        <w:t>通过环境现状调查和监测，掌握项目所在地周边自然环境及环境质量现状，为环境影响评价提供依据。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w:t>
      </w:r>
      <w:r>
        <w:rPr>
          <w:rFonts w:hint="eastAsia"/>
          <w:b w:val="0"/>
          <w:bCs w:val="0"/>
          <w:spacing w:val="0"/>
          <w:position w:val="0"/>
          <w:sz w:val="24"/>
          <w:szCs w:val="24"/>
        </w:rPr>
        <w:t>针对项目的特点和污染特征，确定主要污染因子和环境影响要素。</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w:t>
      </w:r>
      <w:r>
        <w:rPr>
          <w:rFonts w:hint="eastAsia"/>
          <w:b w:val="0"/>
          <w:bCs w:val="0"/>
          <w:spacing w:val="0"/>
          <w:position w:val="0"/>
          <w:sz w:val="24"/>
          <w:szCs w:val="24"/>
        </w:rPr>
        <w:t>预测项目建成后对当地环境可能造成影响的范围和程度，提出避免或减轻污染的对策和建议。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4</w:t>
      </w:r>
      <w:r>
        <w:rPr>
          <w:rFonts w:hint="eastAsia"/>
          <w:b w:val="0"/>
          <w:bCs w:val="0"/>
          <w:spacing w:val="0"/>
          <w:position w:val="0"/>
          <w:sz w:val="24"/>
          <w:szCs w:val="24"/>
          <w:lang w:eastAsia="zh-CN"/>
        </w:rPr>
        <w:t>）</w:t>
      </w:r>
      <w:r>
        <w:rPr>
          <w:rFonts w:hint="eastAsia"/>
          <w:b w:val="0"/>
          <w:bCs w:val="0"/>
          <w:spacing w:val="0"/>
          <w:position w:val="0"/>
          <w:sz w:val="24"/>
          <w:szCs w:val="24"/>
        </w:rPr>
        <w:t>分析项目可能存在的环境风险，预测风险发生后可能影响的程度和范围，对本项目环境风险进行评估，并提出相应的风险防范和应急措施。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5</w:t>
      </w:r>
      <w:r>
        <w:rPr>
          <w:rFonts w:hint="eastAsia"/>
          <w:b w:val="0"/>
          <w:bCs w:val="0"/>
          <w:spacing w:val="0"/>
          <w:position w:val="0"/>
          <w:sz w:val="24"/>
          <w:szCs w:val="24"/>
          <w:lang w:eastAsia="zh-CN"/>
        </w:rPr>
        <w:t>）</w:t>
      </w:r>
      <w:r>
        <w:rPr>
          <w:rFonts w:hint="eastAsia"/>
          <w:b w:val="0"/>
          <w:bCs w:val="0"/>
          <w:spacing w:val="0"/>
          <w:position w:val="0"/>
          <w:sz w:val="24"/>
          <w:szCs w:val="24"/>
        </w:rPr>
        <w:t>从技术、经济角度分析采用污染治理措施的可行性，从环境保护的角度对项目是否可行做出明确的结论。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6</w:t>
      </w:r>
      <w:r>
        <w:rPr>
          <w:rFonts w:hint="eastAsia"/>
          <w:b w:val="0"/>
          <w:bCs w:val="0"/>
          <w:spacing w:val="0"/>
          <w:position w:val="0"/>
          <w:sz w:val="24"/>
          <w:szCs w:val="24"/>
          <w:lang w:eastAsia="zh-CN"/>
        </w:rPr>
        <w:t>）</w:t>
      </w:r>
      <w:r>
        <w:rPr>
          <w:rFonts w:hint="eastAsia"/>
          <w:b w:val="0"/>
          <w:bCs w:val="0"/>
          <w:spacing w:val="0"/>
          <w:position w:val="0"/>
          <w:sz w:val="24"/>
          <w:szCs w:val="24"/>
        </w:rPr>
        <w:t>确保环境影响报告书为管理部门决策、设计部门优化设计、建设部门环境管理提供科学依据。</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val="0"/>
          <w:bCs w:val="0"/>
          <w:spacing w:val="0"/>
          <w:position w:val="0"/>
          <w:sz w:val="24"/>
          <w:szCs w:val="24"/>
          <w:lang w:val="en-US" w:eastAsia="zh-CN"/>
        </w:rPr>
      </w:pPr>
      <w:r>
        <w:rPr>
          <w:b/>
          <w:bCs/>
          <w:spacing w:val="0"/>
          <w:position w:val="0"/>
          <w:sz w:val="28"/>
          <w:szCs w:val="28"/>
        </w:rPr>
        <w:t>2</w:t>
      </w:r>
      <w:r>
        <w:rPr>
          <w:rFonts w:hint="eastAsia"/>
          <w:b/>
          <w:bCs/>
          <w:spacing w:val="0"/>
          <w:position w:val="0"/>
          <w:sz w:val="28"/>
          <w:szCs w:val="28"/>
          <w:lang w:val="en-US" w:eastAsia="zh-CN"/>
        </w:rPr>
        <w:t>.2.2评价原则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rPr>
        <w:t>突出环境影响评价的源头预防作用，坚持保护和改善环境质量。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w:t>
      </w:r>
      <w:r>
        <w:rPr>
          <w:rFonts w:hint="eastAsia"/>
          <w:b w:val="0"/>
          <w:bCs w:val="0"/>
          <w:spacing w:val="0"/>
          <w:position w:val="0"/>
          <w:sz w:val="24"/>
          <w:szCs w:val="24"/>
          <w:lang w:eastAsia="zh-CN"/>
        </w:rPr>
        <w:t>）</w:t>
      </w:r>
      <w:r>
        <w:rPr>
          <w:rFonts w:hint="eastAsia"/>
          <w:b w:val="0"/>
          <w:bCs w:val="0"/>
          <w:spacing w:val="0"/>
          <w:position w:val="0"/>
          <w:sz w:val="24"/>
          <w:szCs w:val="24"/>
        </w:rPr>
        <w:t>依法评价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rPr>
        <w:t>贯彻执行我国环境保护相关法律法规、标准、政策和规划等，优化项目建设，服务环境管理。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w:t>
      </w:r>
      <w:r>
        <w:rPr>
          <w:rFonts w:hint="eastAsia"/>
          <w:b w:val="0"/>
          <w:bCs w:val="0"/>
          <w:spacing w:val="0"/>
          <w:position w:val="0"/>
          <w:sz w:val="24"/>
          <w:szCs w:val="24"/>
        </w:rPr>
        <w:t>科学评价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rPr>
        <w:t>规范环境影响评价方法，科学分析项目建设对环境质量的影响。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w:t>
      </w:r>
      <w:r>
        <w:rPr>
          <w:rFonts w:hint="eastAsia"/>
          <w:b w:val="0"/>
          <w:bCs w:val="0"/>
          <w:spacing w:val="0"/>
          <w:position w:val="0"/>
          <w:sz w:val="24"/>
          <w:szCs w:val="24"/>
        </w:rPr>
        <w:t>突出重点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b w:val="0"/>
          <w:bCs w:val="0"/>
          <w:spacing w:val="0"/>
          <w:position w:val="0"/>
          <w:sz w:val="24"/>
          <w:szCs w:val="24"/>
        </w:rPr>
      </w:pPr>
      <w:r>
        <w:rPr>
          <w:rFonts w:hint="eastAsia"/>
          <w:b w:val="0"/>
          <w:bCs w:val="0"/>
          <w:spacing w:val="0"/>
          <w:position w:val="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bCs/>
          <w:spacing w:val="0"/>
          <w:position w:val="0"/>
          <w:sz w:val="30"/>
          <w:szCs w:val="30"/>
          <w:lang w:val="en-US" w:eastAsia="zh-CN"/>
        </w:rPr>
      </w:pPr>
      <w:r>
        <w:rPr>
          <w:rFonts w:hint="eastAsia"/>
          <w:b/>
          <w:bCs/>
          <w:spacing w:val="0"/>
          <w:position w:val="0"/>
          <w:sz w:val="30"/>
          <w:szCs w:val="30"/>
          <w:lang w:eastAsia="zh-CN"/>
        </w:rPr>
        <w:t>2.3</w:t>
      </w:r>
      <w:r>
        <w:rPr>
          <w:rFonts w:hint="eastAsia"/>
          <w:b/>
          <w:bCs/>
          <w:spacing w:val="0"/>
          <w:position w:val="0"/>
          <w:sz w:val="30"/>
          <w:szCs w:val="30"/>
          <w:lang w:val="en-US" w:eastAsia="zh-CN"/>
        </w:rPr>
        <w:t>环境影响识别与评价因子筛选</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2.3</w:t>
      </w:r>
      <w:r>
        <w:rPr>
          <w:rFonts w:hint="eastAsia"/>
          <w:b/>
          <w:bCs/>
          <w:spacing w:val="0"/>
          <w:position w:val="0"/>
          <w:sz w:val="28"/>
          <w:szCs w:val="28"/>
          <w:lang w:val="en-US" w:eastAsia="zh-CN"/>
        </w:rPr>
        <w:t>.1环境影响因素识别</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施工过程会产生噪声、扬尘、污水、弃渣等污染物，对工程区环境造成一定程度的影响。但其影响是暂时性的、局部的，施工结束后，影响也将随之消失或减缓。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运营期主要污染因素为印染废水、工艺废气、固体废物和噪声等。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工程环境影响识别见表2.3-1。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表2.3-1环境影响识别表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100"/>
        <w:gridCol w:w="767"/>
        <w:gridCol w:w="925"/>
        <w:gridCol w:w="925"/>
        <w:gridCol w:w="700"/>
        <w:gridCol w:w="700"/>
        <w:gridCol w:w="1120"/>
        <w:gridCol w:w="663"/>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阶段</w:t>
            </w:r>
          </w:p>
        </w:tc>
        <w:tc>
          <w:tcPr>
            <w:tcW w:w="110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污染因素</w:t>
            </w:r>
          </w:p>
        </w:tc>
        <w:tc>
          <w:tcPr>
            <w:tcW w:w="6919" w:type="dxa"/>
            <w:gridSpan w:val="8"/>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环境要素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p>
        </w:tc>
        <w:tc>
          <w:tcPr>
            <w:tcW w:w="11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大气</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地表水</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地下水</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植被</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土壤</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水土流失</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景观</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eastAsia" w:ascii="Times New Roman" w:hAnsi="Times New Roman" w:eastAsia="宋体"/>
                <w:b/>
                <w:bCs/>
                <w:spacing w:val="0"/>
                <w:position w:val="0"/>
                <w:sz w:val="21"/>
                <w:szCs w:val="21"/>
                <w:vertAlign w:val="baseline"/>
                <w:lang w:eastAsia="zh-CN"/>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建设期</w:t>
            </w: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噪声</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扬尘</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生活污水</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施工废水</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车辆运输</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运营期</w:t>
            </w: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废气</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废水</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噪声</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固体废物</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交通运输</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spacing w:val="0"/>
                <w:position w:val="0"/>
                <w:sz w:val="21"/>
                <w:szCs w:val="24"/>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服务</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退役</w:t>
            </w: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设备拆迁</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△D</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△L</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p>
        </w:tc>
        <w:tc>
          <w:tcPr>
            <w:tcW w:w="11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b w:val="0"/>
                <w:bCs w:val="0"/>
                <w:spacing w:val="0"/>
                <w:position w:val="0"/>
                <w:sz w:val="21"/>
                <w:szCs w:val="21"/>
                <w:vertAlign w:val="baseline"/>
                <w:lang w:eastAsia="zh-CN"/>
              </w:rPr>
              <w:t>人员迁移</w:t>
            </w:r>
          </w:p>
        </w:tc>
        <w:tc>
          <w:tcPr>
            <w:tcW w:w="7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9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7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6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c>
          <w:tcPr>
            <w:tcW w:w="11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5" w:type="dxa"/>
            <w:gridSpan w:val="10"/>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ascii="Times New Roman" w:hAnsi="Times New Roman" w:eastAsia="宋体"/>
                <w:spacing w:val="0"/>
                <w:position w:val="0"/>
                <w:sz w:val="21"/>
                <w:szCs w:val="24"/>
              </w:rPr>
              <w:t>●有影响；○没有影响；▲有轻微影响；△可能有影响；D 短期影响；L 长期影响</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2.3</w:t>
      </w:r>
      <w:r>
        <w:rPr>
          <w:rFonts w:hint="eastAsia"/>
          <w:b/>
          <w:bCs/>
          <w:spacing w:val="0"/>
          <w:position w:val="0"/>
          <w:sz w:val="28"/>
          <w:szCs w:val="28"/>
          <w:lang w:val="en-US" w:eastAsia="zh-CN"/>
        </w:rPr>
        <w:t>.2评价因子筛选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根据对项目的工程分析、环境质量标准和环境影响因素识别，以及评价区域的环境特征，对项目的污染因子进行了筛选，确定本工程的环境质量现状评价因子和污染源评价因子，污染物特征因子选取及依据如下：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（1）水环境污染因子选取及依据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b w:val="0"/>
          <w:bCs w:val="0"/>
          <w:spacing w:val="0"/>
          <w:position w:val="0"/>
          <w:sz w:val="24"/>
          <w:szCs w:val="24"/>
          <w:lang w:eastAsia="zh-CN"/>
        </w:rPr>
      </w:pPr>
      <w:r>
        <w:rPr>
          <w:rFonts w:hint="eastAsia"/>
          <w:b/>
          <w:bCs/>
          <w:spacing w:val="0"/>
          <w:position w:val="0"/>
          <w:sz w:val="24"/>
          <w:szCs w:val="24"/>
          <w:lang w:eastAsia="zh-CN"/>
        </w:rPr>
        <w:t>六价铬：</w:t>
      </w:r>
      <w:r>
        <w:rPr>
          <w:rFonts w:hint="eastAsia"/>
          <w:b w:val="0"/>
          <w:bCs w:val="0"/>
          <w:spacing w:val="0"/>
          <w:position w:val="0"/>
          <w:sz w:val="24"/>
          <w:szCs w:val="24"/>
          <w:lang w:eastAsia="zh-CN"/>
        </w:rPr>
        <w:t>本项目不使用含铬染料、助剂，因此源强分析中不考虑六价铬因子，但六价铬做为监督性监测因子纳入监控。</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b w:val="0"/>
          <w:bCs w:val="0"/>
          <w:spacing w:val="0"/>
          <w:position w:val="0"/>
          <w:sz w:val="24"/>
          <w:szCs w:val="24"/>
          <w:lang w:eastAsia="zh-CN"/>
        </w:rPr>
      </w:pPr>
      <w:r>
        <w:rPr>
          <w:rFonts w:hint="eastAsia"/>
          <w:b/>
          <w:bCs/>
          <w:spacing w:val="0"/>
          <w:position w:val="0"/>
          <w:sz w:val="24"/>
          <w:szCs w:val="24"/>
          <w:lang w:eastAsia="zh-CN"/>
        </w:rPr>
        <w:t>二氧化氯和AOX：</w:t>
      </w:r>
      <w:r>
        <w:rPr>
          <w:rFonts w:hint="eastAsia"/>
          <w:b w:val="0"/>
          <w:bCs w:val="0"/>
          <w:spacing w:val="0"/>
          <w:position w:val="0"/>
          <w:sz w:val="24"/>
          <w:szCs w:val="24"/>
          <w:lang w:eastAsia="zh-CN"/>
        </w:rPr>
        <w:t>二氧化氯和AOX主要来自纺织染整工序中漂白环节，如采用亚漂、氯漂工艺，则可能造成水中二氧化氯和AOX超标，二氧化氯指标适用于使用亚漂、二氧化氯工艺的排污单元，AOX适用于使用氯漂、次氯酸氧化工艺的排污单元。本项目不涉及漂白，故源强分析不考虑二氧化氯和AOX。</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b w:val="0"/>
          <w:bCs w:val="0"/>
          <w:spacing w:val="0"/>
          <w:position w:val="0"/>
          <w:sz w:val="24"/>
          <w:szCs w:val="24"/>
          <w:lang w:eastAsia="zh-CN"/>
        </w:rPr>
      </w:pPr>
      <w:r>
        <w:rPr>
          <w:rFonts w:hint="eastAsia"/>
          <w:b/>
          <w:bCs/>
          <w:spacing w:val="0"/>
          <w:position w:val="0"/>
          <w:sz w:val="24"/>
          <w:szCs w:val="24"/>
          <w:lang w:eastAsia="zh-CN"/>
        </w:rPr>
        <w:t>苯胺：</w:t>
      </w:r>
      <w:r>
        <w:rPr>
          <w:rFonts w:hint="eastAsia"/>
          <w:b w:val="0"/>
          <w:bCs w:val="0"/>
          <w:spacing w:val="0"/>
          <w:position w:val="0"/>
          <w:sz w:val="24"/>
          <w:szCs w:val="24"/>
          <w:lang w:eastAsia="zh-CN"/>
        </w:rPr>
        <w:t>苯胺主要来源于联苯胺型偶氮染料，偶氮染料偶氮基两端连接烃基的一类有机化合物，是合成染料中品种最多的一类；偶氮基两端连接烃基为苯基，并且苯环和氨基、亚氨基、次氨基直接相连，则属于苯胺型。而本项目采用染料偶氮基团上没有苯胺基，不属于联苯胺型偶氮染料，同时参考周边同类染整企业污水排放情况，苯胺类均为未检出，故源强分析不考虑苯胺。但是将苯胺作为监督性监测因子纳入自行监测和验收监测。</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b w:val="0"/>
          <w:bCs w:val="0"/>
          <w:spacing w:val="0"/>
          <w:position w:val="0"/>
          <w:sz w:val="24"/>
          <w:szCs w:val="24"/>
          <w:lang w:eastAsia="zh-CN"/>
        </w:rPr>
      </w:pPr>
      <w:r>
        <w:rPr>
          <w:rFonts w:hint="eastAsia"/>
          <w:b/>
          <w:bCs/>
          <w:spacing w:val="0"/>
          <w:position w:val="0"/>
          <w:sz w:val="24"/>
          <w:szCs w:val="24"/>
          <w:lang w:eastAsia="zh-CN"/>
        </w:rPr>
        <w:t>硫化物：</w:t>
      </w:r>
      <w:r>
        <w:rPr>
          <w:rFonts w:hint="eastAsia"/>
          <w:b w:val="0"/>
          <w:bCs w:val="0"/>
          <w:spacing w:val="0"/>
          <w:position w:val="0"/>
          <w:sz w:val="24"/>
          <w:szCs w:val="24"/>
          <w:lang w:eastAsia="zh-CN"/>
        </w:rPr>
        <w:t>硫化物主要来源于硫化染料，硫化物染料属于淘汰染料，本项目采用的染料主要为分散染料和酸性染料，没有采用淘汰的硫化染料，不会从染料来源产生硫化物；本项目使用二氧化硫脲，分子中含S可能转移到废水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综上分析，废水污染源评价因子不考虑六价铬、苯胺、二氧化氯、AOX，但是将六价铬、苯胺作为监督性监测因子纳入自行监测和验收监测（无氯漂工艺故不考虑二氧化氯和AOX）。</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（2）大气环境污染因子选取及依据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不设污水处理站，高、低浓度废水分别收集后进入园区污水处理厂集中处理，收集池设置在地下层，且采取加盖封闭，废水在污水收集池中停滞时间很短即泵到污水处理厂，废气基本不发散因此废气因子不考虑氨、硫化氢。同时，本项目原辅材料中不涉及苯系物原辅材料，故废气因子不考虑苯系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由此建立本项目评价因子筛选表，见表2.3-2。</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表2.3-2本项目评价因子一览表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828"/>
        <w:gridCol w:w="4777"/>
        <w:gridCol w:w="1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kern w:val="21"/>
                <w:position w:val="0"/>
                <w:sz w:val="21"/>
                <w:szCs w:val="21"/>
                <w:vertAlign w:val="baseline"/>
                <w:lang w:eastAsia="zh-CN"/>
              </w:rPr>
            </w:pPr>
            <w:r>
              <w:rPr>
                <w:rFonts w:hint="eastAsia"/>
                <w:b/>
                <w:bCs/>
                <w:spacing w:val="0"/>
                <w:kern w:val="21"/>
                <w:position w:val="0"/>
                <w:sz w:val="21"/>
                <w:szCs w:val="21"/>
                <w:vertAlign w:val="baseline"/>
                <w:lang w:eastAsia="zh-CN"/>
              </w:rPr>
              <w:t>类别</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kern w:val="21"/>
                <w:position w:val="0"/>
                <w:sz w:val="21"/>
                <w:szCs w:val="21"/>
                <w:vertAlign w:val="baseline"/>
                <w:lang w:eastAsia="zh-CN"/>
              </w:rPr>
            </w:pPr>
            <w:r>
              <w:rPr>
                <w:rFonts w:hint="eastAsia"/>
                <w:b/>
                <w:bCs/>
                <w:spacing w:val="0"/>
                <w:kern w:val="21"/>
                <w:position w:val="0"/>
                <w:sz w:val="21"/>
                <w:szCs w:val="21"/>
                <w:vertAlign w:val="baseline"/>
                <w:lang w:eastAsia="zh-CN"/>
              </w:rPr>
              <w:t>污染源</w:t>
            </w:r>
            <w:r>
              <w:rPr>
                <w:rFonts w:hint="eastAsia"/>
                <w:b/>
                <w:bCs/>
                <w:spacing w:val="0"/>
                <w:kern w:val="21"/>
                <w:position w:val="0"/>
                <w:sz w:val="21"/>
                <w:szCs w:val="21"/>
                <w:vertAlign w:val="baseline"/>
                <w:lang w:val="en-US" w:eastAsia="zh-CN"/>
              </w:rPr>
              <w:t>评价</w:t>
            </w:r>
            <w:r>
              <w:rPr>
                <w:rFonts w:hint="eastAsia"/>
                <w:b/>
                <w:bCs/>
                <w:spacing w:val="0"/>
                <w:kern w:val="21"/>
                <w:position w:val="0"/>
                <w:sz w:val="21"/>
                <w:szCs w:val="21"/>
                <w:vertAlign w:val="baseline"/>
                <w:lang w:eastAsia="zh-CN"/>
              </w:rPr>
              <w:t>因子</w:t>
            </w:r>
          </w:p>
        </w:tc>
        <w:tc>
          <w:tcPr>
            <w:tcW w:w="47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kern w:val="21"/>
                <w:position w:val="0"/>
                <w:sz w:val="21"/>
                <w:szCs w:val="21"/>
                <w:vertAlign w:val="baseline"/>
                <w:lang w:eastAsia="zh-CN"/>
              </w:rPr>
            </w:pPr>
            <w:r>
              <w:rPr>
                <w:rFonts w:hint="eastAsia"/>
                <w:b/>
                <w:bCs/>
                <w:spacing w:val="0"/>
                <w:kern w:val="21"/>
                <w:position w:val="0"/>
                <w:sz w:val="21"/>
                <w:szCs w:val="21"/>
                <w:vertAlign w:val="baseline"/>
                <w:lang w:eastAsia="zh-CN"/>
              </w:rPr>
              <w:t>现状评价因子</w:t>
            </w:r>
          </w:p>
        </w:tc>
        <w:tc>
          <w:tcPr>
            <w:tcW w:w="1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kern w:val="21"/>
                <w:position w:val="0"/>
                <w:sz w:val="21"/>
                <w:szCs w:val="21"/>
                <w:vertAlign w:val="baseline"/>
                <w:lang w:eastAsia="zh-CN"/>
              </w:rPr>
            </w:pPr>
            <w:r>
              <w:rPr>
                <w:rFonts w:hint="eastAsia"/>
                <w:b/>
                <w:bCs/>
                <w:spacing w:val="0"/>
                <w:kern w:val="21"/>
                <w:position w:val="0"/>
                <w:sz w:val="21"/>
                <w:szCs w:val="21"/>
                <w:vertAlign w:val="baseline"/>
                <w:lang w:eastAsia="zh-CN"/>
              </w:rPr>
              <w:t>影响预测因子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eastAsia="zh-CN"/>
              </w:rPr>
              <w:t>大气环境</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val="en-US" w:eastAsia="zh-CN"/>
              </w:rPr>
              <w:t>PM</w:t>
            </w:r>
            <w:r>
              <w:rPr>
                <w:rFonts w:hint="eastAsia"/>
                <w:b w:val="0"/>
                <w:bCs w:val="0"/>
                <w:spacing w:val="0"/>
                <w:kern w:val="21"/>
                <w:position w:val="0"/>
                <w:sz w:val="21"/>
                <w:szCs w:val="21"/>
                <w:vertAlign w:val="subscript"/>
                <w:lang w:val="en-US" w:eastAsia="zh-CN"/>
              </w:rPr>
              <w:t>10</w:t>
            </w:r>
            <w:r>
              <w:rPr>
                <w:rFonts w:hint="eastAsia"/>
                <w:b w:val="0"/>
                <w:bCs w:val="0"/>
                <w:spacing w:val="0"/>
                <w:kern w:val="21"/>
                <w:position w:val="0"/>
                <w:sz w:val="21"/>
                <w:szCs w:val="21"/>
                <w:vertAlign w:val="baseline"/>
                <w:lang w:eastAsia="zh-CN"/>
              </w:rPr>
              <w:t>、非甲烷总烃、</w:t>
            </w:r>
            <w:r>
              <w:rPr>
                <w:rFonts w:hint="eastAsia"/>
                <w:b w:val="0"/>
                <w:bCs w:val="0"/>
                <w:spacing w:val="0"/>
                <w:kern w:val="21"/>
                <w:position w:val="0"/>
                <w:sz w:val="21"/>
                <w:szCs w:val="21"/>
                <w:vertAlign w:val="baseline"/>
                <w:lang w:val="en-US" w:eastAsia="zh-CN"/>
              </w:rPr>
              <w:t>NO</w:t>
            </w:r>
            <w:r>
              <w:rPr>
                <w:rFonts w:hint="eastAsia"/>
                <w:b w:val="0"/>
                <w:bCs w:val="0"/>
                <w:spacing w:val="0"/>
                <w:kern w:val="21"/>
                <w:position w:val="0"/>
                <w:sz w:val="21"/>
                <w:szCs w:val="21"/>
                <w:vertAlign w:val="subscript"/>
                <w:lang w:val="en-US" w:eastAsia="zh-CN"/>
              </w:rPr>
              <w:t>X</w:t>
            </w:r>
            <w:r>
              <w:rPr>
                <w:rFonts w:hint="eastAsia"/>
                <w:b w:val="0"/>
                <w:bCs w:val="0"/>
                <w:spacing w:val="0"/>
                <w:kern w:val="21"/>
                <w:position w:val="0"/>
                <w:sz w:val="21"/>
                <w:szCs w:val="21"/>
                <w:vertAlign w:val="baseline"/>
                <w:lang w:val="en-US" w:eastAsia="zh-CN"/>
              </w:rPr>
              <w:t>、SO</w:t>
            </w:r>
            <w:r>
              <w:rPr>
                <w:rFonts w:hint="eastAsia"/>
                <w:b w:val="0"/>
                <w:bCs w:val="0"/>
                <w:spacing w:val="0"/>
                <w:kern w:val="21"/>
                <w:position w:val="0"/>
                <w:sz w:val="21"/>
                <w:szCs w:val="21"/>
                <w:vertAlign w:val="subscript"/>
                <w:lang w:val="en-US" w:eastAsia="zh-CN"/>
              </w:rPr>
              <w:t>2</w:t>
            </w:r>
          </w:p>
        </w:tc>
        <w:tc>
          <w:tcPr>
            <w:tcW w:w="47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ascii="Times New Roman" w:hAnsi="Times New Roman" w:eastAsia="宋体"/>
                <w:b w:val="0"/>
                <w:bCs w:val="0"/>
                <w:spacing w:val="0"/>
                <w:kern w:val="21"/>
                <w:position w:val="0"/>
                <w:sz w:val="21"/>
                <w:szCs w:val="21"/>
                <w:vertAlign w:val="baseline"/>
                <w:lang w:eastAsia="zh-CN"/>
              </w:rPr>
              <w:t>SO</w:t>
            </w:r>
            <w:r>
              <w:rPr>
                <w:rFonts w:hint="eastAsia" w:ascii="Times New Roman" w:hAnsi="Times New Roman" w:eastAsia="宋体"/>
                <w:b w:val="0"/>
                <w:bCs w:val="0"/>
                <w:spacing w:val="0"/>
                <w:kern w:val="21"/>
                <w:position w:val="0"/>
                <w:sz w:val="21"/>
                <w:szCs w:val="21"/>
                <w:vertAlign w:val="subscript"/>
                <w:lang w:eastAsia="zh-CN"/>
              </w:rPr>
              <w:t>2</w:t>
            </w:r>
            <w:r>
              <w:rPr>
                <w:rFonts w:hint="eastAsia" w:ascii="Times New Roman" w:hAnsi="Times New Roman" w:eastAsia="宋体"/>
                <w:b w:val="0"/>
                <w:bCs w:val="0"/>
                <w:spacing w:val="0"/>
                <w:kern w:val="21"/>
                <w:position w:val="0"/>
                <w:sz w:val="21"/>
                <w:szCs w:val="21"/>
                <w:vertAlign w:val="baseline"/>
                <w:lang w:eastAsia="zh-CN"/>
              </w:rPr>
              <w:t>、NO</w:t>
            </w:r>
            <w:r>
              <w:rPr>
                <w:rFonts w:hint="eastAsia" w:ascii="Times New Roman" w:hAnsi="Times New Roman" w:eastAsia="宋体"/>
                <w:b w:val="0"/>
                <w:bCs w:val="0"/>
                <w:spacing w:val="0"/>
                <w:kern w:val="21"/>
                <w:position w:val="0"/>
                <w:sz w:val="21"/>
                <w:szCs w:val="21"/>
                <w:vertAlign w:val="subscript"/>
                <w:lang w:eastAsia="zh-CN"/>
              </w:rPr>
              <w:t>2</w:t>
            </w:r>
            <w:r>
              <w:rPr>
                <w:rFonts w:hint="eastAsia" w:ascii="Times New Roman" w:hAnsi="Times New Roman" w:eastAsia="宋体"/>
                <w:b w:val="0"/>
                <w:bCs w:val="0"/>
                <w:spacing w:val="0"/>
                <w:kern w:val="21"/>
                <w:position w:val="0"/>
                <w:sz w:val="21"/>
                <w:szCs w:val="21"/>
                <w:vertAlign w:val="baseline"/>
                <w:lang w:eastAsia="zh-CN"/>
              </w:rPr>
              <w:t>、PM</w:t>
            </w:r>
            <w:r>
              <w:rPr>
                <w:rFonts w:hint="eastAsia" w:ascii="Times New Roman" w:hAnsi="Times New Roman" w:eastAsia="宋体"/>
                <w:b w:val="0"/>
                <w:bCs w:val="0"/>
                <w:spacing w:val="0"/>
                <w:kern w:val="21"/>
                <w:position w:val="0"/>
                <w:sz w:val="21"/>
                <w:szCs w:val="21"/>
                <w:vertAlign w:val="subscript"/>
                <w:lang w:eastAsia="zh-CN"/>
              </w:rPr>
              <w:t>10</w:t>
            </w:r>
            <w:r>
              <w:rPr>
                <w:rFonts w:hint="eastAsia" w:ascii="Times New Roman" w:hAnsi="Times New Roman" w:eastAsia="宋体"/>
                <w:b w:val="0"/>
                <w:bCs w:val="0"/>
                <w:spacing w:val="0"/>
                <w:kern w:val="21"/>
                <w:position w:val="0"/>
                <w:sz w:val="21"/>
                <w:szCs w:val="21"/>
                <w:vertAlign w:val="baseline"/>
                <w:lang w:eastAsia="zh-CN"/>
              </w:rPr>
              <w:t>、PM</w:t>
            </w:r>
            <w:r>
              <w:rPr>
                <w:rFonts w:hint="eastAsia" w:ascii="Times New Roman" w:hAnsi="Times New Roman" w:eastAsia="宋体"/>
                <w:b w:val="0"/>
                <w:bCs w:val="0"/>
                <w:spacing w:val="0"/>
                <w:kern w:val="21"/>
                <w:position w:val="0"/>
                <w:sz w:val="21"/>
                <w:szCs w:val="21"/>
                <w:vertAlign w:val="subscript"/>
                <w:lang w:eastAsia="zh-CN"/>
              </w:rPr>
              <w:t>2.5</w:t>
            </w:r>
            <w:r>
              <w:rPr>
                <w:rFonts w:hint="eastAsia" w:ascii="Times New Roman" w:hAnsi="Times New Roman" w:eastAsia="宋体"/>
                <w:b w:val="0"/>
                <w:bCs w:val="0"/>
                <w:spacing w:val="0"/>
                <w:kern w:val="21"/>
                <w:position w:val="0"/>
                <w:sz w:val="21"/>
                <w:szCs w:val="21"/>
                <w:vertAlign w:val="baseline"/>
                <w:lang w:eastAsia="zh-CN"/>
              </w:rPr>
              <w:t>、CO、O</w:t>
            </w:r>
            <w:r>
              <w:rPr>
                <w:rFonts w:hint="eastAsia" w:ascii="Times New Roman" w:hAnsi="Times New Roman" w:eastAsia="宋体"/>
                <w:b w:val="0"/>
                <w:bCs w:val="0"/>
                <w:spacing w:val="0"/>
                <w:kern w:val="21"/>
                <w:position w:val="0"/>
                <w:sz w:val="21"/>
                <w:szCs w:val="21"/>
                <w:vertAlign w:val="subscript"/>
                <w:lang w:eastAsia="zh-CN"/>
              </w:rPr>
              <w:t>3</w:t>
            </w:r>
            <w:r>
              <w:rPr>
                <w:rFonts w:hint="eastAsia" w:ascii="Times New Roman" w:hAnsi="Times New Roman" w:eastAsia="宋体"/>
                <w:b w:val="0"/>
                <w:bCs w:val="0"/>
                <w:spacing w:val="0"/>
                <w:kern w:val="21"/>
                <w:position w:val="0"/>
                <w:sz w:val="21"/>
                <w:szCs w:val="21"/>
                <w:vertAlign w:val="baseline"/>
                <w:lang w:eastAsia="zh-CN"/>
              </w:rPr>
              <w:t>、非甲烷总烃、TVOC</w:t>
            </w:r>
          </w:p>
        </w:tc>
        <w:tc>
          <w:tcPr>
            <w:tcW w:w="1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ascii="Times New Roman" w:hAnsi="Times New Roman" w:eastAsia="宋体"/>
                <w:b w:val="0"/>
                <w:bCs w:val="0"/>
                <w:spacing w:val="0"/>
                <w:kern w:val="21"/>
                <w:position w:val="0"/>
                <w:sz w:val="21"/>
                <w:szCs w:val="21"/>
                <w:vertAlign w:val="baseline"/>
                <w:lang w:eastAsia="zh-CN"/>
              </w:rPr>
              <w:t>PM</w:t>
            </w:r>
            <w:r>
              <w:rPr>
                <w:rFonts w:hint="eastAsia" w:ascii="Times New Roman" w:hAnsi="Times New Roman" w:eastAsia="宋体"/>
                <w:b w:val="0"/>
                <w:bCs w:val="0"/>
                <w:spacing w:val="0"/>
                <w:kern w:val="21"/>
                <w:position w:val="0"/>
                <w:sz w:val="21"/>
                <w:szCs w:val="21"/>
                <w:vertAlign w:val="subscript"/>
                <w:lang w:eastAsia="zh-CN"/>
              </w:rPr>
              <w:t>10</w:t>
            </w:r>
            <w:r>
              <w:rPr>
                <w:rFonts w:hint="eastAsia" w:ascii="Times New Roman" w:hAnsi="Times New Roman" w:eastAsia="宋体"/>
                <w:b w:val="0"/>
                <w:bCs w:val="0"/>
                <w:spacing w:val="0"/>
                <w:kern w:val="21"/>
                <w:position w:val="0"/>
                <w:sz w:val="21"/>
                <w:szCs w:val="21"/>
                <w:vertAlign w:val="baseline"/>
                <w:lang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6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eastAsia="zh-CN"/>
              </w:rPr>
              <w:t>水环境</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ascii="Times New Roman" w:hAnsi="Times New Roman" w:eastAsia="宋体"/>
                <w:b w:val="0"/>
                <w:bCs w:val="0"/>
                <w:spacing w:val="0"/>
                <w:kern w:val="21"/>
                <w:position w:val="0"/>
                <w:sz w:val="21"/>
                <w:szCs w:val="21"/>
                <w:vertAlign w:val="baseline"/>
                <w:lang w:eastAsia="zh-CN"/>
              </w:rPr>
              <w:t>pH、色度、COD、BOD</w:t>
            </w:r>
            <w:r>
              <w:rPr>
                <w:rFonts w:hint="eastAsia" w:ascii="Times New Roman" w:hAnsi="Times New Roman" w:eastAsia="宋体"/>
                <w:b w:val="0"/>
                <w:bCs w:val="0"/>
                <w:spacing w:val="0"/>
                <w:kern w:val="21"/>
                <w:position w:val="0"/>
                <w:sz w:val="21"/>
                <w:szCs w:val="21"/>
                <w:vertAlign w:val="subscript"/>
                <w:lang w:eastAsia="zh-CN"/>
              </w:rPr>
              <w:t>5</w:t>
            </w:r>
            <w:r>
              <w:rPr>
                <w:rFonts w:hint="eastAsia" w:ascii="Times New Roman" w:hAnsi="Times New Roman" w:eastAsia="宋体"/>
                <w:b w:val="0"/>
                <w:bCs w:val="0"/>
                <w:spacing w:val="0"/>
                <w:kern w:val="21"/>
                <w:position w:val="0"/>
                <w:sz w:val="21"/>
                <w:szCs w:val="21"/>
                <w:vertAlign w:val="baseline"/>
                <w:lang w:eastAsia="zh-CN"/>
              </w:rPr>
              <w:t>、悬浮物、氨氮、总氮、总磷、</w:t>
            </w:r>
            <w:r>
              <w:rPr>
                <w:rFonts w:hint="eastAsia" w:ascii="Times New Roman" w:hAnsi="Times New Roman"/>
                <w:b w:val="0"/>
                <w:bCs w:val="0"/>
                <w:spacing w:val="0"/>
                <w:kern w:val="21"/>
                <w:position w:val="0"/>
                <w:sz w:val="21"/>
                <w:szCs w:val="21"/>
                <w:vertAlign w:val="baseline"/>
                <w:lang w:eastAsia="zh-CN"/>
              </w:rPr>
              <w:t>总锑、</w:t>
            </w:r>
            <w:r>
              <w:rPr>
                <w:rFonts w:hint="eastAsia" w:ascii="Times New Roman" w:hAnsi="Times New Roman" w:eastAsia="宋体"/>
                <w:b w:val="0"/>
                <w:bCs w:val="0"/>
                <w:spacing w:val="0"/>
                <w:kern w:val="21"/>
                <w:position w:val="0"/>
                <w:sz w:val="21"/>
                <w:szCs w:val="21"/>
                <w:vertAlign w:val="baseline"/>
                <w:lang w:eastAsia="zh-CN"/>
              </w:rPr>
              <w:t>硫化物</w:t>
            </w:r>
          </w:p>
        </w:tc>
        <w:tc>
          <w:tcPr>
            <w:tcW w:w="47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ascii="Times New Roman" w:hAnsi="Times New Roman" w:eastAsia="宋体"/>
                <w:b w:val="0"/>
                <w:bCs w:val="0"/>
                <w:spacing w:val="0"/>
                <w:kern w:val="21"/>
                <w:position w:val="0"/>
                <w:sz w:val="21"/>
                <w:szCs w:val="21"/>
                <w:vertAlign w:val="baseline"/>
                <w:lang w:eastAsia="zh-CN"/>
              </w:rPr>
              <w:t>水温、pH、悬浮物、</w:t>
            </w:r>
            <w:r>
              <w:rPr>
                <w:rFonts w:hint="eastAsia"/>
                <w:b w:val="0"/>
                <w:bCs w:val="0"/>
                <w:spacing w:val="0"/>
                <w:kern w:val="21"/>
                <w:position w:val="0"/>
                <w:sz w:val="21"/>
                <w:szCs w:val="21"/>
                <w:vertAlign w:val="baseline"/>
                <w:lang w:val="en-US" w:eastAsia="zh-CN"/>
              </w:rPr>
              <w:t>COD</w:t>
            </w:r>
            <w:r>
              <w:rPr>
                <w:rFonts w:hint="eastAsia" w:ascii="Times New Roman" w:hAnsi="Times New Roman" w:eastAsia="宋体"/>
                <w:b w:val="0"/>
                <w:bCs w:val="0"/>
                <w:spacing w:val="0"/>
                <w:kern w:val="21"/>
                <w:position w:val="0"/>
                <w:sz w:val="21"/>
                <w:szCs w:val="21"/>
                <w:vertAlign w:val="baseline"/>
                <w:lang w:eastAsia="zh-CN"/>
              </w:rPr>
              <w:t>、</w:t>
            </w:r>
            <w:r>
              <w:rPr>
                <w:rFonts w:hint="eastAsia"/>
                <w:b w:val="0"/>
                <w:bCs w:val="0"/>
                <w:spacing w:val="0"/>
                <w:kern w:val="21"/>
                <w:position w:val="0"/>
                <w:sz w:val="21"/>
                <w:szCs w:val="21"/>
                <w:vertAlign w:val="baseline"/>
                <w:lang w:val="en-US" w:eastAsia="zh-CN"/>
              </w:rPr>
              <w:t>BOD</w:t>
            </w:r>
            <w:r>
              <w:rPr>
                <w:rFonts w:hint="eastAsia"/>
                <w:b w:val="0"/>
                <w:bCs w:val="0"/>
                <w:spacing w:val="0"/>
                <w:kern w:val="21"/>
                <w:position w:val="0"/>
                <w:sz w:val="21"/>
                <w:szCs w:val="21"/>
                <w:vertAlign w:val="subscript"/>
                <w:lang w:val="en-US" w:eastAsia="zh-CN"/>
              </w:rPr>
              <w:t>5</w:t>
            </w:r>
            <w:r>
              <w:rPr>
                <w:rFonts w:hint="eastAsia" w:ascii="Times New Roman" w:hAnsi="Times New Roman" w:eastAsia="宋体"/>
                <w:b w:val="0"/>
                <w:bCs w:val="0"/>
                <w:spacing w:val="0"/>
                <w:kern w:val="21"/>
                <w:position w:val="0"/>
                <w:sz w:val="21"/>
                <w:szCs w:val="21"/>
                <w:vertAlign w:val="baseline"/>
                <w:lang w:eastAsia="zh-CN"/>
              </w:rPr>
              <w:t>、溶解氧、石油类、氰化物、硫化物、挥发性酚、亚硝酸盐氮、硝酸盐氮、氨氮、活性磷酸盐、二氧化氯、可吸附有机卤化物（AOX）、六价铬、苯胺类</w:t>
            </w:r>
          </w:p>
        </w:tc>
        <w:tc>
          <w:tcPr>
            <w:tcW w:w="1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val="en-US" w:eastAsia="zh-CN"/>
              </w:rPr>
              <w:t>pH、色度、COD、BOD</w:t>
            </w:r>
            <w:r>
              <w:rPr>
                <w:rFonts w:hint="eastAsia"/>
                <w:b w:val="0"/>
                <w:bCs w:val="0"/>
                <w:spacing w:val="0"/>
                <w:kern w:val="21"/>
                <w:position w:val="0"/>
                <w:sz w:val="21"/>
                <w:szCs w:val="21"/>
                <w:vertAlign w:val="subscript"/>
                <w:lang w:val="en-US" w:eastAsia="zh-CN"/>
              </w:rPr>
              <w:t>5</w:t>
            </w:r>
            <w:r>
              <w:rPr>
                <w:rFonts w:hint="eastAsia"/>
                <w:b w:val="0"/>
                <w:bCs w:val="0"/>
                <w:spacing w:val="0"/>
                <w:kern w:val="21"/>
                <w:position w:val="0"/>
                <w:sz w:val="21"/>
                <w:szCs w:val="21"/>
                <w:vertAlign w:val="baseline"/>
                <w:lang w:val="en-US" w:eastAsia="zh-CN"/>
              </w:rPr>
              <w:t>、悬浮物、氨氮、总氮、总磷、总锑、硫化物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eastAsia="zh-CN"/>
              </w:rPr>
              <w:t>地下水环境</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b w:val="0"/>
                <w:bCs w:val="0"/>
                <w:spacing w:val="0"/>
                <w:kern w:val="21"/>
                <w:position w:val="0"/>
                <w:sz w:val="21"/>
                <w:szCs w:val="21"/>
                <w:vertAlign w:val="baseline"/>
                <w:lang w:val="en-US" w:eastAsia="zh-CN"/>
              </w:rPr>
              <w:t>/</w:t>
            </w:r>
          </w:p>
        </w:tc>
        <w:tc>
          <w:tcPr>
            <w:tcW w:w="47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ascii="Times New Roman" w:hAnsi="Times New Roman" w:eastAsia="宋体"/>
                <w:b w:val="0"/>
                <w:bCs w:val="0"/>
                <w:spacing w:val="0"/>
                <w:kern w:val="21"/>
                <w:position w:val="0"/>
                <w:sz w:val="21"/>
                <w:szCs w:val="21"/>
                <w:vertAlign w:val="baseline"/>
                <w:lang w:eastAsia="zh-CN"/>
              </w:rPr>
              <w:t>pH、耗氧量、氨氮、总硬度、硫化物、挥发酚、硝酸盐氮、亚硝酸盐氮、溶解性总固体、铜、铁、锰、钠、锌、阴离子表面活性剂汞、氯化物、硫酸盐、汞、砷、镉、铅、二氧化氯、硫化物、AOX、苯胺类、锑、六价铬</w:t>
            </w:r>
          </w:p>
        </w:tc>
        <w:tc>
          <w:tcPr>
            <w:tcW w:w="1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b w:val="0"/>
                <w:bCs w:val="0"/>
                <w:spacing w:val="0"/>
                <w:kern w:val="21"/>
                <w:position w:val="0"/>
                <w:sz w:val="21"/>
                <w:szCs w:val="21"/>
                <w:vertAlign w:val="baseline"/>
                <w:lang w:val="en-US" w:eastAsia="zh-CN"/>
              </w:rPr>
              <w:t>COD、氨氮、总锑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eastAsia="zh-CN"/>
              </w:rPr>
              <w:t>声环境</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b w:val="0"/>
                <w:bCs w:val="0"/>
                <w:spacing w:val="0"/>
                <w:kern w:val="21"/>
                <w:position w:val="0"/>
                <w:sz w:val="21"/>
                <w:szCs w:val="21"/>
                <w:vertAlign w:val="baseline"/>
                <w:lang w:eastAsia="zh-CN"/>
              </w:rPr>
              <w:t>等效</w:t>
            </w:r>
            <w:r>
              <w:rPr>
                <w:rFonts w:hint="eastAsia"/>
                <w:b w:val="0"/>
                <w:bCs w:val="0"/>
                <w:spacing w:val="0"/>
                <w:kern w:val="21"/>
                <w:position w:val="0"/>
                <w:sz w:val="21"/>
                <w:szCs w:val="21"/>
                <w:vertAlign w:val="baseline"/>
                <w:lang w:val="en-US" w:eastAsia="zh-CN"/>
              </w:rPr>
              <w:t>A声级</w:t>
            </w:r>
          </w:p>
        </w:tc>
        <w:tc>
          <w:tcPr>
            <w:tcW w:w="47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ascii="Times New Roman" w:hAnsi="Times New Roman" w:eastAsia="宋体"/>
                <w:b w:val="0"/>
                <w:bCs w:val="0"/>
                <w:spacing w:val="0"/>
                <w:kern w:val="21"/>
                <w:position w:val="0"/>
                <w:sz w:val="21"/>
                <w:szCs w:val="21"/>
                <w:vertAlign w:val="baseline"/>
                <w:lang w:eastAsia="zh-CN"/>
              </w:rPr>
              <w:t>等效连续A声级LAeq</w:t>
            </w:r>
          </w:p>
        </w:tc>
        <w:tc>
          <w:tcPr>
            <w:tcW w:w="1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ascii="Times New Roman" w:hAnsi="Times New Roman" w:eastAsia="宋体"/>
                <w:b w:val="0"/>
                <w:bCs w:val="0"/>
                <w:spacing w:val="0"/>
                <w:kern w:val="21"/>
                <w:position w:val="0"/>
                <w:sz w:val="21"/>
                <w:szCs w:val="21"/>
                <w:vertAlign w:val="baseline"/>
                <w:lang w:eastAsia="zh-CN"/>
              </w:rPr>
              <w:t>等效连续A声级LAeq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eastAsia="zh-CN"/>
              </w:rPr>
              <w:t>固体废物</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eastAsia="zh-CN"/>
              </w:rPr>
              <w:t>一般固体废物、危险固废</w:t>
            </w:r>
          </w:p>
        </w:tc>
        <w:tc>
          <w:tcPr>
            <w:tcW w:w="47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b w:val="0"/>
                <w:bCs w:val="0"/>
                <w:spacing w:val="0"/>
                <w:kern w:val="21"/>
                <w:position w:val="0"/>
                <w:sz w:val="21"/>
                <w:szCs w:val="21"/>
                <w:vertAlign w:val="baseline"/>
                <w:lang w:val="en-US" w:eastAsia="zh-CN"/>
              </w:rPr>
              <w:t>/</w:t>
            </w:r>
          </w:p>
        </w:tc>
        <w:tc>
          <w:tcPr>
            <w:tcW w:w="1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b w:val="0"/>
                <w:bCs w:val="0"/>
                <w:spacing w:val="0"/>
                <w:kern w:val="21"/>
                <w:position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b w:val="0"/>
                <w:bCs w:val="0"/>
                <w:spacing w:val="0"/>
                <w:kern w:val="21"/>
                <w:position w:val="0"/>
                <w:sz w:val="21"/>
                <w:szCs w:val="21"/>
                <w:vertAlign w:val="baseline"/>
                <w:lang w:eastAsia="zh-CN"/>
              </w:rPr>
              <w:t>土壤环境</w:t>
            </w:r>
          </w:p>
        </w:tc>
        <w:tc>
          <w:tcPr>
            <w:tcW w:w="18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b w:val="0"/>
                <w:bCs w:val="0"/>
                <w:spacing w:val="0"/>
                <w:kern w:val="21"/>
                <w:position w:val="0"/>
                <w:sz w:val="21"/>
                <w:szCs w:val="21"/>
                <w:vertAlign w:val="baseline"/>
                <w:lang w:val="en-US" w:eastAsia="zh-CN"/>
              </w:rPr>
              <w:t>/</w:t>
            </w:r>
          </w:p>
        </w:tc>
        <w:tc>
          <w:tcPr>
            <w:tcW w:w="47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kern w:val="21"/>
                <w:position w:val="0"/>
                <w:sz w:val="21"/>
                <w:szCs w:val="21"/>
                <w:vertAlign w:val="baseline"/>
                <w:lang w:eastAsia="zh-CN"/>
              </w:rPr>
            </w:pPr>
            <w:r>
              <w:rPr>
                <w:rFonts w:hint="eastAsia" w:ascii="Times New Roman" w:hAnsi="Times New Roman" w:eastAsia="宋体"/>
                <w:b w:val="0"/>
                <w:bCs w:val="0"/>
                <w:spacing w:val="0"/>
                <w:kern w:val="21"/>
                <w:position w:val="0"/>
                <w:sz w:val="21"/>
                <w:szCs w:val="21"/>
                <w:vertAlign w:val="baseline"/>
                <w:lang w:eastAsia="zh-CN"/>
              </w:rPr>
              <w:t>GB36600-2018表1的45项因子、pH、锑</w:t>
            </w:r>
          </w:p>
        </w:tc>
        <w:tc>
          <w:tcPr>
            <w:tcW w:w="1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kern w:val="21"/>
                <w:position w:val="0"/>
                <w:sz w:val="21"/>
                <w:szCs w:val="21"/>
                <w:vertAlign w:val="baseline"/>
                <w:lang w:val="en-US" w:eastAsia="zh-CN"/>
              </w:rPr>
            </w:pPr>
            <w:r>
              <w:rPr>
                <w:rFonts w:hint="eastAsia"/>
                <w:b w:val="0"/>
                <w:bCs w:val="0"/>
                <w:spacing w:val="0"/>
                <w:kern w:val="21"/>
                <w:position w:val="0"/>
                <w:sz w:val="21"/>
                <w:szCs w:val="21"/>
                <w:vertAlign w:val="baseline"/>
                <w:lang w:val="en-US" w:eastAsia="zh-CN"/>
              </w:rPr>
              <w:t>/</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b/>
          <w:bCs/>
          <w:spacing w:val="0"/>
          <w:position w:val="0"/>
          <w:sz w:val="30"/>
          <w:szCs w:val="30"/>
          <w:lang w:val="en-US" w:eastAsia="zh-CN"/>
        </w:rPr>
      </w:pPr>
      <w:r>
        <w:rPr>
          <w:rFonts w:hint="eastAsia"/>
          <w:b/>
          <w:bCs/>
          <w:spacing w:val="0"/>
          <w:position w:val="0"/>
          <w:sz w:val="30"/>
          <w:szCs w:val="30"/>
          <w:lang w:eastAsia="zh-CN"/>
        </w:rPr>
        <w:t>2.4</w:t>
      </w:r>
      <w:r>
        <w:rPr>
          <w:rFonts w:hint="eastAsia"/>
          <w:b/>
          <w:bCs/>
          <w:spacing w:val="0"/>
          <w:position w:val="0"/>
          <w:sz w:val="30"/>
          <w:szCs w:val="30"/>
          <w:lang w:val="en-US" w:eastAsia="zh-CN"/>
        </w:rPr>
        <w:t>评价等级及评价范围</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2.4</w:t>
      </w:r>
      <w:r>
        <w:rPr>
          <w:rFonts w:hint="eastAsia"/>
          <w:b/>
          <w:bCs/>
          <w:spacing w:val="0"/>
          <w:position w:val="0"/>
          <w:sz w:val="28"/>
          <w:szCs w:val="28"/>
          <w:lang w:val="en-US" w:eastAsia="zh-CN"/>
        </w:rPr>
        <w:t>.1大气环境</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2.4.1.1评价等级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根据工程分析结果选择PM</w:t>
      </w:r>
      <w:r>
        <w:rPr>
          <w:rFonts w:hint="eastAsia"/>
          <w:b w:val="0"/>
          <w:bCs w:val="0"/>
          <w:i w:val="0"/>
          <w:iCs w:val="0"/>
          <w:spacing w:val="0"/>
          <w:position w:val="0"/>
          <w:sz w:val="24"/>
          <w:szCs w:val="24"/>
          <w:vertAlign w:val="subscript"/>
          <w:lang w:eastAsia="zh-CN"/>
        </w:rPr>
        <w:t>10</w:t>
      </w:r>
      <w:r>
        <w:rPr>
          <w:rFonts w:hint="eastAsia"/>
          <w:b w:val="0"/>
          <w:bCs w:val="0"/>
          <w:spacing w:val="0"/>
          <w:position w:val="0"/>
          <w:sz w:val="24"/>
          <w:szCs w:val="24"/>
          <w:lang w:eastAsia="zh-CN"/>
        </w:rPr>
        <w:t>、NMHC作为主要污染物，按照《环境影响评价技术导则大气环境》（HJ2.2-2018）规定，分别计算每一种污染物的最大地面浓度占标率</w:t>
      </w:r>
      <w:r>
        <w:rPr>
          <w:rFonts w:hint="eastAsia"/>
          <w:b w:val="0"/>
          <w:bCs w:val="0"/>
          <w:i/>
          <w:iCs/>
          <w:spacing w:val="0"/>
          <w:position w:val="0"/>
          <w:sz w:val="24"/>
          <w:szCs w:val="24"/>
          <w:lang w:eastAsia="zh-CN"/>
        </w:rPr>
        <w:t>P</w:t>
      </w:r>
      <w:r>
        <w:rPr>
          <w:rFonts w:hint="eastAsia"/>
          <w:b w:val="0"/>
          <w:bCs w:val="0"/>
          <w:i/>
          <w:iCs/>
          <w:spacing w:val="0"/>
          <w:position w:val="0"/>
          <w:sz w:val="16"/>
          <w:szCs w:val="16"/>
          <w:lang w:eastAsia="zh-CN"/>
        </w:rPr>
        <w:t>i</w:t>
      </w:r>
      <w:r>
        <w:rPr>
          <w:rFonts w:hint="eastAsia"/>
          <w:b w:val="0"/>
          <w:bCs w:val="0"/>
          <w:spacing w:val="0"/>
          <w:position w:val="0"/>
          <w:sz w:val="24"/>
          <w:szCs w:val="24"/>
          <w:lang w:eastAsia="zh-CN"/>
        </w:rPr>
        <w:t>（第</w:t>
      </w:r>
      <w:r>
        <w:rPr>
          <w:rFonts w:hint="eastAsia"/>
          <w:b w:val="0"/>
          <w:bCs w:val="0"/>
          <w:i/>
          <w:iCs/>
          <w:spacing w:val="0"/>
          <w:position w:val="0"/>
          <w:sz w:val="24"/>
          <w:szCs w:val="24"/>
          <w:lang w:eastAsia="zh-CN"/>
        </w:rPr>
        <w:t>i</w:t>
      </w:r>
      <w:r>
        <w:rPr>
          <w:rFonts w:hint="eastAsia"/>
          <w:b w:val="0"/>
          <w:bCs w:val="0"/>
          <w:spacing w:val="0"/>
          <w:position w:val="0"/>
          <w:sz w:val="24"/>
          <w:szCs w:val="24"/>
          <w:lang w:eastAsia="zh-CN"/>
        </w:rPr>
        <w:t>个污染物），及第</w:t>
      </w:r>
      <w:r>
        <w:rPr>
          <w:rFonts w:hint="eastAsia"/>
          <w:b w:val="0"/>
          <w:bCs w:val="0"/>
          <w:i/>
          <w:iCs/>
          <w:spacing w:val="0"/>
          <w:position w:val="0"/>
          <w:sz w:val="24"/>
          <w:szCs w:val="24"/>
          <w:lang w:eastAsia="zh-CN"/>
        </w:rPr>
        <w:t>i</w:t>
      </w:r>
      <w:r>
        <w:rPr>
          <w:rFonts w:hint="eastAsia"/>
          <w:b w:val="0"/>
          <w:bCs w:val="0"/>
          <w:spacing w:val="0"/>
          <w:position w:val="0"/>
          <w:sz w:val="24"/>
          <w:szCs w:val="24"/>
          <w:lang w:eastAsia="zh-CN"/>
        </w:rPr>
        <w:t>个污染物的地面浓度达标准限值10%时所对应的最远距离D</w:t>
      </w:r>
      <w:r>
        <w:rPr>
          <w:rFonts w:hint="eastAsia"/>
          <w:b w:val="0"/>
          <w:bCs w:val="0"/>
          <w:spacing w:val="0"/>
          <w:position w:val="0"/>
          <w:sz w:val="24"/>
          <w:szCs w:val="24"/>
          <w:vertAlign w:val="subscript"/>
          <w:lang w:eastAsia="zh-CN"/>
        </w:rPr>
        <w:t>10%</w:t>
      </w:r>
      <w:r>
        <w:rPr>
          <w:rFonts w:hint="eastAsia"/>
          <w:b w:val="0"/>
          <w:bCs w:val="0"/>
          <w:spacing w:val="0"/>
          <w:position w:val="0"/>
          <w:sz w:val="24"/>
          <w:szCs w:val="24"/>
          <w:lang w:eastAsia="zh-CN"/>
        </w:rPr>
        <w:t>，其中</w:t>
      </w:r>
      <w:r>
        <w:rPr>
          <w:rFonts w:hint="eastAsia"/>
          <w:b w:val="0"/>
          <w:bCs w:val="0"/>
          <w:i/>
          <w:iCs/>
          <w:spacing w:val="0"/>
          <w:position w:val="0"/>
          <w:sz w:val="24"/>
          <w:szCs w:val="24"/>
          <w:lang w:eastAsia="zh-CN"/>
        </w:rPr>
        <w:t>P</w:t>
      </w:r>
      <w:r>
        <w:rPr>
          <w:rFonts w:hint="eastAsia"/>
          <w:b w:val="0"/>
          <w:bCs w:val="0"/>
          <w:i/>
          <w:iCs/>
          <w:spacing w:val="0"/>
          <w:position w:val="0"/>
          <w:sz w:val="16"/>
          <w:szCs w:val="16"/>
          <w:lang w:val="en-US" w:eastAsia="zh-CN"/>
        </w:rPr>
        <w:t>i</w:t>
      </w:r>
      <w:r>
        <w:rPr>
          <w:rFonts w:hint="eastAsia"/>
          <w:b w:val="0"/>
          <w:bCs w:val="0"/>
          <w:spacing w:val="0"/>
          <w:position w:val="0"/>
          <w:sz w:val="24"/>
          <w:szCs w:val="24"/>
          <w:lang w:eastAsia="zh-CN"/>
        </w:rPr>
        <w:t>定义为：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outlineLvl w:val="9"/>
        <w:rPr>
          <w:rFonts w:hint="eastAsia"/>
          <w:b w:val="0"/>
          <w:bCs w:val="0"/>
          <w:spacing w:val="0"/>
          <w:position w:val="0"/>
          <w:sz w:val="24"/>
          <w:szCs w:val="24"/>
          <w:lang w:eastAsia="zh-CN"/>
        </w:rPr>
      </w:pPr>
      <w:r>
        <w:rPr>
          <w:rFonts w:hint="eastAsia"/>
          <w:b w:val="0"/>
          <w:bCs w:val="0"/>
          <w:i/>
          <w:iCs/>
          <w:spacing w:val="0"/>
          <w:position w:val="0"/>
          <w:sz w:val="24"/>
          <w:szCs w:val="24"/>
          <w:lang w:eastAsia="zh-CN"/>
        </w:rPr>
        <w:t>P</w:t>
      </w:r>
      <w:r>
        <w:rPr>
          <w:rFonts w:hint="eastAsia"/>
          <w:b w:val="0"/>
          <w:bCs w:val="0"/>
          <w:i/>
          <w:iCs/>
          <w:spacing w:val="0"/>
          <w:position w:val="0"/>
          <w:sz w:val="16"/>
          <w:szCs w:val="16"/>
          <w:lang w:eastAsia="zh-CN"/>
        </w:rPr>
        <w:t>i</w:t>
      </w:r>
      <w:r>
        <w:rPr>
          <w:rFonts w:hint="eastAsia"/>
          <w:b w:val="0"/>
          <w:bCs w:val="0"/>
          <w:spacing w:val="0"/>
          <w:position w:val="0"/>
          <w:sz w:val="24"/>
          <w:szCs w:val="24"/>
          <w:lang w:eastAsia="zh-CN"/>
        </w:rPr>
        <w:t>＝(</w:t>
      </w:r>
      <w:r>
        <w:rPr>
          <w:rFonts w:hint="eastAsia"/>
          <w:b w:val="0"/>
          <w:bCs w:val="0"/>
          <w:i/>
          <w:iCs/>
          <w:spacing w:val="0"/>
          <w:position w:val="0"/>
          <w:sz w:val="24"/>
          <w:szCs w:val="24"/>
          <w:lang w:eastAsia="zh-CN"/>
        </w:rPr>
        <w:t>C</w:t>
      </w:r>
      <w:r>
        <w:rPr>
          <w:rFonts w:hint="eastAsia"/>
          <w:b w:val="0"/>
          <w:bCs w:val="0"/>
          <w:i/>
          <w:iCs/>
          <w:spacing w:val="0"/>
          <w:position w:val="0"/>
          <w:sz w:val="16"/>
          <w:szCs w:val="16"/>
          <w:lang w:eastAsia="zh-CN"/>
        </w:rPr>
        <w:t>i</w:t>
      </w:r>
      <w:r>
        <w:rPr>
          <w:rFonts w:hint="eastAsia"/>
          <w:b w:val="0"/>
          <w:bCs w:val="0"/>
          <w:spacing w:val="0"/>
          <w:position w:val="0"/>
          <w:sz w:val="24"/>
          <w:szCs w:val="24"/>
          <w:lang w:eastAsia="zh-CN"/>
        </w:rPr>
        <w:t>/</w:t>
      </w:r>
      <w:r>
        <w:rPr>
          <w:rFonts w:hint="eastAsia"/>
          <w:b w:val="0"/>
          <w:bCs w:val="0"/>
          <w:i/>
          <w:iCs/>
          <w:spacing w:val="0"/>
          <w:position w:val="0"/>
          <w:sz w:val="24"/>
          <w:szCs w:val="24"/>
          <w:lang w:eastAsia="zh-CN"/>
        </w:rPr>
        <w:t>C</w:t>
      </w:r>
      <w:r>
        <w:rPr>
          <w:rFonts w:hint="eastAsia"/>
          <w:b w:val="0"/>
          <w:bCs w:val="0"/>
          <w:i/>
          <w:iCs/>
          <w:spacing w:val="0"/>
          <w:position w:val="0"/>
          <w:sz w:val="16"/>
          <w:szCs w:val="16"/>
          <w:lang w:eastAsia="zh-CN"/>
        </w:rPr>
        <w:t>0i</w:t>
      </w:r>
      <w:r>
        <w:rPr>
          <w:rFonts w:hint="eastAsia"/>
          <w:b w:val="0"/>
          <w:bCs w:val="0"/>
          <w:spacing w:val="0"/>
          <w:position w:val="0"/>
          <w:sz w:val="24"/>
          <w:szCs w:val="24"/>
          <w:lang w:eastAsia="zh-CN"/>
        </w:rPr>
        <w:t>)×100%</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式中：</w:t>
      </w:r>
      <w:r>
        <w:rPr>
          <w:rFonts w:hint="eastAsia"/>
          <w:b w:val="0"/>
          <w:bCs w:val="0"/>
          <w:i/>
          <w:iCs/>
          <w:spacing w:val="0"/>
          <w:position w:val="0"/>
          <w:sz w:val="24"/>
          <w:szCs w:val="24"/>
          <w:lang w:eastAsia="zh-CN"/>
        </w:rPr>
        <w:t>P</w:t>
      </w:r>
      <w:r>
        <w:rPr>
          <w:rFonts w:hint="eastAsia"/>
          <w:b w:val="0"/>
          <w:bCs w:val="0"/>
          <w:i/>
          <w:iCs/>
          <w:spacing w:val="0"/>
          <w:position w:val="0"/>
          <w:sz w:val="16"/>
          <w:szCs w:val="16"/>
          <w:lang w:eastAsia="zh-CN"/>
        </w:rPr>
        <w:t>i</w:t>
      </w:r>
      <w:r>
        <w:rPr>
          <w:rFonts w:hint="eastAsia"/>
          <w:b w:val="0"/>
          <w:bCs w:val="0"/>
          <w:spacing w:val="0"/>
          <w:position w:val="0"/>
          <w:sz w:val="24"/>
          <w:szCs w:val="24"/>
          <w:lang w:eastAsia="zh-CN"/>
        </w:rPr>
        <w:t>——第</w:t>
      </w:r>
      <w:r>
        <w:rPr>
          <w:rFonts w:hint="eastAsia"/>
          <w:b w:val="0"/>
          <w:bCs w:val="0"/>
          <w:i/>
          <w:iCs/>
          <w:spacing w:val="0"/>
          <w:position w:val="0"/>
          <w:sz w:val="24"/>
          <w:szCs w:val="24"/>
          <w:lang w:eastAsia="zh-CN"/>
        </w:rPr>
        <w:t>i</w:t>
      </w:r>
      <w:r>
        <w:rPr>
          <w:rFonts w:hint="eastAsia"/>
          <w:b w:val="0"/>
          <w:bCs w:val="0"/>
          <w:spacing w:val="0"/>
          <w:position w:val="0"/>
          <w:sz w:val="24"/>
          <w:szCs w:val="24"/>
          <w:lang w:eastAsia="zh-CN"/>
        </w:rPr>
        <w:t>个污染物的最大地面浓度占标率，%；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i/>
          <w:iCs/>
          <w:spacing w:val="0"/>
          <w:position w:val="0"/>
          <w:sz w:val="24"/>
          <w:szCs w:val="24"/>
          <w:lang w:eastAsia="zh-CN"/>
        </w:rPr>
        <w:t>C</w:t>
      </w:r>
      <w:r>
        <w:rPr>
          <w:rFonts w:hint="eastAsia"/>
          <w:b w:val="0"/>
          <w:bCs w:val="0"/>
          <w:i/>
          <w:iCs/>
          <w:spacing w:val="0"/>
          <w:position w:val="0"/>
          <w:sz w:val="16"/>
          <w:szCs w:val="16"/>
          <w:lang w:eastAsia="zh-CN"/>
        </w:rPr>
        <w:t>i</w:t>
      </w:r>
      <w:r>
        <w:rPr>
          <w:rFonts w:hint="eastAsia"/>
          <w:b w:val="0"/>
          <w:bCs w:val="0"/>
          <w:spacing w:val="0"/>
          <w:position w:val="0"/>
          <w:sz w:val="24"/>
          <w:szCs w:val="24"/>
          <w:lang w:eastAsia="zh-CN"/>
        </w:rPr>
        <w:t>——采用估算模式计算出的第i个污染物的最大地面浓度，mg/m</w:t>
      </w:r>
      <w:r>
        <w:rPr>
          <w:rFonts w:hint="eastAsia"/>
          <w:b w:val="0"/>
          <w:bCs w:val="0"/>
          <w:spacing w:val="0"/>
          <w:position w:val="0"/>
          <w:sz w:val="24"/>
          <w:szCs w:val="24"/>
          <w:vertAlign w:val="superscript"/>
          <w:lang w:eastAsia="zh-CN"/>
        </w:rPr>
        <w:t>3</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i/>
          <w:iCs/>
          <w:spacing w:val="0"/>
          <w:position w:val="0"/>
          <w:sz w:val="24"/>
          <w:szCs w:val="24"/>
          <w:lang w:eastAsia="zh-CN"/>
        </w:rPr>
        <w:t>C</w:t>
      </w:r>
      <w:r>
        <w:rPr>
          <w:rFonts w:hint="eastAsia"/>
          <w:b w:val="0"/>
          <w:bCs w:val="0"/>
          <w:i/>
          <w:iCs/>
          <w:spacing w:val="0"/>
          <w:position w:val="0"/>
          <w:sz w:val="16"/>
          <w:szCs w:val="16"/>
          <w:lang w:eastAsia="zh-CN"/>
        </w:rPr>
        <w:t>i</w:t>
      </w:r>
      <w:r>
        <w:rPr>
          <w:rFonts w:hint="eastAsia"/>
          <w:b w:val="0"/>
          <w:bCs w:val="0"/>
          <w:spacing w:val="0"/>
          <w:position w:val="0"/>
          <w:sz w:val="24"/>
          <w:szCs w:val="24"/>
          <w:lang w:eastAsia="zh-CN"/>
        </w:rPr>
        <w:t>——第</w:t>
      </w:r>
      <w:r>
        <w:rPr>
          <w:rFonts w:hint="eastAsia"/>
          <w:b w:val="0"/>
          <w:bCs w:val="0"/>
          <w:i/>
          <w:iCs/>
          <w:spacing w:val="0"/>
          <w:position w:val="0"/>
          <w:sz w:val="24"/>
          <w:szCs w:val="24"/>
          <w:lang w:eastAsia="zh-CN"/>
        </w:rPr>
        <w:t>i</w:t>
      </w:r>
      <w:r>
        <w:rPr>
          <w:rFonts w:hint="eastAsia"/>
          <w:b w:val="0"/>
          <w:bCs w:val="0"/>
          <w:spacing w:val="0"/>
          <w:position w:val="0"/>
          <w:sz w:val="24"/>
          <w:szCs w:val="24"/>
          <w:lang w:eastAsia="zh-CN"/>
        </w:rPr>
        <w:t>个污染物的环境空气质量标准，mg/m</w:t>
      </w:r>
      <w:r>
        <w:rPr>
          <w:rFonts w:hint="eastAsia"/>
          <w:b w:val="0"/>
          <w:bCs w:val="0"/>
          <w:spacing w:val="0"/>
          <w:position w:val="0"/>
          <w:sz w:val="24"/>
          <w:szCs w:val="24"/>
          <w:vertAlign w:val="superscript"/>
          <w:lang w:eastAsia="zh-CN"/>
        </w:rPr>
        <w:t>3</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i/>
          <w:iCs/>
          <w:spacing w:val="0"/>
          <w:position w:val="0"/>
          <w:sz w:val="24"/>
          <w:szCs w:val="24"/>
          <w:lang w:eastAsia="zh-CN"/>
        </w:rPr>
        <w:t>C</w:t>
      </w:r>
      <w:r>
        <w:rPr>
          <w:rFonts w:hint="eastAsia"/>
          <w:b w:val="0"/>
          <w:bCs w:val="0"/>
          <w:i/>
          <w:iCs/>
          <w:spacing w:val="0"/>
          <w:position w:val="0"/>
          <w:sz w:val="16"/>
          <w:szCs w:val="16"/>
          <w:lang w:eastAsia="zh-CN"/>
        </w:rPr>
        <w:t>0i</w:t>
      </w:r>
      <w:r>
        <w:rPr>
          <w:rFonts w:hint="eastAsia"/>
          <w:b w:val="0"/>
          <w:bCs w:val="0"/>
          <w:spacing w:val="0"/>
          <w:position w:val="0"/>
          <w:sz w:val="24"/>
          <w:szCs w:val="24"/>
          <w:lang w:eastAsia="zh-CN"/>
        </w:rPr>
        <w:t>——般选用GB3095-2012中1小时平均取样时间的二级标准的浓度限值。</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eastAsia="zh-CN"/>
        </w:rPr>
        <w:t>表</w:t>
      </w:r>
      <w:r>
        <w:rPr>
          <w:rFonts w:hint="eastAsia"/>
          <w:b/>
          <w:bCs/>
          <w:spacing w:val="0"/>
          <w:position w:val="0"/>
          <w:sz w:val="24"/>
          <w:szCs w:val="24"/>
          <w:lang w:val="en-US" w:eastAsia="zh-CN"/>
        </w:rPr>
        <w:t>2.4-1估算模型参数表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402"/>
        <w:gridCol w:w="3159"/>
        <w:gridCol w:w="31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参数</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取值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城市/农村选项</w:t>
            </w: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城市/农村</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人口数（城市选项时）</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eastAsia="宋体"/>
                <w:spacing w:val="0"/>
                <w:w w:val="100"/>
                <w:kern w:val="21"/>
                <w:position w:val="0"/>
                <w:sz w:val="21"/>
                <w:szCs w:val="21"/>
                <w:lang w:val="en-US" w:eastAsia="zh-CN"/>
              </w:rPr>
            </w:pPr>
            <w:r>
              <w:rPr>
                <w:rFonts w:ascii="Times New Roman" w:hAnsi="Times New Roman" w:eastAsia="宋体"/>
                <w:spacing w:val="0"/>
                <w:w w:val="100"/>
                <w:kern w:val="21"/>
                <w:position w:val="0"/>
                <w:sz w:val="21"/>
                <w:szCs w:val="21"/>
              </w:rPr>
              <w:t>63.94</w:t>
            </w:r>
            <w:r>
              <w:rPr>
                <w:rFonts w:hint="eastAsia" w:ascii="Times New Roman" w:hAnsi="Times New Roman"/>
                <w:spacing w:val="0"/>
                <w:w w:val="100"/>
                <w:kern w:val="21"/>
                <w:position w:val="0"/>
                <w:sz w:val="21"/>
                <w:szCs w:val="21"/>
                <w:lang w:val="en-US" w:eastAsia="zh-CN"/>
              </w:rPr>
              <w:t>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最高环境温度/℃</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最低环境温度/℃</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允许使用的最小风速/ m/s</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土地利用类型</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区域湿度条件</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潮湿气候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地形数据分辨率</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是否考虑海岸线熏烟</w:t>
            </w: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是/否</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海岸线距离/m</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海岸线方向/°</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9"/>
        <w:rPr>
          <w:rFonts w:hint="eastAsia" w:ascii="Times New Roman" w:hAnsi="Times New Roman" w:eastAsia="宋体"/>
          <w:b w:val="0"/>
          <w:bCs w:val="0"/>
          <w:spacing w:val="0"/>
          <w:positio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b/>
          <w:bCs/>
          <w:spacing w:val="0"/>
          <w:position w:val="0"/>
          <w:sz w:val="24"/>
          <w:szCs w:val="24"/>
          <w:lang w:val="en-US" w:eastAsia="zh-CN"/>
        </w:rPr>
      </w:pPr>
      <w:r>
        <w:rPr>
          <w:rFonts w:hint="eastAsia"/>
          <w:b/>
          <w:bCs/>
          <w:spacing w:val="0"/>
          <w:position w:val="0"/>
          <w:sz w:val="24"/>
          <w:szCs w:val="24"/>
          <w:lang w:eastAsia="zh-CN"/>
        </w:rPr>
        <w:t>图</w:t>
      </w:r>
      <w:r>
        <w:rPr>
          <w:rFonts w:hint="eastAsia"/>
          <w:b/>
          <w:bCs/>
          <w:spacing w:val="0"/>
          <w:position w:val="0"/>
          <w:sz w:val="24"/>
          <w:szCs w:val="24"/>
          <w:lang w:val="en-US" w:eastAsia="zh-CN"/>
        </w:rPr>
        <w:t>2.4-1筛选计算使用地形高程示意图（略）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b w:val="0"/>
          <w:bCs w:val="0"/>
          <w:spacing w:val="0"/>
          <w:position w:val="0"/>
          <w:sz w:val="24"/>
          <w:szCs w:val="24"/>
          <w:lang w:eastAsia="zh-CN"/>
        </w:rPr>
      </w:pPr>
      <w:r>
        <w:rPr>
          <w:rFonts w:hint="eastAsia" w:ascii="Times New Roman" w:hAnsi="Times New Roman" w:eastAsia="宋体"/>
          <w:b w:val="0"/>
          <w:bCs w:val="0"/>
          <w:spacing w:val="0"/>
          <w:position w:val="0"/>
          <w:sz w:val="24"/>
          <w:szCs w:val="24"/>
          <w:lang w:eastAsia="zh-CN"/>
        </w:rPr>
        <w:t>根据本项目废气污染源排放情况，估算大气污染物最大落地浓度Cm（mg/m</w:t>
      </w:r>
      <w:r>
        <w:rPr>
          <w:rFonts w:hint="eastAsia" w:ascii="Times New Roman" w:hAnsi="Times New Roman" w:eastAsia="宋体"/>
          <w:b w:val="0"/>
          <w:bCs w:val="0"/>
          <w:spacing w:val="0"/>
          <w:position w:val="0"/>
          <w:sz w:val="24"/>
          <w:szCs w:val="24"/>
          <w:vertAlign w:val="superscript"/>
          <w:lang w:eastAsia="zh-CN"/>
        </w:rPr>
        <w:t>3</w:t>
      </w:r>
      <w:r>
        <w:rPr>
          <w:rFonts w:hint="eastAsia" w:ascii="Times New Roman" w:hAnsi="Times New Roman" w:eastAsia="宋体"/>
          <w:b w:val="0"/>
          <w:bCs w:val="0"/>
          <w:spacing w:val="0"/>
          <w:position w:val="0"/>
          <w:sz w:val="24"/>
          <w:szCs w:val="24"/>
          <w:lang w:eastAsia="zh-CN"/>
        </w:rPr>
        <w:t>）以及对应的占标率Pi（%）、达标准限值10%时所对应的最远距离D</w:t>
      </w:r>
      <w:r>
        <w:rPr>
          <w:rFonts w:hint="eastAsia" w:ascii="Times New Roman" w:hAnsi="Times New Roman" w:eastAsia="宋体"/>
          <w:b w:val="0"/>
          <w:bCs w:val="0"/>
          <w:spacing w:val="0"/>
          <w:position w:val="0"/>
          <w:sz w:val="24"/>
          <w:szCs w:val="24"/>
          <w:vertAlign w:val="subscript"/>
          <w:lang w:eastAsia="zh-CN"/>
        </w:rPr>
        <w:t>10%</w:t>
      </w:r>
      <w:r>
        <w:rPr>
          <w:rFonts w:hint="eastAsia" w:ascii="Times New Roman" w:hAnsi="Times New Roman" w:eastAsia="宋体"/>
          <w:b w:val="0"/>
          <w:bCs w:val="0"/>
          <w:spacing w:val="0"/>
          <w:position w:val="0"/>
          <w:sz w:val="24"/>
          <w:szCs w:val="24"/>
          <w:lang w:eastAsia="zh-CN"/>
        </w:rPr>
        <w:t>（m），估算的预测结果如表</w:t>
      </w:r>
      <w:r>
        <w:rPr>
          <w:rFonts w:hint="eastAsia"/>
          <w:b w:val="0"/>
          <w:bCs w:val="0"/>
          <w:spacing w:val="0"/>
          <w:position w:val="0"/>
          <w:sz w:val="24"/>
          <w:szCs w:val="24"/>
          <w:lang w:eastAsia="zh-CN"/>
        </w:rPr>
        <w:t>2.4</w:t>
      </w:r>
      <w:r>
        <w:rPr>
          <w:rFonts w:hint="eastAsia" w:ascii="Times New Roman" w:hAnsi="Times New Roman" w:eastAsia="宋体"/>
          <w:b w:val="0"/>
          <w:bCs w:val="0"/>
          <w:spacing w:val="0"/>
          <w:position w:val="0"/>
          <w:sz w:val="24"/>
          <w:szCs w:val="24"/>
          <w:lang w:eastAsia="zh-CN"/>
        </w:rPr>
        <w:t>-2所示。</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b/>
          <w:bCs/>
          <w:spacing w:val="0"/>
          <w:position w:val="0"/>
          <w:sz w:val="24"/>
          <w:szCs w:val="24"/>
          <w:vertAlign w:val="baseline"/>
          <w:lang w:eastAsia="zh-CN"/>
        </w:rPr>
      </w:pPr>
      <w:r>
        <w:rPr>
          <w:rFonts w:hint="eastAsia" w:ascii="Times New Roman" w:hAnsi="Times New Roman" w:eastAsia="宋体"/>
          <w:b/>
          <w:bCs/>
          <w:spacing w:val="0"/>
          <w:position w:val="0"/>
          <w:sz w:val="24"/>
          <w:szCs w:val="24"/>
          <w:lang w:eastAsia="zh-CN"/>
        </w:rPr>
        <w:t>表</w:t>
      </w:r>
      <w:r>
        <w:rPr>
          <w:rFonts w:hint="eastAsia"/>
          <w:b/>
          <w:bCs/>
          <w:spacing w:val="0"/>
          <w:position w:val="0"/>
          <w:sz w:val="24"/>
          <w:szCs w:val="24"/>
          <w:lang w:eastAsia="zh-CN"/>
        </w:rPr>
        <w:t>2.4</w:t>
      </w:r>
      <w:r>
        <w:rPr>
          <w:rFonts w:hint="eastAsia" w:ascii="Times New Roman" w:hAnsi="Times New Roman" w:eastAsia="宋体"/>
          <w:b/>
          <w:bCs/>
          <w:spacing w:val="0"/>
          <w:position w:val="0"/>
          <w:sz w:val="24"/>
          <w:szCs w:val="24"/>
          <w:lang w:eastAsia="zh-CN"/>
        </w:rPr>
        <w:t>-2本项目筛选计算结果一览表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2"/>
        <w:gridCol w:w="1139"/>
        <w:gridCol w:w="737"/>
        <w:gridCol w:w="1184"/>
        <w:gridCol w:w="957"/>
        <w:gridCol w:w="1079"/>
        <w:gridCol w:w="1079"/>
        <w:gridCol w:w="1079"/>
        <w:gridCol w:w="1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序号</w:t>
            </w:r>
          </w:p>
        </w:tc>
        <w:tc>
          <w:tcPr>
            <w:tcW w:w="11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排放源名称</w:t>
            </w:r>
          </w:p>
        </w:tc>
        <w:tc>
          <w:tcPr>
            <w:tcW w:w="7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污染源类型</w:t>
            </w:r>
          </w:p>
        </w:tc>
        <w:tc>
          <w:tcPr>
            <w:tcW w:w="1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污染物名称</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i/>
                <w:iCs/>
                <w:spacing w:val="0"/>
                <w:position w:val="0"/>
                <w:sz w:val="21"/>
                <w:szCs w:val="21"/>
                <w:vertAlign w:val="subscript"/>
                <w:lang w:eastAsia="zh-CN"/>
              </w:rPr>
            </w:pPr>
            <w:r>
              <w:rPr>
                <w:rFonts w:hint="eastAsia"/>
                <w:b/>
                <w:bCs/>
                <w:i/>
                <w:iCs/>
                <w:spacing w:val="0"/>
                <w:position w:val="0"/>
                <w:sz w:val="21"/>
                <w:szCs w:val="21"/>
                <w:lang w:eastAsia="zh-CN"/>
              </w:rPr>
              <w:t>C</w:t>
            </w:r>
            <w:r>
              <w:rPr>
                <w:rFonts w:hint="eastAsia"/>
                <w:b/>
                <w:bCs/>
                <w:i/>
                <w:iCs/>
                <w:spacing w:val="0"/>
                <w:position w:val="0"/>
                <w:sz w:val="21"/>
                <w:szCs w:val="21"/>
                <w:vertAlign w:val="subscript"/>
                <w:lang w:eastAsia="zh-CN"/>
              </w:rPr>
              <w:t>i</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i w:val="0"/>
                <w:iCs w:val="0"/>
                <w:spacing w:val="0"/>
                <w:position w:val="0"/>
                <w:sz w:val="21"/>
                <w:szCs w:val="21"/>
                <w:vertAlign w:val="baseline"/>
                <w:lang w:val="en-US" w:eastAsia="zh-CN"/>
              </w:rPr>
            </w:pPr>
            <w:r>
              <w:rPr>
                <w:rFonts w:hint="default" w:ascii="Times New Roman" w:hAnsi="Times New Roman" w:cs="Times New Roman"/>
                <w:b/>
                <w:bCs/>
                <w:i w:val="0"/>
                <w:iCs w:val="0"/>
                <w:spacing w:val="0"/>
                <w:position w:val="0"/>
                <w:sz w:val="21"/>
                <w:szCs w:val="21"/>
                <w:vertAlign w:val="baseline"/>
                <w:lang w:eastAsia="zh-CN"/>
              </w:rPr>
              <w:t>（μg/m</w:t>
            </w:r>
            <w:r>
              <w:rPr>
                <w:rFonts w:hint="default" w:ascii="Times New Roman" w:hAnsi="Times New Roman" w:cs="Times New Roman"/>
                <w:b/>
                <w:bCs/>
                <w:i w:val="0"/>
                <w:iCs w:val="0"/>
                <w:spacing w:val="0"/>
                <w:position w:val="0"/>
                <w:sz w:val="21"/>
                <w:szCs w:val="21"/>
                <w:vertAlign w:val="superscript"/>
                <w:lang w:eastAsia="zh-CN"/>
              </w:rPr>
              <w:t>3</w:t>
            </w:r>
            <w:r>
              <w:rPr>
                <w:rFonts w:hint="default" w:ascii="Times New Roman" w:hAnsi="Times New Roman" w:cs="Times New Roman"/>
                <w:b/>
                <w:bCs/>
                <w:i w:val="0"/>
                <w:iCs w:val="0"/>
                <w:spacing w:val="0"/>
                <w:position w:val="0"/>
                <w:sz w:val="21"/>
                <w:szCs w:val="21"/>
                <w:vertAlign w:val="baseline"/>
                <w:lang w:eastAsia="zh-CN"/>
              </w:rPr>
              <w:t>）</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i/>
                <w:iCs/>
                <w:spacing w:val="0"/>
                <w:position w:val="0"/>
                <w:sz w:val="21"/>
                <w:szCs w:val="21"/>
                <w:vertAlign w:val="subscript"/>
                <w:lang w:eastAsia="zh-CN"/>
              </w:rPr>
            </w:pPr>
            <w:r>
              <w:rPr>
                <w:rFonts w:hint="eastAsia"/>
                <w:b/>
                <w:bCs/>
                <w:i/>
                <w:iCs/>
                <w:spacing w:val="0"/>
                <w:position w:val="0"/>
                <w:sz w:val="21"/>
                <w:szCs w:val="21"/>
                <w:lang w:eastAsia="zh-CN"/>
              </w:rPr>
              <w:t>C</w:t>
            </w:r>
            <w:r>
              <w:rPr>
                <w:rFonts w:hint="eastAsia"/>
                <w:b/>
                <w:bCs/>
                <w:i/>
                <w:iCs/>
                <w:spacing w:val="0"/>
                <w:position w:val="0"/>
                <w:sz w:val="21"/>
                <w:szCs w:val="21"/>
                <w:vertAlign w:val="subscript"/>
                <w:lang w:eastAsia="zh-CN"/>
              </w:rPr>
              <w:t>0i</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eastAsia="zh-CN"/>
              </w:rPr>
            </w:pPr>
            <w:r>
              <w:rPr>
                <w:rFonts w:hint="default" w:ascii="Times New Roman" w:hAnsi="Times New Roman" w:cs="Times New Roman"/>
                <w:b/>
                <w:bCs/>
                <w:i w:val="0"/>
                <w:iCs w:val="0"/>
                <w:spacing w:val="0"/>
                <w:position w:val="0"/>
                <w:sz w:val="21"/>
                <w:szCs w:val="21"/>
                <w:vertAlign w:val="baseline"/>
                <w:lang w:eastAsia="zh-CN"/>
              </w:rPr>
              <w:t>（μg/m</w:t>
            </w:r>
            <w:r>
              <w:rPr>
                <w:rFonts w:hint="default" w:ascii="Times New Roman" w:hAnsi="Times New Roman" w:cs="Times New Roman"/>
                <w:b/>
                <w:bCs/>
                <w:i w:val="0"/>
                <w:iCs w:val="0"/>
                <w:spacing w:val="0"/>
                <w:position w:val="0"/>
                <w:sz w:val="21"/>
                <w:szCs w:val="21"/>
                <w:vertAlign w:val="superscript"/>
                <w:lang w:eastAsia="zh-CN"/>
              </w:rPr>
              <w:t>3</w:t>
            </w:r>
            <w:r>
              <w:rPr>
                <w:rFonts w:hint="default" w:ascii="Times New Roman" w:hAnsi="Times New Roman" w:cs="Times New Roman"/>
                <w:b/>
                <w:bCs/>
                <w:i w:val="0"/>
                <w:iCs w:val="0"/>
                <w:spacing w:val="0"/>
                <w:position w:val="0"/>
                <w:sz w:val="21"/>
                <w:szCs w:val="21"/>
                <w:vertAlign w:val="baseline"/>
                <w:lang w:eastAsia="zh-CN"/>
              </w:rPr>
              <w:t>）</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i/>
                <w:iCs/>
                <w:spacing w:val="0"/>
                <w:position w:val="0"/>
                <w:sz w:val="21"/>
                <w:szCs w:val="21"/>
                <w:lang w:eastAsia="zh-CN"/>
              </w:rPr>
            </w:pPr>
            <w:r>
              <w:rPr>
                <w:rFonts w:hint="eastAsia"/>
                <w:b/>
                <w:bCs/>
                <w:spacing w:val="0"/>
                <w:position w:val="0"/>
                <w:sz w:val="21"/>
                <w:szCs w:val="21"/>
                <w:vertAlign w:val="baseline"/>
                <w:lang w:val="en-US" w:eastAsia="zh-CN"/>
              </w:rPr>
              <w:t>占标率</w:t>
            </w:r>
            <w:r>
              <w:rPr>
                <w:rFonts w:hint="eastAsia"/>
                <w:b/>
                <w:bCs/>
                <w:i/>
                <w:iCs/>
                <w:spacing w:val="0"/>
                <w:position w:val="0"/>
                <w:sz w:val="21"/>
                <w:szCs w:val="21"/>
                <w:lang w:eastAsia="zh-CN"/>
              </w:rPr>
              <w:t>Pi</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default" w:ascii="Times New Roman" w:hAnsi="Times New Roman" w:cs="Times New Roman"/>
                <w:b/>
                <w:bCs/>
                <w:i w:val="0"/>
                <w:iCs w:val="0"/>
                <w:spacing w:val="0"/>
                <w:position w:val="0"/>
                <w:sz w:val="21"/>
                <w:szCs w:val="21"/>
                <w:vertAlign w:val="baseline"/>
                <w:lang w:eastAsia="zh-CN"/>
              </w:rPr>
              <w:t>（</w:t>
            </w:r>
            <w:r>
              <w:rPr>
                <w:rFonts w:hint="eastAsia" w:cs="Times New Roman"/>
                <w:b/>
                <w:bCs/>
                <w:i w:val="0"/>
                <w:iCs w:val="0"/>
                <w:spacing w:val="0"/>
                <w:position w:val="0"/>
                <w:sz w:val="21"/>
                <w:szCs w:val="21"/>
                <w:vertAlign w:val="baseline"/>
                <w:lang w:val="en-US" w:eastAsia="zh-CN"/>
              </w:rPr>
              <w:t>%</w:t>
            </w:r>
            <w:r>
              <w:rPr>
                <w:rFonts w:hint="default" w:ascii="Times New Roman" w:hAnsi="Times New Roman" w:cs="Times New Roman"/>
                <w:b/>
                <w:bCs/>
                <w:i w:val="0"/>
                <w:iCs w:val="0"/>
                <w:spacing w:val="0"/>
                <w:position w:val="0"/>
                <w:sz w:val="21"/>
                <w:szCs w:val="21"/>
                <w:vertAlign w:val="baseline"/>
                <w:lang w:eastAsia="zh-CN"/>
              </w:rPr>
              <w:t>）</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i/>
                <w:iCs/>
                <w:spacing w:val="0"/>
                <w:position w:val="0"/>
                <w:sz w:val="21"/>
                <w:szCs w:val="21"/>
                <w:vertAlign w:val="subscript"/>
                <w:lang w:val="en-US" w:eastAsia="zh-CN"/>
              </w:rPr>
            </w:pPr>
            <w:r>
              <w:rPr>
                <w:rFonts w:hint="eastAsia"/>
                <w:b/>
                <w:bCs/>
                <w:i/>
                <w:iCs/>
                <w:spacing w:val="0"/>
                <w:position w:val="0"/>
                <w:sz w:val="21"/>
                <w:szCs w:val="21"/>
                <w:vertAlign w:val="baseline"/>
                <w:lang w:val="en-US" w:eastAsia="zh-CN"/>
              </w:rPr>
              <w:t>D</w:t>
            </w:r>
            <w:r>
              <w:rPr>
                <w:rFonts w:hint="eastAsia"/>
                <w:b/>
                <w:bCs/>
                <w:i/>
                <w:iCs/>
                <w:spacing w:val="0"/>
                <w:position w:val="0"/>
                <w:sz w:val="21"/>
                <w:szCs w:val="21"/>
                <w:vertAlign w:val="subscript"/>
                <w:lang w:val="en-US" w:eastAsia="zh-CN"/>
              </w:rPr>
              <w:t>10%</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（m）</w:t>
            </w:r>
          </w:p>
        </w:tc>
        <w:tc>
          <w:tcPr>
            <w:tcW w:w="1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判定评价等级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89" w:type="dxa"/>
            <w:gridSpan w:val="9"/>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有组织废气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113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DA001</w:t>
            </w:r>
          </w:p>
        </w:tc>
        <w:tc>
          <w:tcPr>
            <w:tcW w:w="7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点源</w:t>
            </w:r>
          </w:p>
        </w:tc>
        <w:tc>
          <w:tcPr>
            <w:tcW w:w="1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subscript"/>
                <w:lang w:val="en-US" w:eastAsia="zh-CN"/>
              </w:rPr>
            </w:pPr>
            <w:r>
              <w:rPr>
                <w:rFonts w:hint="eastAsia"/>
                <w:b w:val="0"/>
                <w:bCs w:val="0"/>
                <w:spacing w:val="0"/>
                <w:position w:val="0"/>
                <w:sz w:val="21"/>
                <w:szCs w:val="21"/>
                <w:vertAlign w:val="baseline"/>
                <w:lang w:val="en-US" w:eastAsia="zh-CN"/>
              </w:rPr>
              <w:t>PM</w:t>
            </w:r>
            <w:r>
              <w:rPr>
                <w:rFonts w:hint="eastAsia"/>
                <w:b w:val="0"/>
                <w:bCs w:val="0"/>
                <w:spacing w:val="0"/>
                <w:position w:val="0"/>
                <w:sz w:val="21"/>
                <w:szCs w:val="21"/>
                <w:vertAlign w:val="subscript"/>
                <w:lang w:val="en-US" w:eastAsia="zh-CN"/>
              </w:rPr>
              <w:t>10</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5.7084</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450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1.27</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w:t>
            </w:r>
          </w:p>
        </w:tc>
        <w:tc>
          <w:tcPr>
            <w:tcW w:w="1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113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1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非甲烷总烃</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3.4796</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2000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0.17</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w:t>
            </w:r>
          </w:p>
        </w:tc>
        <w:tc>
          <w:tcPr>
            <w:tcW w:w="1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13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DA002</w:t>
            </w:r>
          </w:p>
        </w:tc>
        <w:tc>
          <w:tcPr>
            <w:tcW w:w="7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点源</w:t>
            </w:r>
          </w:p>
        </w:tc>
        <w:tc>
          <w:tcPr>
            <w:tcW w:w="1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PM</w:t>
            </w:r>
            <w:r>
              <w:rPr>
                <w:rFonts w:hint="eastAsia"/>
                <w:b w:val="0"/>
                <w:bCs w:val="0"/>
                <w:spacing w:val="0"/>
                <w:position w:val="0"/>
                <w:sz w:val="21"/>
                <w:szCs w:val="21"/>
                <w:vertAlign w:val="subscript"/>
                <w:lang w:val="en-US" w:eastAsia="zh-CN"/>
              </w:rPr>
              <w:t>10</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5.0649</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450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1.13</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w:t>
            </w:r>
          </w:p>
        </w:tc>
        <w:tc>
          <w:tcPr>
            <w:tcW w:w="1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113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1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非甲烷总烃</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3.0870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2000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0.15</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w:t>
            </w:r>
          </w:p>
        </w:tc>
        <w:tc>
          <w:tcPr>
            <w:tcW w:w="1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89" w:type="dxa"/>
            <w:gridSpan w:val="9"/>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无组织废气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w:t>
            </w:r>
          </w:p>
        </w:tc>
        <w:tc>
          <w:tcPr>
            <w:tcW w:w="11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后整理车间</w:t>
            </w:r>
          </w:p>
        </w:tc>
        <w:tc>
          <w:tcPr>
            <w:tcW w:w="7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面源</w:t>
            </w:r>
          </w:p>
        </w:tc>
        <w:tc>
          <w:tcPr>
            <w:tcW w:w="1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PM</w:t>
            </w:r>
            <w:r>
              <w:rPr>
                <w:rFonts w:hint="eastAsia"/>
                <w:b w:val="0"/>
                <w:bCs w:val="0"/>
                <w:spacing w:val="0"/>
                <w:position w:val="0"/>
                <w:sz w:val="21"/>
                <w:szCs w:val="21"/>
                <w:vertAlign w:val="subscript"/>
                <w:lang w:val="en-US" w:eastAsia="zh-CN"/>
              </w:rPr>
              <w:t>10</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24.3240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450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5.41</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w:t>
            </w:r>
          </w:p>
        </w:tc>
        <w:tc>
          <w:tcPr>
            <w:tcW w:w="1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w:t>
            </w:r>
          </w:p>
        </w:tc>
        <w:tc>
          <w:tcPr>
            <w:tcW w:w="11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印花及蒸化车间</w:t>
            </w:r>
          </w:p>
        </w:tc>
        <w:tc>
          <w:tcPr>
            <w:tcW w:w="7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面源</w:t>
            </w:r>
          </w:p>
        </w:tc>
        <w:tc>
          <w:tcPr>
            <w:tcW w:w="1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非甲烷总烃</w:t>
            </w:r>
          </w:p>
        </w:tc>
        <w:tc>
          <w:tcPr>
            <w:tcW w:w="9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7.1279</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2000</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0.36</w:t>
            </w:r>
          </w:p>
        </w:tc>
        <w:tc>
          <w:tcPr>
            <w:tcW w:w="10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w:t>
            </w:r>
          </w:p>
        </w:tc>
        <w:tc>
          <w:tcPr>
            <w:tcW w:w="1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eastAsia="zh-CN"/>
              </w:rPr>
            </w:pPr>
            <w:r>
              <w:rPr>
                <w:rFonts w:hint="eastAsia"/>
                <w:b w:val="0"/>
                <w:bCs w:val="0"/>
                <w:spacing w:val="0"/>
                <w:position w:val="0"/>
                <w:sz w:val="21"/>
                <w:szCs w:val="21"/>
                <w:vertAlign w:val="baseline"/>
                <w:lang w:val="en-US" w:eastAsia="zh-CN"/>
              </w:rPr>
              <w:t>三级</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b w:val="0"/>
          <w:bCs w:val="0"/>
          <w:spacing w:val="0"/>
          <w:position w:val="0"/>
          <w:sz w:val="24"/>
          <w:szCs w:val="24"/>
          <w:lang w:val="en-US" w:eastAsia="zh-CN"/>
        </w:rPr>
      </w:pPr>
      <w:r>
        <w:rPr>
          <w:rFonts w:hint="eastAsia"/>
          <w:b w:val="0"/>
          <w:bCs w:val="0"/>
          <w:spacing w:val="0"/>
          <w:position w:val="0"/>
          <w:sz w:val="24"/>
          <w:szCs w:val="24"/>
          <w:lang w:val="en-US" w:eastAsia="zh-CN"/>
        </w:rPr>
        <w:t>项目排放的各废气污染源中，筛选计算各污染源中占标率最大源为后整理车间无组织排放的PM</w:t>
      </w:r>
      <w:r>
        <w:rPr>
          <w:rFonts w:hint="eastAsia"/>
          <w:b w:val="0"/>
          <w:bCs w:val="0"/>
          <w:spacing w:val="0"/>
          <w:position w:val="0"/>
          <w:sz w:val="24"/>
          <w:szCs w:val="24"/>
          <w:vertAlign w:val="subscript"/>
          <w:lang w:val="en-US" w:eastAsia="zh-CN"/>
        </w:rPr>
        <w:t>10</w:t>
      </w:r>
      <w:r>
        <w:rPr>
          <w:rFonts w:hint="eastAsia"/>
          <w:b w:val="0"/>
          <w:bCs w:val="0"/>
          <w:spacing w:val="0"/>
          <w:position w:val="0"/>
          <w:sz w:val="24"/>
          <w:szCs w:val="24"/>
          <w:vertAlign w:val="baseline"/>
          <w:lang w:val="en-US" w:eastAsia="zh-CN"/>
        </w:rPr>
        <w:t>，其对应1%&lt;P</w:t>
      </w:r>
      <w:r>
        <w:rPr>
          <w:rFonts w:hint="eastAsia"/>
          <w:b w:val="0"/>
          <w:bCs w:val="0"/>
          <w:spacing w:val="0"/>
          <w:position w:val="0"/>
          <w:sz w:val="24"/>
          <w:szCs w:val="24"/>
          <w:vertAlign w:val="subscript"/>
          <w:lang w:val="en-US" w:eastAsia="zh-CN"/>
        </w:rPr>
        <w:t>max</w:t>
      </w:r>
      <w:r>
        <w:rPr>
          <w:rFonts w:hint="eastAsia"/>
          <w:b w:val="0"/>
          <w:bCs w:val="0"/>
          <w:spacing w:val="0"/>
          <w:position w:val="0"/>
          <w:sz w:val="24"/>
          <w:szCs w:val="24"/>
          <w:vertAlign w:val="baseline"/>
          <w:lang w:val="en-US" w:eastAsia="zh-CN"/>
        </w:rPr>
        <w:t>=5.41%&lt;10%，由此确定评价等级为二级。</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2.4.1.2评价范围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w:t>
      </w:r>
      <w:r>
        <w:rPr>
          <w:rFonts w:hint="eastAsia"/>
          <w:b w:val="0"/>
          <w:bCs w:val="0"/>
          <w:spacing w:val="0"/>
          <w:position w:val="0"/>
          <w:sz w:val="24"/>
          <w:szCs w:val="24"/>
          <w:lang w:val="en-US" w:eastAsia="zh-CN"/>
        </w:rPr>
        <w:t>确定评价标准为二级评价，根据《环境影响评价技术导则大气环境》（HJ2.2-2018）</w:t>
      </w:r>
      <w:r>
        <w:rPr>
          <w:rFonts w:hint="eastAsia"/>
          <w:b w:val="0"/>
          <w:bCs w:val="0"/>
          <w:spacing w:val="0"/>
          <w:position w:val="0"/>
          <w:sz w:val="24"/>
          <w:szCs w:val="24"/>
          <w:lang w:eastAsia="zh-CN"/>
        </w:rPr>
        <w:t>评价范围为以厂区为中心，边长</w:t>
      </w:r>
      <w:r>
        <w:rPr>
          <w:rFonts w:hint="eastAsia"/>
          <w:b w:val="0"/>
          <w:bCs w:val="0"/>
          <w:spacing w:val="0"/>
          <w:position w:val="0"/>
          <w:sz w:val="24"/>
          <w:szCs w:val="24"/>
          <w:lang w:val="en-US" w:eastAsia="zh-CN"/>
        </w:rPr>
        <w:t>取</w:t>
      </w:r>
      <w:r>
        <w:rPr>
          <w:rFonts w:hint="eastAsia"/>
          <w:b w:val="0"/>
          <w:bCs w:val="0"/>
          <w:spacing w:val="0"/>
          <w:position w:val="0"/>
          <w:sz w:val="24"/>
          <w:szCs w:val="24"/>
          <w:lang w:eastAsia="zh-CN"/>
        </w:rPr>
        <w:t>5km的矩形区域，如图2.5-1所示。</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2.4</w:t>
      </w:r>
      <w:r>
        <w:rPr>
          <w:rFonts w:hint="eastAsia"/>
          <w:b/>
          <w:bCs/>
          <w:spacing w:val="0"/>
          <w:position w:val="0"/>
          <w:sz w:val="28"/>
          <w:szCs w:val="28"/>
          <w:lang w:val="en-US" w:eastAsia="zh-CN"/>
        </w:rPr>
        <w:t>.2地表水环境</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2.4.2.1评价等级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本项目属于水污染影响型建设项目，废水经分质分流收集后排入连江可门绿色纺织产业园污水处理厂，废水中排放的污染物为pH、COD、悬浮物、色度等，水质复杂程度属于中等类型。根据《环境影响评价技术导则 地表水环境》（HJ2.4-2018）地表水环境影响评价工作等级的水污染影响型建设项目评价等级判分方法，该项目为间接排放建设项目，水环境影响评价等级为三级B。</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b/>
          <w:bCs/>
          <w:spacing w:val="0"/>
          <w:position w:val="0"/>
          <w:sz w:val="24"/>
          <w:szCs w:val="24"/>
          <w:lang w:eastAsia="zh-CN"/>
        </w:rPr>
      </w:pPr>
      <w:r>
        <w:rPr>
          <w:rFonts w:hint="eastAsia" w:ascii="Times New Roman" w:hAnsi="Times New Roman" w:eastAsia="宋体"/>
          <w:b/>
          <w:bCs/>
          <w:spacing w:val="0"/>
          <w:position w:val="0"/>
          <w:sz w:val="24"/>
          <w:szCs w:val="24"/>
          <w:lang w:eastAsia="zh-CN"/>
        </w:rPr>
        <w:t>表</w:t>
      </w:r>
      <w:r>
        <w:rPr>
          <w:rFonts w:hint="eastAsia"/>
          <w:b/>
          <w:bCs/>
          <w:spacing w:val="0"/>
          <w:position w:val="0"/>
          <w:sz w:val="24"/>
          <w:szCs w:val="24"/>
          <w:lang w:eastAsia="zh-CN"/>
        </w:rPr>
        <w:t>2.4</w:t>
      </w:r>
      <w:r>
        <w:rPr>
          <w:rFonts w:hint="eastAsia" w:ascii="Times New Roman" w:hAnsi="Times New Roman" w:eastAsia="宋体"/>
          <w:b/>
          <w:bCs/>
          <w:spacing w:val="0"/>
          <w:position w:val="0"/>
          <w:sz w:val="24"/>
          <w:szCs w:val="24"/>
          <w:lang w:eastAsia="zh-CN"/>
        </w:rPr>
        <w:t>-</w:t>
      </w:r>
      <w:r>
        <w:rPr>
          <w:rFonts w:hint="eastAsia" w:ascii="Times New Roman" w:hAnsi="Times New Roman" w:eastAsia="宋体"/>
          <w:b/>
          <w:bCs/>
          <w:spacing w:val="0"/>
          <w:position w:val="0"/>
          <w:sz w:val="24"/>
          <w:szCs w:val="24"/>
          <w:lang w:val="en-US" w:eastAsia="zh-CN"/>
        </w:rPr>
        <w:t>3</w:t>
      </w:r>
      <w:r>
        <w:rPr>
          <w:rFonts w:hint="eastAsia" w:ascii="Times New Roman" w:hAnsi="Times New Roman" w:eastAsia="宋体"/>
          <w:b/>
          <w:bCs/>
          <w:spacing w:val="0"/>
          <w:position w:val="0"/>
          <w:sz w:val="24"/>
          <w:szCs w:val="24"/>
          <w:lang w:eastAsia="zh-CN"/>
        </w:rPr>
        <w:t>水污染影响型建设项目地表水评价等级判定表</w:t>
      </w:r>
    </w:p>
    <w:tbl>
      <w:tblPr>
        <w:tblStyle w:val="16"/>
        <w:tblW w:w="500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19"/>
        <w:gridCol w:w="1512"/>
        <w:gridCol w:w="55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9"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评价等级</w:t>
            </w:r>
          </w:p>
        </w:tc>
        <w:tc>
          <w:tcPr>
            <w:tcW w:w="7080"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判定依据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szCs w:val="2"/>
              </w:rPr>
            </w:pPr>
          </w:p>
        </w:tc>
        <w:tc>
          <w:tcPr>
            <w:tcW w:w="151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排放方式</w:t>
            </w:r>
          </w:p>
        </w:tc>
        <w:tc>
          <w:tcPr>
            <w:tcW w:w="55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废水排放量</w:t>
            </w:r>
            <w:r>
              <w:rPr>
                <w:rFonts w:ascii="Times New Roman" w:eastAsia="Times New Roman"/>
                <w:spacing w:val="0"/>
                <w:w w:val="100"/>
                <w:kern w:val="21"/>
                <w:position w:val="0"/>
                <w:sz w:val="21"/>
              </w:rPr>
              <w:t>Q/</w:t>
            </w:r>
            <w:r>
              <w:rPr>
                <w:spacing w:val="0"/>
                <w:w w:val="100"/>
                <w:kern w:val="21"/>
                <w:position w:val="0"/>
                <w:sz w:val="21"/>
              </w:rPr>
              <w:t>（</w:t>
            </w:r>
            <w:r>
              <w:rPr>
                <w:rFonts w:ascii="Times New Roman" w:eastAsia="Times New Roman"/>
                <w:spacing w:val="0"/>
                <w:w w:val="100"/>
                <w:kern w:val="21"/>
                <w:position w:val="0"/>
                <w:sz w:val="21"/>
              </w:rPr>
              <w:t>m</w:t>
            </w:r>
            <w:r>
              <w:rPr>
                <w:rFonts w:ascii="Times New Roman" w:eastAsia="Times New Roman"/>
                <w:spacing w:val="0"/>
                <w:w w:val="100"/>
                <w:kern w:val="21"/>
                <w:position w:val="0"/>
                <w:sz w:val="21"/>
                <w:vertAlign w:val="superscript"/>
              </w:rPr>
              <w:t>3</w:t>
            </w:r>
            <w:r>
              <w:rPr>
                <w:rFonts w:ascii="Times New Roman" w:eastAsia="Times New Roman"/>
                <w:spacing w:val="0"/>
                <w:w w:val="100"/>
                <w:kern w:val="21"/>
                <w:position w:val="0"/>
                <w:sz w:val="21"/>
              </w:rPr>
              <w:t>/d</w:t>
            </w:r>
            <w:r>
              <w:rPr>
                <w:spacing w:val="0"/>
                <w:w w:val="100"/>
                <w:kern w:val="21"/>
                <w:position w:val="0"/>
                <w:sz w:val="21"/>
              </w:rPr>
              <w:t>）；水污染物当量数</w:t>
            </w:r>
            <w:r>
              <w:rPr>
                <w:rFonts w:ascii="Times New Roman" w:eastAsia="Times New Roman"/>
                <w:spacing w:val="0"/>
                <w:w w:val="100"/>
                <w:kern w:val="21"/>
                <w:position w:val="0"/>
                <w:sz w:val="21"/>
              </w:rPr>
              <w:t>W/</w:t>
            </w:r>
            <w:r>
              <w:rPr>
                <w:spacing w:val="0"/>
                <w:w w:val="100"/>
                <w:kern w:val="21"/>
                <w:position w:val="0"/>
                <w:sz w:val="21"/>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一级</w:t>
            </w:r>
          </w:p>
        </w:tc>
        <w:tc>
          <w:tcPr>
            <w:tcW w:w="151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直接排放</w:t>
            </w:r>
          </w:p>
        </w:tc>
        <w:tc>
          <w:tcPr>
            <w:tcW w:w="55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Times New Roman"/>
                <w:spacing w:val="0"/>
                <w:w w:val="100"/>
                <w:kern w:val="21"/>
                <w:position w:val="0"/>
                <w:sz w:val="21"/>
              </w:rPr>
            </w:pPr>
            <w:r>
              <w:rPr>
                <w:rFonts w:ascii="Times New Roman" w:hAnsi="Times New Roman" w:eastAsia="Times New Roman"/>
                <w:spacing w:val="0"/>
                <w:w w:val="100"/>
                <w:kern w:val="21"/>
                <w:position w:val="0"/>
                <w:sz w:val="21"/>
              </w:rPr>
              <w:t>Q</w:t>
            </w:r>
            <w:r>
              <w:rPr>
                <w:spacing w:val="0"/>
                <w:w w:val="100"/>
                <w:kern w:val="21"/>
                <w:position w:val="0"/>
                <w:sz w:val="21"/>
              </w:rPr>
              <w:t>≥</w:t>
            </w:r>
            <w:r>
              <w:rPr>
                <w:rFonts w:ascii="Times New Roman" w:hAnsi="Times New Roman" w:eastAsia="Times New Roman"/>
                <w:spacing w:val="0"/>
                <w:w w:val="100"/>
                <w:kern w:val="21"/>
                <w:position w:val="0"/>
                <w:sz w:val="21"/>
              </w:rPr>
              <w:t xml:space="preserve">20000 </w:t>
            </w:r>
            <w:r>
              <w:rPr>
                <w:spacing w:val="0"/>
                <w:w w:val="100"/>
                <w:kern w:val="21"/>
                <w:position w:val="0"/>
                <w:sz w:val="21"/>
              </w:rPr>
              <w:t xml:space="preserve">或 </w:t>
            </w:r>
            <w:r>
              <w:rPr>
                <w:rFonts w:ascii="Times New Roman" w:hAnsi="Times New Roman" w:eastAsia="Times New Roman"/>
                <w:spacing w:val="0"/>
                <w:w w:val="100"/>
                <w:kern w:val="21"/>
                <w:position w:val="0"/>
                <w:sz w:val="21"/>
              </w:rPr>
              <w:t>W</w:t>
            </w:r>
            <w:r>
              <w:rPr>
                <w:spacing w:val="0"/>
                <w:w w:val="100"/>
                <w:kern w:val="21"/>
                <w:position w:val="0"/>
                <w:sz w:val="21"/>
              </w:rPr>
              <w:t>≥</w:t>
            </w:r>
            <w:r>
              <w:rPr>
                <w:rFonts w:ascii="Times New Roman" w:hAnsi="Times New Roman" w:eastAsia="Times New Roman"/>
                <w:spacing w:val="0"/>
                <w:w w:val="100"/>
                <w:kern w:val="21"/>
                <w:position w:val="0"/>
                <w:sz w:val="21"/>
              </w:rPr>
              <w:t>600000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二级</w:t>
            </w:r>
          </w:p>
        </w:tc>
        <w:tc>
          <w:tcPr>
            <w:tcW w:w="151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直接排放</w:t>
            </w:r>
          </w:p>
        </w:tc>
        <w:tc>
          <w:tcPr>
            <w:tcW w:w="55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eastAsia="Times New Roman"/>
                <w:spacing w:val="0"/>
                <w:w w:val="100"/>
                <w:kern w:val="21"/>
                <w:position w:val="0"/>
                <w:sz w:val="21"/>
              </w:rPr>
            </w:pPr>
            <w:r>
              <w:rPr>
                <w:spacing w:val="0"/>
                <w:w w:val="100"/>
                <w:kern w:val="21"/>
                <w:position w:val="0"/>
                <w:sz w:val="21"/>
              </w:rPr>
              <w:t xml:space="preserve">三级 </w:t>
            </w:r>
            <w:r>
              <w:rPr>
                <w:rFonts w:ascii="Times New Roman" w:eastAsia="Times New Roman"/>
                <w:spacing w:val="0"/>
                <w:w w:val="100"/>
                <w:kern w:val="21"/>
                <w:position w:val="0"/>
                <w:sz w:val="21"/>
              </w:rPr>
              <w:t>A</w:t>
            </w:r>
          </w:p>
        </w:tc>
        <w:tc>
          <w:tcPr>
            <w:tcW w:w="151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w w:val="100"/>
                <w:kern w:val="21"/>
                <w:position w:val="0"/>
                <w:sz w:val="21"/>
              </w:rPr>
            </w:pPr>
            <w:r>
              <w:rPr>
                <w:spacing w:val="0"/>
                <w:w w:val="100"/>
                <w:kern w:val="21"/>
                <w:position w:val="0"/>
                <w:sz w:val="21"/>
              </w:rPr>
              <w:t>直接排放</w:t>
            </w:r>
          </w:p>
        </w:tc>
        <w:tc>
          <w:tcPr>
            <w:tcW w:w="55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eastAsia="Times New Roman"/>
                <w:spacing w:val="0"/>
                <w:w w:val="100"/>
                <w:kern w:val="21"/>
                <w:position w:val="0"/>
                <w:sz w:val="21"/>
              </w:rPr>
            </w:pPr>
            <w:r>
              <w:rPr>
                <w:rFonts w:ascii="Times New Roman" w:eastAsia="Times New Roman"/>
                <w:spacing w:val="0"/>
                <w:w w:val="100"/>
                <w:kern w:val="21"/>
                <w:position w:val="0"/>
                <w:sz w:val="21"/>
              </w:rPr>
              <w:t>Q</w:t>
            </w:r>
            <w:r>
              <w:rPr>
                <w:spacing w:val="0"/>
                <w:w w:val="100"/>
                <w:kern w:val="21"/>
                <w:position w:val="0"/>
                <w:sz w:val="21"/>
              </w:rPr>
              <w:t>＜</w:t>
            </w:r>
            <w:r>
              <w:rPr>
                <w:rFonts w:ascii="Times New Roman" w:eastAsia="Times New Roman"/>
                <w:spacing w:val="0"/>
                <w:w w:val="100"/>
                <w:kern w:val="21"/>
                <w:position w:val="0"/>
                <w:sz w:val="21"/>
              </w:rPr>
              <w:t xml:space="preserve">200 </w:t>
            </w:r>
            <w:r>
              <w:rPr>
                <w:spacing w:val="0"/>
                <w:w w:val="100"/>
                <w:kern w:val="21"/>
                <w:position w:val="0"/>
                <w:sz w:val="21"/>
              </w:rPr>
              <w:t xml:space="preserve">且 </w:t>
            </w:r>
            <w:r>
              <w:rPr>
                <w:rFonts w:ascii="Times New Roman" w:eastAsia="Times New Roman"/>
                <w:spacing w:val="0"/>
                <w:w w:val="100"/>
                <w:kern w:val="21"/>
                <w:position w:val="0"/>
                <w:sz w:val="21"/>
              </w:rPr>
              <w:t>W</w:t>
            </w:r>
            <w:r>
              <w:rPr>
                <w:spacing w:val="0"/>
                <w:w w:val="100"/>
                <w:kern w:val="21"/>
                <w:position w:val="0"/>
                <w:sz w:val="21"/>
              </w:rPr>
              <w:t>＜</w:t>
            </w:r>
            <w:r>
              <w:rPr>
                <w:rFonts w:ascii="Times New Roman" w:eastAsia="Times New Roman"/>
                <w:spacing w:val="0"/>
                <w:w w:val="100"/>
                <w:kern w:val="21"/>
                <w:position w:val="0"/>
                <w:sz w:val="21"/>
              </w:rPr>
              <w:t>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9"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eastAsia="Times New Roman"/>
                <w:b/>
                <w:spacing w:val="0"/>
                <w:w w:val="100"/>
                <w:kern w:val="21"/>
                <w:position w:val="0"/>
                <w:sz w:val="21"/>
              </w:rPr>
            </w:pPr>
            <w:r>
              <w:rPr>
                <w:b/>
                <w:spacing w:val="0"/>
                <w:w w:val="100"/>
                <w:kern w:val="21"/>
                <w:position w:val="0"/>
                <w:sz w:val="21"/>
              </w:rPr>
              <w:t xml:space="preserve">三级 </w:t>
            </w:r>
            <w:r>
              <w:rPr>
                <w:rFonts w:ascii="Times New Roman" w:eastAsia="Times New Roman"/>
                <w:b/>
                <w:spacing w:val="0"/>
                <w:w w:val="100"/>
                <w:kern w:val="21"/>
                <w:position w:val="0"/>
                <w:sz w:val="21"/>
              </w:rPr>
              <w:t>B</w:t>
            </w:r>
          </w:p>
        </w:tc>
        <w:tc>
          <w:tcPr>
            <w:tcW w:w="1512"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b/>
                <w:spacing w:val="0"/>
                <w:w w:val="100"/>
                <w:kern w:val="21"/>
                <w:position w:val="0"/>
                <w:sz w:val="21"/>
              </w:rPr>
            </w:pPr>
            <w:r>
              <w:rPr>
                <w:b/>
                <w:spacing w:val="0"/>
                <w:w w:val="100"/>
                <w:kern w:val="21"/>
                <w:position w:val="0"/>
                <w:sz w:val="21"/>
              </w:rPr>
              <w:t>间接排放</w:t>
            </w:r>
          </w:p>
        </w:tc>
        <w:tc>
          <w:tcPr>
            <w:tcW w:w="5568"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b/>
                <w:spacing w:val="0"/>
                <w:w w:val="100"/>
                <w:kern w:val="21"/>
                <w:position w:val="0"/>
                <w:sz w:val="21"/>
              </w:rPr>
            </w:pPr>
            <w:r>
              <w:rPr>
                <w:rFonts w:ascii="Times New Roman"/>
                <w:b/>
                <w:spacing w:val="0"/>
                <w:w w:val="100"/>
                <w:kern w:val="21"/>
                <w:position w:val="0"/>
                <w:sz w:val="21"/>
              </w:rPr>
              <w:t>/</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2.4.2.2评价范围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厂区污水总排口至园区污水厂衔接口，重点分析本项目废水进入园区污水厂的环境可行性。</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2.4</w:t>
      </w:r>
      <w:r>
        <w:rPr>
          <w:rFonts w:hint="eastAsia"/>
          <w:b/>
          <w:bCs/>
          <w:spacing w:val="0"/>
          <w:position w:val="0"/>
          <w:sz w:val="28"/>
          <w:szCs w:val="28"/>
          <w:lang w:val="en-US" w:eastAsia="zh-CN"/>
        </w:rPr>
        <w:t>.3地下水环境</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2.4.3.1评价等级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（1）项目类别</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根据《环境影响评价技术导则 地下水环境》（HJ610-2016）附录 A 地下水环境影响评价行业分类表，本项目属于“O 纺织化纤”中“120、纺织品制造”，且“有洗毛、染整、脱胶工段的；产生缫丝废水、精炼废水的”，地下水环境影响评价项目类别为Ⅰ类。</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4"/>
          <w:szCs w:val="24"/>
          <w:lang w:eastAsia="zh-CN"/>
        </w:rPr>
      </w:pPr>
      <w:r>
        <w:rPr>
          <w:rFonts w:hint="eastAsia" w:ascii="Times New Roman" w:hAnsi="Times New Roman" w:eastAsia="宋体"/>
          <w:b/>
          <w:bCs/>
          <w:spacing w:val="0"/>
          <w:position w:val="0"/>
          <w:sz w:val="24"/>
          <w:szCs w:val="24"/>
          <w:lang w:eastAsia="zh-CN"/>
        </w:rPr>
        <w:t>表</w:t>
      </w:r>
      <w:r>
        <w:rPr>
          <w:rFonts w:hint="eastAsia"/>
          <w:b/>
          <w:bCs/>
          <w:spacing w:val="0"/>
          <w:position w:val="0"/>
          <w:sz w:val="24"/>
          <w:szCs w:val="24"/>
          <w:lang w:eastAsia="zh-CN"/>
        </w:rPr>
        <w:t>2.4</w:t>
      </w:r>
      <w:r>
        <w:rPr>
          <w:rFonts w:hint="eastAsia" w:ascii="Times New Roman" w:hAnsi="Times New Roman" w:eastAsia="宋体"/>
          <w:b/>
          <w:bCs/>
          <w:spacing w:val="0"/>
          <w:position w:val="0"/>
          <w:sz w:val="24"/>
          <w:szCs w:val="24"/>
          <w:lang w:eastAsia="zh-CN"/>
        </w:rPr>
        <w:t>-</w:t>
      </w:r>
      <w:r>
        <w:rPr>
          <w:rFonts w:hint="eastAsia" w:ascii="Times New Roman" w:hAnsi="Times New Roman" w:eastAsia="宋体"/>
          <w:b/>
          <w:bCs/>
          <w:spacing w:val="0"/>
          <w:position w:val="0"/>
          <w:sz w:val="24"/>
          <w:szCs w:val="24"/>
          <w:lang w:val="en-US" w:eastAsia="zh-CN"/>
        </w:rPr>
        <w:t>4</w:t>
      </w:r>
      <w:r>
        <w:rPr>
          <w:rFonts w:hint="eastAsia" w:ascii="Times New Roman" w:hAnsi="Times New Roman" w:eastAsia="宋体"/>
          <w:b/>
          <w:bCs/>
          <w:spacing w:val="0"/>
          <w:position w:val="0"/>
          <w:sz w:val="24"/>
          <w:szCs w:val="24"/>
          <w:lang w:eastAsia="zh-CN"/>
        </w:rPr>
        <w:t>地下水环境影响评价行业分类表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2770"/>
        <w:gridCol w:w="1798"/>
        <w:gridCol w:w="1286"/>
        <w:gridCol w:w="15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2"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napToGrid w:val="0"/>
                <w:spacing w:val="0"/>
                <w:position w:val="0"/>
                <w:sz w:val="21"/>
                <w:shd w:val="clear" w:color="auto" w:fill="auto"/>
              </w:rPr>
            </w:pPr>
            <w:r>
              <w:rPr>
                <w:rFonts w:ascii="Times New Roman" w:hAnsi="Times New Roman" w:eastAsia="宋体"/>
                <w:spacing w:val="0"/>
                <w:position w:val="0"/>
                <w:sz w:val="21"/>
                <w:shd w:val="clear" w:color="auto" w:fill="auto"/>
              </w:rPr>
              <w:t>环评类别、行业类别</w:t>
            </w:r>
          </w:p>
        </w:tc>
        <w:tc>
          <w:tcPr>
            <w:tcW w:w="2770"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报告书</w:t>
            </w:r>
          </w:p>
        </w:tc>
        <w:tc>
          <w:tcPr>
            <w:tcW w:w="1798"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报告表</w:t>
            </w:r>
          </w:p>
        </w:tc>
        <w:tc>
          <w:tcPr>
            <w:tcW w:w="2809"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地下水环境影响评价项目类别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zCs w:val="2"/>
                <w:shd w:val="clear" w:color="auto" w:fill="auto"/>
              </w:rPr>
            </w:pPr>
          </w:p>
        </w:tc>
        <w:tc>
          <w:tcPr>
            <w:tcW w:w="27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zCs w:val="2"/>
                <w:shd w:val="clear" w:color="auto" w:fill="auto"/>
              </w:rPr>
            </w:pPr>
          </w:p>
        </w:tc>
        <w:tc>
          <w:tcPr>
            <w:tcW w:w="17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zCs w:val="2"/>
                <w:shd w:val="clear" w:color="auto" w:fill="auto"/>
              </w:rPr>
            </w:pPr>
          </w:p>
        </w:tc>
        <w:tc>
          <w:tcPr>
            <w:tcW w:w="1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报告书</w:t>
            </w:r>
          </w:p>
        </w:tc>
        <w:tc>
          <w:tcPr>
            <w:tcW w:w="152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报告表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689" w:type="dxa"/>
            <w:gridSpan w:val="5"/>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O 纺织化纤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120、纺织品制造</w:t>
            </w:r>
          </w:p>
        </w:tc>
        <w:tc>
          <w:tcPr>
            <w:tcW w:w="2770"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有洗毛、染整、脱胶工段的； 产生缫丝废水、精炼废水的</w:t>
            </w:r>
          </w:p>
        </w:tc>
        <w:tc>
          <w:tcPr>
            <w:tcW w:w="17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其他（编织物及其制品制造除外）</w:t>
            </w:r>
          </w:p>
        </w:tc>
        <w:tc>
          <w:tcPr>
            <w:tcW w:w="1286"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spacing w:val="0"/>
                <w:position w:val="0"/>
                <w:sz w:val="21"/>
                <w:shd w:val="clear" w:color="auto" w:fill="auto"/>
              </w:rPr>
            </w:pPr>
            <w:r>
              <w:rPr>
                <w:rFonts w:ascii="Times New Roman" w:hAnsi="Times New Roman" w:eastAsia="宋体"/>
                <w:b/>
                <w:spacing w:val="0"/>
                <w:position w:val="0"/>
                <w:sz w:val="21"/>
                <w:shd w:val="clear" w:color="auto" w:fill="auto"/>
              </w:rPr>
              <w:t>Ⅰ类</w:t>
            </w:r>
          </w:p>
        </w:tc>
        <w:tc>
          <w:tcPr>
            <w:tcW w:w="152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position w:val="0"/>
                <w:sz w:val="21"/>
                <w:shd w:val="clear" w:color="auto" w:fill="auto"/>
              </w:rPr>
            </w:pPr>
            <w:r>
              <w:rPr>
                <w:rFonts w:ascii="Times New Roman" w:hAnsi="Times New Roman" w:eastAsia="宋体"/>
                <w:spacing w:val="0"/>
                <w:position w:val="0"/>
                <w:sz w:val="21"/>
                <w:shd w:val="clear" w:color="auto" w:fill="auto"/>
              </w:rPr>
              <w:t>Ⅲ类</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2</w:t>
      </w:r>
      <w:r>
        <w:rPr>
          <w:rFonts w:hint="eastAsia"/>
          <w:b w:val="0"/>
          <w:bCs w:val="0"/>
          <w:spacing w:val="0"/>
          <w:position w:val="0"/>
          <w:sz w:val="24"/>
          <w:szCs w:val="24"/>
          <w:lang w:eastAsia="zh-CN"/>
        </w:rPr>
        <w:t>）建设项目的地下水环境敏感程度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经调查本项目所在地下游无集中式饮用水源，无特殊地下水资源保护区，地下水环境敏感程度属不敏感。</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b/>
          <w:bCs/>
          <w:spacing w:val="0"/>
          <w:position w:val="0"/>
          <w:sz w:val="24"/>
          <w:szCs w:val="24"/>
          <w:lang w:eastAsia="zh-CN"/>
        </w:rPr>
      </w:pPr>
      <w:r>
        <w:rPr>
          <w:rFonts w:hint="eastAsia" w:ascii="Times New Roman" w:hAnsi="Times New Roman" w:eastAsia="宋体"/>
          <w:b/>
          <w:bCs/>
          <w:spacing w:val="0"/>
          <w:position w:val="0"/>
          <w:sz w:val="24"/>
          <w:szCs w:val="24"/>
          <w:lang w:eastAsia="zh-CN"/>
        </w:rPr>
        <w:t>表</w:t>
      </w:r>
      <w:r>
        <w:rPr>
          <w:rFonts w:hint="eastAsia"/>
          <w:b/>
          <w:bCs/>
          <w:spacing w:val="0"/>
          <w:position w:val="0"/>
          <w:sz w:val="24"/>
          <w:szCs w:val="24"/>
          <w:lang w:eastAsia="zh-CN"/>
        </w:rPr>
        <w:t>2.4</w:t>
      </w:r>
      <w:r>
        <w:rPr>
          <w:rFonts w:hint="eastAsia" w:ascii="Times New Roman" w:hAnsi="Times New Roman" w:eastAsia="宋体"/>
          <w:b/>
          <w:bCs/>
          <w:spacing w:val="0"/>
          <w:position w:val="0"/>
          <w:sz w:val="24"/>
          <w:szCs w:val="24"/>
          <w:lang w:eastAsia="zh-CN"/>
        </w:rPr>
        <w:t>-</w:t>
      </w:r>
      <w:r>
        <w:rPr>
          <w:rFonts w:hint="eastAsia" w:ascii="Times New Roman" w:hAnsi="Times New Roman" w:eastAsia="宋体"/>
          <w:b/>
          <w:bCs/>
          <w:spacing w:val="0"/>
          <w:position w:val="0"/>
          <w:sz w:val="24"/>
          <w:szCs w:val="24"/>
          <w:lang w:val="en-US" w:eastAsia="zh-CN"/>
        </w:rPr>
        <w:t>5</w:t>
      </w:r>
      <w:r>
        <w:rPr>
          <w:rFonts w:hint="eastAsia" w:ascii="Times New Roman" w:hAnsi="Times New Roman" w:eastAsia="宋体"/>
          <w:b/>
          <w:bCs/>
          <w:spacing w:val="0"/>
          <w:position w:val="0"/>
          <w:sz w:val="24"/>
          <w:szCs w:val="24"/>
          <w:lang w:eastAsia="zh-CN"/>
        </w:rPr>
        <w:t>地下水环境敏感程度分级</w:t>
      </w:r>
    </w:p>
    <w:tbl>
      <w:tblPr>
        <w:tblStyle w:val="16"/>
        <w:tblW w:w="500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60"/>
        <w:gridCol w:w="77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szCs w:val="21"/>
                <w:shd w:val="clear" w:color="auto" w:fill="auto"/>
              </w:rPr>
            </w:pPr>
            <w:r>
              <w:rPr>
                <w:rFonts w:ascii="Times New Roman" w:hAnsi="Times New Roman" w:eastAsia="宋体"/>
                <w:spacing w:val="0"/>
                <w:w w:val="100"/>
                <w:kern w:val="21"/>
                <w:position w:val="0"/>
                <w:sz w:val="21"/>
                <w:szCs w:val="21"/>
                <w:shd w:val="clear" w:color="auto" w:fill="auto"/>
              </w:rPr>
              <w:t>分级</w:t>
            </w:r>
          </w:p>
        </w:tc>
        <w:tc>
          <w:tcPr>
            <w:tcW w:w="773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szCs w:val="21"/>
                <w:shd w:val="clear" w:color="auto" w:fill="auto"/>
              </w:rPr>
            </w:pPr>
            <w:r>
              <w:rPr>
                <w:rFonts w:ascii="Times New Roman" w:hAnsi="Times New Roman" w:eastAsia="宋体"/>
                <w:spacing w:val="0"/>
                <w:w w:val="100"/>
                <w:kern w:val="21"/>
                <w:position w:val="0"/>
                <w:sz w:val="21"/>
                <w:szCs w:val="21"/>
                <w:shd w:val="clear" w:color="auto" w:fill="auto"/>
              </w:rPr>
              <w:t>项目场地的地下水环境敏感特征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szCs w:val="21"/>
                <w:shd w:val="clear" w:color="auto" w:fill="auto"/>
              </w:rPr>
            </w:pPr>
            <w:r>
              <w:rPr>
                <w:rFonts w:ascii="Times New Roman" w:hAnsi="Times New Roman" w:eastAsia="宋体"/>
                <w:spacing w:val="0"/>
                <w:w w:val="100"/>
                <w:kern w:val="21"/>
                <w:position w:val="0"/>
                <w:sz w:val="21"/>
                <w:szCs w:val="21"/>
                <w:shd w:val="clear" w:color="auto" w:fill="auto"/>
              </w:rPr>
              <w:t>敏感</w:t>
            </w:r>
          </w:p>
        </w:tc>
        <w:tc>
          <w:tcPr>
            <w:tcW w:w="773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szCs w:val="21"/>
                <w:shd w:val="clear" w:color="auto" w:fill="auto"/>
              </w:rPr>
            </w:pPr>
            <w:r>
              <w:rPr>
                <w:rFonts w:ascii="Times New Roman" w:hAnsi="Times New Roman" w:eastAsia="宋体"/>
                <w:spacing w:val="0"/>
                <w:w w:val="100"/>
                <w:kern w:val="21"/>
                <w:position w:val="0"/>
                <w:sz w:val="21"/>
                <w:szCs w:val="21"/>
                <w:shd w:val="clear" w:color="auto" w:fill="auto"/>
              </w:rPr>
              <w:t>集中式饮用水水源（包括己建成的在用、备用、应急水源地，在建和规划的水源地）准保护区；除集中式饮用水水源以外的国家或地方政府设定的与地下水环境相关的其它保护区，如热水、矿泉水、温泉等特殊地下水资源保护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szCs w:val="21"/>
                <w:shd w:val="clear" w:color="auto" w:fill="auto"/>
              </w:rPr>
            </w:pPr>
            <w:r>
              <w:rPr>
                <w:rFonts w:ascii="Times New Roman" w:hAnsi="Times New Roman" w:eastAsia="宋体"/>
                <w:spacing w:val="0"/>
                <w:w w:val="100"/>
                <w:kern w:val="21"/>
                <w:position w:val="0"/>
                <w:sz w:val="21"/>
                <w:szCs w:val="21"/>
                <w:shd w:val="clear" w:color="auto" w:fill="auto"/>
              </w:rPr>
              <w:t>较敏感</w:t>
            </w:r>
          </w:p>
        </w:tc>
        <w:tc>
          <w:tcPr>
            <w:tcW w:w="773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szCs w:val="21"/>
                <w:shd w:val="clear" w:color="auto" w:fill="auto"/>
              </w:rPr>
            </w:pPr>
            <w:r>
              <w:rPr>
                <w:rFonts w:ascii="Times New Roman" w:hAnsi="Times New Roman" w:eastAsia="宋体"/>
                <w:spacing w:val="0"/>
                <w:w w:val="100"/>
                <w:kern w:val="21"/>
                <w:position w:val="0"/>
                <w:sz w:val="21"/>
                <w:szCs w:val="21"/>
                <w:shd w:val="clear" w:color="auto" w:fill="auto"/>
              </w:rPr>
              <w:t>集中式饮用水水源（包括已建成的在用、备用、应急水源地，在建和规划的水源地）准保护区以外的补给径流区；特殊地下水资源（如矿泉水、温泉等）保护区以外的分布区等其它未列入上述敏感分级的环境敏感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b/>
                <w:spacing w:val="0"/>
                <w:w w:val="100"/>
                <w:kern w:val="21"/>
                <w:position w:val="0"/>
                <w:sz w:val="21"/>
                <w:szCs w:val="21"/>
                <w:shd w:val="clear" w:color="auto" w:fill="auto"/>
              </w:rPr>
            </w:pPr>
            <w:r>
              <w:rPr>
                <w:rFonts w:ascii="Times New Roman" w:hAnsi="Times New Roman" w:eastAsia="宋体"/>
                <w:b/>
                <w:spacing w:val="0"/>
                <w:w w:val="100"/>
                <w:kern w:val="21"/>
                <w:position w:val="0"/>
                <w:sz w:val="21"/>
                <w:szCs w:val="21"/>
                <w:shd w:val="clear" w:color="auto" w:fill="auto"/>
              </w:rPr>
              <w:t>不敏感</w:t>
            </w:r>
          </w:p>
        </w:tc>
        <w:tc>
          <w:tcPr>
            <w:tcW w:w="7739"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b/>
                <w:spacing w:val="0"/>
                <w:w w:val="100"/>
                <w:kern w:val="21"/>
                <w:position w:val="0"/>
                <w:sz w:val="21"/>
                <w:szCs w:val="21"/>
                <w:shd w:val="clear" w:color="auto" w:fill="auto"/>
              </w:rPr>
            </w:pPr>
            <w:r>
              <w:rPr>
                <w:rFonts w:ascii="Times New Roman" w:hAnsi="Times New Roman" w:eastAsia="宋体"/>
                <w:b/>
                <w:spacing w:val="0"/>
                <w:w w:val="100"/>
                <w:kern w:val="21"/>
                <w:position w:val="0"/>
                <w:sz w:val="21"/>
                <w:szCs w:val="21"/>
                <w:shd w:val="clear" w:color="auto" w:fill="auto"/>
              </w:rPr>
              <w:t>上述地区之外的其它地区。</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3</w:t>
      </w:r>
      <w:r>
        <w:rPr>
          <w:rFonts w:hint="eastAsia"/>
          <w:b w:val="0"/>
          <w:bCs w:val="0"/>
          <w:spacing w:val="0"/>
          <w:position w:val="0"/>
          <w:sz w:val="24"/>
          <w:szCs w:val="24"/>
          <w:lang w:eastAsia="zh-CN"/>
        </w:rPr>
        <w:t>）评价工作等级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根据《环境影响评价技术导则 地下水环境》（HJ 610-2016），项目类别为Ⅰ类，建设项目厂区地下水环境敏感特征为不敏感，评价工作等级为二级。划分依据见表2.4-</w:t>
      </w:r>
      <w:r>
        <w:rPr>
          <w:rFonts w:hint="eastAsia"/>
          <w:b w:val="0"/>
          <w:bCs w:val="0"/>
          <w:spacing w:val="0"/>
          <w:position w:val="0"/>
          <w:sz w:val="24"/>
          <w:szCs w:val="24"/>
          <w:lang w:val="en-US" w:eastAsia="zh-CN"/>
        </w:rPr>
        <w:t>6</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b/>
          <w:bCs/>
          <w:spacing w:val="0"/>
          <w:position w:val="0"/>
          <w:sz w:val="24"/>
          <w:szCs w:val="24"/>
          <w:lang w:eastAsia="zh-CN"/>
        </w:rPr>
      </w:pPr>
      <w:r>
        <w:rPr>
          <w:rFonts w:hint="eastAsia" w:ascii="Times New Roman" w:hAnsi="Times New Roman" w:eastAsia="宋体"/>
          <w:b/>
          <w:bCs/>
          <w:spacing w:val="0"/>
          <w:position w:val="0"/>
          <w:sz w:val="24"/>
          <w:szCs w:val="24"/>
          <w:lang w:eastAsia="zh-CN"/>
        </w:rPr>
        <w:t>表</w:t>
      </w:r>
      <w:r>
        <w:rPr>
          <w:rFonts w:hint="eastAsia"/>
          <w:b/>
          <w:bCs/>
          <w:spacing w:val="0"/>
          <w:position w:val="0"/>
          <w:sz w:val="24"/>
          <w:szCs w:val="24"/>
          <w:lang w:eastAsia="zh-CN"/>
        </w:rPr>
        <w:t>2.4</w:t>
      </w:r>
      <w:r>
        <w:rPr>
          <w:rFonts w:hint="eastAsia" w:ascii="Times New Roman" w:hAnsi="Times New Roman" w:eastAsia="宋体"/>
          <w:b/>
          <w:bCs/>
          <w:spacing w:val="0"/>
          <w:position w:val="0"/>
          <w:sz w:val="24"/>
          <w:szCs w:val="24"/>
          <w:lang w:eastAsia="zh-CN"/>
        </w:rPr>
        <w:t>-</w:t>
      </w:r>
      <w:r>
        <w:rPr>
          <w:rFonts w:hint="eastAsia" w:ascii="Times New Roman" w:hAnsi="Times New Roman" w:eastAsia="宋体"/>
          <w:b/>
          <w:bCs/>
          <w:spacing w:val="0"/>
          <w:position w:val="0"/>
          <w:sz w:val="24"/>
          <w:szCs w:val="24"/>
          <w:lang w:val="en-US" w:eastAsia="zh-CN"/>
        </w:rPr>
        <w:t>6</w:t>
      </w:r>
      <w:r>
        <w:rPr>
          <w:rFonts w:hint="eastAsia" w:ascii="Times New Roman" w:hAnsi="Times New Roman" w:eastAsia="宋体"/>
          <w:b/>
          <w:bCs/>
          <w:spacing w:val="0"/>
          <w:position w:val="0"/>
          <w:sz w:val="24"/>
          <w:szCs w:val="24"/>
          <w:lang w:eastAsia="zh-CN"/>
        </w:rPr>
        <w:t>地下水环境评价等级判定表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02"/>
        <w:gridCol w:w="1929"/>
        <w:gridCol w:w="1929"/>
        <w:gridCol w:w="19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3059" w:type="dxa"/>
            <w:tcBorders>
              <w:tl2br w:val="single" w:color="000000" w:sz="4" w:space="0"/>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right"/>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项目类别</w:t>
            </w:r>
          </w:p>
          <w:p>
            <w:pPr>
              <w:pStyle w:val="50"/>
              <w:keepNext w:val="0"/>
              <w:keepLines w:val="0"/>
              <w:pageBreakBefore w:val="0"/>
              <w:widowControl/>
              <w:kinsoku/>
              <w:wordWrap/>
              <w:overflowPunct/>
              <w:topLinePunct w:val="0"/>
              <w:autoSpaceDE/>
              <w:autoSpaceDN/>
              <w:bidi w:val="0"/>
              <w:adjustRightInd w:val="0"/>
              <w:snapToGrid w:val="0"/>
              <w:ind w:left="0" w:right="0"/>
              <w:jc w:val="left"/>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环境敏感程度</w:t>
            </w:r>
          </w:p>
        </w:tc>
        <w:tc>
          <w:tcPr>
            <w:tcW w:w="2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spacing w:val="0"/>
                <w:w w:val="100"/>
                <w:kern w:val="21"/>
                <w:position w:val="0"/>
                <w:sz w:val="21"/>
                <w:szCs w:val="21"/>
              </w:rPr>
            </w:pPr>
            <w:r>
              <w:rPr>
                <w:rFonts w:ascii="Times New Roman" w:hAnsi="Times New Roman" w:eastAsia="宋体"/>
                <w:b/>
                <w:spacing w:val="0"/>
                <w:w w:val="100"/>
                <w:kern w:val="21"/>
                <w:position w:val="0"/>
                <w:sz w:val="21"/>
                <w:szCs w:val="21"/>
              </w:rPr>
              <w:t>Ⅰ类</w:t>
            </w:r>
          </w:p>
        </w:tc>
        <w:tc>
          <w:tcPr>
            <w:tcW w:w="2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Ⅱ类</w:t>
            </w:r>
          </w:p>
        </w:tc>
        <w:tc>
          <w:tcPr>
            <w:tcW w:w="20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Ⅲ类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5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敏感</w:t>
            </w:r>
          </w:p>
        </w:tc>
        <w:tc>
          <w:tcPr>
            <w:tcW w:w="2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一</w:t>
            </w:r>
          </w:p>
        </w:tc>
        <w:tc>
          <w:tcPr>
            <w:tcW w:w="2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一</w:t>
            </w:r>
          </w:p>
        </w:tc>
        <w:tc>
          <w:tcPr>
            <w:tcW w:w="20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5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较敏感</w:t>
            </w:r>
          </w:p>
        </w:tc>
        <w:tc>
          <w:tcPr>
            <w:tcW w:w="2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一</w:t>
            </w:r>
          </w:p>
        </w:tc>
        <w:tc>
          <w:tcPr>
            <w:tcW w:w="2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二</w:t>
            </w:r>
          </w:p>
        </w:tc>
        <w:tc>
          <w:tcPr>
            <w:tcW w:w="20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5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spacing w:val="0"/>
                <w:w w:val="100"/>
                <w:kern w:val="21"/>
                <w:position w:val="0"/>
                <w:sz w:val="21"/>
                <w:szCs w:val="21"/>
              </w:rPr>
            </w:pPr>
            <w:r>
              <w:rPr>
                <w:rFonts w:ascii="Times New Roman" w:hAnsi="Times New Roman" w:eastAsia="宋体"/>
                <w:b/>
                <w:spacing w:val="0"/>
                <w:w w:val="100"/>
                <w:kern w:val="21"/>
                <w:position w:val="0"/>
                <w:sz w:val="21"/>
                <w:szCs w:val="21"/>
              </w:rPr>
              <w:t>不敏感</w:t>
            </w:r>
          </w:p>
        </w:tc>
        <w:tc>
          <w:tcPr>
            <w:tcW w:w="2033"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spacing w:val="0"/>
                <w:w w:val="100"/>
                <w:kern w:val="21"/>
                <w:position w:val="0"/>
                <w:sz w:val="21"/>
                <w:szCs w:val="21"/>
              </w:rPr>
            </w:pPr>
            <w:r>
              <w:rPr>
                <w:rFonts w:ascii="Times New Roman" w:hAnsi="Times New Roman" w:eastAsia="宋体"/>
                <w:b/>
                <w:spacing w:val="0"/>
                <w:w w:val="100"/>
                <w:kern w:val="21"/>
                <w:position w:val="0"/>
                <w:sz w:val="21"/>
                <w:szCs w:val="21"/>
              </w:rPr>
              <w:t>二</w:t>
            </w:r>
          </w:p>
        </w:tc>
        <w:tc>
          <w:tcPr>
            <w:tcW w:w="2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三</w:t>
            </w:r>
          </w:p>
        </w:tc>
        <w:tc>
          <w:tcPr>
            <w:tcW w:w="20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三</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2.4.3.2评价范围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本项目地下水评价范围为：项目厂界上游100m，下游4867m，场地东西两侧2434m，由于北侧距罗源湾海域较近，因此，从同一水文单元考虑，北侧以罗源湾海域为评价边界。</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2.4</w:t>
      </w:r>
      <w:r>
        <w:rPr>
          <w:rFonts w:hint="eastAsia"/>
          <w:b/>
          <w:bCs/>
          <w:spacing w:val="0"/>
          <w:position w:val="0"/>
          <w:sz w:val="28"/>
          <w:szCs w:val="28"/>
          <w:lang w:val="en-US" w:eastAsia="zh-CN"/>
        </w:rPr>
        <w:t>.4声环境</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2.4.4.1评价工作等级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位于江可门绿色纺织产业园，所在区域声环境功能为3类区，厂界外200m范围内无居民住宅等声环境保护目标，项目建设前后噪声级增量较小，项目实施对区域声环境质量影响较小。根据《环境影响评价技术导则 声环境》（HJ2.4-2009）中环境噪声影响评价工作等级划分基本原则，确定本次声环境评价工作等级为三级。</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2.4.4.2评价范围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根据《环境影响评价技术导则 声环境》（HJ2.4-2009）的相关要求，确定项目的声环境评价范围为项目厂界外200m范围内区域。</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2.4</w:t>
      </w:r>
      <w:r>
        <w:rPr>
          <w:rFonts w:hint="eastAsia"/>
          <w:b/>
          <w:bCs/>
          <w:spacing w:val="0"/>
          <w:position w:val="0"/>
          <w:sz w:val="28"/>
          <w:szCs w:val="28"/>
          <w:lang w:val="en-US" w:eastAsia="zh-CN"/>
        </w:rPr>
        <w:t>.5土壤环境</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2.4.5.1评价工作等级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（1）占地规模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本项目占地面积</w:t>
      </w:r>
      <w:r>
        <w:rPr>
          <w:rFonts w:hint="eastAsia"/>
          <w:b w:val="0"/>
          <w:bCs w:val="0"/>
          <w:spacing w:val="0"/>
          <w:position w:val="0"/>
          <w:sz w:val="24"/>
          <w:szCs w:val="24"/>
          <w:lang w:val="en-US" w:eastAsia="zh-CN"/>
        </w:rPr>
        <w:t>40000</w:t>
      </w:r>
      <w:r>
        <w:rPr>
          <w:rFonts w:hint="eastAsia"/>
          <w:b w:val="0"/>
          <w:bCs w:val="0"/>
          <w:spacing w:val="0"/>
          <w:position w:val="0"/>
          <w:sz w:val="24"/>
          <w:szCs w:val="24"/>
          <w:lang w:eastAsia="zh-CN"/>
        </w:rPr>
        <w:t>m</w:t>
      </w:r>
      <w:r>
        <w:rPr>
          <w:rFonts w:hint="eastAsia"/>
          <w:b w:val="0"/>
          <w:bCs w:val="0"/>
          <w:spacing w:val="0"/>
          <w:position w:val="0"/>
          <w:sz w:val="24"/>
          <w:szCs w:val="24"/>
          <w:vertAlign w:val="superscript"/>
          <w:lang w:eastAsia="zh-CN"/>
        </w:rPr>
        <w:t>2</w:t>
      </w:r>
      <w:r>
        <w:rPr>
          <w:rFonts w:hint="eastAsia"/>
          <w:b w:val="0"/>
          <w:bCs w:val="0"/>
          <w:spacing w:val="0"/>
          <w:position w:val="0"/>
          <w:sz w:val="24"/>
          <w:szCs w:val="24"/>
          <w:lang w:eastAsia="zh-CN"/>
        </w:rPr>
        <w:t>，根据《环境影响评价技术导则 土壤环境（试行）》（HJ964-2018），项目占地规模属于小型（≤5hm</w:t>
      </w:r>
      <w:r>
        <w:rPr>
          <w:rFonts w:hint="eastAsia"/>
          <w:b w:val="0"/>
          <w:bCs w:val="0"/>
          <w:spacing w:val="0"/>
          <w:position w:val="0"/>
          <w:sz w:val="24"/>
          <w:szCs w:val="24"/>
          <w:vertAlign w:val="superscript"/>
          <w:lang w:eastAsia="zh-CN"/>
        </w:rPr>
        <w:t>2</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（2）建设项目所在地周边土壤环境敏感程度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经现场调查，项目厂址所在地周边为工业园区用地，不存在耕地、饮用水水源地等土壤环境敏感目标，土壤环境敏感程度属不敏感。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（3）项目类别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对照《环境影响评价技术导则 土壤环境（试行）》（HJ964-2018），本项目土壤评价项目类别为</w:t>
      </w:r>
      <w:r>
        <w:rPr>
          <w:rFonts w:hint="default" w:ascii="Times New Roman" w:hAnsi="Times New Roman" w:cs="Times New Roman"/>
          <w:b w:val="0"/>
          <w:bCs w:val="0"/>
          <w:spacing w:val="0"/>
          <w:position w:val="0"/>
          <w:sz w:val="24"/>
          <w:szCs w:val="24"/>
          <w:lang w:eastAsia="zh-CN"/>
        </w:rPr>
        <w:t>Ⅱ</w:t>
      </w:r>
      <w:r>
        <w:rPr>
          <w:rFonts w:hint="eastAsia"/>
          <w:b w:val="0"/>
          <w:bCs w:val="0"/>
          <w:spacing w:val="0"/>
          <w:position w:val="0"/>
          <w:sz w:val="24"/>
          <w:szCs w:val="24"/>
          <w:lang w:eastAsia="zh-CN"/>
        </w:rPr>
        <w:t>类（“纺织、化纤、皮革等及服装、鞋制造业，有染整的纺织品”）。</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b/>
          <w:bCs/>
          <w:spacing w:val="0"/>
          <w:position w:val="0"/>
          <w:sz w:val="24"/>
          <w:szCs w:val="24"/>
          <w:lang w:eastAsia="zh-CN"/>
        </w:rPr>
      </w:pPr>
      <w:r>
        <w:rPr>
          <w:rFonts w:hint="eastAsia" w:ascii="Times New Roman" w:hAnsi="Times New Roman" w:eastAsia="宋体"/>
          <w:b/>
          <w:bCs/>
          <w:spacing w:val="0"/>
          <w:position w:val="0"/>
          <w:sz w:val="24"/>
          <w:szCs w:val="24"/>
          <w:lang w:eastAsia="zh-CN"/>
        </w:rPr>
        <w:t>表</w:t>
      </w:r>
      <w:r>
        <w:rPr>
          <w:rFonts w:hint="eastAsia"/>
          <w:b/>
          <w:bCs/>
          <w:spacing w:val="0"/>
          <w:position w:val="0"/>
          <w:sz w:val="24"/>
          <w:szCs w:val="24"/>
          <w:lang w:eastAsia="zh-CN"/>
        </w:rPr>
        <w:t>2.4</w:t>
      </w:r>
      <w:r>
        <w:rPr>
          <w:rFonts w:hint="eastAsia" w:ascii="Times New Roman" w:hAnsi="Times New Roman" w:eastAsia="宋体"/>
          <w:b/>
          <w:bCs/>
          <w:spacing w:val="0"/>
          <w:position w:val="0"/>
          <w:sz w:val="24"/>
          <w:szCs w:val="24"/>
          <w:lang w:eastAsia="zh-CN"/>
        </w:rPr>
        <w:t>-</w:t>
      </w:r>
      <w:r>
        <w:rPr>
          <w:rFonts w:hint="eastAsia" w:ascii="Times New Roman" w:hAnsi="Times New Roman" w:eastAsia="宋体"/>
          <w:b/>
          <w:bCs/>
          <w:spacing w:val="0"/>
          <w:position w:val="0"/>
          <w:sz w:val="24"/>
          <w:szCs w:val="24"/>
          <w:lang w:val="en-US" w:eastAsia="zh-CN"/>
        </w:rPr>
        <w:t>7</w:t>
      </w:r>
      <w:r>
        <w:rPr>
          <w:rFonts w:hint="eastAsia" w:ascii="Times New Roman" w:hAnsi="Times New Roman" w:eastAsia="宋体"/>
          <w:b/>
          <w:bCs/>
          <w:spacing w:val="0"/>
          <w:position w:val="0"/>
          <w:sz w:val="24"/>
          <w:szCs w:val="24"/>
          <w:lang w:eastAsia="zh-CN"/>
        </w:rPr>
        <w:t>地下水环境影响评价行业分类表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0"/>
        <w:gridCol w:w="1345"/>
        <w:gridCol w:w="1536"/>
        <w:gridCol w:w="3589"/>
        <w:gridCol w:w="779"/>
        <w:gridCol w:w="7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16" w:type="dxa"/>
            <w:gridSpan w:val="2"/>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行业类别</w:t>
            </w:r>
          </w:p>
        </w:tc>
        <w:tc>
          <w:tcPr>
            <w:tcW w:w="7048" w:type="dxa"/>
            <w:gridSpan w:val="4"/>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项目类别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16"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62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Ⅰ类</w:t>
            </w:r>
          </w:p>
        </w:tc>
        <w:tc>
          <w:tcPr>
            <w:tcW w:w="3786"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spacing w:val="0"/>
                <w:w w:val="100"/>
                <w:kern w:val="21"/>
                <w:position w:val="0"/>
                <w:sz w:val="21"/>
              </w:rPr>
            </w:pPr>
            <w:r>
              <w:rPr>
                <w:rFonts w:ascii="Times New Roman" w:hAnsi="Times New Roman" w:eastAsia="宋体"/>
                <w:b/>
                <w:spacing w:val="0"/>
                <w:w w:val="100"/>
                <w:kern w:val="21"/>
                <w:position w:val="0"/>
                <w:sz w:val="21"/>
              </w:rPr>
              <w:t>Ⅱ类</w:t>
            </w:r>
          </w:p>
        </w:tc>
        <w:tc>
          <w:tcPr>
            <w:tcW w:w="82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Ⅲ类</w:t>
            </w:r>
          </w:p>
        </w:tc>
        <w:tc>
          <w:tcPr>
            <w:tcW w:w="82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Ⅳ类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制造业</w:t>
            </w:r>
          </w:p>
        </w:tc>
        <w:tc>
          <w:tcPr>
            <w:tcW w:w="14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纺织、化纤、皮革等及服装、鞋制造</w:t>
            </w:r>
          </w:p>
        </w:tc>
        <w:tc>
          <w:tcPr>
            <w:tcW w:w="162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制革、毛皮鞣制</w:t>
            </w:r>
          </w:p>
        </w:tc>
        <w:tc>
          <w:tcPr>
            <w:tcW w:w="3786"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spacing w:val="0"/>
                <w:w w:val="100"/>
                <w:kern w:val="21"/>
                <w:position w:val="0"/>
                <w:sz w:val="21"/>
              </w:rPr>
            </w:pPr>
            <w:r>
              <w:rPr>
                <w:rFonts w:ascii="Times New Roman" w:hAnsi="Times New Roman" w:eastAsia="宋体"/>
                <w:b/>
                <w:spacing w:val="0"/>
                <w:w w:val="100"/>
                <w:kern w:val="21"/>
                <w:position w:val="0"/>
                <w:sz w:val="21"/>
              </w:rPr>
              <w:t>化学纤维制造；有洗毛、染整、脱胶工段及产生缫丝废水、精炼废水的纺织品；有湿法印花、染色、水洗工艺的服装制造；使用有机溶剂的制鞋业</w:t>
            </w:r>
          </w:p>
        </w:tc>
        <w:tc>
          <w:tcPr>
            <w:tcW w:w="82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其他</w:t>
            </w:r>
          </w:p>
        </w:tc>
        <w:tc>
          <w:tcPr>
            <w:tcW w:w="82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4</w:t>
      </w:r>
      <w:r>
        <w:rPr>
          <w:rFonts w:hint="eastAsia"/>
          <w:b w:val="0"/>
          <w:bCs w:val="0"/>
          <w:spacing w:val="0"/>
          <w:position w:val="0"/>
          <w:sz w:val="24"/>
          <w:szCs w:val="24"/>
          <w:lang w:eastAsia="zh-CN"/>
        </w:rPr>
        <w:t>）评价工作等级确定</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b/>
          <w:bCs/>
          <w:spacing w:val="0"/>
          <w:position w:val="0"/>
          <w:sz w:val="24"/>
          <w:szCs w:val="24"/>
          <w:lang w:eastAsia="zh-CN"/>
        </w:rPr>
      </w:pPr>
      <w:r>
        <w:rPr>
          <w:rFonts w:hint="eastAsia" w:ascii="Times New Roman" w:hAnsi="Times New Roman" w:eastAsia="宋体"/>
          <w:b/>
          <w:bCs/>
          <w:spacing w:val="0"/>
          <w:position w:val="0"/>
          <w:sz w:val="24"/>
          <w:szCs w:val="24"/>
          <w:lang w:eastAsia="zh-CN"/>
        </w:rPr>
        <w:t>表</w:t>
      </w:r>
      <w:r>
        <w:rPr>
          <w:rFonts w:hint="eastAsia"/>
          <w:b/>
          <w:bCs/>
          <w:spacing w:val="0"/>
          <w:position w:val="0"/>
          <w:sz w:val="24"/>
          <w:szCs w:val="24"/>
          <w:lang w:eastAsia="zh-CN"/>
        </w:rPr>
        <w:t>2.4</w:t>
      </w:r>
      <w:r>
        <w:rPr>
          <w:rFonts w:hint="eastAsia" w:ascii="Times New Roman" w:hAnsi="Times New Roman" w:eastAsia="宋体"/>
          <w:b/>
          <w:bCs/>
          <w:spacing w:val="0"/>
          <w:position w:val="0"/>
          <w:sz w:val="24"/>
          <w:szCs w:val="24"/>
          <w:lang w:eastAsia="zh-CN"/>
        </w:rPr>
        <w:t>-</w:t>
      </w:r>
      <w:r>
        <w:rPr>
          <w:rFonts w:hint="eastAsia" w:ascii="Times New Roman" w:hAnsi="Times New Roman" w:eastAsia="宋体"/>
          <w:b/>
          <w:bCs/>
          <w:spacing w:val="0"/>
          <w:position w:val="0"/>
          <w:sz w:val="24"/>
          <w:szCs w:val="24"/>
          <w:lang w:val="en-US" w:eastAsia="zh-CN"/>
        </w:rPr>
        <w:t>8</w:t>
      </w:r>
      <w:r>
        <w:rPr>
          <w:rFonts w:hint="eastAsia" w:ascii="Times New Roman" w:hAnsi="Times New Roman" w:eastAsia="宋体"/>
          <w:b/>
          <w:bCs/>
          <w:spacing w:val="0"/>
          <w:position w:val="0"/>
          <w:sz w:val="24"/>
          <w:szCs w:val="24"/>
          <w:lang w:eastAsia="zh-CN"/>
        </w:rPr>
        <w:t>土壤环境评价等级判定表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20"/>
        <w:gridCol w:w="595"/>
        <w:gridCol w:w="671"/>
        <w:gridCol w:w="671"/>
        <w:gridCol w:w="671"/>
        <w:gridCol w:w="671"/>
        <w:gridCol w:w="672"/>
        <w:gridCol w:w="671"/>
        <w:gridCol w:w="672"/>
        <w:gridCol w:w="6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2720" w:type="dxa"/>
            <w:vMerge w:val="restart"/>
            <w:tcBorders>
              <w:tl2br w:val="nil"/>
              <w:tr2bl w:val="nil"/>
            </w:tcBorders>
            <w:vAlign w:val="center"/>
            <mc:AlternateContent>
              <mc:Choice Requires="wpsCustomData">
                <wpsCustomData:diagonals>
                  <wpsCustomData:diagonal from="30000" to="7000">
                    <wpsCustomData:border w:val="single" w:color="000000" w:sz="12" w:space="0"/>
                  </wpsCustomData:diagonal>
                  <wpsCustomData:diagonal from="15000" to="30000">
                    <wpsCustomData:border w:val="single" w:color="000000" w:sz="12" w:space="0"/>
                  </wpsCustomData:diagonal>
                </wpsCustomData:diagonals>
              </mc:Choice>
            </mc:AlternateContent>
          </w:tcPr>
          <w:p>
            <w:pPr>
              <w:pStyle w:val="50"/>
              <w:keepNext w:val="0"/>
              <w:keepLines w:val="0"/>
              <w:pageBreakBefore w:val="0"/>
              <w:widowControl/>
              <w:kinsoku/>
              <w:wordWrap/>
              <w:overflowPunct/>
              <w:topLinePunct w:val="0"/>
              <w:autoSpaceDE/>
              <w:autoSpaceDN/>
              <w:bidi w:val="0"/>
              <w:adjustRightInd w:val="0"/>
              <w:snapToGrid w:val="0"/>
              <w:spacing w:line="240" w:lineRule="auto"/>
              <w:ind w:right="0"/>
              <w:jc w:val="both"/>
              <w:textAlignment w:val="auto"/>
              <w:rPr>
                <w:rFonts w:ascii="Times New Roman" w:hAnsi="Times New Roman" w:eastAsia="宋体"/>
                <w:spacing w:val="0"/>
                <w:w w:val="100"/>
                <w:kern w:val="21"/>
                <w:position w:val="0"/>
                <w:sz w:val="21"/>
              </w:rPr>
            </w:pPr>
          </w:p>
          <w:p>
            <w:pPr>
              <w:pStyle w:val="50"/>
              <w:keepNext w:val="0"/>
              <w:keepLines w:val="0"/>
              <w:pageBreakBefore w:val="0"/>
              <w:widowControl/>
              <w:kinsoku/>
              <w:wordWrap/>
              <w:overflowPunct/>
              <w:topLinePunct w:val="0"/>
              <w:autoSpaceDE/>
              <w:autoSpaceDN/>
              <w:bidi w:val="0"/>
              <w:adjustRightInd w:val="0"/>
              <w:snapToGrid w:val="0"/>
              <w:spacing w:line="240" w:lineRule="auto"/>
              <w:ind w:right="0"/>
              <w:jc w:val="left"/>
              <w:textAlignment w:val="auto"/>
              <mc:AlternateContent>
                <mc:Choice Requires="wpsCustomData">
                  <wpsCustomData:diagonalParaType/>
                </mc:Choice>
              </mc:AlternateContent>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敏感程度</w:t>
            </w:r>
          </w:p>
          <w:p>
            <w:pPr>
              <w:pStyle w:val="50"/>
              <w:keepNext w:val="0"/>
              <w:keepLines w:val="0"/>
              <w:pageBreakBefore w:val="0"/>
              <w:widowControl/>
              <w:kinsoku/>
              <w:wordWrap/>
              <w:overflowPunct/>
              <w:topLinePunct w:val="0"/>
              <w:autoSpaceDE/>
              <w:autoSpaceDN/>
              <w:bidi w:val="0"/>
              <w:adjustRightInd w:val="0"/>
              <w:snapToGrid w:val="0"/>
              <w:spacing w:line="240" w:lineRule="auto"/>
              <w:ind w:right="0"/>
              <w:jc w:val="left"/>
              <w:textAlignment w:val="auto"/>
              <mc:AlternateContent>
                <mc:Choice Requires="wpsCustomData">
                  <wpsCustomData:diagonalParaType/>
                </mc:Choice>
              </mc:AlternateContent>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评价工作等级</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right"/>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占地规模</w:t>
            </w:r>
          </w:p>
        </w:tc>
        <w:tc>
          <w:tcPr>
            <w:tcW w:w="1937" w:type="dxa"/>
            <w:gridSpan w:val="3"/>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Ⅰ类项目</w:t>
            </w:r>
          </w:p>
        </w:tc>
        <w:tc>
          <w:tcPr>
            <w:tcW w:w="2014" w:type="dxa"/>
            <w:gridSpan w:val="3"/>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Ⅱ类项目</w:t>
            </w:r>
          </w:p>
        </w:tc>
        <w:tc>
          <w:tcPr>
            <w:tcW w:w="2018" w:type="dxa"/>
            <w:gridSpan w:val="3"/>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Ⅲ类项目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7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szCs w:val="2"/>
              </w:rPr>
            </w:pPr>
          </w:p>
        </w:tc>
        <w:tc>
          <w:tcPr>
            <w:tcW w:w="59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中</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小</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中</w:t>
            </w:r>
          </w:p>
        </w:tc>
        <w:tc>
          <w:tcPr>
            <w:tcW w:w="67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小</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大</w:t>
            </w:r>
          </w:p>
        </w:tc>
        <w:tc>
          <w:tcPr>
            <w:tcW w:w="67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中</w:t>
            </w:r>
          </w:p>
        </w:tc>
        <w:tc>
          <w:tcPr>
            <w:tcW w:w="67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72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敏感</w:t>
            </w:r>
          </w:p>
        </w:tc>
        <w:tc>
          <w:tcPr>
            <w:tcW w:w="59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一级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一级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一级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三级</w:t>
            </w:r>
          </w:p>
        </w:tc>
        <w:tc>
          <w:tcPr>
            <w:tcW w:w="67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三级</w:t>
            </w:r>
          </w:p>
        </w:tc>
        <w:tc>
          <w:tcPr>
            <w:tcW w:w="67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72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较敏感</w:t>
            </w:r>
          </w:p>
        </w:tc>
        <w:tc>
          <w:tcPr>
            <w:tcW w:w="59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一级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一级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b w:val="0"/>
                <w:bCs/>
                <w:spacing w:val="0"/>
                <w:w w:val="100"/>
                <w:kern w:val="21"/>
                <w:position w:val="0"/>
                <w:sz w:val="21"/>
              </w:rPr>
              <w:t>三级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三级</w:t>
            </w:r>
          </w:p>
        </w:tc>
        <w:tc>
          <w:tcPr>
            <w:tcW w:w="67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三级</w:t>
            </w:r>
          </w:p>
        </w:tc>
        <w:tc>
          <w:tcPr>
            <w:tcW w:w="67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72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不敏感</w:t>
            </w:r>
          </w:p>
        </w:tc>
        <w:tc>
          <w:tcPr>
            <w:tcW w:w="59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一级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三级</w:t>
            </w:r>
          </w:p>
        </w:tc>
        <w:tc>
          <w:tcPr>
            <w:tcW w:w="672" w:type="dxa"/>
            <w:tcBorders>
              <w:tl2br w:val="nil"/>
              <w:tr2bl w:val="nil"/>
            </w:tcBorders>
            <w:shd w:val="clear" w:color="auto" w:fill="BEBEBE" w:themeFill="background1" w:themeFillShade="BF"/>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b/>
                <w:bCs/>
                <w:spacing w:val="0"/>
                <w:w w:val="100"/>
                <w:kern w:val="21"/>
                <w:position w:val="0"/>
                <w:sz w:val="21"/>
              </w:rPr>
              <w:t>三级</w:t>
            </w:r>
          </w:p>
        </w:tc>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三级</w:t>
            </w:r>
          </w:p>
        </w:tc>
        <w:tc>
          <w:tcPr>
            <w:tcW w:w="67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spacing w:val="0"/>
                <w:w w:val="100"/>
                <w:kern w:val="21"/>
                <w:position w:val="0"/>
                <w:sz w:val="21"/>
                <w:lang w:val="en-US" w:eastAsia="zh-CN"/>
              </w:rPr>
            </w:pPr>
            <w:r>
              <w:rPr>
                <w:rFonts w:ascii="Times New Roman" w:hAnsi="Times New Roman" w:eastAsia="宋体"/>
                <w:spacing w:val="0"/>
                <w:w w:val="100"/>
                <w:kern w:val="21"/>
                <w:position w:val="0"/>
                <w:sz w:val="21"/>
              </w:rPr>
              <w:t>-</w:t>
            </w:r>
          </w:p>
        </w:tc>
        <w:tc>
          <w:tcPr>
            <w:tcW w:w="67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689" w:type="dxa"/>
            <w:gridSpan w:val="10"/>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jc w:val="both"/>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注：</w:t>
            </w:r>
            <w:r>
              <w:rPr>
                <w:rFonts w:hint="eastAsia" w:ascii="Times New Roman" w:hAnsi="Times New Roman"/>
                <w:spacing w:val="0"/>
                <w:w w:val="100"/>
                <w:kern w:val="21"/>
                <w:position w:val="0"/>
                <w:sz w:val="21"/>
                <w:lang w:eastAsia="zh-CN"/>
              </w:rPr>
              <w:t>“</w:t>
            </w:r>
            <w:r>
              <w:rPr>
                <w:rFonts w:hint="eastAsia" w:ascii="Times New Roman" w:hAnsi="Times New Roman"/>
                <w:spacing w:val="0"/>
                <w:w w:val="100"/>
                <w:kern w:val="21"/>
                <w:position w:val="0"/>
                <w:sz w:val="21"/>
                <w:lang w:val="en-US" w:eastAsia="zh-CN"/>
              </w:rPr>
              <w:t>-</w:t>
            </w:r>
            <w:r>
              <w:rPr>
                <w:rFonts w:hint="eastAsia" w:ascii="Times New Roman" w:hAnsi="Times New Roman"/>
                <w:spacing w:val="0"/>
                <w:w w:val="100"/>
                <w:kern w:val="21"/>
                <w:position w:val="0"/>
                <w:sz w:val="21"/>
                <w:lang w:eastAsia="zh-CN"/>
              </w:rPr>
              <w:t>”</w:t>
            </w:r>
            <w:r>
              <w:rPr>
                <w:rFonts w:ascii="Times New Roman" w:hAnsi="Times New Roman" w:eastAsia="宋体"/>
                <w:spacing w:val="0"/>
                <w:w w:val="100"/>
                <w:kern w:val="21"/>
                <w:position w:val="0"/>
                <w:sz w:val="21"/>
              </w:rPr>
              <w:t>表示可不开展土壤环境影响评价工作</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根据以上分析，本项目类别为</w:t>
      </w:r>
      <w:r>
        <w:rPr>
          <w:rFonts w:hint="default" w:ascii="Times New Roman" w:hAnsi="Times New Roman" w:cs="Times New Roman"/>
          <w:b w:val="0"/>
          <w:bCs w:val="0"/>
          <w:spacing w:val="0"/>
          <w:position w:val="0"/>
          <w:sz w:val="24"/>
          <w:szCs w:val="24"/>
          <w:lang w:eastAsia="zh-CN"/>
        </w:rPr>
        <w:t>Ⅱ</w:t>
      </w:r>
      <w:r>
        <w:rPr>
          <w:rFonts w:hint="eastAsia"/>
          <w:b w:val="0"/>
          <w:bCs w:val="0"/>
          <w:spacing w:val="0"/>
          <w:position w:val="0"/>
          <w:sz w:val="24"/>
          <w:szCs w:val="24"/>
          <w:lang w:eastAsia="zh-CN"/>
        </w:rPr>
        <w:t>类，建设项目土壤环境敏感程度属不敏感，占地规模属于小型，故本项目土壤评价工作等级为三级。评价工作等级的判定依据见表2.4-8。</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2.4.5.2评价范围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根据《环境影响评价技术导则 土壤环境（试行）》（HJ964-2018），项目土壤环境影响评价范围为项目占地范围及厂界外0.05km范围内，</w:t>
      </w:r>
      <w:r>
        <w:rPr>
          <w:rFonts w:hint="eastAsia"/>
          <w:b w:val="0"/>
          <w:bCs w:val="0"/>
          <w:spacing w:val="0"/>
          <w:position w:val="0"/>
          <w:sz w:val="24"/>
          <w:szCs w:val="24"/>
          <w:lang w:val="en-US" w:eastAsia="zh-CN"/>
        </w:rPr>
        <w:t>评价范围内无敏感保护目标</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2.4</w:t>
      </w:r>
      <w:r>
        <w:rPr>
          <w:rFonts w:hint="eastAsia"/>
          <w:b/>
          <w:bCs/>
          <w:spacing w:val="0"/>
          <w:position w:val="0"/>
          <w:sz w:val="28"/>
          <w:szCs w:val="28"/>
          <w:lang w:val="en-US" w:eastAsia="zh-CN"/>
        </w:rPr>
        <w:t>.6环境风险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根据6.2章节分析可知，本项目环境风险潜势为Ⅱ级。对照《建设项目环境风险评价技术导则》（HJ169-2018），本项目环境风险评价工作等级为三级，评价范围为建设项目厂界外3km范围，见图2.</w:t>
      </w:r>
      <w:r>
        <w:rPr>
          <w:rFonts w:hint="eastAsia"/>
          <w:b w:val="0"/>
          <w:bCs w:val="0"/>
          <w:spacing w:val="0"/>
          <w:position w:val="0"/>
          <w:sz w:val="24"/>
          <w:szCs w:val="24"/>
          <w:lang w:val="en-US" w:eastAsia="zh-CN"/>
        </w:rPr>
        <w:t>6</w:t>
      </w:r>
      <w:r>
        <w:rPr>
          <w:rFonts w:hint="eastAsia"/>
          <w:b w:val="0"/>
          <w:bCs w:val="0"/>
          <w:spacing w:val="0"/>
          <w:position w:val="0"/>
          <w:sz w:val="24"/>
          <w:szCs w:val="24"/>
          <w:lang w:eastAsia="zh-CN"/>
        </w:rPr>
        <w:t>-1。</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2.4</w:t>
      </w:r>
      <w:r>
        <w:rPr>
          <w:rFonts w:hint="eastAsia"/>
          <w:b/>
          <w:bCs/>
          <w:spacing w:val="0"/>
          <w:position w:val="0"/>
          <w:sz w:val="28"/>
          <w:szCs w:val="28"/>
          <w:lang w:val="en-US" w:eastAsia="zh-CN"/>
        </w:rPr>
        <w:t>.7生态环境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本项目位于连江可门绿色纺织产业园，园区已征地，园区规划环评对生态环境影响已经开展评价，项目环评简化相关内容，因此不开展陆域生态环境影响评价。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val="0"/>
          <w:bCs w:val="0"/>
          <w:spacing w:val="0"/>
          <w:position w:val="0"/>
          <w:sz w:val="24"/>
          <w:szCs w:val="24"/>
          <w:lang w:eastAsia="zh-CN"/>
        </w:rPr>
      </w:pPr>
      <w:r>
        <w:rPr>
          <w:rFonts w:hint="eastAsia"/>
          <w:b/>
          <w:bCs/>
          <w:spacing w:val="0"/>
          <w:position w:val="0"/>
          <w:sz w:val="30"/>
          <w:szCs w:val="30"/>
          <w:lang w:eastAsia="zh-CN"/>
        </w:rPr>
        <w:t>2.5</w:t>
      </w:r>
      <w:r>
        <w:rPr>
          <w:rFonts w:hint="eastAsia"/>
          <w:b/>
          <w:bCs/>
          <w:spacing w:val="0"/>
          <w:position w:val="0"/>
          <w:sz w:val="30"/>
          <w:szCs w:val="30"/>
          <w:lang w:val="en-US" w:eastAsia="zh-CN"/>
        </w:rPr>
        <w:t>评价标准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2.5</w:t>
      </w:r>
      <w:r>
        <w:rPr>
          <w:rFonts w:hint="eastAsia"/>
          <w:b/>
          <w:bCs/>
          <w:spacing w:val="0"/>
          <w:position w:val="0"/>
          <w:sz w:val="28"/>
          <w:szCs w:val="28"/>
          <w:lang w:val="en-US" w:eastAsia="zh-CN"/>
        </w:rPr>
        <w:t>.1环境质量标准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2.5.1.1环境空气质量标准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本项目所在区域空气环境为二类功能区，执行《环境空气质量标准》（GB3095-2012）中的二级标准；TVOC执行《环境影响评价技术导则 大气环境》（HJ2.2-2018）附录D的其他污染物空气质量浓度参考限值要求；特征污染物非甲烷总烃参照执行《大气污染物综合排放标准详解》中的环境背景浓度取值进行评价。环境空气质量标准见表2.5-1。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表2.5-1环境空气质量标准</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95"/>
        <w:gridCol w:w="1832"/>
        <w:gridCol w:w="2162"/>
        <w:gridCol w:w="34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rPr>
            </w:pPr>
            <w:r>
              <w:rPr>
                <w:rFonts w:ascii="Times New Roman" w:hAnsi="Times New Roman" w:eastAsia="宋体"/>
                <w:b/>
                <w:bCs/>
                <w:spacing w:val="0"/>
                <w:w w:val="100"/>
                <w:kern w:val="21"/>
                <w:position w:val="0"/>
                <w:sz w:val="21"/>
              </w:rPr>
              <w:t>污染物名称</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rPr>
            </w:pPr>
            <w:r>
              <w:rPr>
                <w:rFonts w:ascii="Times New Roman" w:hAnsi="Times New Roman" w:eastAsia="宋体"/>
                <w:b/>
                <w:bCs/>
                <w:spacing w:val="0"/>
                <w:w w:val="100"/>
                <w:kern w:val="21"/>
                <w:position w:val="0"/>
                <w:sz w:val="21"/>
              </w:rPr>
              <w:t>取值时间</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rPr>
            </w:pPr>
            <w:r>
              <w:rPr>
                <w:rFonts w:ascii="Times New Roman" w:hAnsi="Times New Roman" w:eastAsia="宋体"/>
                <w:b/>
                <w:bCs/>
                <w:spacing w:val="0"/>
                <w:w w:val="100"/>
                <w:kern w:val="21"/>
                <w:position w:val="0"/>
                <w:sz w:val="21"/>
              </w:rPr>
              <w:t>执行标准（mg/m</w:t>
            </w:r>
            <w:r>
              <w:rPr>
                <w:rFonts w:ascii="Times New Roman" w:hAnsi="Times New Roman" w:eastAsia="宋体"/>
                <w:b/>
                <w:bCs/>
                <w:spacing w:val="0"/>
                <w:w w:val="100"/>
                <w:kern w:val="21"/>
                <w:position w:val="0"/>
                <w:sz w:val="21"/>
                <w:vertAlign w:val="superscript"/>
              </w:rPr>
              <w:t>3</w:t>
            </w:r>
            <w:r>
              <w:rPr>
                <w:rFonts w:ascii="Times New Roman" w:hAnsi="Times New Roman" w:eastAsia="宋体"/>
                <w:b/>
                <w:bCs/>
                <w:spacing w:val="0"/>
                <w:w w:val="100"/>
                <w:kern w:val="21"/>
                <w:position w:val="0"/>
                <w:sz w:val="21"/>
              </w:rPr>
              <w:t>）</w:t>
            </w:r>
          </w:p>
        </w:tc>
        <w:tc>
          <w:tcPr>
            <w:tcW w:w="340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rPr>
            </w:pPr>
            <w:r>
              <w:rPr>
                <w:rFonts w:ascii="Times New Roman" w:hAnsi="Times New Roman" w:eastAsia="宋体"/>
                <w:b/>
                <w:bCs/>
                <w:spacing w:val="0"/>
                <w:w w:val="100"/>
                <w:kern w:val="21"/>
                <w:position w:val="0"/>
                <w:sz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二氧化硫</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（SO</w:t>
            </w:r>
            <w:r>
              <w:rPr>
                <w:rFonts w:ascii="Times New Roman" w:hAnsi="Times New Roman" w:eastAsia="宋体"/>
                <w:spacing w:val="0"/>
                <w:w w:val="100"/>
                <w:kern w:val="21"/>
                <w:position w:val="0"/>
                <w:sz w:val="21"/>
                <w:vertAlign w:val="subscript"/>
              </w:rPr>
              <w:t>2</w:t>
            </w:r>
            <w:r>
              <w:rPr>
                <w:rFonts w:ascii="Times New Roman" w:hAnsi="Times New Roman" w:eastAsia="宋体"/>
                <w:spacing w:val="0"/>
                <w:w w:val="100"/>
                <w:kern w:val="21"/>
                <w:position w:val="0"/>
                <w:sz w:val="21"/>
                <w:vertAlign w:val="baseline"/>
              </w:rPr>
              <w:t>）</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年平均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0.06</w:t>
            </w:r>
          </w:p>
        </w:tc>
        <w:tc>
          <w:tcPr>
            <w:tcW w:w="3404"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《环境空气质量标准》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（GB3095-2012）</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hint="eastAsia" w:ascii="Times New Roman" w:hAnsi="Times New Roman" w:eastAsia="宋体"/>
                <w:spacing w:val="0"/>
                <w:w w:val="100"/>
                <w:kern w:val="21"/>
                <w:position w:val="0"/>
                <w:sz w:val="21"/>
              </w:rPr>
              <w:t>及其修改单中</w:t>
            </w:r>
            <w:r>
              <w:rPr>
                <w:rFonts w:ascii="Times New Roman" w:hAnsi="Times New Roman" w:eastAsia="宋体"/>
                <w:spacing w:val="0"/>
                <w:w w:val="100"/>
                <w:kern w:val="21"/>
                <w:position w:val="0"/>
                <w:sz w:val="21"/>
              </w:rPr>
              <w:t>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24小时平均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0.15</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1小时平均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0.50</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二氧化氮</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（NO</w:t>
            </w:r>
            <w:r>
              <w:rPr>
                <w:rFonts w:ascii="Times New Roman" w:hAnsi="Times New Roman" w:eastAsia="宋体"/>
                <w:spacing w:val="0"/>
                <w:w w:val="100"/>
                <w:kern w:val="21"/>
                <w:position w:val="0"/>
                <w:sz w:val="21"/>
                <w:vertAlign w:val="subscript"/>
              </w:rPr>
              <w:t>2</w:t>
            </w:r>
            <w:r>
              <w:rPr>
                <w:rFonts w:ascii="Times New Roman" w:hAnsi="Times New Roman" w:eastAsia="宋体"/>
                <w:spacing w:val="0"/>
                <w:w w:val="100"/>
                <w:kern w:val="21"/>
                <w:position w:val="0"/>
                <w:sz w:val="21"/>
                <w:vertAlign w:val="baseline"/>
              </w:rPr>
              <w:t>）</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年平均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0.04</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24小时平均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0.08</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1小时平均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0.20</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PM</w:t>
            </w:r>
            <w:r>
              <w:rPr>
                <w:rFonts w:ascii="Times New Roman" w:hAnsi="Times New Roman" w:eastAsia="宋体"/>
                <w:spacing w:val="0"/>
                <w:w w:val="100"/>
                <w:kern w:val="21"/>
                <w:position w:val="0"/>
                <w:sz w:val="21"/>
                <w:vertAlign w:val="subscript"/>
              </w:rPr>
              <w:t>10</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年平均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0.07</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24小时平均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0.15</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PM</w:t>
            </w:r>
            <w:r>
              <w:rPr>
                <w:rFonts w:ascii="Times New Roman" w:hAnsi="Times New Roman" w:eastAsia="宋体"/>
                <w:spacing w:val="0"/>
                <w:w w:val="100"/>
                <w:kern w:val="21"/>
                <w:position w:val="0"/>
                <w:sz w:val="21"/>
                <w:vertAlign w:val="subscript"/>
              </w:rPr>
              <w:t>2.5</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年平均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0.035</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24小时平均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0.075</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CO</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24小时平均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4</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1小时平均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10</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O</w:t>
            </w:r>
            <w:r>
              <w:rPr>
                <w:rFonts w:ascii="Times New Roman" w:hAnsi="Times New Roman" w:eastAsia="宋体"/>
                <w:spacing w:val="0"/>
                <w:w w:val="100"/>
                <w:kern w:val="21"/>
                <w:position w:val="0"/>
                <w:sz w:val="21"/>
                <w:vertAlign w:val="subscript"/>
              </w:rPr>
              <w:t>3</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日最大8小时平均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0.16</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1小时平均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0.2</w:t>
            </w:r>
          </w:p>
        </w:tc>
        <w:tc>
          <w:tcPr>
            <w:tcW w:w="3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TVOC</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8小时平均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0.60</w:t>
            </w:r>
          </w:p>
        </w:tc>
        <w:tc>
          <w:tcPr>
            <w:tcW w:w="340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《环境影响评价技术导则 大气环境》（HJ2.2-2018）附录D的表附D.1 其他污染物空气质量浓度参考限值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非甲烷总烃</w:t>
            </w:r>
          </w:p>
        </w:tc>
        <w:tc>
          <w:tcPr>
            <w:tcW w:w="18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1小时平均</w:t>
            </w:r>
          </w:p>
        </w:tc>
        <w:tc>
          <w:tcPr>
            <w:tcW w:w="216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2.0</w:t>
            </w:r>
          </w:p>
        </w:tc>
        <w:tc>
          <w:tcPr>
            <w:tcW w:w="340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spacing w:val="0"/>
                <w:w w:val="100"/>
                <w:kern w:val="21"/>
                <w:position w:val="0"/>
                <w:sz w:val="21"/>
                <w:szCs w:val="2"/>
              </w:rPr>
            </w:pPr>
            <w:r>
              <w:rPr>
                <w:rFonts w:ascii="Times New Roman" w:hAnsi="Times New Roman" w:eastAsia="宋体"/>
                <w:spacing w:val="0"/>
                <w:w w:val="100"/>
                <w:kern w:val="21"/>
                <w:position w:val="0"/>
                <w:sz w:val="21"/>
              </w:rPr>
              <w:t>参照执行《大气污染物综合排放标准详解》第244页</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2.5.1.2地表水环境质量标准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根据《福建省近岸海域环境功能规划区划（修编）》，产业园区所处位置为罗源湾东南部海域，为罗源湾南部四类区（FJ031-D-Ⅲ），主导功能为港口、航运，辅助功能为一般工业用水，水质执行《海水水质标准》（GB3097-1997）第三类水质标准；产业园周边海域涉及罗源湾中西部三类区（FJ032-C-Ⅱ类），水质执行第二类海水水质标准；湾外排污口位于罗源湾中西部二类区（FJ033-B-Ⅱ类），水质执行第二类海水水质标准。标准值详见表2.5-2。</w:t>
      </w:r>
    </w:p>
    <w:p>
      <w:pPr>
        <w:keepNext w:val="0"/>
        <w:keepLines w:val="0"/>
        <w:pageBreakBefore w:val="0"/>
        <w:widowControl/>
        <w:kinsoku/>
        <w:wordWrap/>
        <w:overflowPunct/>
        <w:topLinePunct w:val="0"/>
        <w:autoSpaceDE/>
        <w:autoSpaceDN/>
        <w:bidi w:val="0"/>
        <w:adjustRightInd w:val="0"/>
        <w:snapToGrid w:val="0"/>
        <w:spacing w:line="240" w:lineRule="auto"/>
        <w:jc w:val="right"/>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表2.5-</w:t>
      </w:r>
      <w:r>
        <w:rPr>
          <w:rFonts w:hint="eastAsia"/>
          <w:b/>
          <w:bCs/>
          <w:spacing w:val="0"/>
          <w:position w:val="0"/>
          <w:sz w:val="24"/>
          <w:szCs w:val="24"/>
          <w:lang w:val="en-US" w:eastAsia="zh-CN"/>
        </w:rPr>
        <w:t>2</w:t>
      </w:r>
      <w:r>
        <w:rPr>
          <w:rFonts w:hint="eastAsia"/>
          <w:b/>
          <w:bCs/>
          <w:spacing w:val="0"/>
          <w:position w:val="0"/>
          <w:sz w:val="24"/>
          <w:szCs w:val="24"/>
          <w:lang w:eastAsia="zh-CN"/>
        </w:rPr>
        <w:t>海水水质标准（摘录）</w:t>
      </w:r>
      <w:r>
        <w:rPr>
          <w:rFonts w:hint="eastAsia"/>
          <w:b/>
          <w:bCs/>
          <w:spacing w:val="0"/>
          <w:position w:val="0"/>
          <w:sz w:val="24"/>
          <w:szCs w:val="24"/>
          <w:lang w:val="en-US" w:eastAsia="zh-CN"/>
        </w:rPr>
        <w:t xml:space="preserve">  </w:t>
      </w:r>
      <w:r>
        <w:rPr>
          <w:rFonts w:hint="eastAsia"/>
          <w:b/>
          <w:bCs/>
          <w:spacing w:val="0"/>
          <w:position w:val="0"/>
          <w:sz w:val="24"/>
          <w:szCs w:val="24"/>
          <w:lang w:eastAsia="zh-CN"/>
        </w:rPr>
        <w:t>单位：mg/L，pH无量纲</w:t>
      </w:r>
    </w:p>
    <w:tbl>
      <w:tblPr>
        <w:tblStyle w:val="16"/>
        <w:tblW w:w="501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432"/>
        <w:gridCol w:w="2429"/>
        <w:gridCol w:w="2429"/>
        <w:gridCol w:w="242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blHeader/>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项目</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第一类</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第二类</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第三类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水温（℃）</w:t>
            </w:r>
          </w:p>
        </w:tc>
        <w:tc>
          <w:tcPr>
            <w:tcW w:w="4858"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人为造成的海水温升夏季不超过当时当地1℃，其它季节不超过2℃</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人为造成的温升夏季不超过当时当地4℃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pH</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（无量纲）</w:t>
            </w:r>
          </w:p>
        </w:tc>
        <w:tc>
          <w:tcPr>
            <w:tcW w:w="4858"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7.8～8.5</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同时不超过该海域正常变动范围的0.2pH单位</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6.8～8.8</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同时不超过该海域正常变动范围的0.5pH单位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悬浮物质</w:t>
            </w:r>
          </w:p>
        </w:tc>
        <w:tc>
          <w:tcPr>
            <w:tcW w:w="4858"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人为增加的量≤10</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人为增加的量≤100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溶解氧＞</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化学需氧量≤</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生化需氧量≤</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1</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3</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活性磷酸盐≤</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（以P计）</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0.015</w:t>
            </w:r>
          </w:p>
        </w:tc>
        <w:tc>
          <w:tcPr>
            <w:tcW w:w="4858"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无机氮≤</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eastAsia="宋体"/>
                <w:spacing w:val="0"/>
                <w:w w:val="100"/>
                <w:kern w:val="21"/>
                <w:position w:val="0"/>
                <w:sz w:val="21"/>
                <w:szCs w:val="21"/>
                <w:lang w:eastAsia="zh-CN"/>
              </w:rPr>
              <w:t>（以</w:t>
            </w:r>
            <w:r>
              <w:rPr>
                <w:rFonts w:hint="eastAsia" w:ascii="Times New Roman" w:hAnsi="Times New Roman" w:eastAsia="宋体"/>
                <w:spacing w:val="0"/>
                <w:w w:val="100"/>
                <w:kern w:val="21"/>
                <w:position w:val="0"/>
                <w:sz w:val="21"/>
                <w:szCs w:val="21"/>
                <w:lang w:val="en-US" w:eastAsia="zh-CN"/>
              </w:rPr>
              <w:t>N计</w:t>
            </w:r>
            <w:r>
              <w:rPr>
                <w:rFonts w:hint="eastAsia" w:ascii="Times New Roman" w:hAnsi="Times New Roman" w:eastAsia="宋体"/>
                <w:spacing w:val="0"/>
                <w:w w:val="100"/>
                <w:kern w:val="21"/>
                <w:position w:val="0"/>
                <w:sz w:val="21"/>
                <w:szCs w:val="21"/>
                <w:lang w:eastAsia="zh-CN"/>
              </w:rPr>
              <w:t>）</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0.20</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0.30</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六价铬≤</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0.005</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0.010</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氰化物≤</w:t>
            </w:r>
          </w:p>
        </w:tc>
        <w:tc>
          <w:tcPr>
            <w:tcW w:w="4858"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0.005</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硫化物≤</w:t>
            </w:r>
          </w:p>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（以S计）</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0.02</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0.05</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挥发性酚≤</w:t>
            </w:r>
          </w:p>
        </w:tc>
        <w:tc>
          <w:tcPr>
            <w:tcW w:w="4858"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0.005</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43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石油类≤</w:t>
            </w:r>
          </w:p>
        </w:tc>
        <w:tc>
          <w:tcPr>
            <w:tcW w:w="4858"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0.05</w:t>
            </w:r>
          </w:p>
        </w:tc>
        <w:tc>
          <w:tcPr>
            <w:tcW w:w="242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0.30</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2.5.1.3地下水环境质量标准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区域地下水没有明确的环境功能区划，参照国家相关技术规范，本项目所在区域地下水参照执行《地下水质量标准》（GB/T14848-2017）中Ⅲ类水质标准。</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eastAsia="zh-CN"/>
        </w:rPr>
        <w:t>表</w:t>
      </w:r>
      <w:r>
        <w:rPr>
          <w:rFonts w:hint="eastAsia"/>
          <w:b/>
          <w:bCs/>
          <w:spacing w:val="0"/>
          <w:position w:val="0"/>
          <w:sz w:val="24"/>
          <w:szCs w:val="24"/>
          <w:lang w:val="en-US" w:eastAsia="zh-CN"/>
        </w:rPr>
        <w:t>2.5-3地下水环境质量标准（摘录）  单位：mg/L，pH 无量纲</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20"/>
        <w:gridCol w:w="1162"/>
        <w:gridCol w:w="1162"/>
        <w:gridCol w:w="1163"/>
        <w:gridCol w:w="1474"/>
        <w:gridCol w:w="12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b/>
                <w:spacing w:val="0"/>
                <w:kern w:val="21"/>
                <w:position w:val="0"/>
                <w:sz w:val="21"/>
                <w:szCs w:val="21"/>
              </w:rPr>
            </w:pPr>
            <w:r>
              <w:rPr>
                <w:rFonts w:ascii="Times New Roman" w:hAnsi="Times New Roman" w:eastAsia="宋体"/>
                <w:b/>
                <w:spacing w:val="0"/>
                <w:kern w:val="21"/>
                <w:position w:val="0"/>
                <w:sz w:val="21"/>
                <w:szCs w:val="21"/>
              </w:rPr>
              <w:t>项目</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b/>
                <w:spacing w:val="0"/>
                <w:kern w:val="21"/>
                <w:position w:val="0"/>
                <w:sz w:val="21"/>
                <w:szCs w:val="21"/>
              </w:rPr>
            </w:pPr>
            <w:r>
              <w:rPr>
                <w:rFonts w:ascii="Times New Roman" w:hAnsi="Times New Roman" w:eastAsia="宋体"/>
                <w:b/>
                <w:spacing w:val="0"/>
                <w:kern w:val="21"/>
                <w:position w:val="0"/>
                <w:sz w:val="21"/>
                <w:szCs w:val="21"/>
              </w:rPr>
              <w:t>Ⅰ类</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b/>
                <w:spacing w:val="0"/>
                <w:kern w:val="21"/>
                <w:position w:val="0"/>
                <w:sz w:val="21"/>
                <w:szCs w:val="21"/>
              </w:rPr>
            </w:pPr>
            <w:r>
              <w:rPr>
                <w:rFonts w:ascii="Times New Roman" w:hAnsi="Times New Roman" w:eastAsia="宋体"/>
                <w:b/>
                <w:spacing w:val="0"/>
                <w:kern w:val="21"/>
                <w:position w:val="0"/>
                <w:sz w:val="21"/>
                <w:szCs w:val="21"/>
              </w:rPr>
              <w:t>Ⅱ类</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spacing w:val="0"/>
                <w:kern w:val="21"/>
                <w:position w:val="0"/>
                <w:sz w:val="21"/>
                <w:szCs w:val="21"/>
              </w:rPr>
            </w:pPr>
            <w:r>
              <w:rPr>
                <w:rFonts w:ascii="Times New Roman" w:hAnsi="Times New Roman" w:eastAsia="宋体"/>
                <w:b/>
                <w:spacing w:val="0"/>
                <w:kern w:val="21"/>
                <w:position w:val="0"/>
                <w:sz w:val="21"/>
                <w:szCs w:val="21"/>
              </w:rPr>
              <w:t>Ⅲ类</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b/>
                <w:spacing w:val="0"/>
                <w:kern w:val="21"/>
                <w:position w:val="0"/>
                <w:sz w:val="21"/>
                <w:szCs w:val="21"/>
              </w:rPr>
            </w:pPr>
            <w:r>
              <w:rPr>
                <w:rFonts w:ascii="Times New Roman" w:hAnsi="Times New Roman" w:eastAsia="宋体"/>
                <w:b/>
                <w:spacing w:val="0"/>
                <w:kern w:val="21"/>
                <w:position w:val="0"/>
                <w:sz w:val="21"/>
                <w:szCs w:val="21"/>
              </w:rPr>
              <w:t>Ⅳ类</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b/>
                <w:spacing w:val="0"/>
                <w:kern w:val="21"/>
                <w:position w:val="0"/>
                <w:sz w:val="21"/>
                <w:szCs w:val="21"/>
              </w:rPr>
            </w:pPr>
            <w:r>
              <w:rPr>
                <w:rFonts w:ascii="Times New Roman" w:hAnsi="Times New Roman" w:eastAsia="宋体"/>
                <w:b/>
                <w:spacing w:val="0"/>
                <w:kern w:val="21"/>
                <w:position w:val="0"/>
                <w:sz w:val="21"/>
                <w:szCs w:val="21"/>
              </w:rPr>
              <w:t>V类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pH</w:t>
            </w:r>
          </w:p>
        </w:tc>
        <w:tc>
          <w:tcPr>
            <w:tcW w:w="3685" w:type="dxa"/>
            <w:gridSpan w:val="3"/>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6.5~8.5</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5.5~6.5，8.5~9</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总硬度（以CaCO</w:t>
            </w:r>
            <w:r>
              <w:rPr>
                <w:rFonts w:ascii="Times New Roman" w:hAnsi="Times New Roman" w:eastAsia="宋体"/>
                <w:spacing w:val="0"/>
                <w:kern w:val="21"/>
                <w:position w:val="0"/>
                <w:sz w:val="21"/>
                <w:szCs w:val="21"/>
                <w:vertAlign w:val="subscript"/>
              </w:rPr>
              <w:t>3</w:t>
            </w:r>
            <w:r>
              <w:rPr>
                <w:rFonts w:ascii="Times New Roman" w:hAnsi="Times New Roman" w:eastAsia="宋体"/>
                <w:spacing w:val="0"/>
                <w:kern w:val="21"/>
                <w:position w:val="0"/>
                <w:sz w:val="21"/>
                <w:szCs w:val="21"/>
                <w:vertAlign w:val="baseline"/>
              </w:rPr>
              <w:t>计）</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≤300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≤450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≤650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＞650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溶解性总固体</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≤300</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≤1000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≤2000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耗氧量（CODMn 法）</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硫酸盐</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≤250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≤350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氯化物</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≤350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氨氮（NH</w:t>
            </w:r>
            <w:r>
              <w:rPr>
                <w:rFonts w:ascii="Times New Roman" w:hAnsi="Times New Roman" w:eastAsia="宋体"/>
                <w:spacing w:val="0"/>
                <w:kern w:val="21"/>
                <w:position w:val="0"/>
                <w:sz w:val="21"/>
                <w:szCs w:val="21"/>
                <w:vertAlign w:val="subscript"/>
              </w:rPr>
              <w:t>4</w:t>
            </w:r>
            <w:r>
              <w:rPr>
                <w:rFonts w:ascii="Times New Roman" w:hAnsi="Times New Roman" w:eastAsia="宋体"/>
                <w:spacing w:val="0"/>
                <w:kern w:val="21"/>
                <w:position w:val="0"/>
                <w:sz w:val="21"/>
                <w:szCs w:val="21"/>
                <w:vertAlign w:val="baseline"/>
              </w:rPr>
              <w:t>）</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≤0.02</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≤0.50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硫化物</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≤0.005</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≤0.02</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硝酸盐（以 N 计）</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亚硝酸盐（以 N 计）</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≤4.80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＞4.80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挥发性酚类（以苯酚计）</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≤0.001</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≤0.002</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≤0.0l</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阴离子表面活性剂</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不得检出</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≤0.3</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≤0.3</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钠（Na）</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≤100</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≤400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铜（Cu）</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≤0.05</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锌（Zn）</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≤0.05</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≤0.5</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≤1.00</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铁（Fe）</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≤0.2</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≤0.3</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锰（Mn）</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≤0.05</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≤0.05</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汞（Hg）</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≤0.0001</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≤0.001</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≤0.002</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砷（As）</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≤0.001</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≤0.05</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镉（Cd）</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≤0.001</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≤0.005</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铬（六价）</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≤0.005</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≤0.05</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铅（Pb）</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≤0.005</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≤0.005</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5"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锑（Sb）</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≤0.0001</w:t>
            </w:r>
          </w:p>
        </w:tc>
        <w:tc>
          <w:tcPr>
            <w:tcW w:w="1228"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≤0.0005</w:t>
            </w:r>
          </w:p>
        </w:tc>
        <w:tc>
          <w:tcPr>
            <w:tcW w:w="122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≤0.005</w:t>
            </w:r>
          </w:p>
        </w:tc>
        <w:tc>
          <w:tcPr>
            <w:tcW w:w="1559"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≤0.01</w:t>
            </w:r>
          </w:p>
        </w:tc>
        <w:tc>
          <w:tcPr>
            <w:tcW w:w="1276" w:type="dxa"/>
            <w:tcBorders>
              <w:tl2br w:val="nil"/>
              <w:tr2bl w:val="nil"/>
            </w:tcBorders>
            <w:vAlign w:val="top"/>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＞0.10</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2.5.1.4声环境质量标准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本项目位于可门绿色纺织产业园，所在区域声环境质量执行《声环境质量标准》（GB3096-2008）中的3类标准，附近村庄等敏感点的声环境执行《声环境质量标准》（GB3096-2008）中的2类标准，详见表2.5-4。</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val="0"/>
          <w:bCs w:val="0"/>
          <w:spacing w:val="0"/>
          <w:position w:val="0"/>
          <w:sz w:val="24"/>
          <w:szCs w:val="24"/>
          <w:lang w:eastAsia="zh-CN"/>
        </w:rPr>
      </w:pPr>
      <w:r>
        <w:rPr>
          <w:rFonts w:hint="eastAsia"/>
          <w:b/>
          <w:bCs/>
          <w:spacing w:val="0"/>
          <w:position w:val="0"/>
          <w:sz w:val="24"/>
          <w:szCs w:val="24"/>
          <w:lang w:eastAsia="zh-CN"/>
        </w:rPr>
        <w:t>表</w:t>
      </w:r>
      <w:r>
        <w:rPr>
          <w:rFonts w:hint="eastAsia"/>
          <w:b/>
          <w:bCs/>
          <w:spacing w:val="0"/>
          <w:position w:val="0"/>
          <w:sz w:val="24"/>
          <w:szCs w:val="24"/>
          <w:lang w:val="en-US" w:eastAsia="zh-CN"/>
        </w:rPr>
        <w:t>2.5-4声环境质量标准单位  dB（A）</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19"/>
        <w:gridCol w:w="1621"/>
        <w:gridCol w:w="1621"/>
        <w:gridCol w:w="1622"/>
        <w:gridCol w:w="22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kern w:val="21"/>
                <w:position w:val="0"/>
                <w:sz w:val="21"/>
                <w:szCs w:val="21"/>
              </w:rPr>
            </w:pPr>
            <w:r>
              <w:rPr>
                <w:rFonts w:ascii="Times New Roman" w:hAnsi="Times New Roman" w:eastAsia="宋体"/>
                <w:b/>
                <w:bCs/>
                <w:spacing w:val="0"/>
                <w:kern w:val="21"/>
                <w:position w:val="0"/>
                <w:sz w:val="21"/>
                <w:szCs w:val="21"/>
              </w:rPr>
              <w:t>区域</w:t>
            </w:r>
          </w:p>
        </w:tc>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kern w:val="21"/>
                <w:position w:val="0"/>
                <w:sz w:val="21"/>
                <w:szCs w:val="21"/>
              </w:rPr>
            </w:pPr>
            <w:r>
              <w:rPr>
                <w:rFonts w:ascii="Times New Roman" w:hAnsi="Times New Roman" w:eastAsia="宋体"/>
                <w:b/>
                <w:bCs/>
                <w:spacing w:val="0"/>
                <w:kern w:val="21"/>
                <w:position w:val="0"/>
                <w:sz w:val="21"/>
                <w:szCs w:val="21"/>
              </w:rPr>
              <w:t>声环境功能</w:t>
            </w:r>
          </w:p>
        </w:tc>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kern w:val="21"/>
                <w:position w:val="0"/>
                <w:sz w:val="21"/>
                <w:szCs w:val="21"/>
              </w:rPr>
            </w:pPr>
            <w:r>
              <w:rPr>
                <w:rFonts w:ascii="Times New Roman" w:hAnsi="Times New Roman" w:eastAsia="宋体"/>
                <w:b/>
                <w:bCs/>
                <w:spacing w:val="0"/>
                <w:kern w:val="21"/>
                <w:position w:val="0"/>
                <w:sz w:val="21"/>
                <w:szCs w:val="21"/>
              </w:rPr>
              <w:t>昼间（dB）</w:t>
            </w:r>
          </w:p>
        </w:tc>
        <w:tc>
          <w:tcPr>
            <w:tcW w:w="170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kern w:val="21"/>
                <w:position w:val="0"/>
                <w:sz w:val="21"/>
                <w:szCs w:val="21"/>
              </w:rPr>
            </w:pPr>
            <w:r>
              <w:rPr>
                <w:rFonts w:ascii="Times New Roman" w:hAnsi="Times New Roman" w:eastAsia="宋体"/>
                <w:b/>
                <w:bCs/>
                <w:spacing w:val="0"/>
                <w:kern w:val="21"/>
                <w:position w:val="0"/>
                <w:sz w:val="21"/>
                <w:szCs w:val="21"/>
              </w:rPr>
              <w:t>夜间（dB）</w:t>
            </w:r>
          </w:p>
        </w:tc>
        <w:tc>
          <w:tcPr>
            <w:tcW w:w="232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kern w:val="21"/>
                <w:position w:val="0"/>
                <w:sz w:val="21"/>
                <w:szCs w:val="21"/>
              </w:rPr>
            </w:pPr>
            <w:r>
              <w:rPr>
                <w:rFonts w:ascii="Times New Roman" w:hAnsi="Times New Roman" w:eastAsia="宋体"/>
                <w:b/>
                <w:bCs/>
                <w:spacing w:val="0"/>
                <w:kern w:val="21"/>
                <w:position w:val="0"/>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项目所在地</w:t>
            </w:r>
          </w:p>
        </w:tc>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3类区</w:t>
            </w:r>
          </w:p>
        </w:tc>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≤65</w:t>
            </w:r>
          </w:p>
        </w:tc>
        <w:tc>
          <w:tcPr>
            <w:tcW w:w="170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≤55</w:t>
            </w:r>
          </w:p>
        </w:tc>
        <w:tc>
          <w:tcPr>
            <w:tcW w:w="2324"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《声环境质量标准》</w:t>
            </w:r>
          </w:p>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（GB3096-2008）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周边敏感点</w:t>
            </w:r>
          </w:p>
        </w:tc>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2类区</w:t>
            </w:r>
          </w:p>
        </w:tc>
        <w:tc>
          <w:tcPr>
            <w:tcW w:w="170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≤60</w:t>
            </w:r>
          </w:p>
        </w:tc>
        <w:tc>
          <w:tcPr>
            <w:tcW w:w="170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r>
              <w:rPr>
                <w:rFonts w:ascii="Times New Roman" w:hAnsi="Times New Roman" w:eastAsia="宋体"/>
                <w:spacing w:val="0"/>
                <w:kern w:val="21"/>
                <w:position w:val="0"/>
                <w:sz w:val="21"/>
                <w:szCs w:val="21"/>
              </w:rPr>
              <w:t>≤50</w:t>
            </w:r>
          </w:p>
        </w:tc>
        <w:tc>
          <w:tcPr>
            <w:tcW w:w="23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kern w:val="21"/>
                <w:position w:val="0"/>
                <w:sz w:val="21"/>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2.5.1.5土壤环境质量标准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项目用地区域土壤环境执行《土壤环境质量</w:t>
      </w:r>
      <w:r>
        <w:rPr>
          <w:rFonts w:hint="eastAsia"/>
          <w:b w:val="0"/>
          <w:bCs w:val="0"/>
          <w:spacing w:val="0"/>
          <w:position w:val="0"/>
          <w:sz w:val="24"/>
          <w:szCs w:val="24"/>
          <w:lang w:val="en-US" w:eastAsia="zh-CN"/>
        </w:rPr>
        <w:t xml:space="preserve"> </w:t>
      </w:r>
      <w:r>
        <w:rPr>
          <w:rFonts w:hint="eastAsia"/>
          <w:b w:val="0"/>
          <w:bCs w:val="0"/>
          <w:spacing w:val="0"/>
          <w:position w:val="0"/>
          <w:sz w:val="24"/>
          <w:szCs w:val="24"/>
          <w:lang w:eastAsia="zh-CN"/>
        </w:rPr>
        <w:t>建设用地土壤污染风险管控标准（试行）》（GB36600-2018）表1、表2中第二类用地筛选值，见表2.5-5。</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eastAsia="zh-CN"/>
        </w:rPr>
        <w:t>表</w:t>
      </w:r>
      <w:r>
        <w:rPr>
          <w:rFonts w:hint="eastAsia"/>
          <w:b/>
          <w:bCs/>
          <w:spacing w:val="0"/>
          <w:position w:val="0"/>
          <w:sz w:val="24"/>
          <w:szCs w:val="24"/>
          <w:lang w:val="en-US" w:eastAsia="zh-CN"/>
        </w:rPr>
        <w:t>2.5-5建设用地土壤污染风险筛选值和管控值  单位：mg/kg</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9"/>
        <w:gridCol w:w="2299"/>
        <w:gridCol w:w="1425"/>
        <w:gridCol w:w="1425"/>
        <w:gridCol w:w="1425"/>
        <w:gridCol w:w="14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689"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序号</w:t>
            </w:r>
          </w:p>
        </w:tc>
        <w:tc>
          <w:tcPr>
            <w:tcW w:w="2299"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污染物项目</w:t>
            </w:r>
          </w:p>
        </w:tc>
        <w:tc>
          <w:tcPr>
            <w:tcW w:w="2850"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筛选值</w:t>
            </w:r>
          </w:p>
        </w:tc>
        <w:tc>
          <w:tcPr>
            <w:tcW w:w="285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管制值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68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p>
        </w:tc>
        <w:tc>
          <w:tcPr>
            <w:tcW w:w="22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第一类用地</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第二类用地</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第一类用地</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第二类用地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689" w:type="dxa"/>
            <w:gridSpan w:val="6"/>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重金属和无机物（基本项目）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镉</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47</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铬（六价）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5.7</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铜</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18000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8000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铅</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400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800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汞</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33</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镍</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900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689" w:type="dxa"/>
            <w:gridSpan w:val="6"/>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挥发性有机物（基本项目）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四氯化碳</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0.9</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氯仿</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0.3</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0.9</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氯甲烷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37</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21</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1，1-二氯乙烷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1，2-二氯乙烷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0.52</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13</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1，1-二氯乙烯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14</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顺-1，2-二氯乙烯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596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反-1，2-二氯乙烯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54</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31</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16</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二氯甲烷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94</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616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17</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1，2-二氯丙烷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18</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1，1，1，2-四氯乙烷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26</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19</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1，1，2，2-四氯乙烷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14</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四氯乙烯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53</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34</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21</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1，1，1-三氯乙烷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701</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840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840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22</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1，1，2-三氯乙烷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23</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三氯乙烯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0.7</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24</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1，2，3-三氯丙烷</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25</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氯乙烯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0.12</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0.43</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26</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27</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氯苯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270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28</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1，2-二氯苯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560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560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29</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1.4-二氯苯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56</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乙苯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7.2</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28</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72</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31</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苯乙烯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1290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1290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1290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32</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甲苯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1200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1200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33</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间二甲苯+对二甲苯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163</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570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34</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邻二甲苯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222</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640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640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689" w:type="dxa"/>
            <w:gridSpan w:val="6"/>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半挥发性有机物（基本项目）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35</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硝基苯</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34</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190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36</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苯胺</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92</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260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211</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37</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2-氯酚</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250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2256</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38</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苯并[a] 蒽</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39</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苯并[a] 芘</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40</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苯并[b]荧蒽</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41</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苯并[k]荧蒽</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151</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42</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䓛</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490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1293</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4900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43</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二苯并[a，h] 蒽</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44</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茚并[1，2，3-c，d]芘</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45</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萘</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25</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255</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689" w:type="dxa"/>
            <w:gridSpan w:val="6"/>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重金属和无机物（其他项目）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46</w:t>
            </w:r>
          </w:p>
        </w:tc>
        <w:tc>
          <w:tcPr>
            <w:tcW w:w="22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锑</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180</w:t>
            </w:r>
          </w:p>
        </w:tc>
        <w:tc>
          <w:tcPr>
            <w:tcW w:w="142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40</w:t>
            </w:r>
          </w:p>
        </w:tc>
        <w:tc>
          <w:tcPr>
            <w:tcW w:w="142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360</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val="0"/>
          <w:bCs w:val="0"/>
          <w:spacing w:val="0"/>
          <w:position w:val="0"/>
          <w:sz w:val="24"/>
          <w:szCs w:val="24"/>
          <w:lang w:eastAsia="zh-CN"/>
        </w:rPr>
      </w:pPr>
      <w:r>
        <w:rPr>
          <w:rFonts w:hint="eastAsia"/>
          <w:b/>
          <w:bCs/>
          <w:spacing w:val="0"/>
          <w:position w:val="0"/>
          <w:sz w:val="28"/>
          <w:szCs w:val="28"/>
          <w:lang w:eastAsia="zh-CN"/>
        </w:rPr>
        <w:t>2.5</w:t>
      </w:r>
      <w:r>
        <w:rPr>
          <w:rFonts w:hint="eastAsia"/>
          <w:b/>
          <w:bCs/>
          <w:spacing w:val="0"/>
          <w:position w:val="0"/>
          <w:sz w:val="28"/>
          <w:szCs w:val="28"/>
          <w:lang w:val="en-US" w:eastAsia="zh-CN"/>
        </w:rPr>
        <w:t>.2污染物排放标准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2.5.2.1废气排放标准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施工期：粉尘排放执行《大气污染物综合排放标准》（GB16297-1996）表2新污染源大气污染物排放限值。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运营期：纺织染整工业废气排放尚未有国家标准，因此</w:t>
      </w:r>
      <w:r>
        <w:rPr>
          <w:rFonts w:hint="eastAsia"/>
          <w:b w:val="0"/>
          <w:bCs w:val="0"/>
          <w:spacing w:val="0"/>
          <w:position w:val="0"/>
          <w:sz w:val="24"/>
          <w:szCs w:val="24"/>
          <w:lang w:val="en-US" w:eastAsia="zh-CN"/>
        </w:rPr>
        <w:t>VOCs、颗粒物和染整油烟</w:t>
      </w:r>
      <w:r>
        <w:rPr>
          <w:rFonts w:hint="eastAsia"/>
          <w:b w:val="0"/>
          <w:bCs w:val="0"/>
          <w:spacing w:val="0"/>
          <w:position w:val="0"/>
          <w:sz w:val="24"/>
          <w:szCs w:val="24"/>
          <w:lang w:eastAsia="zh-CN"/>
        </w:rPr>
        <w:t>参照执行浙江省地标《纺织染整工业大气污染物排放标准》（</w:t>
      </w:r>
      <w:r>
        <w:rPr>
          <w:rFonts w:hint="eastAsia"/>
          <w:b w:val="0"/>
          <w:bCs w:val="0"/>
          <w:spacing w:val="0"/>
          <w:position w:val="0"/>
          <w:sz w:val="24"/>
          <w:szCs w:val="24"/>
          <w:lang w:val="en-US" w:eastAsia="zh-CN"/>
        </w:rPr>
        <w:t>DB33/962-2015</w:t>
      </w:r>
      <w:r>
        <w:rPr>
          <w:rFonts w:hint="eastAsia"/>
          <w:b w:val="0"/>
          <w:bCs w:val="0"/>
          <w:spacing w:val="0"/>
          <w:position w:val="0"/>
          <w:sz w:val="24"/>
          <w:szCs w:val="24"/>
          <w:lang w:eastAsia="zh-CN"/>
        </w:rPr>
        <w:t>）表</w:t>
      </w:r>
      <w:r>
        <w:rPr>
          <w:rFonts w:hint="eastAsia"/>
          <w:b w:val="0"/>
          <w:bCs w:val="0"/>
          <w:spacing w:val="0"/>
          <w:position w:val="0"/>
          <w:sz w:val="24"/>
          <w:szCs w:val="24"/>
          <w:lang w:val="en-US" w:eastAsia="zh-CN"/>
        </w:rPr>
        <w:t>1新建企业排放限值</w:t>
      </w:r>
      <w:r>
        <w:rPr>
          <w:rFonts w:hint="eastAsia"/>
          <w:b w:val="0"/>
          <w:bCs w:val="0"/>
          <w:spacing w:val="0"/>
          <w:position w:val="0"/>
          <w:sz w:val="24"/>
          <w:szCs w:val="24"/>
          <w:lang w:eastAsia="zh-CN"/>
        </w:rPr>
        <w:t>；挥发性有机物厂区内监控点浓度限值执行《挥发性有机物无组织排放控制标准》（GB37822-2019），无组织厂界非甲烷总烃标准按《大气污染物综合排放标准》（GB16297-1996）表2标准执行。大气污染物排放标准见表2.5-6。</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val="0"/>
          <w:bCs w:val="0"/>
          <w:spacing w:val="0"/>
          <w:position w:val="0"/>
          <w:sz w:val="24"/>
          <w:szCs w:val="24"/>
          <w:lang w:eastAsia="zh-CN"/>
        </w:rPr>
      </w:pPr>
      <w:r>
        <w:rPr>
          <w:rFonts w:hint="eastAsia"/>
          <w:b/>
          <w:bCs/>
          <w:spacing w:val="0"/>
          <w:position w:val="0"/>
          <w:sz w:val="24"/>
          <w:szCs w:val="24"/>
          <w:lang w:eastAsia="zh-CN"/>
        </w:rPr>
        <w:t>表</w:t>
      </w:r>
      <w:r>
        <w:rPr>
          <w:rFonts w:hint="eastAsia"/>
          <w:b/>
          <w:bCs/>
          <w:spacing w:val="0"/>
          <w:position w:val="0"/>
          <w:sz w:val="24"/>
          <w:szCs w:val="24"/>
          <w:lang w:val="en-US" w:eastAsia="zh-CN"/>
        </w:rPr>
        <w:t>2.5-6大气污染物排放标准限值</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3"/>
        <w:gridCol w:w="418"/>
        <w:gridCol w:w="1246"/>
        <w:gridCol w:w="1624"/>
        <w:gridCol w:w="487"/>
        <w:gridCol w:w="1246"/>
        <w:gridCol w:w="28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污染源种类</w:t>
            </w: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污染物名称</w:t>
            </w:r>
          </w:p>
        </w:tc>
        <w:tc>
          <w:tcPr>
            <w:tcW w:w="21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排放浓度（mg/m</w:t>
            </w:r>
            <w:r>
              <w:rPr>
                <w:rFonts w:ascii="Times New Roman" w:hAnsi="Times New Roman" w:eastAsia="宋体"/>
                <w:b/>
                <w:bCs/>
                <w:spacing w:val="0"/>
                <w:w w:val="100"/>
                <w:kern w:val="21"/>
                <w:position w:val="0"/>
                <w:sz w:val="21"/>
                <w:szCs w:val="21"/>
                <w:vertAlign w:val="superscript"/>
              </w:rPr>
              <w:t>3</w:t>
            </w:r>
            <w:r>
              <w:rPr>
                <w:rFonts w:ascii="Times New Roman" w:hAnsi="Times New Roman" w:eastAsia="宋体"/>
                <w:b/>
                <w:bCs/>
                <w:spacing w:val="0"/>
                <w:w w:val="100"/>
                <w:kern w:val="21"/>
                <w:position w:val="0"/>
                <w:sz w:val="21"/>
                <w:szCs w:val="21"/>
              </w:rPr>
              <w:t>）</w:t>
            </w: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监控位置</w:t>
            </w:r>
          </w:p>
        </w:tc>
        <w:tc>
          <w:tcPr>
            <w:tcW w:w="287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eastAsia="zh-CN"/>
              </w:rPr>
            </w:pPr>
            <w:r>
              <w:rPr>
                <w:rFonts w:ascii="Times New Roman" w:hAnsi="Times New Roman" w:eastAsia="宋体"/>
                <w:spacing w:val="0"/>
                <w:w w:val="100"/>
                <w:kern w:val="21"/>
                <w:position w:val="0"/>
                <w:sz w:val="21"/>
                <w:szCs w:val="21"/>
              </w:rPr>
              <w:t>施工粉尘</w:t>
            </w:r>
          </w:p>
        </w:tc>
        <w:tc>
          <w:tcPr>
            <w:tcW w:w="418"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spacing w:val="0"/>
                <w:w w:val="100"/>
                <w:kern w:val="21"/>
                <w:position w:val="0"/>
                <w:sz w:val="21"/>
                <w:szCs w:val="21"/>
                <w:lang w:eastAsia="zh-CN"/>
              </w:rPr>
            </w:pPr>
            <w:r>
              <w:rPr>
                <w:rFonts w:hint="eastAsia" w:ascii="Times New Roman" w:hAnsi="Times New Roman"/>
                <w:spacing w:val="0"/>
                <w:w w:val="100"/>
                <w:kern w:val="21"/>
                <w:position w:val="0"/>
                <w:sz w:val="21"/>
                <w:szCs w:val="21"/>
                <w:lang w:eastAsia="zh-CN"/>
              </w:rPr>
              <w:t>无组织</w:t>
            </w: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颗粒物</w:t>
            </w:r>
          </w:p>
        </w:tc>
        <w:tc>
          <w:tcPr>
            <w:tcW w:w="21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周界外浓度最高点</w:t>
            </w:r>
          </w:p>
        </w:tc>
        <w:tc>
          <w:tcPr>
            <w:tcW w:w="2876"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《大气污染物综合排放标准》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（GB16297-1996）表2标准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9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磨毛废气</w:t>
            </w:r>
          </w:p>
        </w:tc>
        <w:tc>
          <w:tcPr>
            <w:tcW w:w="418"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颗粒物</w:t>
            </w:r>
          </w:p>
        </w:tc>
        <w:tc>
          <w:tcPr>
            <w:tcW w:w="21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1.0</w:t>
            </w: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宋体"/>
                <w:spacing w:val="0"/>
                <w:w w:val="100"/>
                <w:kern w:val="21"/>
                <w:position w:val="0"/>
                <w:sz w:val="21"/>
                <w:szCs w:val="21"/>
                <w:lang w:val="en-US" w:eastAsia="zh-CN" w:bidi="ar-SA"/>
              </w:rPr>
            </w:pPr>
            <w:r>
              <w:rPr>
                <w:rFonts w:ascii="Times New Roman" w:hAnsi="Times New Roman" w:eastAsia="宋体"/>
                <w:spacing w:val="0"/>
                <w:w w:val="100"/>
                <w:kern w:val="21"/>
                <w:position w:val="0"/>
                <w:sz w:val="21"/>
                <w:szCs w:val="21"/>
              </w:rPr>
              <w:t>周界外浓度最高点</w:t>
            </w:r>
          </w:p>
        </w:tc>
        <w:tc>
          <w:tcPr>
            <w:tcW w:w="2876"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3"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印花废气/蒸化废气/定型废气</w:t>
            </w:r>
          </w:p>
        </w:tc>
        <w:tc>
          <w:tcPr>
            <w:tcW w:w="418"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有组织</w:t>
            </w: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颗粒物</w:t>
            </w:r>
          </w:p>
        </w:tc>
        <w:tc>
          <w:tcPr>
            <w:tcW w:w="21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246"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hint="eastAsia" w:ascii="Times New Roman" w:hAnsi="Times New Roman" w:eastAsia="宋体"/>
                <w:spacing w:val="0"/>
                <w:w w:val="100"/>
                <w:kern w:val="21"/>
                <w:position w:val="0"/>
                <w:sz w:val="21"/>
                <w:szCs w:val="21"/>
              </w:rPr>
              <w:t>车间或生产设施排气筒</w:t>
            </w:r>
          </w:p>
        </w:tc>
        <w:tc>
          <w:tcPr>
            <w:tcW w:w="2876"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参照浙江省地标《纺织染整工业大气污染物排放标准》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（DB33/962-2015）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4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染整油烟</w:t>
            </w:r>
          </w:p>
        </w:tc>
        <w:tc>
          <w:tcPr>
            <w:tcW w:w="21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246"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28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4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VOCs</w:t>
            </w:r>
          </w:p>
        </w:tc>
        <w:tc>
          <w:tcPr>
            <w:tcW w:w="21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40</w:t>
            </w:r>
          </w:p>
        </w:tc>
        <w:tc>
          <w:tcPr>
            <w:tcW w:w="1246"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28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418"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无组织</w:t>
            </w:r>
          </w:p>
        </w:tc>
        <w:tc>
          <w:tcPr>
            <w:tcW w:w="1246"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非甲烷总烃</w:t>
            </w:r>
          </w:p>
        </w:tc>
        <w:tc>
          <w:tcPr>
            <w:tcW w:w="162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厂区内监控点处1小时平均浓度值</w:t>
            </w:r>
          </w:p>
        </w:tc>
        <w:tc>
          <w:tcPr>
            <w:tcW w:w="48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10.0</w:t>
            </w:r>
          </w:p>
        </w:tc>
        <w:tc>
          <w:tcPr>
            <w:tcW w:w="1246"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厂房外设置监控点</w:t>
            </w:r>
          </w:p>
        </w:tc>
        <w:tc>
          <w:tcPr>
            <w:tcW w:w="2876"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《挥发性有机物无组织排放控制标准》（GB37822-2019）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4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12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162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厂区内监控点处任意一次浓度值</w:t>
            </w:r>
          </w:p>
        </w:tc>
        <w:tc>
          <w:tcPr>
            <w:tcW w:w="48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30.0</w:t>
            </w:r>
          </w:p>
        </w:tc>
        <w:tc>
          <w:tcPr>
            <w:tcW w:w="12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28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4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12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p>
        </w:tc>
        <w:tc>
          <w:tcPr>
            <w:tcW w:w="2111"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4.0</w:t>
            </w:r>
          </w:p>
        </w:tc>
        <w:tc>
          <w:tcPr>
            <w:tcW w:w="12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周界外浓度最高点</w:t>
            </w:r>
          </w:p>
        </w:tc>
        <w:tc>
          <w:tcPr>
            <w:tcW w:w="287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《大气污染物综合排放标准》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（GB16297-1996）表2标准</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2.5.2.2废水排放标准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w:t>
      </w:r>
      <w:r>
        <w:rPr>
          <w:rFonts w:hint="eastAsia"/>
          <w:b w:val="0"/>
          <w:bCs w:val="0"/>
          <w:spacing w:val="0"/>
          <w:position w:val="0"/>
          <w:sz w:val="24"/>
          <w:szCs w:val="24"/>
          <w:lang w:val="en-US" w:eastAsia="zh-CN"/>
        </w:rPr>
        <w:t>1</w:t>
      </w:r>
      <w:r>
        <w:rPr>
          <w:rFonts w:hint="eastAsia"/>
          <w:b w:val="0"/>
          <w:bCs w:val="0"/>
          <w:spacing w:val="0"/>
          <w:position w:val="0"/>
          <w:sz w:val="24"/>
          <w:szCs w:val="24"/>
          <w:lang w:eastAsia="zh-CN"/>
        </w:rPr>
        <w:t>）施工期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施工场地不设置施工营地，就近租用当地居民的房子，施工生活污水依托当地污水处理设施，施工产生的施工废水经隔油池、沉淀池后回用于施工场地的车辆冲洗及洒水降尘，不外排。</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ascii="Times New Roman" w:hAnsi="Times New Roman" w:eastAsia="宋体" w:cs="Times New Roman"/>
          <w:b w:val="0"/>
          <w:bCs w:val="0"/>
          <w:spacing w:val="0"/>
          <w:kern w:val="2"/>
          <w:position w:val="0"/>
          <w:sz w:val="24"/>
          <w:szCs w:val="24"/>
          <w:lang w:val="en-US" w:eastAsia="zh-CN" w:bidi="ar-SA"/>
        </w:rPr>
        <w:t>（2）</w:t>
      </w:r>
      <w:r>
        <w:rPr>
          <w:rFonts w:hint="eastAsia"/>
          <w:b w:val="0"/>
          <w:bCs w:val="0"/>
          <w:spacing w:val="0"/>
          <w:position w:val="0"/>
          <w:sz w:val="24"/>
          <w:szCs w:val="24"/>
          <w:lang w:eastAsia="zh-CN"/>
        </w:rPr>
        <w:t>运营期</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纳管标准：本项目运营期废水分为高、低浓度废水，经分质分流收集后排入连江可门绿色纺织产业园污水处理厂，分别执行园区污水处理厂高、低浓度废水接管要求。根据建设单位与福建申远产业园管理有限公司（连江可门绿色纺织产业园运营管理单位）签订的污水处理协议（详见附件</w:t>
      </w:r>
      <w:r>
        <w:rPr>
          <w:rFonts w:hint="eastAsia"/>
          <w:b w:val="0"/>
          <w:bCs w:val="0"/>
          <w:spacing w:val="0"/>
          <w:position w:val="0"/>
          <w:sz w:val="24"/>
          <w:szCs w:val="24"/>
          <w:lang w:val="en-US" w:eastAsia="zh-CN"/>
        </w:rPr>
        <w:t>7</w:t>
      </w:r>
      <w:r>
        <w:rPr>
          <w:rFonts w:hint="eastAsia"/>
          <w:b w:val="0"/>
          <w:bCs w:val="0"/>
          <w:spacing w:val="0"/>
          <w:position w:val="0"/>
          <w:sz w:val="24"/>
          <w:szCs w:val="24"/>
          <w:lang w:eastAsia="zh-CN"/>
        </w:rPr>
        <w:t>），本项目废水纳入产业园污水处理厂的排放标准如下表2.5-7。</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表2.5-7项目废水纳管标准</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42"/>
        <w:gridCol w:w="1600"/>
        <w:gridCol w:w="736"/>
        <w:gridCol w:w="1486"/>
        <w:gridCol w:w="1746"/>
        <w:gridCol w:w="22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序号</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控制项目</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单位</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高浓度</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低浓度</w:t>
            </w:r>
          </w:p>
        </w:tc>
        <w:tc>
          <w:tcPr>
            <w:tcW w:w="227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b/>
                <w:bCs/>
                <w:spacing w:val="0"/>
                <w:w w:val="100"/>
                <w:kern w:val="21"/>
                <w:position w:val="0"/>
                <w:sz w:val="21"/>
                <w:szCs w:val="21"/>
                <w:lang w:eastAsia="zh-CN"/>
              </w:rPr>
            </w:pPr>
            <w:r>
              <w:rPr>
                <w:rFonts w:hint="eastAsia" w:ascii="Times New Roman" w:hAnsi="Times New Roman"/>
                <w:b/>
                <w:bCs/>
                <w:spacing w:val="0"/>
                <w:w w:val="100"/>
                <w:kern w:val="21"/>
                <w:position w:val="0"/>
                <w:sz w:val="21"/>
                <w:szCs w:val="21"/>
                <w:lang w:eastAsia="zh-CN"/>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val="en-US" w:eastAsia="zh-CN"/>
              </w:rPr>
              <w:t>1</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COD</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2000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800</w:t>
            </w:r>
          </w:p>
        </w:tc>
        <w:tc>
          <w:tcPr>
            <w:tcW w:w="2279"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hint="eastAsia" w:ascii="Times New Roman" w:hAnsi="Times New Roman" w:eastAsia="宋体"/>
                <w:spacing w:val="0"/>
                <w:w w:val="100"/>
                <w:kern w:val="21"/>
                <w:position w:val="0"/>
                <w:sz w:val="21"/>
                <w:szCs w:val="21"/>
              </w:rPr>
              <w:t>建设单位与福建申远产业园管理有限公司（连江可门绿色纺织产业园运营管理单位）签订的污水处理协议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val="en-US" w:eastAsia="zh-CN"/>
              </w:rPr>
              <w:t>2</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BOD</w:t>
            </w:r>
            <w:r>
              <w:rPr>
                <w:rFonts w:ascii="Times New Roman" w:hAnsi="Times New Roman" w:eastAsia="宋体"/>
                <w:spacing w:val="0"/>
                <w:w w:val="100"/>
                <w:kern w:val="21"/>
                <w:position w:val="0"/>
                <w:sz w:val="21"/>
                <w:szCs w:val="21"/>
                <w:vertAlign w:val="subscript"/>
              </w:rPr>
              <w:t>5</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500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eastAsia="zh-CN"/>
              </w:rPr>
              <w:t>3</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悬浮物</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800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4</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TKN（含 NH</w:t>
            </w:r>
            <w:r>
              <w:rPr>
                <w:rFonts w:ascii="Times New Roman" w:hAnsi="Times New Roman" w:eastAsia="宋体"/>
                <w:spacing w:val="0"/>
                <w:w w:val="100"/>
                <w:kern w:val="21"/>
                <w:position w:val="0"/>
                <w:sz w:val="21"/>
                <w:szCs w:val="21"/>
                <w:vertAlign w:val="subscript"/>
              </w:rPr>
              <w:t>3</w:t>
            </w:r>
            <w:r>
              <w:rPr>
                <w:rFonts w:ascii="Times New Roman" w:hAnsi="Times New Roman" w:eastAsia="宋体"/>
                <w:spacing w:val="0"/>
                <w:w w:val="100"/>
                <w:kern w:val="21"/>
                <w:position w:val="0"/>
                <w:sz w:val="21"/>
                <w:szCs w:val="21"/>
                <w:vertAlign w:val="baseline"/>
              </w:rPr>
              <w:t>-N）</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val="en-US" w:eastAsia="zh-CN"/>
              </w:rPr>
              <w:t>5</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总磷</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val="en-US" w:eastAsia="zh-CN"/>
              </w:rPr>
              <w:t>4</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val="en-US" w:eastAsia="zh-CN"/>
              </w:rPr>
              <w:t>3</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val="en-US" w:eastAsia="zh-CN"/>
              </w:rPr>
              <w:t>6</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总氮</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80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20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7</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eastAsia="宋体"/>
                <w:spacing w:val="0"/>
                <w:w w:val="100"/>
                <w:kern w:val="21"/>
                <w:position w:val="0"/>
                <w:sz w:val="21"/>
                <w:szCs w:val="21"/>
                <w:lang w:eastAsia="zh-CN"/>
              </w:rPr>
              <w:t>色度</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eastAsia="zh-CN"/>
              </w:rPr>
            </w:pPr>
            <w:r>
              <w:rPr>
                <w:rFonts w:hint="eastAsia" w:ascii="Times New Roman" w:hAnsi="Times New Roman"/>
                <w:spacing w:val="0"/>
                <w:w w:val="100"/>
                <w:kern w:val="21"/>
                <w:position w:val="0"/>
                <w:sz w:val="21"/>
                <w:szCs w:val="21"/>
                <w:lang w:eastAsia="zh-CN"/>
              </w:rPr>
              <w:t>倍</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250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100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8</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eastAsia="宋体"/>
                <w:spacing w:val="0"/>
                <w:w w:val="100"/>
                <w:kern w:val="21"/>
                <w:position w:val="0"/>
                <w:sz w:val="21"/>
                <w:szCs w:val="21"/>
                <w:lang w:val="en-US" w:eastAsia="zh-CN"/>
              </w:rPr>
              <w:t>pH</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6~9</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6~9</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硬度（CaCO</w:t>
            </w:r>
            <w:r>
              <w:rPr>
                <w:rFonts w:ascii="Times New Roman" w:hAnsi="Times New Roman" w:eastAsia="宋体"/>
                <w:spacing w:val="0"/>
                <w:w w:val="100"/>
                <w:kern w:val="21"/>
                <w:position w:val="0"/>
                <w:sz w:val="21"/>
                <w:szCs w:val="21"/>
                <w:vertAlign w:val="subscript"/>
              </w:rPr>
              <w:t>3</w:t>
            </w:r>
            <w:r>
              <w:rPr>
                <w:rFonts w:ascii="Times New Roman" w:hAnsi="Times New Roman" w:eastAsia="宋体"/>
                <w:spacing w:val="0"/>
                <w:w w:val="100"/>
                <w:kern w:val="21"/>
                <w:position w:val="0"/>
                <w:sz w:val="21"/>
                <w:szCs w:val="21"/>
                <w:vertAlign w:val="baseline"/>
              </w:rPr>
              <w:t>）</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450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电导率</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uS/cm</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2500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800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二氧化氯</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AOX</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13</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硫化物</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14</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苯胺</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六价铬*</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0.05</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16</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总铬</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17</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总锑</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0.15</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18</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宋体"/>
                <w:spacing w:val="0"/>
                <w:w w:val="100"/>
                <w:kern w:val="21"/>
                <w:position w:val="0"/>
                <w:sz w:val="21"/>
                <w:szCs w:val="21"/>
                <w:lang w:val="en-US" w:eastAsia="zh-CN" w:bidi="ar-SA"/>
              </w:rPr>
            </w:pPr>
            <w:r>
              <w:rPr>
                <w:rFonts w:ascii="Times New Roman" w:hAnsi="Times New Roman" w:eastAsia="宋体"/>
                <w:spacing w:val="0"/>
                <w:w w:val="100"/>
                <w:kern w:val="21"/>
                <w:position w:val="0"/>
                <w:sz w:val="21"/>
                <w:szCs w:val="21"/>
              </w:rPr>
              <w:t>石油类</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宋体"/>
                <w:spacing w:val="0"/>
                <w:w w:val="100"/>
                <w:kern w:val="21"/>
                <w:position w:val="0"/>
                <w:sz w:val="21"/>
                <w:szCs w:val="21"/>
                <w:lang w:val="en-US" w:eastAsia="zh-CN" w:bidi="ar-SA"/>
              </w:rPr>
            </w:pPr>
            <w:r>
              <w:rPr>
                <w:rFonts w:ascii="Times New Roman" w:hAnsi="Times New Roman" w:eastAsia="宋体"/>
                <w:spacing w:val="0"/>
                <w:w w:val="100"/>
                <w:kern w:val="21"/>
                <w:position w:val="0"/>
                <w:sz w:val="21"/>
                <w:szCs w:val="21"/>
              </w:rPr>
              <w:t>mg/l</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宋体"/>
                <w:spacing w:val="0"/>
                <w:w w:val="100"/>
                <w:kern w:val="21"/>
                <w:position w:val="0"/>
                <w:sz w:val="21"/>
                <w:szCs w:val="21"/>
                <w:lang w:val="en-US" w:eastAsia="zh-CN" w:bidi="ar-SA"/>
              </w:rPr>
            </w:pPr>
            <w:r>
              <w:rPr>
                <w:rFonts w:ascii="Times New Roman" w:hAnsi="Times New Roman" w:eastAsia="宋体"/>
                <w:spacing w:val="0"/>
                <w:w w:val="100"/>
                <w:kern w:val="21"/>
                <w:position w:val="0"/>
                <w:sz w:val="21"/>
                <w:szCs w:val="21"/>
              </w:rPr>
              <w:t>3</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宋体"/>
                <w:spacing w:val="0"/>
                <w:w w:val="100"/>
                <w:kern w:val="21"/>
                <w:position w:val="0"/>
                <w:sz w:val="21"/>
                <w:szCs w:val="21"/>
                <w:lang w:val="en-US" w:eastAsia="zh-CN" w:bidi="ar-SA"/>
              </w:rPr>
            </w:pPr>
            <w:r>
              <w:rPr>
                <w:rFonts w:ascii="Times New Roman" w:hAnsi="Times New Roman" w:eastAsia="宋体"/>
                <w:spacing w:val="0"/>
                <w:w w:val="100"/>
                <w:kern w:val="21"/>
                <w:position w:val="0"/>
                <w:sz w:val="21"/>
                <w:szCs w:val="21"/>
              </w:rPr>
              <w:t>1</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19</w:t>
            </w:r>
          </w:p>
        </w:tc>
        <w:tc>
          <w:tcPr>
            <w:tcW w:w="160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温度</w:t>
            </w:r>
          </w:p>
        </w:tc>
        <w:tc>
          <w:tcPr>
            <w:tcW w:w="73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14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30-50</w:t>
            </w:r>
          </w:p>
        </w:tc>
        <w:tc>
          <w:tcPr>
            <w:tcW w:w="174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30-50</w:t>
            </w:r>
          </w:p>
        </w:tc>
        <w:tc>
          <w:tcPr>
            <w:tcW w:w="2279"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spacing w:val="0"/>
                <w:w w:val="100"/>
                <w:kern w:val="21"/>
                <w:position w:val="0"/>
                <w:sz w:val="21"/>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0"/>
        <w:jc w:val="left"/>
        <w:textAlignment w:val="auto"/>
        <w:rPr>
          <w:spacing w:val="0"/>
          <w:position w:val="0"/>
          <w:sz w:val="21"/>
        </w:rPr>
      </w:pPr>
      <w:r>
        <w:rPr>
          <w:spacing w:val="0"/>
          <w:position w:val="0"/>
          <w:sz w:val="21"/>
        </w:rPr>
        <w:t>*六价铬应在车间或车间处理设施排放口达标。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回用标准：园区污水处理厂建设中水深度处理工程，处理后的中水由专管回到各企业生产重复利用，其余污水通过管网排放。中水水质达到《纺织染整工业回用水水质》（FZ/T01107-2011）表1回用水水质指标及浓度限值，见表2.5-8。根据《连江可门绿色纺织产业园规划（一期）环境影响报告书》，园区污水厂中水回用率不低于45%，因此，本项目还应执行中水回用率45%的要求。</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表2.5-</w:t>
      </w:r>
      <w:r>
        <w:rPr>
          <w:rFonts w:hint="eastAsia"/>
          <w:b/>
          <w:bCs/>
          <w:spacing w:val="0"/>
          <w:position w:val="0"/>
          <w:sz w:val="24"/>
          <w:szCs w:val="24"/>
          <w:lang w:val="en-US" w:eastAsia="zh-CN"/>
        </w:rPr>
        <w:t>8</w:t>
      </w:r>
      <w:r>
        <w:rPr>
          <w:rFonts w:hint="eastAsia"/>
          <w:b/>
          <w:bCs/>
          <w:spacing w:val="0"/>
          <w:position w:val="0"/>
          <w:sz w:val="24"/>
          <w:szCs w:val="24"/>
          <w:lang w:eastAsia="zh-CN"/>
        </w:rPr>
        <w:t>可门绿色纺织产业园污水处理厂回用水水质标准</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5"/>
        <w:gridCol w:w="2534"/>
        <w:gridCol w:w="1088"/>
        <w:gridCol w:w="1130"/>
        <w:gridCol w:w="32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序号</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控制项目</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单位</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浓度</w:t>
            </w:r>
          </w:p>
        </w:tc>
        <w:tc>
          <w:tcPr>
            <w:tcW w:w="329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1</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pH值</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6.5~8.5</w:t>
            </w:r>
          </w:p>
        </w:tc>
        <w:tc>
          <w:tcPr>
            <w:tcW w:w="3292"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《纺织染整工业回用水水质》</w:t>
            </w:r>
          </w:p>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（FZ/T01107-2011）标准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2</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化学需氧量（COD）≤</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mg/L</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50</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3</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宋体"/>
                <w:b w:val="0"/>
                <w:spacing w:val="0"/>
                <w:w w:val="100"/>
                <w:kern w:val="21"/>
                <w:position w:val="0"/>
                <w:sz w:val="21"/>
                <w:lang w:val="en-US" w:eastAsia="zh-CN" w:bidi="ar-SA"/>
              </w:rPr>
            </w:pPr>
            <w:r>
              <w:rPr>
                <w:rFonts w:ascii="Times New Roman" w:hAnsi="Times New Roman" w:eastAsia="宋体"/>
                <w:b w:val="0"/>
                <w:spacing w:val="0"/>
                <w:w w:val="100"/>
                <w:kern w:val="21"/>
                <w:position w:val="0"/>
                <w:sz w:val="21"/>
              </w:rPr>
              <w:t>悬浮物（SS）≤</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宋体"/>
                <w:b w:val="0"/>
                <w:spacing w:val="0"/>
                <w:w w:val="100"/>
                <w:kern w:val="21"/>
                <w:position w:val="0"/>
                <w:sz w:val="21"/>
                <w:lang w:val="en-US" w:eastAsia="zh-CN" w:bidi="ar-SA"/>
              </w:rPr>
            </w:pPr>
            <w:r>
              <w:rPr>
                <w:rFonts w:ascii="Times New Roman" w:hAnsi="Times New Roman" w:eastAsia="宋体"/>
                <w:b w:val="0"/>
                <w:spacing w:val="0"/>
                <w:w w:val="100"/>
                <w:kern w:val="21"/>
                <w:position w:val="0"/>
                <w:sz w:val="21"/>
              </w:rPr>
              <w:t>mg/L</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宋体"/>
                <w:b w:val="0"/>
                <w:spacing w:val="0"/>
                <w:w w:val="100"/>
                <w:kern w:val="21"/>
                <w:position w:val="0"/>
                <w:sz w:val="21"/>
                <w:lang w:val="en-US" w:eastAsia="zh-CN" w:bidi="ar-SA"/>
              </w:rPr>
            </w:pPr>
            <w:r>
              <w:rPr>
                <w:rFonts w:ascii="Times New Roman" w:hAnsi="Times New Roman" w:eastAsia="宋体"/>
                <w:b w:val="0"/>
                <w:spacing w:val="0"/>
                <w:w w:val="100"/>
                <w:kern w:val="21"/>
                <w:position w:val="0"/>
                <w:sz w:val="21"/>
              </w:rPr>
              <w:t>30</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4</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透明度</w:t>
            </w:r>
            <w:r>
              <w:rPr>
                <w:rFonts w:ascii="Times New Roman" w:hAnsi="Times New Roman" w:eastAsia="宋体"/>
                <w:b w:val="0"/>
                <w:spacing w:val="0"/>
                <w:w w:val="100"/>
                <w:kern w:val="21"/>
                <w:position w:val="0"/>
                <w:sz w:val="21"/>
                <w:vertAlign w:val="superscript"/>
              </w:rPr>
              <w:t>a</w:t>
            </w:r>
            <w:r>
              <w:rPr>
                <w:rFonts w:hint="eastAsia" w:ascii="Times New Roman" w:hAnsi="Times New Roman"/>
                <w:b w:val="0"/>
                <w:spacing w:val="0"/>
                <w:w w:val="100"/>
                <w:kern w:val="21"/>
                <w:position w:val="0"/>
                <w:sz w:val="21"/>
                <w:vertAlign w:val="baseline"/>
                <w:lang w:val="en-US" w:eastAsia="zh-CN"/>
              </w:rPr>
              <w:t xml:space="preserve">  </w:t>
            </w:r>
            <w:r>
              <w:rPr>
                <w:rFonts w:ascii="Times New Roman" w:hAnsi="Times New Roman" w:eastAsia="宋体"/>
                <w:b w:val="0"/>
                <w:spacing w:val="0"/>
                <w:w w:val="100"/>
                <w:kern w:val="21"/>
                <w:position w:val="0"/>
                <w:sz w:val="21"/>
              </w:rPr>
              <w:t>≥</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cm</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30</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5</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色度≤</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倍</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b w:val="0"/>
                <w:spacing w:val="0"/>
                <w:w w:val="100"/>
                <w:kern w:val="21"/>
                <w:position w:val="0"/>
                <w:sz w:val="21"/>
                <w:lang w:val="en-US" w:eastAsia="zh-CN"/>
              </w:rPr>
            </w:pPr>
            <w:r>
              <w:rPr>
                <w:rFonts w:hint="eastAsia" w:ascii="Times New Roman" w:hAnsi="Times New Roman"/>
                <w:b w:val="0"/>
                <w:spacing w:val="0"/>
                <w:w w:val="100"/>
                <w:kern w:val="21"/>
                <w:position w:val="0"/>
                <w:sz w:val="21"/>
                <w:lang w:val="en-US" w:eastAsia="zh-CN"/>
              </w:rPr>
              <w:t>25</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6</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铁≤</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mg/L</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0.3</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7</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锰≤</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mg/L</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0.2</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8</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总硬度（CaCO</w:t>
            </w:r>
            <w:r>
              <w:rPr>
                <w:rFonts w:ascii="Times New Roman" w:hAnsi="Times New Roman" w:eastAsia="宋体"/>
                <w:b w:val="0"/>
                <w:spacing w:val="0"/>
                <w:w w:val="100"/>
                <w:kern w:val="21"/>
                <w:position w:val="0"/>
                <w:sz w:val="21"/>
                <w:vertAlign w:val="subscript"/>
              </w:rPr>
              <w:t>3</w:t>
            </w:r>
            <w:r>
              <w:rPr>
                <w:rFonts w:ascii="Times New Roman" w:hAnsi="Times New Roman" w:eastAsia="宋体"/>
                <w:b w:val="0"/>
                <w:spacing w:val="0"/>
                <w:w w:val="100"/>
                <w:kern w:val="21"/>
                <w:position w:val="0"/>
                <w:sz w:val="21"/>
                <w:vertAlign w:val="baseline"/>
              </w:rPr>
              <w:t>）≤</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mg/L</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b w:val="0"/>
                <w:spacing w:val="0"/>
                <w:w w:val="100"/>
                <w:kern w:val="21"/>
                <w:position w:val="0"/>
                <w:sz w:val="21"/>
                <w:lang w:val="en-US" w:eastAsia="zh-CN"/>
              </w:rPr>
            </w:pPr>
            <w:r>
              <w:rPr>
                <w:rFonts w:hint="eastAsia" w:ascii="Times New Roman" w:hAnsi="Times New Roman"/>
                <w:b w:val="0"/>
                <w:spacing w:val="0"/>
                <w:w w:val="100"/>
                <w:kern w:val="21"/>
                <w:position w:val="0"/>
                <w:sz w:val="21"/>
                <w:lang w:val="en-US" w:eastAsia="zh-CN"/>
              </w:rPr>
              <w:t>450</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9</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电导率≤</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us/cm</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b w:val="0"/>
                <w:spacing w:val="0"/>
                <w:w w:val="100"/>
                <w:kern w:val="21"/>
                <w:position w:val="0"/>
                <w:sz w:val="21"/>
                <w:lang w:val="en-US" w:eastAsia="zh-CN"/>
              </w:rPr>
            </w:pPr>
            <w:r>
              <w:rPr>
                <w:rFonts w:hint="eastAsia" w:ascii="Times New Roman" w:hAnsi="Times New Roman"/>
                <w:b w:val="0"/>
                <w:spacing w:val="0"/>
                <w:w w:val="100"/>
                <w:kern w:val="21"/>
                <w:position w:val="0"/>
                <w:sz w:val="21"/>
                <w:lang w:val="en-US" w:eastAsia="zh-CN"/>
              </w:rPr>
              <w:t>2500</w:t>
            </w:r>
          </w:p>
        </w:tc>
        <w:tc>
          <w:tcPr>
            <w:tcW w:w="3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rPr>
            </w:pPr>
          </w:p>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10</w:t>
            </w:r>
          </w:p>
        </w:tc>
        <w:tc>
          <w:tcPr>
            <w:tcW w:w="253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回用率</w:t>
            </w:r>
          </w:p>
        </w:tc>
        <w:tc>
          <w:tcPr>
            <w:tcW w:w="108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w:t>
            </w:r>
          </w:p>
        </w:tc>
        <w:tc>
          <w:tcPr>
            <w:tcW w:w="113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val="0"/>
                <w:spacing w:val="0"/>
                <w:w w:val="100"/>
                <w:kern w:val="21"/>
                <w:position w:val="0"/>
                <w:sz w:val="21"/>
              </w:rPr>
            </w:pPr>
            <w:r>
              <w:rPr>
                <w:rFonts w:ascii="Times New Roman" w:hAnsi="Times New Roman" w:eastAsia="宋体"/>
                <w:b w:val="0"/>
                <w:spacing w:val="0"/>
                <w:w w:val="100"/>
                <w:kern w:val="21"/>
                <w:position w:val="0"/>
                <w:sz w:val="21"/>
              </w:rPr>
              <w:t>45</w:t>
            </w:r>
          </w:p>
        </w:tc>
        <w:tc>
          <w:tcPr>
            <w:tcW w:w="32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eastAsia="宋体"/>
                <w:b w:val="0"/>
                <w:spacing w:val="0"/>
                <w:w w:val="100"/>
                <w:kern w:val="21"/>
                <w:position w:val="0"/>
                <w:sz w:val="21"/>
                <w:szCs w:val="2"/>
              </w:rPr>
            </w:pPr>
            <w:r>
              <w:rPr>
                <w:rFonts w:ascii="Times New Roman" w:hAnsi="Times New Roman" w:eastAsia="宋体"/>
                <w:b w:val="0"/>
                <w:spacing w:val="0"/>
                <w:w w:val="100"/>
                <w:kern w:val="21"/>
                <w:position w:val="0"/>
                <w:sz w:val="21"/>
              </w:rPr>
              <w:t>《连江可门绿色纺织产业园规划（一期）环境影响报告书》要求</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9"/>
        <w:rPr>
          <w:rFonts w:hint="eastAsia"/>
          <w:b w:val="0"/>
          <w:bCs w:val="0"/>
          <w:spacing w:val="0"/>
          <w:position w:val="0"/>
          <w:sz w:val="21"/>
          <w:szCs w:val="21"/>
          <w:lang w:eastAsia="zh-CN"/>
        </w:rPr>
      </w:pPr>
      <w:r>
        <w:rPr>
          <w:rFonts w:hint="eastAsia"/>
          <w:b w:val="0"/>
          <w:bCs w:val="0"/>
          <w:spacing w:val="0"/>
          <w:position w:val="0"/>
          <w:sz w:val="21"/>
          <w:szCs w:val="21"/>
          <w:lang w:eastAsia="zh-CN"/>
        </w:rPr>
        <w:t>注：a 透明度可以通过浊度的测定进行换算。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排放标准：产业园污水处理厂的排放标准执行《纺织染整工业水污染物排放标准》（GB4287-2012）表2直接排放标准限值及其修改单、《城镇污水处理厂污染物排放标准》（GB18918-2002）一级A标准中最严格的要求限值，经处理的尾水通过排海管道引入湾外排放口深海排入罗源湾东侧海域。污水处理厂总排口各污染物排放限值详见表2.5-9。</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表2.5-</w:t>
      </w:r>
      <w:r>
        <w:rPr>
          <w:rFonts w:hint="eastAsia"/>
          <w:b/>
          <w:bCs/>
          <w:spacing w:val="0"/>
          <w:position w:val="0"/>
          <w:sz w:val="24"/>
          <w:szCs w:val="24"/>
          <w:lang w:val="en-US" w:eastAsia="zh-CN"/>
        </w:rPr>
        <w:t>9</w:t>
      </w:r>
      <w:r>
        <w:rPr>
          <w:rFonts w:hint="eastAsia"/>
          <w:b/>
          <w:bCs/>
          <w:spacing w:val="0"/>
          <w:position w:val="0"/>
          <w:sz w:val="24"/>
          <w:szCs w:val="24"/>
          <w:lang w:eastAsia="zh-CN"/>
        </w:rPr>
        <w:t>产业园污水处理厂的污水排放标准</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0"/>
        <w:gridCol w:w="1893"/>
        <w:gridCol w:w="1017"/>
        <w:gridCol w:w="2001"/>
        <w:gridCol w:w="2001"/>
        <w:gridCol w:w="11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序号</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项目</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单位</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《城镇污水处理厂污染物排放标准》一级A标准</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《纺织染整工业水污染物排放标准》表</w:t>
            </w:r>
            <w:r>
              <w:rPr>
                <w:rFonts w:hint="eastAsia" w:ascii="Times New Roman" w:hAnsi="Times New Roman"/>
                <w:b/>
                <w:bCs/>
                <w:spacing w:val="0"/>
                <w:w w:val="100"/>
                <w:kern w:val="21"/>
                <w:position w:val="0"/>
                <w:sz w:val="21"/>
                <w:szCs w:val="21"/>
                <w:lang w:val="en-US" w:eastAsia="zh-CN"/>
              </w:rPr>
              <w:t>2</w:t>
            </w:r>
            <w:r>
              <w:rPr>
                <w:rFonts w:ascii="Times New Roman" w:hAnsi="Times New Roman" w:eastAsia="宋体"/>
                <w:b/>
                <w:bCs/>
                <w:spacing w:val="0"/>
                <w:w w:val="100"/>
                <w:kern w:val="21"/>
                <w:position w:val="0"/>
                <w:sz w:val="21"/>
                <w:szCs w:val="21"/>
              </w:rPr>
              <w:t>直接排放限值</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b/>
                <w:bCs/>
                <w:spacing w:val="0"/>
                <w:w w:val="100"/>
                <w:kern w:val="21"/>
                <w:position w:val="0"/>
                <w:sz w:val="21"/>
                <w:szCs w:val="21"/>
                <w:lang w:eastAsia="zh-CN"/>
              </w:rPr>
            </w:pPr>
            <w:r>
              <w:rPr>
                <w:rFonts w:hint="eastAsia" w:ascii="Times New Roman" w:hAnsi="Times New Roman"/>
                <w:b/>
                <w:bCs/>
                <w:spacing w:val="0"/>
                <w:w w:val="100"/>
                <w:kern w:val="21"/>
                <w:position w:val="0"/>
                <w:sz w:val="21"/>
                <w:szCs w:val="21"/>
                <w:lang w:eastAsia="zh-CN"/>
              </w:rPr>
              <w:t>最终标准值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pH</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6~9</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6~9</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2</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COD</w:t>
            </w:r>
            <w:r>
              <w:rPr>
                <w:rFonts w:ascii="Times New Roman" w:hAnsi="Times New Roman" w:eastAsia="宋体"/>
                <w:spacing w:val="0"/>
                <w:w w:val="100"/>
                <w:kern w:val="21"/>
                <w:position w:val="0"/>
                <w:sz w:val="21"/>
                <w:szCs w:val="21"/>
                <w:vertAlign w:val="subscript"/>
              </w:rPr>
              <w:t>Cr</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50</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80</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BOD</w:t>
            </w:r>
            <w:r>
              <w:rPr>
                <w:rFonts w:ascii="Times New Roman" w:hAnsi="Times New Roman" w:eastAsia="宋体"/>
                <w:spacing w:val="0"/>
                <w:w w:val="100"/>
                <w:kern w:val="21"/>
                <w:position w:val="0"/>
                <w:sz w:val="21"/>
                <w:szCs w:val="21"/>
                <w:vertAlign w:val="subscript"/>
              </w:rPr>
              <w:t>5</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20</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4</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SS</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50</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色度</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倍</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30</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50</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6</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氨氮（以N计）*</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5(8)*</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10</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7</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总氮（以N计）</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spacing w:val="0"/>
                <w:w w:val="100"/>
                <w:kern w:val="21"/>
                <w:position w:val="0"/>
                <w:sz w:val="21"/>
                <w:szCs w:val="21"/>
                <w:lang w:val="en-US" w:eastAsia="zh-CN"/>
              </w:rPr>
            </w:pPr>
            <w:r>
              <w:rPr>
                <w:rFonts w:ascii="Times New Roman" w:hAnsi="Times New Roman" w:eastAsia="宋体"/>
                <w:spacing w:val="0"/>
                <w:w w:val="100"/>
                <w:kern w:val="21"/>
                <w:position w:val="0"/>
                <w:sz w:val="21"/>
                <w:szCs w:val="21"/>
              </w:rPr>
              <w:t>1</w:t>
            </w:r>
            <w:r>
              <w:rPr>
                <w:rFonts w:hint="eastAsia" w:ascii="Times New Roman" w:hAnsi="Times New Roman"/>
                <w:spacing w:val="0"/>
                <w:w w:val="100"/>
                <w:kern w:val="21"/>
                <w:position w:val="0"/>
                <w:sz w:val="21"/>
                <w:szCs w:val="21"/>
                <w:lang w:val="en-US" w:eastAsia="zh-CN"/>
              </w:rPr>
              <w:t>5</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8</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总磷（以P计）</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动植物油</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石油类</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11</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阴离子表面活性剂</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12</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粪大肠菌群数</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个/L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r>
              <w:rPr>
                <w:rFonts w:ascii="Times New Roman" w:hAnsi="Times New Roman" w:eastAsia="宋体"/>
                <w:spacing w:val="0"/>
                <w:w w:val="100"/>
                <w:kern w:val="21"/>
                <w:position w:val="0"/>
                <w:sz w:val="21"/>
                <w:szCs w:val="21"/>
                <w:vertAlign w:val="superscript"/>
              </w:rPr>
              <w:t>3</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10</w:t>
            </w:r>
            <w:r>
              <w:rPr>
                <w:rFonts w:ascii="Times New Roman" w:hAnsi="Times New Roman" w:eastAsia="宋体"/>
                <w:b/>
                <w:bCs/>
                <w:spacing w:val="0"/>
                <w:w w:val="100"/>
                <w:kern w:val="21"/>
                <w:position w:val="0"/>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13</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二氧化氯</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spacing w:val="0"/>
                <w:w w:val="100"/>
                <w:kern w:val="21"/>
                <w:position w:val="0"/>
                <w:sz w:val="21"/>
                <w:szCs w:val="21"/>
              </w:rPr>
            </w:pP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14</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可吸附有机卤素</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（AOX）</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spacing w:val="0"/>
                <w:w w:val="100"/>
                <w:kern w:val="21"/>
                <w:position w:val="0"/>
                <w:sz w:val="21"/>
                <w:szCs w:val="21"/>
              </w:rPr>
            </w:pP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12</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15</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总锑</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0.1</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16</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硫化物</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1.0</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17</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苯胺类</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不得检出</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不得检出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18</w:t>
            </w:r>
          </w:p>
        </w:tc>
        <w:tc>
          <w:tcPr>
            <w:tcW w:w="19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六价铬</w:t>
            </w:r>
          </w:p>
        </w:tc>
        <w:tc>
          <w:tcPr>
            <w:tcW w:w="106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mg/L</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0.05</w:t>
            </w:r>
          </w:p>
        </w:tc>
        <w:tc>
          <w:tcPr>
            <w:tcW w:w="20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不得检出</w:t>
            </w:r>
          </w:p>
        </w:tc>
        <w:tc>
          <w:tcPr>
            <w:tcW w:w="119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不得检出</w:t>
            </w: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0"/>
        <w:jc w:val="both"/>
        <w:textAlignment w:val="auto"/>
        <w:rPr>
          <w:spacing w:val="0"/>
          <w:position w:val="0"/>
          <w:sz w:val="21"/>
        </w:rPr>
      </w:pPr>
      <w:r>
        <w:rPr>
          <w:spacing w:val="0"/>
          <w:position w:val="0"/>
          <w:sz w:val="21"/>
        </w:rPr>
        <w:t>注：</w:t>
      </w:r>
      <w:r>
        <w:rPr>
          <w:rFonts w:ascii="Times New Roman" w:hAnsi="Times New Roman" w:eastAsia="Times New Roman"/>
          <w:spacing w:val="0"/>
          <w:position w:val="0"/>
          <w:sz w:val="21"/>
        </w:rPr>
        <w:t>*</w:t>
      </w:r>
      <w:r>
        <w:rPr>
          <w:spacing w:val="0"/>
          <w:position w:val="0"/>
          <w:sz w:val="21"/>
        </w:rPr>
        <w:t>括号内数值为水温</w:t>
      </w:r>
      <w:r>
        <w:rPr>
          <w:rFonts w:ascii="Times New Roman" w:hAnsi="Times New Roman" w:eastAsia="Times New Roman"/>
          <w:spacing w:val="0"/>
          <w:position w:val="0"/>
          <w:sz w:val="21"/>
        </w:rPr>
        <w:t>≤12</w:t>
      </w:r>
      <w:r>
        <w:rPr>
          <w:spacing w:val="0"/>
          <w:position w:val="0"/>
          <w:sz w:val="21"/>
        </w:rPr>
        <w:t>℃时的控制指标，括号外数值为水温＞</w:t>
      </w:r>
      <w:r>
        <w:rPr>
          <w:rFonts w:ascii="Times New Roman" w:hAnsi="Times New Roman" w:eastAsia="Times New Roman"/>
          <w:spacing w:val="0"/>
          <w:position w:val="0"/>
          <w:sz w:val="21"/>
        </w:rPr>
        <w:t>12</w:t>
      </w:r>
      <w:r>
        <w:rPr>
          <w:spacing w:val="0"/>
          <w:position w:val="0"/>
          <w:sz w:val="21"/>
        </w:rPr>
        <w:t>℃时的控制指标。</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2.5.2.3噪声排放标准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施工期：噪声排放标准执行《建筑施工场界环境噪声排放标准》（GB 12523-2011）。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运营期：厂界噪声执行《工业企业厂界环境噪声排放标准》（GB12348-2008）3类标准要求，详见表2.5-</w:t>
      </w:r>
      <w:r>
        <w:rPr>
          <w:rFonts w:hint="eastAsia"/>
          <w:b w:val="0"/>
          <w:bCs w:val="0"/>
          <w:spacing w:val="0"/>
          <w:position w:val="0"/>
          <w:sz w:val="24"/>
          <w:szCs w:val="24"/>
          <w:lang w:val="en-US" w:eastAsia="zh-CN"/>
        </w:rPr>
        <w:t>10</w:t>
      </w:r>
      <w:r>
        <w:rPr>
          <w:rFonts w:hint="eastAsia"/>
          <w:b w:val="0"/>
          <w:bCs w:val="0"/>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eastAsia="zh-CN"/>
        </w:rPr>
      </w:pPr>
      <w:r>
        <w:rPr>
          <w:rFonts w:hint="eastAsia"/>
          <w:b/>
          <w:bCs/>
          <w:spacing w:val="0"/>
          <w:position w:val="0"/>
          <w:sz w:val="24"/>
          <w:szCs w:val="24"/>
          <w:lang w:eastAsia="zh-CN"/>
        </w:rPr>
        <w:t>表2.5-</w:t>
      </w:r>
      <w:r>
        <w:rPr>
          <w:rFonts w:hint="eastAsia"/>
          <w:b/>
          <w:bCs/>
          <w:spacing w:val="0"/>
          <w:position w:val="0"/>
          <w:sz w:val="24"/>
          <w:szCs w:val="24"/>
          <w:lang w:val="en-US" w:eastAsia="zh-CN"/>
        </w:rPr>
        <w:t>10</w:t>
      </w:r>
      <w:r>
        <w:rPr>
          <w:rFonts w:hint="eastAsia"/>
          <w:b/>
          <w:bCs/>
          <w:spacing w:val="0"/>
          <w:position w:val="0"/>
          <w:sz w:val="24"/>
          <w:szCs w:val="24"/>
          <w:lang w:eastAsia="zh-CN"/>
        </w:rPr>
        <w:t>工业企业厂界环境噪声排放标准</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26"/>
        <w:gridCol w:w="1771"/>
        <w:gridCol w:w="1985"/>
        <w:gridCol w:w="35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9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位置</w:t>
            </w:r>
          </w:p>
        </w:tc>
        <w:tc>
          <w:tcPr>
            <w:tcW w:w="18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项目名称</w:t>
            </w:r>
          </w:p>
        </w:tc>
        <w:tc>
          <w:tcPr>
            <w:tcW w:w="20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标准限值</w:t>
            </w:r>
          </w:p>
        </w:tc>
        <w:tc>
          <w:tcPr>
            <w:tcW w:w="36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98"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施工期场界</w:t>
            </w:r>
          </w:p>
        </w:tc>
        <w:tc>
          <w:tcPr>
            <w:tcW w:w="18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噪声（昼间）</w:t>
            </w:r>
          </w:p>
        </w:tc>
        <w:tc>
          <w:tcPr>
            <w:tcW w:w="20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spacing w:val="0"/>
                <w:position w:val="0"/>
                <w:sz w:val="21"/>
              </w:rPr>
            </w:pPr>
            <w:r>
              <w:rPr>
                <w:rFonts w:ascii="Times New Roman"/>
                <w:spacing w:val="0"/>
                <w:position w:val="0"/>
                <w:sz w:val="21"/>
              </w:rPr>
              <w:t>70dB(A)</w:t>
            </w:r>
          </w:p>
        </w:tc>
        <w:tc>
          <w:tcPr>
            <w:tcW w:w="3685"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《建筑施工场界环境噪声排放标准》</w:t>
            </w:r>
          </w:p>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w:t>
            </w:r>
            <w:r>
              <w:rPr>
                <w:rFonts w:ascii="Times New Roman" w:eastAsia="Times New Roman"/>
                <w:spacing w:val="0"/>
                <w:position w:val="0"/>
                <w:sz w:val="21"/>
              </w:rPr>
              <w:t>GB 12523-2011</w:t>
            </w:r>
            <w:r>
              <w:rPr>
                <w:spacing w:val="0"/>
                <w:position w:val="0"/>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
                <w:szCs w:val="2"/>
              </w:rPr>
            </w:pPr>
          </w:p>
        </w:tc>
        <w:tc>
          <w:tcPr>
            <w:tcW w:w="18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噪声（夜间）</w:t>
            </w:r>
          </w:p>
        </w:tc>
        <w:tc>
          <w:tcPr>
            <w:tcW w:w="20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spacing w:val="0"/>
                <w:position w:val="0"/>
                <w:sz w:val="21"/>
              </w:rPr>
            </w:pPr>
            <w:r>
              <w:rPr>
                <w:rFonts w:ascii="Times New Roman"/>
                <w:spacing w:val="0"/>
                <w:position w:val="0"/>
                <w:sz w:val="21"/>
              </w:rPr>
              <w:t>55dB(A)</w:t>
            </w:r>
          </w:p>
        </w:tc>
        <w:tc>
          <w:tcPr>
            <w:tcW w:w="3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98"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运营期厂界</w:t>
            </w:r>
          </w:p>
        </w:tc>
        <w:tc>
          <w:tcPr>
            <w:tcW w:w="18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噪声（昼间）</w:t>
            </w:r>
          </w:p>
        </w:tc>
        <w:tc>
          <w:tcPr>
            <w:tcW w:w="20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spacing w:val="0"/>
                <w:position w:val="0"/>
                <w:sz w:val="21"/>
              </w:rPr>
            </w:pPr>
            <w:r>
              <w:rPr>
                <w:rFonts w:ascii="Times New Roman"/>
                <w:spacing w:val="0"/>
                <w:position w:val="0"/>
                <w:sz w:val="21"/>
              </w:rPr>
              <w:t>65dB(A)</w:t>
            </w:r>
          </w:p>
        </w:tc>
        <w:tc>
          <w:tcPr>
            <w:tcW w:w="3685"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《工业企业厂界环境噪声排放标准》</w:t>
            </w:r>
          </w:p>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w:t>
            </w:r>
            <w:r>
              <w:rPr>
                <w:rFonts w:ascii="Times New Roman" w:eastAsia="Times New Roman"/>
                <w:spacing w:val="0"/>
                <w:position w:val="0"/>
                <w:sz w:val="21"/>
              </w:rPr>
              <w:t>GB12348-2008</w:t>
            </w:r>
            <w:r>
              <w:rPr>
                <w:spacing w:val="0"/>
                <w:position w:val="0"/>
                <w:sz w:val="21"/>
              </w:rPr>
              <w:t>）的</w:t>
            </w:r>
            <w:r>
              <w:rPr>
                <w:rFonts w:ascii="Times New Roman" w:eastAsia="Times New Roman"/>
                <w:spacing w:val="0"/>
                <w:position w:val="0"/>
                <w:sz w:val="21"/>
              </w:rPr>
              <w:t>3</w:t>
            </w:r>
            <w:r>
              <w:rPr>
                <w:spacing w:val="0"/>
                <w:position w:val="0"/>
                <w:sz w:val="21"/>
              </w:rPr>
              <w:t>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
                <w:szCs w:val="2"/>
              </w:rPr>
            </w:pPr>
          </w:p>
        </w:tc>
        <w:tc>
          <w:tcPr>
            <w:tcW w:w="186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1"/>
              </w:rPr>
            </w:pPr>
            <w:r>
              <w:rPr>
                <w:spacing w:val="0"/>
                <w:position w:val="0"/>
                <w:sz w:val="21"/>
              </w:rPr>
              <w:t>噪声（夜间）</w:t>
            </w:r>
          </w:p>
        </w:tc>
        <w:tc>
          <w:tcPr>
            <w:tcW w:w="20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spacing w:val="0"/>
                <w:position w:val="0"/>
                <w:sz w:val="21"/>
              </w:rPr>
            </w:pPr>
            <w:r>
              <w:rPr>
                <w:rFonts w:ascii="Times New Roman"/>
                <w:spacing w:val="0"/>
                <w:position w:val="0"/>
                <w:sz w:val="21"/>
              </w:rPr>
              <w:t>55dB(A)</w:t>
            </w:r>
          </w:p>
        </w:tc>
        <w:tc>
          <w:tcPr>
            <w:tcW w:w="3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0" w:right="0"/>
              <w:jc w:val="center"/>
              <w:textAlignment w:val="auto"/>
              <w:rPr>
                <w:spacing w:val="0"/>
                <w:position w:val="0"/>
                <w:sz w:val="2"/>
                <w:szCs w:val="2"/>
              </w:rPr>
            </w:pP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val="0"/>
          <w:bCs w:val="0"/>
          <w:spacing w:val="0"/>
          <w:position w:val="0"/>
          <w:sz w:val="24"/>
          <w:szCs w:val="24"/>
          <w:lang w:eastAsia="zh-CN"/>
        </w:rPr>
      </w:pPr>
      <w:r>
        <w:rPr>
          <w:rFonts w:hint="eastAsia"/>
          <w:b/>
          <w:bCs/>
          <w:spacing w:val="0"/>
          <w:position w:val="0"/>
          <w:sz w:val="24"/>
          <w:szCs w:val="24"/>
          <w:lang w:val="en-US" w:eastAsia="zh-CN"/>
        </w:rPr>
        <w:t>2.5.2.4固体废物管理与处理处置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eastAsia="zh-CN"/>
        </w:rPr>
      </w:pPr>
      <w:r>
        <w:rPr>
          <w:rFonts w:hint="eastAsia"/>
          <w:b w:val="0"/>
          <w:bCs w:val="0"/>
          <w:spacing w:val="0"/>
          <w:position w:val="0"/>
          <w:sz w:val="24"/>
          <w:szCs w:val="24"/>
          <w:lang w:eastAsia="zh-CN"/>
        </w:rPr>
        <w:t>固体废物应分类收集，能够回收利用的应当充分回收利用。一般工业固体废物按照《一般工业固体废物贮存和填埋污染控制标准》（GB18599-2020）要求进行处置；危险废物按《国家危险废物名录》（2021年）认定，并按《危险废物贮存污染控制标准》（GB18597-2</w:t>
      </w:r>
      <w:r>
        <w:rPr>
          <w:rFonts w:hint="eastAsia"/>
          <w:b w:val="0"/>
          <w:bCs w:val="0"/>
          <w:spacing w:val="0"/>
          <w:position w:val="0"/>
          <w:sz w:val="24"/>
          <w:szCs w:val="24"/>
          <w:lang w:val="en-US" w:eastAsia="zh-CN"/>
        </w:rPr>
        <w:t>023</w:t>
      </w:r>
      <w:r>
        <w:rPr>
          <w:rFonts w:hint="eastAsia"/>
          <w:b w:val="0"/>
          <w:bCs w:val="0"/>
          <w:spacing w:val="0"/>
          <w:position w:val="0"/>
          <w:sz w:val="24"/>
          <w:szCs w:val="24"/>
          <w:lang w:eastAsia="zh-CN"/>
        </w:rPr>
        <w:t>）要求进行处置。</w:t>
      </w:r>
    </w:p>
    <w:p>
      <w:pPr>
        <w:rPr>
          <w:rFonts w:hint="eastAsia"/>
          <w:b w:val="0"/>
          <w:bCs w:val="0"/>
          <w:spacing w:val="0"/>
          <w:position w:val="0"/>
          <w:sz w:val="24"/>
          <w:szCs w:val="24"/>
          <w:lang w:eastAsia="zh-CN"/>
        </w:rPr>
      </w:pPr>
      <w:r>
        <w:rPr>
          <w:rFonts w:hint="eastAsia"/>
          <w:b w:val="0"/>
          <w:bCs w:val="0"/>
          <w:spacing w:val="0"/>
          <w:position w:val="0"/>
          <w:sz w:val="24"/>
          <w:szCs w:val="24"/>
          <w:lang w:eastAsia="zh-CN"/>
        </w:rPr>
        <w:br w:type="page"/>
      </w:r>
    </w:p>
    <w:p>
      <w:pPr>
        <w:adjustRightInd w:val="0"/>
        <w:snapToGrid w:val="0"/>
        <w:spacing w:line="360" w:lineRule="auto"/>
        <w:jc w:val="left"/>
        <w:outlineLvl w:val="1"/>
        <w:rPr>
          <w:rFonts w:ascii="宋体" w:hAnsi="宋体" w:cs="宋体"/>
          <w:b/>
          <w:bCs/>
          <w:spacing w:val="0"/>
          <w:position w:val="0"/>
          <w:sz w:val="30"/>
          <w:szCs w:val="30"/>
        </w:rPr>
      </w:pPr>
      <w:r>
        <w:rPr>
          <w:rFonts w:hint="eastAsia"/>
          <w:b/>
          <w:bCs/>
          <w:spacing w:val="0"/>
          <w:position w:val="0"/>
          <w:sz w:val="30"/>
          <w:szCs w:val="30"/>
          <w:lang w:val="en-US" w:eastAsia="zh-CN"/>
        </w:rPr>
        <w:t>2.6</w:t>
      </w:r>
      <w:r>
        <w:rPr>
          <w:rFonts w:hint="eastAsia" w:ascii="宋体" w:hAnsi="宋体" w:cs="宋体"/>
          <w:b/>
          <w:bCs/>
          <w:spacing w:val="0"/>
          <w:position w:val="0"/>
          <w:sz w:val="30"/>
          <w:szCs w:val="30"/>
        </w:rPr>
        <w:t>环境保护目标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本项目环境保护目标见表</w:t>
      </w:r>
      <w:r>
        <w:rPr>
          <w:rFonts w:hint="eastAsia"/>
          <w:b w:val="0"/>
          <w:bCs w:val="0"/>
          <w:spacing w:val="0"/>
          <w:position w:val="0"/>
          <w:sz w:val="24"/>
          <w:szCs w:val="24"/>
          <w:lang w:val="en-US" w:eastAsia="zh-CN"/>
        </w:rPr>
        <w:t>2.6</w:t>
      </w:r>
      <w:r>
        <w:rPr>
          <w:rFonts w:hint="default"/>
          <w:b w:val="0"/>
          <w:bCs w:val="0"/>
          <w:spacing w:val="0"/>
          <w:position w:val="0"/>
          <w:sz w:val="24"/>
          <w:szCs w:val="24"/>
          <w:lang w:val="en-US" w:eastAsia="zh-CN"/>
        </w:rPr>
        <w:t>-1和图</w:t>
      </w:r>
      <w:r>
        <w:rPr>
          <w:rFonts w:hint="eastAsia"/>
          <w:b w:val="0"/>
          <w:bCs w:val="0"/>
          <w:spacing w:val="0"/>
          <w:position w:val="0"/>
          <w:sz w:val="24"/>
          <w:szCs w:val="24"/>
          <w:lang w:val="en-US" w:eastAsia="zh-CN"/>
        </w:rPr>
        <w:t>2.6</w:t>
      </w:r>
      <w:r>
        <w:rPr>
          <w:rFonts w:hint="default"/>
          <w:b w:val="0"/>
          <w:bCs w:val="0"/>
          <w:spacing w:val="0"/>
          <w:position w:val="0"/>
          <w:sz w:val="24"/>
          <w:szCs w:val="24"/>
          <w:lang w:val="en-US" w:eastAsia="zh-CN"/>
        </w:rPr>
        <w:t>-1、图</w:t>
      </w:r>
      <w:r>
        <w:rPr>
          <w:rFonts w:hint="eastAsia"/>
          <w:b w:val="0"/>
          <w:bCs w:val="0"/>
          <w:spacing w:val="0"/>
          <w:position w:val="0"/>
          <w:sz w:val="24"/>
          <w:szCs w:val="24"/>
          <w:lang w:val="en-US" w:eastAsia="zh-CN"/>
        </w:rPr>
        <w:t>2.6</w:t>
      </w:r>
      <w:r>
        <w:rPr>
          <w:rFonts w:hint="default"/>
          <w:b w:val="0"/>
          <w:bCs w:val="0"/>
          <w:spacing w:val="0"/>
          <w:position w:val="0"/>
          <w:sz w:val="24"/>
          <w:szCs w:val="24"/>
          <w:lang w:val="en-US" w:eastAsia="zh-CN"/>
        </w:rPr>
        <w:t>-2</w:t>
      </w:r>
      <w:r>
        <w:rPr>
          <w:rFonts w:hint="eastAsia"/>
          <w:b w:val="0"/>
          <w:bCs w:val="0"/>
          <w:spacing w:val="0"/>
          <w:position w:val="0"/>
          <w:sz w:val="24"/>
          <w:szCs w:val="24"/>
          <w:lang w:val="en-US" w:eastAsia="zh-CN"/>
        </w:rPr>
        <w:t>（略）</w:t>
      </w:r>
      <w:r>
        <w:rPr>
          <w:rFonts w:hint="default"/>
          <w:b w:val="0"/>
          <w:bCs w:val="0"/>
          <w:spacing w:val="0"/>
          <w:position w:val="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eastAsia="zh-CN"/>
        </w:rPr>
        <w:t>表</w:t>
      </w:r>
      <w:r>
        <w:rPr>
          <w:rFonts w:hint="eastAsia"/>
          <w:b/>
          <w:bCs/>
          <w:spacing w:val="0"/>
          <w:position w:val="0"/>
          <w:sz w:val="24"/>
          <w:szCs w:val="24"/>
          <w:lang w:val="en-US" w:eastAsia="zh-CN"/>
        </w:rPr>
        <w:t>2.6-1项目周边主要保护目标情况</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33"/>
        <w:gridCol w:w="648"/>
        <w:gridCol w:w="982"/>
        <w:gridCol w:w="868"/>
        <w:gridCol w:w="1477"/>
        <w:gridCol w:w="882"/>
        <w:gridCol w:w="27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环境要素</w:t>
            </w:r>
          </w:p>
        </w:tc>
        <w:tc>
          <w:tcPr>
            <w:tcW w:w="1630"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敏感点名称</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方位</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与厂界距离/m</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人口</w:t>
            </w:r>
          </w:p>
        </w:tc>
        <w:tc>
          <w:tcPr>
            <w:tcW w:w="27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环境功能区划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33"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环境空气、环境风险</w:t>
            </w:r>
          </w:p>
        </w:tc>
        <w:tc>
          <w:tcPr>
            <w:tcW w:w="648"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坑园镇</w:t>
            </w: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坑园镇</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E</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ascii="Times New Roman" w:hAnsi="Times New Roman" w:eastAsia="宋体"/>
                <w:spacing w:val="0"/>
                <w:w w:val="100"/>
                <w:kern w:val="21"/>
                <w:position w:val="0"/>
                <w:sz w:val="21"/>
              </w:rPr>
              <w:t>16</w:t>
            </w:r>
            <w:r>
              <w:rPr>
                <w:rFonts w:hint="eastAsia" w:ascii="Times New Roman" w:hAnsi="Times New Roman"/>
                <w:spacing w:val="0"/>
                <w:w w:val="100"/>
                <w:kern w:val="21"/>
                <w:position w:val="0"/>
                <w:sz w:val="21"/>
                <w:lang w:val="en-US" w:eastAsia="zh-CN"/>
              </w:rPr>
              <w:t>00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3820人</w:t>
            </w:r>
          </w:p>
        </w:tc>
        <w:tc>
          <w:tcPr>
            <w:tcW w:w="2799"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《环境空气质量标准》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（GB3095-2012）</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下园村</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SW</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ascii="Times New Roman" w:hAnsi="Times New Roman" w:eastAsia="宋体"/>
                <w:spacing w:val="0"/>
                <w:w w:val="100"/>
                <w:kern w:val="21"/>
                <w:position w:val="0"/>
                <w:sz w:val="21"/>
              </w:rPr>
              <w:t>1</w:t>
            </w:r>
            <w:r>
              <w:rPr>
                <w:rFonts w:hint="eastAsia" w:ascii="Times New Roman" w:hAnsi="Times New Roman"/>
                <w:spacing w:val="0"/>
                <w:w w:val="100"/>
                <w:kern w:val="21"/>
                <w:position w:val="0"/>
                <w:sz w:val="21"/>
                <w:lang w:val="en-US" w:eastAsia="zh-CN"/>
              </w:rPr>
              <w:t>510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1145人</w:t>
            </w:r>
          </w:p>
        </w:tc>
        <w:tc>
          <w:tcPr>
            <w:tcW w:w="27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红厦村</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SW</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hint="eastAsia" w:ascii="Times New Roman" w:hAnsi="Times New Roman"/>
                <w:spacing w:val="0"/>
                <w:w w:val="100"/>
                <w:kern w:val="21"/>
                <w:position w:val="0"/>
                <w:sz w:val="21"/>
                <w:lang w:val="en-US" w:eastAsia="zh-CN"/>
              </w:rPr>
              <w:t>2090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3500人</w:t>
            </w:r>
          </w:p>
        </w:tc>
        <w:tc>
          <w:tcPr>
            <w:tcW w:w="27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屿头村</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NW</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hint="eastAsia" w:ascii="Times New Roman" w:hAnsi="Times New Roman"/>
                <w:spacing w:val="0"/>
                <w:w w:val="100"/>
                <w:kern w:val="21"/>
                <w:position w:val="0"/>
                <w:sz w:val="21"/>
                <w:lang w:val="en-US" w:eastAsia="zh-CN"/>
              </w:rPr>
              <w:t>2580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hint="eastAsia" w:ascii="Times New Roman" w:hAnsi="Times New Roman"/>
                <w:spacing w:val="0"/>
                <w:w w:val="100"/>
                <w:kern w:val="21"/>
                <w:position w:val="0"/>
                <w:sz w:val="21"/>
                <w:lang w:val="en-US" w:eastAsia="zh-CN"/>
              </w:rPr>
              <w:t>8</w:t>
            </w:r>
            <w:r>
              <w:rPr>
                <w:rFonts w:ascii="Times New Roman" w:hAnsi="Times New Roman" w:eastAsia="宋体"/>
                <w:spacing w:val="0"/>
                <w:w w:val="100"/>
                <w:kern w:val="21"/>
                <w:position w:val="0"/>
                <w:sz w:val="21"/>
              </w:rPr>
              <w:t>20人</w:t>
            </w:r>
          </w:p>
        </w:tc>
        <w:tc>
          <w:tcPr>
            <w:tcW w:w="27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下屿村</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NW</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ascii="Times New Roman" w:hAnsi="Times New Roman" w:eastAsia="宋体"/>
                <w:spacing w:val="0"/>
                <w:w w:val="100"/>
                <w:kern w:val="21"/>
                <w:position w:val="0"/>
                <w:sz w:val="21"/>
              </w:rPr>
              <w:t>23</w:t>
            </w:r>
            <w:r>
              <w:rPr>
                <w:rFonts w:hint="eastAsia" w:ascii="Times New Roman" w:hAnsi="Times New Roman"/>
                <w:spacing w:val="0"/>
                <w:w w:val="100"/>
                <w:kern w:val="21"/>
                <w:position w:val="0"/>
                <w:sz w:val="21"/>
                <w:lang w:val="en-US" w:eastAsia="zh-CN"/>
              </w:rPr>
              <w:t>40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4112人</w:t>
            </w:r>
          </w:p>
        </w:tc>
        <w:tc>
          <w:tcPr>
            <w:tcW w:w="27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前屿村</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NW</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hint="eastAsia" w:ascii="Times New Roman" w:hAnsi="Times New Roman"/>
                <w:spacing w:val="0"/>
                <w:w w:val="100"/>
                <w:kern w:val="21"/>
                <w:position w:val="0"/>
                <w:sz w:val="21"/>
                <w:lang w:val="en-US" w:eastAsia="zh-CN"/>
              </w:rPr>
              <w:t>1930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2081人</w:t>
            </w:r>
          </w:p>
        </w:tc>
        <w:tc>
          <w:tcPr>
            <w:tcW w:w="27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颜岐村</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NE</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hint="eastAsia" w:ascii="Times New Roman" w:hAnsi="Times New Roman"/>
                <w:spacing w:val="0"/>
                <w:w w:val="100"/>
                <w:kern w:val="21"/>
                <w:position w:val="0"/>
                <w:sz w:val="21"/>
                <w:lang w:val="en-US" w:eastAsia="zh-CN"/>
              </w:rPr>
              <w:t>1960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hint="eastAsia" w:ascii="Times New Roman" w:hAnsi="Times New Roman"/>
                <w:spacing w:val="0"/>
                <w:w w:val="100"/>
                <w:kern w:val="21"/>
                <w:position w:val="0"/>
                <w:sz w:val="21"/>
                <w:lang w:val="en-US" w:eastAsia="zh-CN"/>
              </w:rPr>
              <w:t>4300</w:t>
            </w:r>
            <w:r>
              <w:rPr>
                <w:rFonts w:ascii="Times New Roman" w:hAnsi="Times New Roman" w:eastAsia="宋体"/>
                <w:spacing w:val="0"/>
                <w:w w:val="100"/>
                <w:kern w:val="21"/>
                <w:position w:val="0"/>
                <w:sz w:val="21"/>
              </w:rPr>
              <w:t>人</w:t>
            </w:r>
          </w:p>
        </w:tc>
        <w:tc>
          <w:tcPr>
            <w:tcW w:w="27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c>
          <w:tcPr>
            <w:tcW w:w="9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hint="eastAsia" w:ascii="Times New Roman" w:hAnsi="Times New Roman"/>
                <w:spacing w:val="0"/>
                <w:w w:val="100"/>
                <w:kern w:val="21"/>
                <w:position w:val="0"/>
                <w:sz w:val="21"/>
                <w:lang w:val="en-US" w:eastAsia="zh-CN"/>
              </w:rPr>
              <w:t>大坪村</w:t>
            </w:r>
          </w:p>
        </w:tc>
        <w:tc>
          <w:tcPr>
            <w:tcW w:w="868"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NE</w:t>
            </w:r>
          </w:p>
        </w:tc>
        <w:tc>
          <w:tcPr>
            <w:tcW w:w="1477"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spacing w:val="0"/>
                <w:w w:val="100"/>
                <w:kern w:val="21"/>
                <w:position w:val="0"/>
                <w:sz w:val="21"/>
                <w:lang w:val="en-US" w:eastAsia="zh-CN"/>
              </w:rPr>
            </w:pPr>
            <w:r>
              <w:rPr>
                <w:rFonts w:hint="eastAsia" w:ascii="Times New Roman" w:hAnsi="Times New Roman"/>
                <w:spacing w:val="0"/>
                <w:w w:val="100"/>
                <w:kern w:val="21"/>
                <w:position w:val="0"/>
                <w:sz w:val="21"/>
                <w:lang w:val="en-US" w:eastAsia="zh-CN"/>
              </w:rPr>
              <w:t>1150</w:t>
            </w:r>
          </w:p>
        </w:tc>
        <w:tc>
          <w:tcPr>
            <w:tcW w:w="882"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spacing w:val="0"/>
                <w:w w:val="100"/>
                <w:kern w:val="21"/>
                <w:position w:val="0"/>
                <w:sz w:val="21"/>
                <w:lang w:val="en-US" w:eastAsia="zh-CN"/>
              </w:rPr>
            </w:pPr>
            <w:r>
              <w:rPr>
                <w:rFonts w:hint="eastAsia" w:ascii="Times New Roman" w:hAnsi="Times New Roman"/>
                <w:spacing w:val="0"/>
                <w:w w:val="100"/>
                <w:kern w:val="21"/>
                <w:position w:val="0"/>
                <w:sz w:val="21"/>
                <w:lang w:val="en-US" w:eastAsia="zh-CN"/>
              </w:rPr>
              <w:t>920人</w:t>
            </w:r>
          </w:p>
        </w:tc>
        <w:tc>
          <w:tcPr>
            <w:tcW w:w="27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海洋环境</w:t>
            </w:r>
          </w:p>
        </w:tc>
        <w:tc>
          <w:tcPr>
            <w:tcW w:w="4857" w:type="dxa"/>
            <w:gridSpan w:val="5"/>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罗源湾重要滨海湿地生态保护红线区、湾外官井洋大 黄鱼繁殖重点保护区、湾外西洋岛重要渔业水域生态 保护红线区、湾外闽江口重要渔业水域生态保护红线 区，周边海水水质和海洋生态环境等</w:t>
            </w:r>
          </w:p>
        </w:tc>
        <w:tc>
          <w:tcPr>
            <w:tcW w:w="27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罗源湾南部近岸环境功能区为 四类区，执行《海水水质标准》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（GB3097-1997）三类标准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地下水环境</w:t>
            </w:r>
          </w:p>
        </w:tc>
        <w:tc>
          <w:tcPr>
            <w:tcW w:w="4857" w:type="dxa"/>
            <w:gridSpan w:val="5"/>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规划区地下水下游区无生活供水水源地准保护区以及 以外的补给区，无分散居民饮用水源分布。</w:t>
            </w:r>
          </w:p>
        </w:tc>
        <w:tc>
          <w:tcPr>
            <w:tcW w:w="27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《地下水质量标准》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（GB/T14848-2017）Ⅲ类标准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声环境</w:t>
            </w:r>
          </w:p>
        </w:tc>
        <w:tc>
          <w:tcPr>
            <w:tcW w:w="4857" w:type="dxa"/>
            <w:gridSpan w:val="5"/>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厂界外200m以内没有声敏感保护目标</w:t>
            </w:r>
          </w:p>
        </w:tc>
        <w:tc>
          <w:tcPr>
            <w:tcW w:w="27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《声环境质量标准》</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（GB3096-2008）3类区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33"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土壤环境</w:t>
            </w:r>
          </w:p>
        </w:tc>
        <w:tc>
          <w:tcPr>
            <w:tcW w:w="4857" w:type="dxa"/>
            <w:gridSpan w:val="5"/>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规划区及周边土壤</w:t>
            </w:r>
          </w:p>
        </w:tc>
        <w:tc>
          <w:tcPr>
            <w:tcW w:w="279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w:t>
            </w:r>
          </w:p>
        </w:tc>
      </w:tr>
    </w:tbl>
    <w:p>
      <w:pPr>
        <w:rPr>
          <w:rFonts w:hint="eastAsia"/>
          <w:b/>
          <w:bCs/>
          <w:spacing w:val="0"/>
          <w:position w:val="0"/>
          <w:sz w:val="30"/>
          <w:szCs w:val="30"/>
          <w:lang w:val="en-US" w:eastAsia="zh-CN"/>
        </w:rPr>
      </w:pPr>
      <w:r>
        <w:rPr>
          <w:rFonts w:hint="eastAsia"/>
          <w:b/>
          <w:bCs/>
          <w:spacing w:val="0"/>
          <w:position w:val="0"/>
          <w:sz w:val="30"/>
          <w:szCs w:val="30"/>
          <w:lang w:val="en-US" w:eastAsia="zh-CN"/>
        </w:rPr>
        <w:br w:type="page"/>
      </w:r>
    </w:p>
    <w:p>
      <w:pPr>
        <w:adjustRightInd w:val="0"/>
        <w:snapToGrid w:val="0"/>
        <w:spacing w:line="360" w:lineRule="auto"/>
        <w:jc w:val="left"/>
        <w:outlineLvl w:val="1"/>
        <w:rPr>
          <w:rFonts w:hint="default" w:ascii="宋体" w:hAnsi="宋体" w:cs="宋体"/>
          <w:b/>
          <w:bCs/>
          <w:spacing w:val="0"/>
          <w:position w:val="0"/>
          <w:sz w:val="30"/>
          <w:szCs w:val="30"/>
          <w:lang w:val="en-US" w:eastAsia="zh-CN"/>
        </w:rPr>
      </w:pPr>
      <w:r>
        <w:rPr>
          <w:rFonts w:hint="eastAsia"/>
          <w:b/>
          <w:bCs/>
          <w:spacing w:val="0"/>
          <w:position w:val="0"/>
          <w:sz w:val="30"/>
          <w:szCs w:val="30"/>
          <w:lang w:val="en-US" w:eastAsia="zh-CN"/>
        </w:rPr>
        <w:t>2</w:t>
      </w:r>
      <w:r>
        <w:rPr>
          <w:b/>
          <w:bCs/>
          <w:spacing w:val="0"/>
          <w:position w:val="0"/>
          <w:sz w:val="30"/>
          <w:szCs w:val="30"/>
        </w:rPr>
        <w:t>.</w:t>
      </w:r>
      <w:r>
        <w:rPr>
          <w:rFonts w:hint="eastAsia"/>
          <w:b/>
          <w:bCs/>
          <w:spacing w:val="0"/>
          <w:position w:val="0"/>
          <w:sz w:val="30"/>
          <w:szCs w:val="30"/>
          <w:lang w:val="en-US" w:eastAsia="zh-CN"/>
        </w:rPr>
        <w:t>7</w:t>
      </w:r>
      <w:r>
        <w:rPr>
          <w:rFonts w:hint="eastAsia" w:ascii="宋体" w:hAnsi="宋体" w:cs="宋体"/>
          <w:b/>
          <w:bCs/>
          <w:spacing w:val="0"/>
          <w:position w:val="0"/>
          <w:sz w:val="30"/>
          <w:szCs w:val="30"/>
          <w:lang w:val="en-US" w:eastAsia="zh-CN"/>
        </w:rPr>
        <w:t>评价技术路线</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cs="宋体"/>
          <w:b w:val="0"/>
          <w:bCs w:val="0"/>
          <w:spacing w:val="0"/>
          <w:position w:val="0"/>
          <w:sz w:val="24"/>
          <w:szCs w:val="24"/>
          <w:lang w:val="en-US" w:eastAsia="zh-CN"/>
        </w:rPr>
      </w:pPr>
      <w:r>
        <w:rPr>
          <w:rFonts w:hint="eastAsia" w:ascii="Times New Roman" w:hAnsi="Times New Roman" w:cs="宋体"/>
          <w:b w:val="0"/>
          <w:bCs w:val="0"/>
          <w:spacing w:val="0"/>
          <w:position w:val="0"/>
          <w:sz w:val="24"/>
          <w:szCs w:val="24"/>
          <w:lang w:val="en-US" w:eastAsia="zh-CN"/>
        </w:rPr>
        <w:t>评价技术路线如下图2.</w:t>
      </w:r>
      <w:r>
        <w:rPr>
          <w:rFonts w:hint="eastAsia" w:cs="宋体"/>
          <w:b w:val="0"/>
          <w:bCs w:val="0"/>
          <w:spacing w:val="0"/>
          <w:position w:val="0"/>
          <w:sz w:val="24"/>
          <w:szCs w:val="24"/>
          <w:lang w:val="en-US" w:eastAsia="zh-CN"/>
        </w:rPr>
        <w:t>7</w:t>
      </w:r>
      <w:r>
        <w:rPr>
          <w:rFonts w:hint="eastAsia" w:ascii="Times New Roman" w:hAnsi="Times New Roman" w:cs="宋体"/>
          <w:b w:val="0"/>
          <w:bCs w:val="0"/>
          <w:spacing w:val="0"/>
          <w:position w:val="0"/>
          <w:sz w:val="24"/>
          <w:szCs w:val="24"/>
          <w:lang w:val="en-US" w:eastAsia="zh-CN"/>
        </w:rPr>
        <w:t>-1所示。</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spacing w:val="0"/>
          <w:position w:val="0"/>
        </w:rPr>
      </w:pPr>
      <w:r>
        <w:rPr>
          <w:spacing w:val="0"/>
          <w:position w:val="0"/>
        </w:rPr>
        <w:drawing>
          <wp:inline distT="0" distB="0" distL="114300" distR="114300">
            <wp:extent cx="5501640" cy="5371465"/>
            <wp:effectExtent l="0" t="0" r="3810" b="63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9"/>
                    <a:stretch>
                      <a:fillRect/>
                    </a:stretch>
                  </pic:blipFill>
                  <pic:spPr>
                    <a:xfrm>
                      <a:off x="0" y="0"/>
                      <a:ext cx="5501640" cy="53714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宋体"/>
          <w:b/>
          <w:bCs/>
          <w:spacing w:val="0"/>
          <w:position w:val="0"/>
          <w:sz w:val="24"/>
          <w:szCs w:val="24"/>
          <w:lang w:val="en-US" w:eastAsia="zh-CN"/>
        </w:rPr>
      </w:pPr>
      <w:r>
        <w:rPr>
          <w:rFonts w:hint="eastAsia" w:ascii="Times New Roman" w:hAnsi="Times New Roman"/>
          <w:b/>
          <w:bCs/>
          <w:spacing w:val="0"/>
          <w:position w:val="0"/>
          <w:sz w:val="24"/>
          <w:szCs w:val="24"/>
          <w:lang w:val="en-US" w:eastAsia="zh-CN"/>
        </w:rPr>
        <w:t>图2.</w:t>
      </w:r>
      <w:r>
        <w:rPr>
          <w:rFonts w:hint="eastAsia"/>
          <w:b/>
          <w:bCs/>
          <w:spacing w:val="0"/>
          <w:position w:val="0"/>
          <w:sz w:val="24"/>
          <w:szCs w:val="24"/>
          <w:lang w:val="en-US" w:eastAsia="zh-CN"/>
        </w:rPr>
        <w:t>7</w:t>
      </w:r>
      <w:r>
        <w:rPr>
          <w:rFonts w:hint="eastAsia" w:ascii="Times New Roman" w:hAnsi="Times New Roman"/>
          <w:b/>
          <w:bCs/>
          <w:spacing w:val="0"/>
          <w:position w:val="0"/>
          <w:sz w:val="24"/>
          <w:szCs w:val="24"/>
          <w:lang w:val="en-US" w:eastAsia="zh-CN"/>
        </w:rPr>
        <w:t>-1评价技术路线图</w:t>
      </w:r>
    </w:p>
    <w:p>
      <w:pPr>
        <w:rPr>
          <w:rFonts w:hint="eastAsia"/>
          <w:b/>
          <w:bCs/>
          <w:spacing w:val="0"/>
          <w:position w:val="0"/>
          <w:sz w:val="36"/>
          <w:szCs w:val="36"/>
        </w:rPr>
      </w:pPr>
      <w:r>
        <w:rPr>
          <w:rFonts w:hint="eastAsia"/>
          <w:b/>
          <w:bCs/>
          <w:spacing w:val="0"/>
          <w:position w:val="0"/>
          <w:sz w:val="36"/>
          <w:szCs w:val="36"/>
        </w:rPr>
        <w:br w:type="page"/>
      </w:r>
    </w:p>
    <w:p>
      <w:pPr>
        <w:adjustRightInd w:val="0"/>
        <w:snapToGrid w:val="0"/>
        <w:spacing w:before="156" w:beforeLines="50" w:after="156" w:afterLines="50" w:line="360" w:lineRule="auto"/>
        <w:jc w:val="center"/>
        <w:outlineLvl w:val="0"/>
        <w:rPr>
          <w:b/>
          <w:bCs/>
          <w:spacing w:val="0"/>
          <w:position w:val="0"/>
          <w:sz w:val="36"/>
          <w:szCs w:val="36"/>
        </w:rPr>
      </w:pPr>
      <w:r>
        <w:rPr>
          <w:rFonts w:hint="eastAsia"/>
          <w:b/>
          <w:bCs/>
          <w:spacing w:val="0"/>
          <w:position w:val="0"/>
          <w:sz w:val="36"/>
          <w:szCs w:val="36"/>
        </w:rPr>
        <w:t>3建设项目工程分析</w:t>
      </w:r>
    </w:p>
    <w:p>
      <w:pPr>
        <w:adjustRightInd w:val="0"/>
        <w:snapToGrid w:val="0"/>
        <w:spacing w:line="360" w:lineRule="auto"/>
        <w:jc w:val="left"/>
        <w:outlineLvl w:val="1"/>
        <w:rPr>
          <w:rFonts w:ascii="宋体" w:hAnsi="宋体" w:cs="宋体"/>
          <w:b/>
          <w:bCs/>
          <w:spacing w:val="0"/>
          <w:position w:val="0"/>
          <w:sz w:val="30"/>
          <w:szCs w:val="30"/>
        </w:rPr>
      </w:pPr>
      <w:r>
        <w:rPr>
          <w:b/>
          <w:bCs/>
          <w:spacing w:val="0"/>
          <w:position w:val="0"/>
          <w:sz w:val="30"/>
          <w:szCs w:val="30"/>
        </w:rPr>
        <w:t>3.1</w:t>
      </w:r>
      <w:r>
        <w:rPr>
          <w:rFonts w:hint="eastAsia" w:ascii="宋体" w:hAnsi="宋体" w:cs="宋体"/>
          <w:b/>
          <w:bCs/>
          <w:spacing w:val="0"/>
          <w:position w:val="0"/>
          <w:sz w:val="30"/>
          <w:szCs w:val="30"/>
        </w:rPr>
        <w:t>工程概况</w:t>
      </w:r>
    </w:p>
    <w:p>
      <w:pPr>
        <w:adjustRightInd w:val="0"/>
        <w:snapToGrid w:val="0"/>
        <w:spacing w:line="360" w:lineRule="auto"/>
        <w:outlineLvl w:val="2"/>
        <w:rPr>
          <w:b/>
          <w:bCs/>
          <w:spacing w:val="0"/>
          <w:position w:val="0"/>
          <w:sz w:val="28"/>
          <w:szCs w:val="28"/>
        </w:rPr>
      </w:pPr>
      <w:r>
        <w:rPr>
          <w:b/>
          <w:bCs/>
          <w:spacing w:val="0"/>
          <w:position w:val="0"/>
          <w:sz w:val="28"/>
          <w:szCs w:val="28"/>
        </w:rPr>
        <w:t>3.1.1</w:t>
      </w:r>
      <w:r>
        <w:rPr>
          <w:rFonts w:hint="eastAsia"/>
          <w:b/>
          <w:bCs/>
          <w:spacing w:val="0"/>
          <w:position w:val="0"/>
          <w:sz w:val="28"/>
          <w:szCs w:val="28"/>
        </w:rPr>
        <w:t>项目基本情况</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（1）项目名称：福建悦聚科技有限公司智能化高档纺织面料生产项目</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（2）建设单位：福建悦聚科技有限公司</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（3）建设地点：福建省福州市连江县坑园镇（连江可门经济开发区内的可门绿色纺织产业园区一期内5号地块）</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（4）建设性质：新建</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（5）总投资：项目总投资51925.4万元，其中建设投资45605.5万元、建设期利息1407.86万元；流动资金4912.04万元。</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（6）占地面积：40000m</w:t>
      </w:r>
      <w:r>
        <w:rPr>
          <w:rFonts w:hint="eastAsia"/>
          <w:spacing w:val="0"/>
          <w:position w:val="0"/>
          <w:sz w:val="24"/>
          <w:szCs w:val="24"/>
          <w:vertAlign w:val="superscript"/>
        </w:rPr>
        <w:t>2</w:t>
      </w:r>
      <w:r>
        <w:rPr>
          <w:rFonts w:hint="eastAsia"/>
          <w:spacing w:val="0"/>
          <w:position w:val="0"/>
          <w:sz w:val="24"/>
          <w:szCs w:val="24"/>
        </w:rPr>
        <w:t>（60.00亩）</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（7）劳动定员及生产制度：项目劳动定员259人，生产线每天三班制，24小时连续生产，年生产时间330天。</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（8）建设内容：建设1栋生产厂房</w:t>
      </w:r>
      <w:r>
        <w:rPr>
          <w:rFonts w:hint="eastAsia"/>
          <w:spacing w:val="0"/>
          <w:position w:val="0"/>
          <w:sz w:val="24"/>
          <w:szCs w:val="24"/>
          <w:lang w:eastAsia="zh-CN"/>
        </w:rPr>
        <w:t>、</w:t>
      </w:r>
      <w:r>
        <w:rPr>
          <w:rFonts w:hint="eastAsia"/>
          <w:spacing w:val="0"/>
          <w:position w:val="0"/>
          <w:sz w:val="24"/>
          <w:szCs w:val="24"/>
          <w:lang w:val="en-US" w:eastAsia="zh-CN"/>
        </w:rPr>
        <w:t>2栋</w:t>
      </w:r>
      <w:r>
        <w:rPr>
          <w:rFonts w:hint="eastAsia"/>
          <w:spacing w:val="0"/>
          <w:position w:val="0"/>
          <w:sz w:val="24"/>
          <w:szCs w:val="24"/>
        </w:rPr>
        <w:t>办公楼</w:t>
      </w:r>
      <w:r>
        <w:rPr>
          <w:rFonts w:hint="eastAsia"/>
          <w:spacing w:val="0"/>
          <w:position w:val="0"/>
          <w:sz w:val="24"/>
          <w:szCs w:val="24"/>
          <w:lang w:eastAsia="zh-CN"/>
        </w:rPr>
        <w:t>、</w:t>
      </w:r>
      <w:r>
        <w:rPr>
          <w:rFonts w:hint="eastAsia"/>
          <w:spacing w:val="0"/>
          <w:position w:val="0"/>
          <w:sz w:val="24"/>
          <w:szCs w:val="24"/>
          <w:lang w:val="en-US" w:eastAsia="zh-CN"/>
        </w:rPr>
        <w:t>1栋</w:t>
      </w:r>
      <w:r>
        <w:rPr>
          <w:rFonts w:hint="eastAsia"/>
          <w:spacing w:val="0"/>
          <w:position w:val="0"/>
          <w:sz w:val="24"/>
          <w:szCs w:val="24"/>
        </w:rPr>
        <w:t>机修车间</w:t>
      </w:r>
      <w:r>
        <w:rPr>
          <w:rFonts w:hint="eastAsia"/>
          <w:spacing w:val="0"/>
          <w:position w:val="0"/>
          <w:sz w:val="24"/>
          <w:szCs w:val="24"/>
          <w:lang w:eastAsia="zh-CN"/>
        </w:rPr>
        <w:t>、</w:t>
      </w:r>
      <w:r>
        <w:rPr>
          <w:rFonts w:hint="eastAsia"/>
          <w:spacing w:val="0"/>
          <w:position w:val="0"/>
          <w:sz w:val="24"/>
          <w:szCs w:val="24"/>
          <w:lang w:val="en-US" w:eastAsia="zh-CN"/>
        </w:rPr>
        <w:t>1栋</w:t>
      </w:r>
      <w:r>
        <w:rPr>
          <w:rFonts w:hint="eastAsia"/>
          <w:spacing w:val="0"/>
          <w:position w:val="0"/>
          <w:sz w:val="24"/>
          <w:szCs w:val="24"/>
        </w:rPr>
        <w:t>门卫，配套建设给排水、消防工程</w:t>
      </w:r>
      <w:r>
        <w:rPr>
          <w:rFonts w:hint="eastAsia"/>
          <w:spacing w:val="0"/>
          <w:position w:val="0"/>
          <w:sz w:val="24"/>
          <w:szCs w:val="24"/>
          <w:lang w:eastAsia="zh-CN"/>
        </w:rPr>
        <w:t>，</w:t>
      </w:r>
      <w:r>
        <w:rPr>
          <w:rFonts w:hint="eastAsia"/>
          <w:spacing w:val="0"/>
          <w:position w:val="0"/>
          <w:sz w:val="24"/>
          <w:szCs w:val="24"/>
        </w:rPr>
        <w:t>供电工程</w:t>
      </w:r>
      <w:r>
        <w:rPr>
          <w:rFonts w:hint="eastAsia"/>
          <w:spacing w:val="0"/>
          <w:position w:val="0"/>
          <w:sz w:val="24"/>
          <w:szCs w:val="24"/>
          <w:lang w:eastAsia="zh-CN"/>
        </w:rPr>
        <w:t>，</w:t>
      </w:r>
      <w:r>
        <w:rPr>
          <w:rFonts w:hint="eastAsia"/>
          <w:spacing w:val="0"/>
          <w:position w:val="0"/>
          <w:sz w:val="24"/>
          <w:szCs w:val="24"/>
        </w:rPr>
        <w:t>绿化、围墙、道路等工程，购置先进的整经机、经编机、印染机和定型机</w:t>
      </w:r>
      <w:r>
        <w:rPr>
          <w:rFonts w:hint="eastAsia"/>
          <w:spacing w:val="0"/>
          <w:position w:val="0"/>
          <w:sz w:val="24"/>
          <w:szCs w:val="24"/>
          <w:lang w:val="en-US" w:eastAsia="zh-CN"/>
        </w:rPr>
        <w:t>等</w:t>
      </w:r>
      <w:r>
        <w:rPr>
          <w:rFonts w:hint="eastAsia"/>
          <w:spacing w:val="0"/>
          <w:position w:val="0"/>
          <w:sz w:val="24"/>
          <w:szCs w:val="24"/>
        </w:rPr>
        <w:t>生产设备；形成年织造1.95万吨针织坯布（原料中的锦纶、氨纶、FDY涤纶长丝均外购）、年染整1.95万吨针织坯布（全部为本项目织造的坯布）、年加工处理4500吨印花面料（全部为本项目织造的坯布）的生产能力，并配套相应的污染治理设施。</w:t>
      </w:r>
    </w:p>
    <w:p>
      <w:pPr>
        <w:adjustRightInd w:val="0"/>
        <w:snapToGrid w:val="0"/>
        <w:spacing w:line="360" w:lineRule="auto"/>
        <w:outlineLvl w:val="2"/>
        <w:rPr>
          <w:b/>
          <w:bCs/>
          <w:spacing w:val="0"/>
          <w:position w:val="0"/>
          <w:sz w:val="28"/>
          <w:szCs w:val="28"/>
        </w:rPr>
      </w:pPr>
      <w:r>
        <w:rPr>
          <w:b/>
          <w:bCs/>
          <w:spacing w:val="0"/>
          <w:position w:val="0"/>
          <w:sz w:val="28"/>
          <w:szCs w:val="28"/>
        </w:rPr>
        <w:t>3.1.</w:t>
      </w:r>
      <w:r>
        <w:rPr>
          <w:rFonts w:hint="eastAsia"/>
          <w:b/>
          <w:bCs/>
          <w:spacing w:val="0"/>
          <w:position w:val="0"/>
          <w:sz w:val="28"/>
          <w:szCs w:val="28"/>
        </w:rPr>
        <w:t>2建设规模及产品方案</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本项目织造生产线设计生产能力为：年产19500吨针织坯布；染整生产线设计生产能力为：年处理19500吨针织坯布；印花生产线设计生产能力为：年</w:t>
      </w:r>
      <w:r>
        <w:rPr>
          <w:rFonts w:hint="eastAsia"/>
          <w:spacing w:val="0"/>
          <w:position w:val="0"/>
          <w:sz w:val="24"/>
          <w:szCs w:val="24"/>
          <w:lang w:val="en-US" w:eastAsia="zh-CN"/>
        </w:rPr>
        <w:t>处理</w:t>
      </w:r>
      <w:r>
        <w:rPr>
          <w:rFonts w:hint="eastAsia"/>
          <w:spacing w:val="0"/>
          <w:position w:val="0"/>
          <w:sz w:val="24"/>
          <w:szCs w:val="24"/>
        </w:rPr>
        <w:t>印花面料4500吨。具体如表3.1-1所示。</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bCs/>
          <w:spacing w:val="0"/>
          <w:position w:val="0"/>
          <w:sz w:val="24"/>
          <w:szCs w:val="24"/>
        </w:rPr>
      </w:pPr>
      <w:r>
        <w:rPr>
          <w:rFonts w:hint="eastAsia"/>
          <w:b/>
          <w:bCs/>
          <w:spacing w:val="0"/>
          <w:position w:val="0"/>
          <w:sz w:val="24"/>
          <w:szCs w:val="24"/>
        </w:rPr>
        <w:t>表3.1-1本项目主要生产线及产能（t/a）</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71"/>
        <w:gridCol w:w="2604"/>
        <w:gridCol w:w="1762"/>
        <w:gridCol w:w="788"/>
        <w:gridCol w:w="2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eastAsia" w:eastAsia="宋体"/>
                <w:b/>
                <w:bCs/>
                <w:spacing w:val="0"/>
                <w:position w:val="0"/>
                <w:szCs w:val="21"/>
                <w:lang w:eastAsia="zh-CN"/>
              </w:rPr>
            </w:pPr>
            <w:r>
              <w:rPr>
                <w:rFonts w:hint="eastAsia"/>
                <w:b/>
                <w:bCs/>
                <w:spacing w:val="0"/>
                <w:position w:val="0"/>
                <w:szCs w:val="21"/>
                <w:lang w:eastAsia="zh-CN"/>
              </w:rPr>
              <w:t>序号</w:t>
            </w:r>
          </w:p>
        </w:tc>
        <w:tc>
          <w:tcPr>
            <w:tcW w:w="3675" w:type="dxa"/>
            <w:gridSpan w:val="2"/>
            <w:tcBorders>
              <w:tl2br w:val="nil"/>
              <w:tr2bl w:val="nil"/>
            </w:tcBorders>
            <w:vAlign w:val="center"/>
          </w:tcPr>
          <w:p>
            <w:pPr>
              <w:widowControl/>
              <w:adjustRightInd w:val="0"/>
              <w:snapToGrid w:val="0"/>
              <w:jc w:val="center"/>
              <w:rPr>
                <w:rFonts w:hint="eastAsia"/>
                <w:b/>
                <w:bCs/>
                <w:spacing w:val="0"/>
                <w:position w:val="0"/>
                <w:szCs w:val="21"/>
              </w:rPr>
            </w:pPr>
            <w:r>
              <w:rPr>
                <w:rFonts w:hint="eastAsia"/>
                <w:b/>
                <w:bCs/>
                <w:spacing w:val="0"/>
                <w:position w:val="0"/>
                <w:szCs w:val="21"/>
                <w:lang w:eastAsia="zh-CN"/>
              </w:rPr>
              <w:t>产品简称</w:t>
            </w:r>
            <w:r>
              <w:rPr>
                <w:rFonts w:hint="eastAsia"/>
                <w:b/>
                <w:bCs/>
                <w:spacing w:val="0"/>
                <w:position w:val="0"/>
                <w:szCs w:val="21"/>
                <w:lang w:val="en-US" w:eastAsia="zh-CN"/>
              </w:rPr>
              <w:t>/产品</w:t>
            </w:r>
            <w:r>
              <w:rPr>
                <w:rFonts w:hint="eastAsia"/>
                <w:b/>
                <w:bCs/>
                <w:spacing w:val="0"/>
                <w:position w:val="0"/>
                <w:szCs w:val="21"/>
              </w:rPr>
              <w:t>名称</w:t>
            </w:r>
          </w:p>
        </w:tc>
        <w:tc>
          <w:tcPr>
            <w:tcW w:w="1762" w:type="dxa"/>
            <w:tcBorders>
              <w:tl2br w:val="nil"/>
              <w:tr2bl w:val="nil"/>
            </w:tcBorders>
            <w:vAlign w:val="center"/>
          </w:tcPr>
          <w:p>
            <w:pPr>
              <w:widowControl/>
              <w:adjustRightInd w:val="0"/>
              <w:snapToGrid w:val="0"/>
              <w:jc w:val="center"/>
              <w:rPr>
                <w:rFonts w:hint="eastAsia" w:eastAsia="宋体"/>
                <w:b/>
                <w:bCs/>
                <w:spacing w:val="0"/>
                <w:position w:val="0"/>
                <w:szCs w:val="21"/>
                <w:lang w:eastAsia="zh-CN"/>
              </w:rPr>
            </w:pPr>
            <w:r>
              <w:rPr>
                <w:rFonts w:hint="eastAsia" w:eastAsia="宋体"/>
                <w:b/>
                <w:bCs/>
                <w:spacing w:val="0"/>
                <w:position w:val="0"/>
                <w:szCs w:val="21"/>
                <w:lang w:eastAsia="zh-CN"/>
              </w:rPr>
              <w:t>成分</w:t>
            </w:r>
          </w:p>
        </w:tc>
        <w:tc>
          <w:tcPr>
            <w:tcW w:w="78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产能</w:t>
            </w:r>
          </w:p>
        </w:tc>
        <w:tc>
          <w:tcPr>
            <w:tcW w:w="203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eastAsia="zh-CN"/>
              </w:rPr>
              <w:t>一</w:t>
            </w:r>
          </w:p>
        </w:tc>
        <w:tc>
          <w:tcPr>
            <w:tcW w:w="5437" w:type="dxa"/>
            <w:gridSpan w:val="3"/>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rPr>
              <w:t>织造生产线</w:t>
            </w:r>
          </w:p>
        </w:tc>
        <w:tc>
          <w:tcPr>
            <w:tcW w:w="788"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eastAsia="宋体"/>
                <w:spacing w:val="0"/>
                <w:position w:val="0"/>
                <w:szCs w:val="21"/>
                <w:lang w:val="en-US" w:eastAsia="zh-CN"/>
              </w:rPr>
              <w:t>19500</w:t>
            </w:r>
          </w:p>
        </w:tc>
        <w:tc>
          <w:tcPr>
            <w:tcW w:w="203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1</w:t>
            </w:r>
          </w:p>
        </w:tc>
        <w:tc>
          <w:tcPr>
            <w:tcW w:w="1071" w:type="dxa"/>
            <w:vMerge w:val="restart"/>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eastAsia="宋体"/>
                <w:spacing w:val="0"/>
                <w:position w:val="0"/>
                <w:szCs w:val="21"/>
                <w:lang w:eastAsia="zh-CN"/>
              </w:rPr>
              <w:t>针织坯布</w:t>
            </w:r>
          </w:p>
        </w:tc>
        <w:tc>
          <w:tcPr>
            <w:tcW w:w="2604" w:type="dxa"/>
            <w:tcBorders>
              <w:tl2br w:val="nil"/>
              <w:tr2bl w:val="nil"/>
            </w:tcBorders>
            <w:vAlign w:val="center"/>
          </w:tcPr>
          <w:p>
            <w:pPr>
              <w:widowControl/>
              <w:adjustRightInd w:val="0"/>
              <w:snapToGrid w:val="0"/>
              <w:jc w:val="center"/>
              <w:rPr>
                <w:rFonts w:hint="eastAsia"/>
                <w:spacing w:val="0"/>
                <w:position w:val="0"/>
                <w:szCs w:val="21"/>
                <w:lang w:eastAsia="zh-CN"/>
              </w:rPr>
            </w:pPr>
            <w:r>
              <w:rPr>
                <w:rFonts w:hint="eastAsia"/>
                <w:spacing w:val="0"/>
                <w:position w:val="0"/>
                <w:szCs w:val="21"/>
                <w:lang w:eastAsia="zh-CN"/>
              </w:rPr>
              <w:t>泳装服饰面料</w:t>
            </w:r>
          </w:p>
        </w:tc>
        <w:tc>
          <w:tcPr>
            <w:tcW w:w="176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eastAsia="宋体"/>
                <w:spacing w:val="0"/>
                <w:position w:val="0"/>
                <w:szCs w:val="21"/>
                <w:lang w:val="en-US" w:eastAsia="zh-CN"/>
              </w:rPr>
              <w:t>锦纶：氨纶=75:25</w:t>
            </w:r>
          </w:p>
        </w:tc>
        <w:tc>
          <w:tcPr>
            <w:tcW w:w="788"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12000</w:t>
            </w:r>
          </w:p>
        </w:tc>
        <w:tc>
          <w:tcPr>
            <w:tcW w:w="2030" w:type="dxa"/>
            <w:vMerge w:val="restart"/>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rPr>
              <w:t>全部自用于染</w:t>
            </w:r>
            <w:r>
              <w:rPr>
                <w:rFonts w:hint="eastAsia"/>
                <w:spacing w:val="0"/>
                <w:position w:val="0"/>
                <w:szCs w:val="21"/>
                <w:lang w:eastAsia="zh-CN"/>
              </w:rPr>
              <w:t>整生产线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2</w:t>
            </w:r>
          </w:p>
        </w:tc>
        <w:tc>
          <w:tcPr>
            <w:tcW w:w="1071" w:type="dxa"/>
            <w:vMerge w:val="continue"/>
            <w:tcBorders>
              <w:tl2br w:val="nil"/>
              <w:tr2bl w:val="nil"/>
            </w:tcBorders>
            <w:vAlign w:val="center"/>
          </w:tcPr>
          <w:p>
            <w:pPr>
              <w:widowControl/>
              <w:adjustRightInd w:val="0"/>
              <w:snapToGrid w:val="0"/>
              <w:jc w:val="center"/>
              <w:rPr>
                <w:rFonts w:hint="eastAsia"/>
                <w:spacing w:val="0"/>
                <w:position w:val="0"/>
                <w:szCs w:val="21"/>
                <w:lang w:eastAsia="zh-CN"/>
              </w:rPr>
            </w:pPr>
          </w:p>
        </w:tc>
        <w:tc>
          <w:tcPr>
            <w:tcW w:w="2604" w:type="dxa"/>
            <w:tcBorders>
              <w:tl2br w:val="nil"/>
              <w:tr2bl w:val="nil"/>
            </w:tcBorders>
            <w:vAlign w:val="center"/>
          </w:tcPr>
          <w:p>
            <w:pPr>
              <w:widowControl/>
              <w:adjustRightInd w:val="0"/>
              <w:snapToGrid w:val="0"/>
              <w:jc w:val="center"/>
              <w:rPr>
                <w:rFonts w:hint="eastAsia"/>
                <w:spacing w:val="0"/>
                <w:position w:val="0"/>
                <w:szCs w:val="21"/>
              </w:rPr>
            </w:pPr>
            <w:r>
              <w:rPr>
                <w:rFonts w:hint="eastAsia"/>
                <w:spacing w:val="0"/>
                <w:position w:val="0"/>
                <w:szCs w:val="21"/>
              </w:rPr>
              <w:t>运动休闲功能服饰面料</w:t>
            </w:r>
          </w:p>
        </w:tc>
        <w:tc>
          <w:tcPr>
            <w:tcW w:w="1762"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涤纶：氨纶=75:25</w:t>
            </w:r>
          </w:p>
        </w:tc>
        <w:tc>
          <w:tcPr>
            <w:tcW w:w="788"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7500</w:t>
            </w:r>
          </w:p>
        </w:tc>
        <w:tc>
          <w:tcPr>
            <w:tcW w:w="2030" w:type="dxa"/>
            <w:vMerge w:val="continue"/>
            <w:tcBorders>
              <w:tl2br w:val="nil"/>
              <w:tr2bl w:val="nil"/>
            </w:tcBorders>
            <w:vAlign w:val="center"/>
          </w:tcPr>
          <w:p>
            <w:pPr>
              <w:widowControl/>
              <w:adjustRightInd w:val="0"/>
              <w:snapToGrid w:val="0"/>
              <w:jc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eastAsia="zh-CN"/>
              </w:rPr>
              <w:t>二</w:t>
            </w:r>
          </w:p>
        </w:tc>
        <w:tc>
          <w:tcPr>
            <w:tcW w:w="5437" w:type="dxa"/>
            <w:gridSpan w:val="3"/>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染整生产线</w:t>
            </w:r>
          </w:p>
        </w:tc>
        <w:tc>
          <w:tcPr>
            <w:tcW w:w="788"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eastAsia="宋体"/>
                <w:spacing w:val="0"/>
                <w:position w:val="0"/>
                <w:szCs w:val="21"/>
                <w:lang w:val="en-US" w:eastAsia="zh-CN"/>
              </w:rPr>
              <w:t>19500</w:t>
            </w:r>
          </w:p>
        </w:tc>
        <w:tc>
          <w:tcPr>
            <w:tcW w:w="2030" w:type="dxa"/>
            <w:tcBorders>
              <w:tl2br w:val="nil"/>
              <w:tr2bl w:val="nil"/>
            </w:tcBorders>
            <w:vAlign w:val="center"/>
          </w:tcPr>
          <w:p>
            <w:pPr>
              <w:widowControl/>
              <w:adjustRightInd w:val="0"/>
              <w:snapToGrid w:val="0"/>
              <w:jc w:val="center"/>
              <w:rPr>
                <w:rFonts w:hint="eastAsia" w:eastAsia="宋体"/>
                <w:spacing w:val="0"/>
                <w:position w:val="0"/>
                <w:lang w:val="en-US" w:eastAsia="zh-CN"/>
              </w:rPr>
            </w:pPr>
            <w:r>
              <w:rPr>
                <w:rFonts w:hint="eastAsia"/>
                <w:spacing w:val="0"/>
                <w:position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1</w:t>
            </w:r>
          </w:p>
        </w:tc>
        <w:tc>
          <w:tcPr>
            <w:tcW w:w="1071" w:type="dxa"/>
            <w:vMerge w:val="restart"/>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eastAsia="zh-CN"/>
              </w:rPr>
              <w:t>染色针织坯布</w:t>
            </w:r>
          </w:p>
        </w:tc>
        <w:tc>
          <w:tcPr>
            <w:tcW w:w="2604" w:type="dxa"/>
            <w:tcBorders>
              <w:tl2br w:val="nil"/>
              <w:tr2bl w:val="nil"/>
            </w:tcBorders>
            <w:vAlign w:val="center"/>
          </w:tcPr>
          <w:p>
            <w:pPr>
              <w:widowControl/>
              <w:adjustRightInd w:val="0"/>
              <w:snapToGrid w:val="0"/>
              <w:jc w:val="center"/>
              <w:rPr>
                <w:rFonts w:hint="eastAsia"/>
                <w:spacing w:val="0"/>
                <w:position w:val="0"/>
                <w:szCs w:val="21"/>
                <w:lang w:eastAsia="zh-CN"/>
              </w:rPr>
            </w:pPr>
            <w:r>
              <w:rPr>
                <w:rFonts w:hint="eastAsia"/>
                <w:spacing w:val="0"/>
                <w:position w:val="0"/>
                <w:szCs w:val="21"/>
                <w:lang w:eastAsia="zh-CN"/>
              </w:rPr>
              <w:t>泳装服饰面料</w:t>
            </w:r>
          </w:p>
        </w:tc>
        <w:tc>
          <w:tcPr>
            <w:tcW w:w="1762" w:type="dxa"/>
            <w:tcBorders>
              <w:tl2br w:val="nil"/>
              <w:tr2bl w:val="nil"/>
            </w:tcBorders>
            <w:vAlign w:val="center"/>
          </w:tcPr>
          <w:p>
            <w:pPr>
              <w:widowControl/>
              <w:adjustRightInd w:val="0"/>
              <w:snapToGrid w:val="0"/>
              <w:jc w:val="center"/>
              <w:rPr>
                <w:rFonts w:hint="eastAsia"/>
                <w:spacing w:val="0"/>
                <w:position w:val="0"/>
                <w:szCs w:val="21"/>
              </w:rPr>
            </w:pPr>
            <w:r>
              <w:rPr>
                <w:rFonts w:hint="eastAsia" w:eastAsia="宋体"/>
                <w:spacing w:val="0"/>
                <w:position w:val="0"/>
                <w:szCs w:val="21"/>
                <w:lang w:val="en-US" w:eastAsia="zh-CN"/>
              </w:rPr>
              <w:t>锦纶：氨纶=75:25</w:t>
            </w:r>
          </w:p>
        </w:tc>
        <w:tc>
          <w:tcPr>
            <w:tcW w:w="788"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12000</w:t>
            </w:r>
          </w:p>
        </w:tc>
        <w:tc>
          <w:tcPr>
            <w:tcW w:w="2030" w:type="dxa"/>
            <w:tcBorders>
              <w:tl2br w:val="nil"/>
              <w:tr2bl w:val="nil"/>
            </w:tcBorders>
            <w:vAlign w:val="center"/>
          </w:tcPr>
          <w:p>
            <w:pPr>
              <w:widowControl/>
              <w:adjustRightInd w:val="0"/>
              <w:snapToGrid w:val="0"/>
              <w:jc w:val="center"/>
              <w:rPr>
                <w:rFonts w:hint="eastAsia"/>
                <w:spacing w:val="0"/>
                <w:position w:val="0"/>
                <w:szCs w:val="21"/>
              </w:rPr>
            </w:pPr>
            <w:r>
              <w:rPr>
                <w:rFonts w:hint="eastAsia"/>
                <w:spacing w:val="0"/>
                <w:position w:val="0"/>
                <w:szCs w:val="21"/>
              </w:rPr>
              <w:t>其中4500t用于印花</w:t>
            </w:r>
            <w:r>
              <w:rPr>
                <w:rFonts w:hint="eastAsia"/>
                <w:spacing w:val="0"/>
                <w:position w:val="0"/>
                <w:szCs w:val="21"/>
                <w:lang w:eastAsia="zh-CN"/>
              </w:rPr>
              <w:t>生产线</w:t>
            </w:r>
            <w:r>
              <w:rPr>
                <w:rFonts w:hint="eastAsia"/>
                <w:spacing w:val="0"/>
                <w:position w:val="0"/>
                <w:szCs w:val="21"/>
              </w:rPr>
              <w:t>，其余均外售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2</w:t>
            </w:r>
          </w:p>
        </w:tc>
        <w:tc>
          <w:tcPr>
            <w:tcW w:w="1071" w:type="dxa"/>
            <w:vMerge w:val="continue"/>
            <w:tcBorders>
              <w:tl2br w:val="nil"/>
              <w:tr2bl w:val="nil"/>
            </w:tcBorders>
            <w:vAlign w:val="center"/>
          </w:tcPr>
          <w:p>
            <w:pPr>
              <w:widowControl/>
              <w:adjustRightInd w:val="0"/>
              <w:snapToGrid w:val="0"/>
              <w:jc w:val="center"/>
              <w:rPr>
                <w:rFonts w:hint="eastAsia" w:eastAsia="宋体"/>
                <w:spacing w:val="0"/>
                <w:position w:val="0"/>
                <w:szCs w:val="21"/>
                <w:lang w:eastAsia="zh-CN"/>
              </w:rPr>
            </w:pPr>
          </w:p>
        </w:tc>
        <w:tc>
          <w:tcPr>
            <w:tcW w:w="2604" w:type="dxa"/>
            <w:tcBorders>
              <w:tl2br w:val="nil"/>
              <w:tr2bl w:val="nil"/>
            </w:tcBorders>
            <w:vAlign w:val="center"/>
          </w:tcPr>
          <w:p>
            <w:pPr>
              <w:widowControl/>
              <w:adjustRightInd w:val="0"/>
              <w:snapToGrid w:val="0"/>
              <w:jc w:val="center"/>
              <w:rPr>
                <w:rFonts w:hint="eastAsia"/>
                <w:spacing w:val="0"/>
                <w:position w:val="0"/>
                <w:szCs w:val="21"/>
              </w:rPr>
            </w:pPr>
            <w:r>
              <w:rPr>
                <w:rFonts w:hint="eastAsia"/>
                <w:spacing w:val="0"/>
                <w:position w:val="0"/>
                <w:szCs w:val="21"/>
              </w:rPr>
              <w:t>运动休闲功能服饰面料</w:t>
            </w:r>
          </w:p>
        </w:tc>
        <w:tc>
          <w:tcPr>
            <w:tcW w:w="1762" w:type="dxa"/>
            <w:tcBorders>
              <w:tl2br w:val="nil"/>
              <w:tr2bl w:val="nil"/>
            </w:tcBorders>
            <w:vAlign w:val="center"/>
          </w:tcPr>
          <w:p>
            <w:pPr>
              <w:widowControl/>
              <w:adjustRightInd w:val="0"/>
              <w:snapToGrid w:val="0"/>
              <w:jc w:val="center"/>
              <w:rPr>
                <w:rFonts w:hint="eastAsia"/>
                <w:spacing w:val="0"/>
                <w:position w:val="0"/>
                <w:szCs w:val="21"/>
                <w:lang w:val="en-US" w:eastAsia="zh-CN"/>
              </w:rPr>
            </w:pPr>
            <w:r>
              <w:rPr>
                <w:rFonts w:hint="eastAsia"/>
                <w:spacing w:val="0"/>
                <w:position w:val="0"/>
                <w:szCs w:val="21"/>
                <w:lang w:val="en-US" w:eastAsia="zh-CN"/>
              </w:rPr>
              <w:t>涤纶：氨纶=75:25</w:t>
            </w:r>
          </w:p>
        </w:tc>
        <w:tc>
          <w:tcPr>
            <w:tcW w:w="788"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7500</w:t>
            </w:r>
          </w:p>
        </w:tc>
        <w:tc>
          <w:tcPr>
            <w:tcW w:w="2030"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eastAsia="zh-CN"/>
              </w:rPr>
              <w:t>全部外售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eastAsia="zh-CN"/>
              </w:rPr>
              <w:t>三</w:t>
            </w:r>
          </w:p>
        </w:tc>
        <w:tc>
          <w:tcPr>
            <w:tcW w:w="5437" w:type="dxa"/>
            <w:gridSpan w:val="3"/>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印花生产线</w:t>
            </w:r>
          </w:p>
        </w:tc>
        <w:tc>
          <w:tcPr>
            <w:tcW w:w="788"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eastAsia="宋体"/>
                <w:spacing w:val="0"/>
                <w:position w:val="0"/>
                <w:szCs w:val="21"/>
                <w:lang w:val="en-US" w:eastAsia="zh-CN"/>
              </w:rPr>
              <w:t>4500</w:t>
            </w:r>
          </w:p>
        </w:tc>
        <w:tc>
          <w:tcPr>
            <w:tcW w:w="203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val="en-US" w:eastAsia="zh-CN"/>
              </w:rPr>
              <w:t>1</w:t>
            </w:r>
          </w:p>
        </w:tc>
        <w:tc>
          <w:tcPr>
            <w:tcW w:w="1071"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eastAsia="宋体"/>
                <w:spacing w:val="0"/>
                <w:position w:val="0"/>
                <w:szCs w:val="21"/>
                <w:lang w:eastAsia="zh-CN"/>
              </w:rPr>
              <w:t>印花面料</w:t>
            </w:r>
          </w:p>
        </w:tc>
        <w:tc>
          <w:tcPr>
            <w:tcW w:w="2604" w:type="dxa"/>
            <w:tcBorders>
              <w:tl2br w:val="nil"/>
              <w:tr2bl w:val="nil"/>
            </w:tcBorders>
            <w:vAlign w:val="center"/>
          </w:tcPr>
          <w:p>
            <w:pPr>
              <w:widowControl/>
              <w:adjustRightInd w:val="0"/>
              <w:snapToGrid w:val="0"/>
              <w:jc w:val="center"/>
              <w:rPr>
                <w:rFonts w:hint="eastAsia"/>
                <w:spacing w:val="0"/>
                <w:position w:val="0"/>
                <w:szCs w:val="21"/>
                <w:lang w:eastAsia="zh-CN"/>
              </w:rPr>
            </w:pPr>
            <w:r>
              <w:rPr>
                <w:rFonts w:hint="eastAsia"/>
                <w:spacing w:val="0"/>
                <w:position w:val="0"/>
                <w:szCs w:val="21"/>
                <w:lang w:eastAsia="zh-CN"/>
              </w:rPr>
              <w:t>泳装服饰面料</w:t>
            </w:r>
          </w:p>
        </w:tc>
        <w:tc>
          <w:tcPr>
            <w:tcW w:w="1762" w:type="dxa"/>
            <w:tcBorders>
              <w:tl2br w:val="nil"/>
              <w:tr2bl w:val="nil"/>
            </w:tcBorders>
            <w:vAlign w:val="center"/>
          </w:tcPr>
          <w:p>
            <w:pPr>
              <w:widowControl/>
              <w:adjustRightInd w:val="0"/>
              <w:snapToGrid w:val="0"/>
              <w:jc w:val="center"/>
              <w:rPr>
                <w:rFonts w:hint="eastAsia"/>
                <w:spacing w:val="0"/>
                <w:position w:val="0"/>
                <w:szCs w:val="21"/>
              </w:rPr>
            </w:pPr>
            <w:r>
              <w:rPr>
                <w:rFonts w:hint="eastAsia" w:eastAsia="宋体"/>
                <w:spacing w:val="0"/>
                <w:position w:val="0"/>
                <w:szCs w:val="21"/>
                <w:lang w:val="en-US" w:eastAsia="zh-CN"/>
              </w:rPr>
              <w:t>锦纶：氨纶=75:25</w:t>
            </w:r>
          </w:p>
        </w:tc>
        <w:tc>
          <w:tcPr>
            <w:tcW w:w="788" w:type="dxa"/>
            <w:tcBorders>
              <w:tl2br w:val="nil"/>
              <w:tr2bl w:val="nil"/>
            </w:tcBorders>
            <w:vAlign w:val="center"/>
          </w:tcPr>
          <w:p>
            <w:pPr>
              <w:widowControl/>
              <w:adjustRightInd w:val="0"/>
              <w:snapToGrid w:val="0"/>
              <w:jc w:val="center"/>
              <w:rPr>
                <w:rFonts w:hint="eastAsia"/>
                <w:spacing w:val="0"/>
                <w:position w:val="0"/>
                <w:szCs w:val="21"/>
                <w:lang w:val="en-US" w:eastAsia="zh-CN"/>
              </w:rPr>
            </w:pPr>
            <w:r>
              <w:rPr>
                <w:rFonts w:hint="eastAsia"/>
                <w:spacing w:val="0"/>
                <w:position w:val="0"/>
                <w:szCs w:val="21"/>
                <w:lang w:val="en-US" w:eastAsia="zh-CN"/>
              </w:rPr>
              <w:t>4500</w:t>
            </w:r>
          </w:p>
        </w:tc>
        <w:tc>
          <w:tcPr>
            <w:tcW w:w="2030" w:type="dxa"/>
            <w:tcBorders>
              <w:tl2br w:val="nil"/>
              <w:tr2bl w:val="nil"/>
            </w:tcBorders>
            <w:vAlign w:val="center"/>
          </w:tcPr>
          <w:p>
            <w:pPr>
              <w:widowControl/>
              <w:adjustRightInd w:val="0"/>
              <w:snapToGrid w:val="0"/>
              <w:jc w:val="center"/>
              <w:rPr>
                <w:rFonts w:hint="eastAsia"/>
                <w:spacing w:val="0"/>
                <w:position w:val="0"/>
                <w:szCs w:val="21"/>
              </w:rPr>
            </w:pPr>
            <w:r>
              <w:rPr>
                <w:rFonts w:hint="eastAsia"/>
                <w:spacing w:val="0"/>
                <w:position w:val="0"/>
                <w:szCs w:val="21"/>
              </w:rPr>
              <w:t>全部外售</w:t>
            </w:r>
          </w:p>
        </w:tc>
      </w:tr>
    </w:tbl>
    <w:p>
      <w:pPr>
        <w:adjustRightInd w:val="0"/>
        <w:snapToGrid w:val="0"/>
        <w:spacing w:line="360" w:lineRule="auto"/>
        <w:outlineLvl w:val="2"/>
        <w:rPr>
          <w:b/>
          <w:bCs/>
          <w:spacing w:val="0"/>
          <w:position w:val="0"/>
          <w:sz w:val="28"/>
          <w:szCs w:val="28"/>
        </w:rPr>
      </w:pPr>
      <w:r>
        <w:rPr>
          <w:rFonts w:hint="eastAsia"/>
          <w:b/>
          <w:bCs/>
          <w:spacing w:val="0"/>
          <w:position w:val="0"/>
          <w:sz w:val="28"/>
          <w:szCs w:val="28"/>
        </w:rPr>
        <w:t>3.1.3技术经济指标</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本项目用地总用地面积40000m</w:t>
      </w:r>
      <w:r>
        <w:rPr>
          <w:rFonts w:hint="eastAsia"/>
          <w:spacing w:val="0"/>
          <w:position w:val="0"/>
          <w:sz w:val="24"/>
          <w:szCs w:val="24"/>
          <w:vertAlign w:val="superscript"/>
        </w:rPr>
        <w:t>2</w:t>
      </w:r>
      <w:r>
        <w:rPr>
          <w:rFonts w:hint="eastAsia"/>
          <w:spacing w:val="0"/>
          <w:position w:val="0"/>
          <w:sz w:val="24"/>
          <w:szCs w:val="24"/>
        </w:rPr>
        <w:t>（共计60.00亩），总建筑面积109449.43m</w:t>
      </w:r>
      <w:r>
        <w:rPr>
          <w:rFonts w:hint="eastAsia"/>
          <w:spacing w:val="0"/>
          <w:position w:val="0"/>
          <w:sz w:val="24"/>
          <w:szCs w:val="24"/>
          <w:vertAlign w:val="superscript"/>
        </w:rPr>
        <w:t>2</w:t>
      </w:r>
      <w:r>
        <w:rPr>
          <w:rFonts w:hint="eastAsia"/>
          <w:spacing w:val="0"/>
          <w:position w:val="0"/>
          <w:sz w:val="24"/>
          <w:szCs w:val="24"/>
        </w:rPr>
        <w:t>，计容建筑面积104411.6m</w:t>
      </w:r>
      <w:r>
        <w:rPr>
          <w:rFonts w:hint="eastAsia"/>
          <w:spacing w:val="0"/>
          <w:position w:val="0"/>
          <w:sz w:val="24"/>
          <w:szCs w:val="24"/>
          <w:vertAlign w:val="superscript"/>
        </w:rPr>
        <w:t>2</w:t>
      </w:r>
      <w:r>
        <w:rPr>
          <w:rFonts w:hint="eastAsia"/>
          <w:spacing w:val="0"/>
          <w:position w:val="0"/>
          <w:sz w:val="24"/>
          <w:szCs w:val="24"/>
        </w:rPr>
        <w:t>，容积率2.61，绿化率15.1%，具体经济指标见表3.1-</w:t>
      </w:r>
      <w:r>
        <w:rPr>
          <w:rFonts w:hint="eastAsia"/>
          <w:spacing w:val="0"/>
          <w:position w:val="0"/>
          <w:sz w:val="24"/>
          <w:szCs w:val="24"/>
          <w:lang w:val="en-US" w:eastAsia="zh-CN"/>
        </w:rPr>
        <w:t>2</w:t>
      </w:r>
      <w:r>
        <w:rPr>
          <w:rFonts w:hint="eastAsia"/>
          <w:spacing w:val="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bCs/>
          <w:spacing w:val="0"/>
          <w:position w:val="0"/>
          <w:sz w:val="24"/>
          <w:szCs w:val="24"/>
        </w:rPr>
      </w:pPr>
      <w:r>
        <w:rPr>
          <w:rFonts w:hint="eastAsia"/>
          <w:b/>
          <w:bCs/>
          <w:spacing w:val="0"/>
          <w:position w:val="0"/>
          <w:sz w:val="24"/>
          <w:szCs w:val="24"/>
        </w:rPr>
        <w:t>表3.1-</w:t>
      </w:r>
      <w:r>
        <w:rPr>
          <w:rFonts w:hint="eastAsia"/>
          <w:b/>
          <w:bCs/>
          <w:spacing w:val="0"/>
          <w:position w:val="0"/>
          <w:sz w:val="24"/>
          <w:szCs w:val="24"/>
          <w:lang w:val="en-US" w:eastAsia="zh-CN"/>
        </w:rPr>
        <w:t>2</w:t>
      </w:r>
      <w:r>
        <w:rPr>
          <w:rFonts w:hint="eastAsia"/>
          <w:b/>
          <w:bCs/>
          <w:spacing w:val="0"/>
          <w:position w:val="0"/>
          <w:sz w:val="24"/>
          <w:szCs w:val="24"/>
        </w:rPr>
        <w:t>技术经济指标一览表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030"/>
        <w:gridCol w:w="1836"/>
        <w:gridCol w:w="1766"/>
        <w:gridCol w:w="1805"/>
        <w:gridCol w:w="1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序号</w:t>
            </w:r>
          </w:p>
        </w:tc>
        <w:tc>
          <w:tcPr>
            <w:tcW w:w="2991" w:type="dxa"/>
            <w:gridSpan w:val="2"/>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项目</w:t>
            </w:r>
          </w:p>
        </w:tc>
        <w:tc>
          <w:tcPr>
            <w:tcW w:w="184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单位</w:t>
            </w:r>
          </w:p>
        </w:tc>
        <w:tc>
          <w:tcPr>
            <w:tcW w:w="184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经济指标</w:t>
            </w:r>
          </w:p>
        </w:tc>
        <w:tc>
          <w:tcPr>
            <w:tcW w:w="184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用地面积</w:t>
            </w:r>
          </w:p>
        </w:tc>
        <w:tc>
          <w:tcPr>
            <w:tcW w:w="1848" w:type="dxa"/>
            <w:tcBorders>
              <w:tl2br w:val="nil"/>
              <w:tr2bl w:val="nil"/>
            </w:tcBorders>
            <w:vAlign w:val="center"/>
          </w:tcPr>
          <w:p>
            <w:pPr>
              <w:widowControl/>
              <w:adjustRightInd w:val="0"/>
              <w:snapToGrid w:val="0"/>
              <w:jc w:val="center"/>
              <w:rPr>
                <w:spacing w:val="0"/>
                <w:position w:val="0"/>
                <w:szCs w:val="21"/>
                <w:vertAlign w:val="superscript"/>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szCs w:val="21"/>
              </w:rPr>
              <w:t>40000.00</w:t>
            </w:r>
          </w:p>
        </w:tc>
        <w:tc>
          <w:tcPr>
            <w:tcW w:w="184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60.00亩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实际用地面积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szCs w:val="21"/>
              </w:rPr>
              <w:t>40000.00</w:t>
            </w:r>
          </w:p>
        </w:tc>
        <w:tc>
          <w:tcPr>
            <w:tcW w:w="1848"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建筑物占地面积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szCs w:val="21"/>
              </w:rPr>
              <w:t>24</w:t>
            </w:r>
            <w:r>
              <w:rPr>
                <w:rFonts w:hint="eastAsia"/>
                <w:color w:val="000000"/>
                <w:spacing w:val="0"/>
                <w:kern w:val="0"/>
                <w:position w:val="0"/>
                <w:szCs w:val="21"/>
                <w:lang w:val="en-US" w:eastAsia="zh-CN"/>
              </w:rPr>
              <w:t>598.92</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4</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总建筑面积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109449.43</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l2br w:val="nil"/>
              <w:tr2bl w:val="nil"/>
            </w:tcBorders>
            <w:vAlign w:val="center"/>
          </w:tcPr>
          <w:p>
            <w:pPr>
              <w:widowControl/>
              <w:adjustRightInd w:val="0"/>
              <w:snapToGrid w:val="0"/>
              <w:jc w:val="center"/>
              <w:rPr>
                <w:spacing w:val="0"/>
                <w:position w:val="0"/>
                <w:szCs w:val="21"/>
              </w:rPr>
            </w:pPr>
          </w:p>
        </w:tc>
        <w:tc>
          <w:tcPr>
            <w:tcW w:w="1067"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其中</w:t>
            </w:r>
          </w:p>
        </w:tc>
        <w:tc>
          <w:tcPr>
            <w:tcW w:w="1924" w:type="dxa"/>
            <w:tcBorders>
              <w:tl2br w:val="nil"/>
              <w:tr2bl w:val="nil"/>
            </w:tcBorders>
            <w:vAlign w:val="center"/>
          </w:tcPr>
          <w:p>
            <w:pPr>
              <w:widowControl/>
              <w:adjustRightInd w:val="0"/>
              <w:snapToGrid w:val="0"/>
              <w:jc w:val="center"/>
              <w:rPr>
                <w:rFonts w:ascii="宋体" w:hAnsi="宋体" w:cs="宋体"/>
                <w:color w:val="000000"/>
                <w:spacing w:val="0"/>
                <w:kern w:val="0"/>
                <w:position w:val="0"/>
                <w:szCs w:val="21"/>
              </w:rPr>
            </w:pPr>
            <w:r>
              <w:rPr>
                <w:rFonts w:hint="eastAsia" w:ascii="宋体" w:hAnsi="宋体" w:cs="宋体"/>
                <w:color w:val="000000"/>
                <w:spacing w:val="0"/>
                <w:kern w:val="0"/>
                <w:position w:val="0"/>
                <w:szCs w:val="21"/>
              </w:rPr>
              <w:t>地上建筑面积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r>
              <w:rPr>
                <w:rFonts w:hint="eastAsia"/>
                <w:spacing w:val="0"/>
                <w:position w:val="0"/>
                <w:szCs w:val="21"/>
                <w:lang w:val="en-US" w:eastAsia="zh-CN"/>
              </w:rPr>
              <w:t>04411.6</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l2br w:val="nil"/>
              <w:tr2bl w:val="nil"/>
            </w:tcBorders>
            <w:vAlign w:val="center"/>
          </w:tcPr>
          <w:p>
            <w:pPr>
              <w:widowControl/>
              <w:adjustRightInd w:val="0"/>
              <w:snapToGrid w:val="0"/>
              <w:jc w:val="center"/>
              <w:rPr>
                <w:spacing w:val="0"/>
                <w:position w:val="0"/>
                <w:szCs w:val="21"/>
              </w:rPr>
            </w:pPr>
          </w:p>
        </w:tc>
        <w:tc>
          <w:tcPr>
            <w:tcW w:w="1067" w:type="dxa"/>
            <w:vMerge w:val="continue"/>
            <w:tcBorders>
              <w:tl2br w:val="nil"/>
              <w:tr2bl w:val="nil"/>
            </w:tcBorders>
            <w:vAlign w:val="center"/>
          </w:tcPr>
          <w:p>
            <w:pPr>
              <w:widowControl/>
              <w:adjustRightInd w:val="0"/>
              <w:snapToGrid w:val="0"/>
              <w:jc w:val="center"/>
              <w:rPr>
                <w:spacing w:val="0"/>
                <w:position w:val="0"/>
                <w:szCs w:val="21"/>
              </w:rPr>
            </w:pPr>
          </w:p>
        </w:tc>
        <w:tc>
          <w:tcPr>
            <w:tcW w:w="1924" w:type="dxa"/>
            <w:tcBorders>
              <w:tl2br w:val="nil"/>
              <w:tr2bl w:val="nil"/>
            </w:tcBorders>
            <w:vAlign w:val="center"/>
          </w:tcPr>
          <w:p>
            <w:pPr>
              <w:widowControl/>
              <w:adjustRightInd w:val="0"/>
              <w:snapToGrid w:val="0"/>
              <w:jc w:val="center"/>
              <w:rPr>
                <w:rFonts w:ascii="宋体" w:hAnsi="宋体" w:cs="宋体"/>
                <w:color w:val="000000"/>
                <w:spacing w:val="0"/>
                <w:kern w:val="0"/>
                <w:position w:val="0"/>
                <w:szCs w:val="21"/>
              </w:rPr>
            </w:pPr>
            <w:r>
              <w:rPr>
                <w:rFonts w:hint="eastAsia" w:ascii="宋体" w:hAnsi="宋体" w:cs="宋体"/>
                <w:color w:val="000000"/>
                <w:spacing w:val="0"/>
                <w:kern w:val="0"/>
                <w:position w:val="0"/>
                <w:szCs w:val="21"/>
              </w:rPr>
              <w:t>地下建筑面积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5037.83</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5</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计容建筑面积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104411.6</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生活配套建筑用地面积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1116.08</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7</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生活配套建筑面积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7566.8</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8</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生活配套占比</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2.79</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9</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建筑密度</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w:t>
            </w:r>
            <w:r>
              <w:rPr>
                <w:rFonts w:hint="eastAsia"/>
                <w:spacing w:val="0"/>
                <w:position w:val="0"/>
                <w:szCs w:val="21"/>
                <w:lang w:val="en-US" w:eastAsia="zh-CN"/>
              </w:rPr>
              <w:t>1.5</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容</w:t>
            </w:r>
            <w:r>
              <w:rPr>
                <w:rFonts w:hint="eastAsia" w:ascii="宋体" w:hAnsi="宋体" w:cs="宋体"/>
                <w:color w:val="000000"/>
                <w:spacing w:val="0"/>
                <w:kern w:val="0"/>
                <w:position w:val="0"/>
                <w:szCs w:val="21"/>
                <w:lang w:val="en-US" w:eastAsia="zh-CN"/>
              </w:rPr>
              <w:t xml:space="preserve"> </w:t>
            </w:r>
            <w:r>
              <w:rPr>
                <w:rFonts w:hint="eastAsia" w:ascii="宋体" w:hAnsi="宋体" w:cs="宋体"/>
                <w:color w:val="000000"/>
                <w:spacing w:val="0"/>
                <w:kern w:val="0"/>
                <w:position w:val="0"/>
                <w:szCs w:val="21"/>
              </w:rPr>
              <w:t>积</w:t>
            </w:r>
            <w:r>
              <w:rPr>
                <w:rFonts w:hint="eastAsia" w:ascii="宋体" w:hAnsi="宋体" w:cs="宋体"/>
                <w:color w:val="000000"/>
                <w:spacing w:val="0"/>
                <w:kern w:val="0"/>
                <w:position w:val="0"/>
                <w:szCs w:val="21"/>
                <w:lang w:val="en-US" w:eastAsia="zh-CN"/>
              </w:rPr>
              <w:t xml:space="preserve"> </w:t>
            </w:r>
            <w:r>
              <w:rPr>
                <w:rFonts w:hint="eastAsia" w:ascii="宋体" w:hAnsi="宋体" w:cs="宋体"/>
                <w:color w:val="000000"/>
                <w:spacing w:val="0"/>
                <w:kern w:val="0"/>
                <w:position w:val="0"/>
                <w:szCs w:val="21"/>
              </w:rPr>
              <w:t>率</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r>
              <w:rPr>
                <w:rFonts w:hint="eastAsia"/>
                <w:spacing w:val="0"/>
                <w:position w:val="0"/>
                <w:szCs w:val="21"/>
                <w:lang w:val="en-US" w:eastAsia="zh-CN"/>
              </w:rPr>
              <w:t>61</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11</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绿地面积</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2</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60</w:t>
            </w:r>
            <w:r>
              <w:rPr>
                <w:rFonts w:hint="eastAsia"/>
                <w:spacing w:val="0"/>
                <w:position w:val="0"/>
                <w:szCs w:val="21"/>
                <w:lang w:val="en-US" w:eastAsia="zh-CN"/>
              </w:rPr>
              <w:t>59.5</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12</w:t>
            </w:r>
          </w:p>
        </w:tc>
        <w:tc>
          <w:tcPr>
            <w:tcW w:w="2991" w:type="dxa"/>
            <w:gridSpan w:val="2"/>
            <w:tcBorders>
              <w:tl2br w:val="nil"/>
              <w:tr2bl w:val="nil"/>
            </w:tcBorders>
            <w:vAlign w:val="center"/>
          </w:tcPr>
          <w:p>
            <w:pPr>
              <w:widowControl/>
              <w:adjustRightInd w:val="0"/>
              <w:snapToGrid w:val="0"/>
              <w:jc w:val="center"/>
              <w:rPr>
                <w:spacing w:val="0"/>
                <w:position w:val="0"/>
                <w:szCs w:val="21"/>
              </w:rPr>
            </w:pPr>
            <w:r>
              <w:rPr>
                <w:rFonts w:hint="eastAsia" w:ascii="宋体" w:hAnsi="宋体" w:cs="宋体"/>
                <w:color w:val="000000"/>
                <w:spacing w:val="0"/>
                <w:kern w:val="0"/>
                <w:position w:val="0"/>
                <w:szCs w:val="21"/>
              </w:rPr>
              <w:t>绿 化 率</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15</w:t>
            </w:r>
            <w:r>
              <w:rPr>
                <w:rFonts w:hint="eastAsia"/>
                <w:spacing w:val="0"/>
                <w:position w:val="0"/>
                <w:szCs w:val="21"/>
                <w:lang w:val="en-US" w:eastAsia="zh-CN"/>
              </w:rPr>
              <w:t>.1</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13</w:t>
            </w:r>
          </w:p>
        </w:tc>
        <w:tc>
          <w:tcPr>
            <w:tcW w:w="1067" w:type="dxa"/>
            <w:vMerge w:val="restart"/>
            <w:tcBorders>
              <w:tl2br w:val="nil"/>
              <w:tr2bl w:val="nil"/>
            </w:tcBorders>
            <w:vAlign w:val="center"/>
          </w:tcPr>
          <w:p>
            <w:pPr>
              <w:widowControl/>
              <w:adjustRightInd w:val="0"/>
              <w:snapToGrid w:val="0"/>
              <w:jc w:val="center"/>
              <w:rPr>
                <w:rFonts w:ascii="宋体" w:hAnsi="宋体" w:cs="宋体"/>
                <w:color w:val="000000"/>
                <w:spacing w:val="0"/>
                <w:kern w:val="0"/>
                <w:position w:val="0"/>
                <w:szCs w:val="21"/>
              </w:rPr>
            </w:pPr>
            <w:r>
              <w:rPr>
                <w:rFonts w:hint="eastAsia" w:ascii="宋体" w:hAnsi="宋体" w:cs="宋体"/>
                <w:color w:val="000000"/>
                <w:spacing w:val="0"/>
                <w:kern w:val="0"/>
                <w:position w:val="0"/>
                <w:szCs w:val="21"/>
              </w:rPr>
              <w:t>车位</w:t>
            </w:r>
          </w:p>
        </w:tc>
        <w:tc>
          <w:tcPr>
            <w:tcW w:w="1924" w:type="dxa"/>
            <w:tcBorders>
              <w:tl2br w:val="nil"/>
              <w:tr2bl w:val="nil"/>
            </w:tcBorders>
            <w:vAlign w:val="center"/>
          </w:tcPr>
          <w:p>
            <w:pPr>
              <w:widowControl/>
              <w:adjustRightInd w:val="0"/>
              <w:snapToGrid w:val="0"/>
              <w:jc w:val="center"/>
              <w:rPr>
                <w:rFonts w:ascii="宋体" w:hAnsi="宋体" w:cs="宋体"/>
                <w:color w:val="000000"/>
                <w:spacing w:val="0"/>
                <w:kern w:val="0"/>
                <w:position w:val="0"/>
                <w:szCs w:val="21"/>
              </w:rPr>
            </w:pPr>
            <w:r>
              <w:rPr>
                <w:rFonts w:hint="eastAsia" w:ascii="宋体" w:hAnsi="宋体" w:cs="宋体"/>
                <w:color w:val="000000"/>
                <w:spacing w:val="0"/>
                <w:kern w:val="0"/>
                <w:position w:val="0"/>
                <w:szCs w:val="21"/>
              </w:rPr>
              <w:t>机动车</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辆</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362</w:t>
            </w:r>
          </w:p>
        </w:tc>
        <w:tc>
          <w:tcPr>
            <w:tcW w:w="1848" w:type="dxa"/>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l2br w:val="nil"/>
              <w:tr2bl w:val="nil"/>
            </w:tcBorders>
            <w:vAlign w:val="center"/>
          </w:tcPr>
          <w:p>
            <w:pPr>
              <w:widowControl/>
              <w:adjustRightInd w:val="0"/>
              <w:snapToGrid w:val="0"/>
              <w:jc w:val="center"/>
              <w:rPr>
                <w:spacing w:val="0"/>
                <w:position w:val="0"/>
                <w:szCs w:val="21"/>
              </w:rPr>
            </w:pPr>
          </w:p>
        </w:tc>
        <w:tc>
          <w:tcPr>
            <w:tcW w:w="1067" w:type="dxa"/>
            <w:vMerge w:val="continue"/>
            <w:tcBorders>
              <w:tl2br w:val="nil"/>
              <w:tr2bl w:val="nil"/>
            </w:tcBorders>
            <w:vAlign w:val="center"/>
          </w:tcPr>
          <w:p>
            <w:pPr>
              <w:widowControl/>
              <w:adjustRightInd w:val="0"/>
              <w:snapToGrid w:val="0"/>
              <w:jc w:val="center"/>
              <w:rPr>
                <w:rFonts w:ascii="宋体" w:hAnsi="宋体" w:cs="宋体"/>
                <w:color w:val="000000"/>
                <w:spacing w:val="0"/>
                <w:kern w:val="0"/>
                <w:position w:val="0"/>
                <w:szCs w:val="21"/>
              </w:rPr>
            </w:pPr>
          </w:p>
        </w:tc>
        <w:tc>
          <w:tcPr>
            <w:tcW w:w="1924" w:type="dxa"/>
            <w:tcBorders>
              <w:tl2br w:val="nil"/>
              <w:tr2bl w:val="nil"/>
            </w:tcBorders>
            <w:vAlign w:val="center"/>
          </w:tcPr>
          <w:p>
            <w:pPr>
              <w:widowControl/>
              <w:adjustRightInd w:val="0"/>
              <w:snapToGrid w:val="0"/>
              <w:jc w:val="center"/>
              <w:rPr>
                <w:rFonts w:ascii="宋体" w:hAnsi="宋体" w:cs="宋体"/>
                <w:color w:val="000000"/>
                <w:spacing w:val="0"/>
                <w:kern w:val="0"/>
                <w:position w:val="0"/>
                <w:szCs w:val="21"/>
              </w:rPr>
            </w:pPr>
            <w:r>
              <w:rPr>
                <w:rFonts w:hint="eastAsia" w:ascii="宋体" w:hAnsi="宋体" w:cs="宋体"/>
                <w:color w:val="000000"/>
                <w:spacing w:val="0"/>
                <w:kern w:val="0"/>
                <w:position w:val="0"/>
                <w:szCs w:val="21"/>
              </w:rPr>
              <w:t>非机动车</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辆</w:t>
            </w:r>
          </w:p>
        </w:tc>
        <w:tc>
          <w:tcPr>
            <w:tcW w:w="184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r>
              <w:rPr>
                <w:rFonts w:hint="eastAsia"/>
                <w:spacing w:val="0"/>
                <w:position w:val="0"/>
                <w:szCs w:val="21"/>
                <w:lang w:val="en-US" w:eastAsia="zh-CN"/>
              </w:rPr>
              <w:t>272</w:t>
            </w:r>
          </w:p>
        </w:tc>
        <w:tc>
          <w:tcPr>
            <w:tcW w:w="1848" w:type="dxa"/>
            <w:tcBorders>
              <w:tl2br w:val="nil"/>
              <w:tr2bl w:val="nil"/>
            </w:tcBorders>
            <w:vAlign w:val="center"/>
          </w:tcPr>
          <w:p>
            <w:pPr>
              <w:widowControl/>
              <w:adjustRightInd w:val="0"/>
              <w:snapToGrid w:val="0"/>
              <w:jc w:val="center"/>
              <w:rPr>
                <w:spacing w:val="0"/>
                <w:position w:val="0"/>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bCs/>
          <w:spacing w:val="0"/>
          <w:position w:val="0"/>
          <w:sz w:val="24"/>
          <w:szCs w:val="24"/>
        </w:rPr>
      </w:pPr>
      <w:r>
        <w:rPr>
          <w:rFonts w:hint="eastAsia"/>
          <w:b/>
          <w:bCs/>
          <w:spacing w:val="0"/>
          <w:position w:val="0"/>
          <w:sz w:val="24"/>
          <w:szCs w:val="24"/>
        </w:rPr>
        <w:t>表3.</w:t>
      </w:r>
      <w:r>
        <w:rPr>
          <w:rFonts w:hint="eastAsia"/>
          <w:b/>
          <w:bCs/>
          <w:spacing w:val="0"/>
          <w:position w:val="0"/>
          <w:sz w:val="24"/>
          <w:szCs w:val="24"/>
          <w:lang w:val="en-US" w:eastAsia="zh-CN"/>
        </w:rPr>
        <w:t>1</w:t>
      </w:r>
      <w:r>
        <w:rPr>
          <w:rFonts w:hint="eastAsia"/>
          <w:b/>
          <w:bCs/>
          <w:spacing w:val="0"/>
          <w:position w:val="0"/>
          <w:sz w:val="24"/>
          <w:szCs w:val="24"/>
        </w:rPr>
        <w:t>-</w:t>
      </w:r>
      <w:r>
        <w:rPr>
          <w:rFonts w:hint="eastAsia"/>
          <w:b/>
          <w:bCs/>
          <w:spacing w:val="0"/>
          <w:position w:val="0"/>
          <w:sz w:val="24"/>
          <w:szCs w:val="24"/>
          <w:lang w:val="en-US" w:eastAsia="zh-CN"/>
        </w:rPr>
        <w:t>3</w:t>
      </w:r>
      <w:r>
        <w:rPr>
          <w:rFonts w:hint="eastAsia"/>
          <w:b/>
          <w:bCs/>
          <w:spacing w:val="0"/>
          <w:position w:val="0"/>
          <w:sz w:val="24"/>
          <w:szCs w:val="24"/>
        </w:rPr>
        <w:t>建筑指标一览表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
        <w:gridCol w:w="1076"/>
        <w:gridCol w:w="1013"/>
        <w:gridCol w:w="787"/>
        <w:gridCol w:w="863"/>
        <w:gridCol w:w="1162"/>
        <w:gridCol w:w="1144"/>
        <w:gridCol w:w="1125"/>
        <w:gridCol w:w="1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序号</w:t>
            </w:r>
          </w:p>
        </w:tc>
        <w:tc>
          <w:tcPr>
            <w:tcW w:w="1076"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建筑名称</w:t>
            </w:r>
          </w:p>
        </w:tc>
        <w:tc>
          <w:tcPr>
            <w:tcW w:w="1013"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占地面积（m</w:t>
            </w:r>
            <w:r>
              <w:rPr>
                <w:rFonts w:hint="eastAsia"/>
                <w:b/>
                <w:bCs/>
                <w:spacing w:val="0"/>
                <w:position w:val="0"/>
                <w:szCs w:val="21"/>
                <w:vertAlign w:val="superscript"/>
              </w:rPr>
              <w:t>2</w:t>
            </w:r>
            <w:r>
              <w:rPr>
                <w:rFonts w:hint="eastAsia"/>
                <w:b/>
                <w:bCs/>
                <w:spacing w:val="0"/>
                <w:position w:val="0"/>
                <w:szCs w:val="21"/>
              </w:rPr>
              <w:t>）</w:t>
            </w:r>
          </w:p>
        </w:tc>
        <w:tc>
          <w:tcPr>
            <w:tcW w:w="78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层数</w:t>
            </w:r>
          </w:p>
        </w:tc>
        <w:tc>
          <w:tcPr>
            <w:tcW w:w="863"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建筑高度（m）</w:t>
            </w:r>
          </w:p>
        </w:tc>
        <w:tc>
          <w:tcPr>
            <w:tcW w:w="1162"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总建筑面积（m</w:t>
            </w:r>
            <w:r>
              <w:rPr>
                <w:rFonts w:hint="eastAsia"/>
                <w:b/>
                <w:bCs/>
                <w:spacing w:val="0"/>
                <w:position w:val="0"/>
                <w:szCs w:val="21"/>
                <w:vertAlign w:val="superscript"/>
              </w:rPr>
              <w:t>2</w:t>
            </w:r>
            <w:r>
              <w:rPr>
                <w:rFonts w:hint="eastAsia"/>
                <w:b/>
                <w:bCs/>
                <w:spacing w:val="0"/>
                <w:position w:val="0"/>
                <w:szCs w:val="21"/>
              </w:rPr>
              <w:t>）</w:t>
            </w:r>
          </w:p>
        </w:tc>
        <w:tc>
          <w:tcPr>
            <w:tcW w:w="1144"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地上建筑面积（m</w:t>
            </w:r>
            <w:r>
              <w:rPr>
                <w:rFonts w:hint="eastAsia"/>
                <w:b/>
                <w:bCs/>
                <w:spacing w:val="0"/>
                <w:position w:val="0"/>
                <w:szCs w:val="21"/>
                <w:vertAlign w:val="superscript"/>
              </w:rPr>
              <w:t>2</w:t>
            </w:r>
            <w:r>
              <w:rPr>
                <w:rFonts w:hint="eastAsia"/>
                <w:b/>
                <w:bCs/>
                <w:spacing w:val="0"/>
                <w:position w:val="0"/>
                <w:szCs w:val="21"/>
              </w:rPr>
              <w:t>）</w:t>
            </w:r>
          </w:p>
        </w:tc>
        <w:tc>
          <w:tcPr>
            <w:tcW w:w="1125"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地下建筑面积（m</w:t>
            </w:r>
            <w:r>
              <w:rPr>
                <w:rFonts w:hint="eastAsia"/>
                <w:b/>
                <w:bCs/>
                <w:spacing w:val="0"/>
                <w:position w:val="0"/>
                <w:szCs w:val="21"/>
                <w:vertAlign w:val="superscript"/>
              </w:rPr>
              <w:t>2</w:t>
            </w:r>
            <w:r>
              <w:rPr>
                <w:rFonts w:hint="eastAsia"/>
                <w:b/>
                <w:bCs/>
                <w:spacing w:val="0"/>
                <w:position w:val="0"/>
                <w:szCs w:val="21"/>
              </w:rPr>
              <w:t>）</w:t>
            </w:r>
          </w:p>
        </w:tc>
        <w:tc>
          <w:tcPr>
            <w:tcW w:w="1406"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建筑性质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p>
        </w:tc>
        <w:tc>
          <w:tcPr>
            <w:tcW w:w="10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生产厂房</w:t>
            </w:r>
          </w:p>
        </w:tc>
        <w:tc>
          <w:tcPr>
            <w:tcW w:w="101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23382.8</w:t>
            </w:r>
          </w:p>
        </w:tc>
        <w:tc>
          <w:tcPr>
            <w:tcW w:w="78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4F/1D</w:t>
            </w:r>
          </w:p>
        </w:tc>
        <w:tc>
          <w:tcPr>
            <w:tcW w:w="86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23.9</w:t>
            </w:r>
          </w:p>
        </w:tc>
        <w:tc>
          <w:tcPr>
            <w:tcW w:w="11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101782.59</w:t>
            </w:r>
          </w:p>
        </w:tc>
        <w:tc>
          <w:tcPr>
            <w:tcW w:w="11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96744.76</w:t>
            </w:r>
          </w:p>
        </w:tc>
        <w:tc>
          <w:tcPr>
            <w:tcW w:w="11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5037.83</w:t>
            </w:r>
          </w:p>
        </w:tc>
        <w:tc>
          <w:tcPr>
            <w:tcW w:w="140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厂房（丙类）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p>
        </w:tc>
        <w:tc>
          <w:tcPr>
            <w:tcW w:w="10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机修车间</w:t>
            </w:r>
          </w:p>
        </w:tc>
        <w:tc>
          <w:tcPr>
            <w:tcW w:w="101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100.04</w:t>
            </w:r>
          </w:p>
        </w:tc>
        <w:tc>
          <w:tcPr>
            <w:tcW w:w="78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p>
        </w:tc>
        <w:tc>
          <w:tcPr>
            <w:tcW w:w="86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6.1</w:t>
            </w:r>
          </w:p>
        </w:tc>
        <w:tc>
          <w:tcPr>
            <w:tcW w:w="11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100.04</w:t>
            </w:r>
          </w:p>
        </w:tc>
        <w:tc>
          <w:tcPr>
            <w:tcW w:w="11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100.04</w:t>
            </w:r>
          </w:p>
        </w:tc>
        <w:tc>
          <w:tcPr>
            <w:tcW w:w="11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0.00</w:t>
            </w:r>
          </w:p>
        </w:tc>
        <w:tc>
          <w:tcPr>
            <w:tcW w:w="140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厂房（丁类）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w:t>
            </w:r>
          </w:p>
        </w:tc>
        <w:tc>
          <w:tcPr>
            <w:tcW w:w="1076"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val="en-US" w:eastAsia="zh-CN"/>
              </w:rPr>
              <w:t>1#</w:t>
            </w:r>
            <w:r>
              <w:rPr>
                <w:rFonts w:hint="eastAsia"/>
                <w:spacing w:val="0"/>
                <w:position w:val="0"/>
                <w:szCs w:val="21"/>
                <w:lang w:eastAsia="zh-CN"/>
              </w:rPr>
              <w:t>办公楼</w:t>
            </w:r>
          </w:p>
        </w:tc>
        <w:tc>
          <w:tcPr>
            <w:tcW w:w="1013" w:type="dxa"/>
            <w:tcBorders>
              <w:tl2br w:val="nil"/>
              <w:tr2bl w:val="nil"/>
            </w:tcBorders>
            <w:vAlign w:val="center"/>
          </w:tcPr>
          <w:p>
            <w:pPr>
              <w:widowControl/>
              <w:adjustRightInd w:val="0"/>
              <w:snapToGrid w:val="0"/>
              <w:jc w:val="center"/>
              <w:rPr>
                <w:rFonts w:hint="default"/>
                <w:spacing w:val="0"/>
                <w:position w:val="0"/>
                <w:szCs w:val="21"/>
                <w:lang w:val="en-US" w:eastAsia="zh-CN"/>
              </w:rPr>
            </w:pPr>
            <w:r>
              <w:rPr>
                <w:rFonts w:hint="eastAsia"/>
                <w:spacing w:val="0"/>
                <w:position w:val="0"/>
                <w:szCs w:val="21"/>
                <w:lang w:eastAsia="zh-CN"/>
              </w:rPr>
              <w:t>5</w:t>
            </w:r>
            <w:r>
              <w:rPr>
                <w:rFonts w:hint="eastAsia"/>
                <w:spacing w:val="0"/>
                <w:position w:val="0"/>
                <w:szCs w:val="21"/>
                <w:lang w:val="en-US" w:eastAsia="zh-CN"/>
              </w:rPr>
              <w:t>24.16</w:t>
            </w:r>
          </w:p>
        </w:tc>
        <w:tc>
          <w:tcPr>
            <w:tcW w:w="787"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val="en-US" w:eastAsia="zh-CN"/>
              </w:rPr>
              <w:t>7</w:t>
            </w:r>
          </w:p>
        </w:tc>
        <w:tc>
          <w:tcPr>
            <w:tcW w:w="86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r>
              <w:rPr>
                <w:rFonts w:hint="eastAsia"/>
                <w:spacing w:val="0"/>
                <w:position w:val="0"/>
                <w:szCs w:val="21"/>
                <w:lang w:val="en-US" w:eastAsia="zh-CN"/>
              </w:rPr>
              <w:t>3</w:t>
            </w:r>
            <w:r>
              <w:rPr>
                <w:rFonts w:hint="eastAsia"/>
                <w:spacing w:val="0"/>
                <w:position w:val="0"/>
                <w:szCs w:val="21"/>
              </w:rPr>
              <w:t>.8</w:t>
            </w:r>
          </w:p>
        </w:tc>
        <w:tc>
          <w:tcPr>
            <w:tcW w:w="116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3749.52</w:t>
            </w:r>
          </w:p>
        </w:tc>
        <w:tc>
          <w:tcPr>
            <w:tcW w:w="114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3749.52</w:t>
            </w:r>
          </w:p>
        </w:tc>
        <w:tc>
          <w:tcPr>
            <w:tcW w:w="11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0.00</w:t>
            </w:r>
          </w:p>
        </w:tc>
        <w:tc>
          <w:tcPr>
            <w:tcW w:w="140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民用建筑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4</w:t>
            </w:r>
          </w:p>
        </w:tc>
        <w:tc>
          <w:tcPr>
            <w:tcW w:w="10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2#</w:t>
            </w:r>
            <w:r>
              <w:rPr>
                <w:rFonts w:hint="eastAsia"/>
                <w:spacing w:val="0"/>
                <w:position w:val="0"/>
                <w:szCs w:val="21"/>
              </w:rPr>
              <w:t>办公楼</w:t>
            </w:r>
          </w:p>
        </w:tc>
        <w:tc>
          <w:tcPr>
            <w:tcW w:w="1013" w:type="dxa"/>
            <w:tcBorders>
              <w:tl2br w:val="nil"/>
              <w:tr2bl w:val="nil"/>
            </w:tcBorders>
            <w:vAlign w:val="center"/>
          </w:tcPr>
          <w:p>
            <w:pPr>
              <w:widowControl/>
              <w:adjustRightInd w:val="0"/>
              <w:snapToGrid w:val="0"/>
              <w:jc w:val="center"/>
              <w:rPr>
                <w:rFonts w:hint="default"/>
                <w:spacing w:val="0"/>
                <w:position w:val="0"/>
                <w:szCs w:val="21"/>
                <w:lang w:val="en-US"/>
              </w:rPr>
            </w:pPr>
            <w:r>
              <w:rPr>
                <w:rFonts w:hint="eastAsia"/>
                <w:spacing w:val="0"/>
                <w:position w:val="0"/>
                <w:szCs w:val="21"/>
                <w:lang w:eastAsia="zh-CN"/>
              </w:rPr>
              <w:t>5</w:t>
            </w:r>
            <w:r>
              <w:rPr>
                <w:rFonts w:hint="eastAsia"/>
                <w:spacing w:val="0"/>
                <w:position w:val="0"/>
                <w:szCs w:val="21"/>
                <w:lang w:val="en-US" w:eastAsia="zh-CN"/>
              </w:rPr>
              <w:t>24.16</w:t>
            </w:r>
          </w:p>
        </w:tc>
        <w:tc>
          <w:tcPr>
            <w:tcW w:w="78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7</w:t>
            </w:r>
          </w:p>
        </w:tc>
        <w:tc>
          <w:tcPr>
            <w:tcW w:w="86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r>
              <w:rPr>
                <w:rFonts w:hint="eastAsia"/>
                <w:spacing w:val="0"/>
                <w:position w:val="0"/>
                <w:szCs w:val="21"/>
                <w:lang w:val="en-US" w:eastAsia="zh-CN"/>
              </w:rPr>
              <w:t>3</w:t>
            </w:r>
            <w:r>
              <w:rPr>
                <w:rFonts w:hint="eastAsia"/>
                <w:spacing w:val="0"/>
                <w:position w:val="0"/>
                <w:szCs w:val="21"/>
              </w:rPr>
              <w:t>.8</w:t>
            </w:r>
          </w:p>
        </w:tc>
        <w:tc>
          <w:tcPr>
            <w:tcW w:w="11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3749.52</w:t>
            </w:r>
          </w:p>
        </w:tc>
        <w:tc>
          <w:tcPr>
            <w:tcW w:w="11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3749.52</w:t>
            </w:r>
          </w:p>
        </w:tc>
        <w:tc>
          <w:tcPr>
            <w:tcW w:w="11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0.00</w:t>
            </w:r>
          </w:p>
        </w:tc>
        <w:tc>
          <w:tcPr>
            <w:tcW w:w="140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民用建筑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5</w:t>
            </w:r>
          </w:p>
        </w:tc>
        <w:tc>
          <w:tcPr>
            <w:tcW w:w="1076"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门卫</w:t>
            </w:r>
          </w:p>
        </w:tc>
        <w:tc>
          <w:tcPr>
            <w:tcW w:w="1013"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67.76</w:t>
            </w:r>
          </w:p>
        </w:tc>
        <w:tc>
          <w:tcPr>
            <w:tcW w:w="787"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1</w:t>
            </w:r>
          </w:p>
        </w:tc>
        <w:tc>
          <w:tcPr>
            <w:tcW w:w="863" w:type="dxa"/>
            <w:tcBorders>
              <w:tl2br w:val="nil"/>
              <w:tr2bl w:val="nil"/>
            </w:tcBorders>
            <w:vAlign w:val="center"/>
          </w:tcPr>
          <w:p>
            <w:pPr>
              <w:widowControl/>
              <w:adjustRightInd w:val="0"/>
              <w:snapToGrid w:val="0"/>
              <w:jc w:val="center"/>
              <w:rPr>
                <w:rFonts w:hint="eastAsia" w:ascii="Times New Roman" w:hAnsi="Times New Roman" w:eastAsia="宋体" w:cs="Times New Roman"/>
                <w:spacing w:val="0"/>
                <w:kern w:val="2"/>
                <w:position w:val="0"/>
                <w:sz w:val="21"/>
                <w:szCs w:val="21"/>
                <w:lang w:val="en-US" w:eastAsia="zh-CN" w:bidi="ar-SA"/>
              </w:rPr>
            </w:pPr>
            <w:r>
              <w:rPr>
                <w:rFonts w:hint="eastAsia"/>
                <w:spacing w:val="0"/>
                <w:position w:val="0"/>
                <w:szCs w:val="21"/>
              </w:rPr>
              <w:t>5.</w:t>
            </w:r>
            <w:r>
              <w:rPr>
                <w:rFonts w:hint="eastAsia"/>
                <w:spacing w:val="0"/>
                <w:position w:val="0"/>
                <w:szCs w:val="21"/>
                <w:lang w:val="en-US" w:eastAsia="zh-CN"/>
              </w:rPr>
              <w:t>3</w:t>
            </w:r>
          </w:p>
        </w:tc>
        <w:tc>
          <w:tcPr>
            <w:tcW w:w="1162"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67.76</w:t>
            </w:r>
          </w:p>
        </w:tc>
        <w:tc>
          <w:tcPr>
            <w:tcW w:w="1144"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67.76</w:t>
            </w:r>
          </w:p>
        </w:tc>
        <w:tc>
          <w:tcPr>
            <w:tcW w:w="1125"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0.00</w:t>
            </w:r>
          </w:p>
        </w:tc>
        <w:tc>
          <w:tcPr>
            <w:tcW w:w="1406"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民用建筑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5" w:type="dxa"/>
            <w:gridSpan w:val="2"/>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合计</w:t>
            </w:r>
          </w:p>
        </w:tc>
        <w:tc>
          <w:tcPr>
            <w:tcW w:w="101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24910.93</w:t>
            </w:r>
          </w:p>
        </w:tc>
        <w:tc>
          <w:tcPr>
            <w:tcW w:w="78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86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11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110353.41</w:t>
            </w:r>
          </w:p>
        </w:tc>
        <w:tc>
          <w:tcPr>
            <w:tcW w:w="11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105315.58</w:t>
            </w:r>
          </w:p>
        </w:tc>
        <w:tc>
          <w:tcPr>
            <w:tcW w:w="11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5037.83</w:t>
            </w:r>
          </w:p>
        </w:tc>
        <w:tc>
          <w:tcPr>
            <w:tcW w:w="140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r>
    </w:tbl>
    <w:p>
      <w:pPr>
        <w:adjustRightInd w:val="0"/>
        <w:snapToGrid w:val="0"/>
        <w:spacing w:line="360" w:lineRule="auto"/>
        <w:outlineLvl w:val="1"/>
        <w:rPr>
          <w:b/>
          <w:bCs/>
          <w:spacing w:val="0"/>
          <w:position w:val="0"/>
          <w:sz w:val="30"/>
          <w:szCs w:val="30"/>
        </w:rPr>
      </w:pPr>
      <w:r>
        <w:rPr>
          <w:rFonts w:hint="eastAsia"/>
          <w:b/>
          <w:bCs/>
          <w:spacing w:val="0"/>
          <w:position w:val="0"/>
          <w:sz w:val="30"/>
          <w:szCs w:val="30"/>
        </w:rPr>
        <w:t>3.2主要建设内容</w:t>
      </w: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3.2.1项目组成</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项目建设内容包括生产厂房、机修车间、门卫、办公楼等，配套建设给排水、消防工程，供电工程，绿化、围墙、道路等工程。项目组成见表3.2-1。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表3.2-1本项目建设组成一览表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2"/>
        <w:gridCol w:w="588"/>
        <w:gridCol w:w="689"/>
        <w:gridCol w:w="6400"/>
        <w:gridCol w:w="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442" w:type="dxa"/>
            <w:tcBorders>
              <w:tl2br w:val="nil"/>
              <w:tr2bl w:val="nil"/>
            </w:tcBorders>
            <w:vAlign w:val="center"/>
          </w:tcPr>
          <w:p>
            <w:pPr>
              <w:widowControl w:val="0"/>
              <w:adjustRightInd w:val="0"/>
              <w:snapToGrid w:val="0"/>
              <w:jc w:val="center"/>
              <w:rPr>
                <w:b/>
                <w:bCs/>
                <w:spacing w:val="0"/>
                <w:position w:val="0"/>
                <w:szCs w:val="21"/>
              </w:rPr>
            </w:pPr>
            <w:r>
              <w:rPr>
                <w:rFonts w:hint="eastAsia"/>
                <w:b/>
                <w:bCs/>
                <w:spacing w:val="0"/>
                <w:position w:val="0"/>
                <w:szCs w:val="21"/>
              </w:rPr>
              <w:t>类别</w:t>
            </w:r>
          </w:p>
        </w:tc>
        <w:tc>
          <w:tcPr>
            <w:tcW w:w="1277" w:type="dxa"/>
            <w:gridSpan w:val="2"/>
            <w:tcBorders>
              <w:tl2br w:val="nil"/>
              <w:tr2bl w:val="nil"/>
            </w:tcBorders>
            <w:vAlign w:val="center"/>
          </w:tcPr>
          <w:p>
            <w:pPr>
              <w:widowControl w:val="0"/>
              <w:adjustRightInd w:val="0"/>
              <w:snapToGrid w:val="0"/>
              <w:jc w:val="center"/>
              <w:rPr>
                <w:b/>
                <w:bCs/>
                <w:spacing w:val="0"/>
                <w:position w:val="0"/>
                <w:szCs w:val="21"/>
              </w:rPr>
            </w:pPr>
            <w:r>
              <w:rPr>
                <w:rFonts w:hint="eastAsia"/>
                <w:b/>
                <w:bCs/>
                <w:spacing w:val="0"/>
                <w:position w:val="0"/>
                <w:szCs w:val="21"/>
              </w:rPr>
              <w:t>项目名称</w:t>
            </w:r>
          </w:p>
        </w:tc>
        <w:tc>
          <w:tcPr>
            <w:tcW w:w="6400" w:type="dxa"/>
            <w:tcBorders>
              <w:tl2br w:val="nil"/>
              <w:tr2bl w:val="nil"/>
            </w:tcBorders>
            <w:vAlign w:val="center"/>
          </w:tcPr>
          <w:p>
            <w:pPr>
              <w:widowControl w:val="0"/>
              <w:adjustRightInd w:val="0"/>
              <w:snapToGrid w:val="0"/>
              <w:jc w:val="center"/>
              <w:rPr>
                <w:rFonts w:hint="eastAsia" w:eastAsia="宋体"/>
                <w:b/>
                <w:bCs/>
                <w:spacing w:val="0"/>
                <w:position w:val="0"/>
                <w:szCs w:val="21"/>
                <w:lang w:eastAsia="zh-CN"/>
              </w:rPr>
            </w:pPr>
            <w:r>
              <w:rPr>
                <w:rFonts w:hint="eastAsia"/>
                <w:b/>
                <w:bCs/>
                <w:spacing w:val="0"/>
                <w:position w:val="0"/>
                <w:szCs w:val="21"/>
                <w:lang w:eastAsia="zh-CN"/>
              </w:rPr>
              <w:t>建设内容及规模</w:t>
            </w:r>
          </w:p>
        </w:tc>
        <w:tc>
          <w:tcPr>
            <w:tcW w:w="570" w:type="dxa"/>
            <w:tcBorders>
              <w:tl2br w:val="nil"/>
              <w:tr2bl w:val="nil"/>
            </w:tcBorders>
            <w:vAlign w:val="center"/>
          </w:tcPr>
          <w:p>
            <w:pPr>
              <w:widowControl w:val="0"/>
              <w:adjustRightInd w:val="0"/>
              <w:snapToGrid w:val="0"/>
              <w:jc w:val="center"/>
              <w:rPr>
                <w:b/>
                <w:bCs/>
                <w:spacing w:val="0"/>
                <w:position w:val="0"/>
                <w:szCs w:val="21"/>
              </w:rPr>
            </w:pPr>
            <w:r>
              <w:rPr>
                <w:rFonts w:hint="eastAsia"/>
                <w:b/>
                <w:bCs/>
                <w:spacing w:val="0"/>
                <w:positio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restart"/>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主体工程</w:t>
            </w:r>
          </w:p>
        </w:tc>
        <w:tc>
          <w:tcPr>
            <w:tcW w:w="588" w:type="dxa"/>
            <w:vMerge w:val="restart"/>
            <w:tcBorders>
              <w:tl2br w:val="nil"/>
              <w:tr2bl w:val="nil"/>
            </w:tcBorders>
            <w:vAlign w:val="center"/>
          </w:tcPr>
          <w:p>
            <w:pPr>
              <w:widowControl w:val="0"/>
              <w:adjustRightInd w:val="0"/>
              <w:snapToGrid w:val="0"/>
              <w:jc w:val="center"/>
              <w:rPr>
                <w:rFonts w:hint="eastAsia"/>
                <w:spacing w:val="0"/>
                <w:position w:val="0"/>
                <w:szCs w:val="21"/>
              </w:rPr>
            </w:pPr>
            <w:r>
              <w:rPr>
                <w:rFonts w:hint="eastAsia"/>
                <w:spacing w:val="0"/>
                <w:position w:val="0"/>
                <w:szCs w:val="21"/>
              </w:rPr>
              <w:t>生产厂房</w:t>
            </w:r>
          </w:p>
        </w:tc>
        <w:tc>
          <w:tcPr>
            <w:tcW w:w="689" w:type="dxa"/>
            <w:tcBorders>
              <w:tl2br w:val="nil"/>
              <w:tr2bl w:val="nil"/>
            </w:tcBorders>
            <w:vAlign w:val="center"/>
          </w:tcPr>
          <w:p>
            <w:pPr>
              <w:widowControl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地下层</w:t>
            </w:r>
          </w:p>
        </w:tc>
        <w:tc>
          <w:tcPr>
            <w:tcW w:w="6400" w:type="dxa"/>
            <w:tcBorders>
              <w:tl2br w:val="nil"/>
              <w:tr2bl w:val="nil"/>
            </w:tcBorders>
            <w:vAlign w:val="center"/>
          </w:tcPr>
          <w:p>
            <w:pPr>
              <w:widowControl w:val="0"/>
              <w:adjustRightInd w:val="0"/>
              <w:snapToGrid w:val="0"/>
              <w:rPr>
                <w:rFonts w:hint="eastAsia"/>
                <w:spacing w:val="0"/>
                <w:position w:val="0"/>
                <w:szCs w:val="21"/>
              </w:rPr>
            </w:pPr>
            <w:r>
              <w:rPr>
                <w:rStyle w:val="19"/>
                <w:spacing w:val="0"/>
                <w:position w:val="0"/>
              </w:rPr>
              <w:t>地下建筑面积为5037.83m</w:t>
            </w:r>
            <w:r>
              <w:rPr>
                <w:rStyle w:val="19"/>
                <w:spacing w:val="0"/>
                <w:position w:val="0"/>
                <w:vertAlign w:val="superscript"/>
              </w:rPr>
              <w:t>2</w:t>
            </w:r>
            <w:r>
              <w:rPr>
                <w:rStyle w:val="19"/>
                <w:spacing w:val="0"/>
                <w:position w:val="0"/>
              </w:rPr>
              <w:t>，地下一层建设高、低浓度废水收集池、中水回用池、降温池、雨水收集池、应急池、消防水池、消防泵房等。</w:t>
            </w:r>
          </w:p>
        </w:tc>
        <w:tc>
          <w:tcPr>
            <w:tcW w:w="570" w:type="dxa"/>
            <w:vMerge w:val="restart"/>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rPr>
            </w:pPr>
          </w:p>
        </w:tc>
        <w:tc>
          <w:tcPr>
            <w:tcW w:w="588" w:type="dxa"/>
            <w:vMerge w:val="continue"/>
            <w:tcBorders>
              <w:tl2br w:val="nil"/>
              <w:tr2bl w:val="nil"/>
            </w:tcBorders>
            <w:vAlign w:val="center"/>
          </w:tcPr>
          <w:p>
            <w:pPr>
              <w:widowControl w:val="0"/>
              <w:adjustRightInd w:val="0"/>
              <w:snapToGrid w:val="0"/>
              <w:jc w:val="center"/>
              <w:rPr>
                <w:spacing w:val="0"/>
                <w:position w:val="0"/>
              </w:rPr>
            </w:pPr>
          </w:p>
        </w:tc>
        <w:tc>
          <w:tcPr>
            <w:tcW w:w="689" w:type="dxa"/>
            <w:tcBorders>
              <w:tl2br w:val="nil"/>
              <w:tr2bl w:val="nil"/>
            </w:tcBorders>
            <w:vAlign w:val="center"/>
          </w:tcPr>
          <w:p>
            <w:pPr>
              <w:widowControl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一层</w:t>
            </w:r>
          </w:p>
        </w:tc>
        <w:tc>
          <w:tcPr>
            <w:tcW w:w="6400" w:type="dxa"/>
            <w:tcBorders>
              <w:tl2br w:val="nil"/>
              <w:tr2bl w:val="nil"/>
            </w:tcBorders>
            <w:vAlign w:val="center"/>
          </w:tcPr>
          <w:p>
            <w:pPr>
              <w:widowControl w:val="0"/>
              <w:adjustRightInd w:val="0"/>
              <w:snapToGrid w:val="0"/>
              <w:jc w:val="center"/>
              <w:rPr>
                <w:rFonts w:hint="default"/>
                <w:spacing w:val="0"/>
                <w:position w:val="0"/>
                <w:szCs w:val="21"/>
                <w:lang w:val="en-US"/>
              </w:rPr>
            </w:pPr>
            <w:r>
              <w:rPr>
                <w:rFonts w:hint="eastAsia"/>
                <w:spacing w:val="0"/>
                <w:position w:val="0"/>
                <w:szCs w:val="21"/>
              </w:rPr>
              <w:t>厂房占地面积为23382.8m</w:t>
            </w:r>
            <w:r>
              <w:rPr>
                <w:rFonts w:hint="eastAsia"/>
                <w:spacing w:val="0"/>
                <w:position w:val="0"/>
                <w:szCs w:val="21"/>
                <w:vertAlign w:val="superscript"/>
              </w:rPr>
              <w:t>2</w:t>
            </w:r>
            <w:r>
              <w:rPr>
                <w:rFonts w:hint="eastAsia"/>
                <w:spacing w:val="0"/>
                <w:position w:val="0"/>
                <w:szCs w:val="21"/>
              </w:rPr>
              <w:t>，地上建筑面积为96744.76m</w:t>
            </w:r>
            <w:r>
              <w:rPr>
                <w:rFonts w:hint="eastAsia"/>
                <w:spacing w:val="0"/>
                <w:position w:val="0"/>
                <w:szCs w:val="21"/>
                <w:vertAlign w:val="superscript"/>
              </w:rPr>
              <w:t>2</w:t>
            </w:r>
            <w:r>
              <w:rPr>
                <w:rFonts w:hint="eastAsia"/>
                <w:spacing w:val="0"/>
                <w:position w:val="0"/>
                <w:szCs w:val="21"/>
                <w:lang w:val="en-US" w:eastAsia="zh-CN"/>
              </w:rPr>
              <w:t>。一层主要建设染整车间、经编织布车间及化验室，主要设备为染色机及经编机。工具间内建设化验室以及冷冻站、软水站、空压站所需设备。</w:t>
            </w:r>
          </w:p>
        </w:tc>
        <w:tc>
          <w:tcPr>
            <w:tcW w:w="570"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c>
          <w:tcPr>
            <w:tcW w:w="588"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c>
          <w:tcPr>
            <w:tcW w:w="689" w:type="dxa"/>
            <w:tcBorders>
              <w:tl2br w:val="nil"/>
              <w:tr2bl w:val="nil"/>
            </w:tcBorders>
            <w:vAlign w:val="center"/>
          </w:tcPr>
          <w:p>
            <w:pPr>
              <w:widowControl w:val="0"/>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二层</w:t>
            </w:r>
          </w:p>
        </w:tc>
        <w:tc>
          <w:tcPr>
            <w:tcW w:w="6400" w:type="dxa"/>
            <w:tcBorders>
              <w:tl2br w:val="nil"/>
              <w:tr2bl w:val="nil"/>
            </w:tcBorders>
            <w:vAlign w:val="center"/>
          </w:tcPr>
          <w:p>
            <w:pPr>
              <w:widowControl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二层建设后整理车间，主要包括定型、剪毛、拉毛、检验，主要设备为剪毛机、拉毛机、定型机、自动包装系统等。</w:t>
            </w:r>
          </w:p>
        </w:tc>
        <w:tc>
          <w:tcPr>
            <w:tcW w:w="570"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c>
          <w:tcPr>
            <w:tcW w:w="588"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c>
          <w:tcPr>
            <w:tcW w:w="689" w:type="dxa"/>
            <w:tcBorders>
              <w:tl2br w:val="nil"/>
              <w:tr2bl w:val="nil"/>
            </w:tcBorders>
            <w:vAlign w:val="center"/>
          </w:tcPr>
          <w:p>
            <w:pPr>
              <w:widowControl w:val="0"/>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三层</w:t>
            </w:r>
          </w:p>
        </w:tc>
        <w:tc>
          <w:tcPr>
            <w:tcW w:w="6400" w:type="dxa"/>
            <w:tcBorders>
              <w:tl2br w:val="nil"/>
              <w:tr2bl w:val="nil"/>
            </w:tcBorders>
            <w:vAlign w:val="center"/>
          </w:tcPr>
          <w:p>
            <w:pPr>
              <w:widowControl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三层建设印花车间，主要包括印花、蒸化、水洗、烘干，主要设备为数码印花机、蒸化机、印花水洗机、定型机等。</w:t>
            </w:r>
          </w:p>
        </w:tc>
        <w:tc>
          <w:tcPr>
            <w:tcW w:w="570"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c>
          <w:tcPr>
            <w:tcW w:w="588"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c>
          <w:tcPr>
            <w:tcW w:w="689" w:type="dxa"/>
            <w:tcBorders>
              <w:tl2br w:val="nil"/>
              <w:tr2bl w:val="nil"/>
            </w:tcBorders>
            <w:vAlign w:val="center"/>
          </w:tcPr>
          <w:p>
            <w:pPr>
              <w:widowControl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四层</w:t>
            </w:r>
          </w:p>
        </w:tc>
        <w:tc>
          <w:tcPr>
            <w:tcW w:w="6400" w:type="dxa"/>
            <w:tcBorders>
              <w:tl2br w:val="nil"/>
              <w:tr2bl w:val="nil"/>
            </w:tcBorders>
            <w:vAlign w:val="center"/>
          </w:tcPr>
          <w:p>
            <w:pPr>
              <w:widowControl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四层主要建设定型车间，车间主要布设定型机。</w:t>
            </w:r>
          </w:p>
        </w:tc>
        <w:tc>
          <w:tcPr>
            <w:tcW w:w="570"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restart"/>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辅助工程</w:t>
            </w: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机修车间</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占地面积100.04m</w:t>
            </w:r>
            <w:r>
              <w:rPr>
                <w:rFonts w:hint="eastAsia"/>
                <w:spacing w:val="0"/>
                <w:position w:val="0"/>
                <w:szCs w:val="21"/>
                <w:vertAlign w:val="superscript"/>
              </w:rPr>
              <w:t>2</w:t>
            </w:r>
            <w:r>
              <w:rPr>
                <w:rFonts w:hint="eastAsia"/>
                <w:spacing w:val="0"/>
                <w:position w:val="0"/>
                <w:szCs w:val="21"/>
              </w:rPr>
              <w:t>，建筑面积100.04m</w:t>
            </w:r>
            <w:r>
              <w:rPr>
                <w:rFonts w:hint="eastAsia"/>
                <w:spacing w:val="0"/>
                <w:position w:val="0"/>
                <w:szCs w:val="21"/>
                <w:vertAlign w:val="superscript"/>
              </w:rPr>
              <w:t>2</w:t>
            </w:r>
            <w:r>
              <w:rPr>
                <w:rFonts w:hint="eastAsia"/>
                <w:spacing w:val="0"/>
                <w:position w:val="0"/>
                <w:szCs w:val="21"/>
              </w:rPr>
              <w:t>，共1层</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1#办公楼</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占地面积524.16m</w:t>
            </w:r>
            <w:r>
              <w:rPr>
                <w:rFonts w:hint="eastAsia"/>
                <w:spacing w:val="0"/>
                <w:position w:val="0"/>
                <w:szCs w:val="21"/>
                <w:vertAlign w:val="superscript"/>
              </w:rPr>
              <w:t>2</w:t>
            </w:r>
            <w:r>
              <w:rPr>
                <w:rFonts w:hint="eastAsia"/>
                <w:spacing w:val="0"/>
                <w:position w:val="0"/>
                <w:szCs w:val="21"/>
              </w:rPr>
              <w:t>，建筑面积3749.52m</w:t>
            </w:r>
            <w:r>
              <w:rPr>
                <w:rFonts w:hint="eastAsia"/>
                <w:spacing w:val="0"/>
                <w:position w:val="0"/>
                <w:szCs w:val="21"/>
                <w:vertAlign w:val="superscript"/>
              </w:rPr>
              <w:t>2</w:t>
            </w:r>
            <w:r>
              <w:rPr>
                <w:rFonts w:hint="eastAsia"/>
                <w:spacing w:val="0"/>
                <w:position w:val="0"/>
                <w:szCs w:val="21"/>
              </w:rPr>
              <w:t>，共7层</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2#办公楼</w:t>
            </w:r>
          </w:p>
        </w:tc>
        <w:tc>
          <w:tcPr>
            <w:tcW w:w="6400" w:type="dxa"/>
            <w:tcBorders>
              <w:tl2br w:val="nil"/>
              <w:tr2bl w:val="nil"/>
            </w:tcBorders>
            <w:vAlign w:val="center"/>
          </w:tcPr>
          <w:p>
            <w:pPr>
              <w:widowControl w:val="0"/>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占地面积524.16m</w:t>
            </w:r>
            <w:r>
              <w:rPr>
                <w:rFonts w:hint="eastAsia"/>
                <w:spacing w:val="0"/>
                <w:position w:val="0"/>
                <w:szCs w:val="21"/>
                <w:vertAlign w:val="superscript"/>
              </w:rPr>
              <w:t>2</w:t>
            </w:r>
            <w:r>
              <w:rPr>
                <w:rFonts w:hint="eastAsia"/>
                <w:spacing w:val="0"/>
                <w:position w:val="0"/>
                <w:szCs w:val="21"/>
              </w:rPr>
              <w:t>，建筑面积3749.52m</w:t>
            </w:r>
            <w:r>
              <w:rPr>
                <w:rFonts w:hint="eastAsia"/>
                <w:spacing w:val="0"/>
                <w:position w:val="0"/>
                <w:szCs w:val="21"/>
                <w:vertAlign w:val="superscript"/>
              </w:rPr>
              <w:t>2</w:t>
            </w:r>
            <w:r>
              <w:rPr>
                <w:rFonts w:hint="eastAsia"/>
                <w:spacing w:val="0"/>
                <w:position w:val="0"/>
                <w:szCs w:val="21"/>
              </w:rPr>
              <w:t>，共7层</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门卫</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占地面积67.76m</w:t>
            </w:r>
            <w:r>
              <w:rPr>
                <w:rFonts w:hint="eastAsia"/>
                <w:spacing w:val="0"/>
                <w:position w:val="0"/>
                <w:szCs w:val="21"/>
                <w:vertAlign w:val="superscript"/>
              </w:rPr>
              <w:t>2</w:t>
            </w:r>
            <w:r>
              <w:rPr>
                <w:rFonts w:hint="eastAsia"/>
                <w:spacing w:val="0"/>
                <w:position w:val="0"/>
                <w:szCs w:val="21"/>
              </w:rPr>
              <w:t>，建筑面积67.76m</w:t>
            </w:r>
            <w:r>
              <w:rPr>
                <w:rFonts w:hint="eastAsia"/>
                <w:spacing w:val="0"/>
                <w:position w:val="0"/>
                <w:szCs w:val="21"/>
                <w:vertAlign w:val="superscript"/>
              </w:rPr>
              <w:t>2</w:t>
            </w:r>
            <w:r>
              <w:rPr>
                <w:rFonts w:hint="eastAsia"/>
                <w:spacing w:val="0"/>
                <w:position w:val="0"/>
                <w:szCs w:val="21"/>
              </w:rPr>
              <w:t>，共1层</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restart"/>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公用工程</w:t>
            </w: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供水工程</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生产用水由产业园区集中取自塘坂引水工程，生活办公用水由金狮溪水厂统一供水。总用水量为</w:t>
            </w:r>
            <w:r>
              <w:rPr>
                <w:rFonts w:hint="eastAsia"/>
                <w:spacing w:val="0"/>
                <w:position w:val="0"/>
                <w:szCs w:val="21"/>
                <w:lang w:val="en-US" w:eastAsia="zh-CN"/>
              </w:rPr>
              <w:t>6427.4</w:t>
            </w:r>
            <w:r>
              <w:rPr>
                <w:rFonts w:hint="eastAsia"/>
                <w:spacing w:val="0"/>
                <w:position w:val="0"/>
                <w:szCs w:val="21"/>
              </w:rPr>
              <w:t>t/d，其中</w:t>
            </w:r>
            <w:r>
              <w:rPr>
                <w:rFonts w:hint="eastAsia"/>
                <w:spacing w:val="0"/>
                <w:position w:val="0"/>
                <w:szCs w:val="21"/>
                <w:lang w:val="en-US" w:eastAsia="zh-CN"/>
              </w:rPr>
              <w:t>工业</w:t>
            </w:r>
            <w:r>
              <w:rPr>
                <w:rFonts w:hint="eastAsia"/>
                <w:spacing w:val="0"/>
                <w:position w:val="0"/>
                <w:szCs w:val="21"/>
              </w:rPr>
              <w:t>新鲜水用量为</w:t>
            </w:r>
            <w:r>
              <w:rPr>
                <w:rFonts w:hint="eastAsia"/>
                <w:spacing w:val="0"/>
                <w:position w:val="0"/>
                <w:szCs w:val="21"/>
                <w:lang w:val="en-US" w:eastAsia="zh-CN"/>
              </w:rPr>
              <w:t>1925.12</w:t>
            </w:r>
            <w:r>
              <w:rPr>
                <w:rFonts w:hint="eastAsia"/>
                <w:spacing w:val="0"/>
                <w:position w:val="0"/>
                <w:szCs w:val="21"/>
              </w:rPr>
              <w:t>t/d，</w:t>
            </w:r>
            <w:r>
              <w:rPr>
                <w:rFonts w:hint="eastAsia"/>
                <w:spacing w:val="0"/>
                <w:position w:val="0"/>
                <w:szCs w:val="21"/>
                <w:lang w:val="en-US" w:eastAsia="zh-CN"/>
              </w:rPr>
              <w:t>生活用水为12.95t/d，</w:t>
            </w:r>
            <w:r>
              <w:rPr>
                <w:rFonts w:hint="eastAsia"/>
                <w:spacing w:val="0"/>
                <w:position w:val="0"/>
                <w:szCs w:val="21"/>
              </w:rPr>
              <w:t>园区污水厂中水回用水量约</w:t>
            </w:r>
            <w:r>
              <w:rPr>
                <w:rFonts w:hint="eastAsia"/>
                <w:spacing w:val="0"/>
                <w:position w:val="0"/>
                <w:szCs w:val="21"/>
                <w:lang w:val="en-US" w:eastAsia="zh-CN"/>
              </w:rPr>
              <w:t>1863.72</w:t>
            </w:r>
            <w:r>
              <w:rPr>
                <w:rFonts w:hint="eastAsia"/>
                <w:spacing w:val="0"/>
                <w:position w:val="0"/>
                <w:szCs w:val="21"/>
              </w:rPr>
              <w:t>t/d，</w:t>
            </w:r>
            <w:r>
              <w:rPr>
                <w:rFonts w:hint="eastAsia"/>
                <w:spacing w:val="0"/>
                <w:position w:val="0"/>
                <w:szCs w:val="21"/>
                <w:lang w:val="en-US" w:eastAsia="zh-CN"/>
              </w:rPr>
              <w:t>循环冷却水用量2138.18t/d，冷凝水487.43t/d</w:t>
            </w:r>
            <w:r>
              <w:rPr>
                <w:rFonts w:hint="eastAsia"/>
                <w:spacing w:val="0"/>
                <w:position w:val="0"/>
                <w:szCs w:val="21"/>
              </w:rPr>
              <w:t>。</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依托园区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排水工程</w:t>
            </w:r>
          </w:p>
        </w:tc>
        <w:tc>
          <w:tcPr>
            <w:tcW w:w="6400" w:type="dxa"/>
            <w:tcBorders>
              <w:tl2br w:val="nil"/>
              <w:tr2bl w:val="nil"/>
            </w:tcBorders>
            <w:vAlign w:val="center"/>
          </w:tcPr>
          <w:p>
            <w:pPr>
              <w:widowControl w:val="0"/>
              <w:adjustRightInd w:val="0"/>
              <w:snapToGrid w:val="0"/>
              <w:rPr>
                <w:spacing w:val="0"/>
                <w:position w:val="0"/>
                <w:szCs w:val="21"/>
              </w:rPr>
            </w:pPr>
            <w:r>
              <w:rPr>
                <w:rFonts w:hint="eastAsia"/>
                <w:spacing w:val="0"/>
                <w:position w:val="0"/>
                <w:szCs w:val="21"/>
              </w:rPr>
              <w:t>排水采用雨污分流制和清污分流制（高、低浓度污水分流）。建设高、低浓度污水收集管，雨水管等，通过泵排至产业园区污水总管网，</w:t>
            </w:r>
            <w:r>
              <w:rPr>
                <w:rFonts w:hint="eastAsia"/>
                <w:spacing w:val="0"/>
                <w:position w:val="0"/>
                <w:szCs w:val="21"/>
                <w:lang w:eastAsia="zh-CN"/>
              </w:rPr>
              <w:t>尾水</w:t>
            </w:r>
            <w:r>
              <w:rPr>
                <w:rFonts w:hint="eastAsia"/>
                <w:spacing w:val="0"/>
                <w:position w:val="0"/>
                <w:szCs w:val="21"/>
              </w:rPr>
              <w:t>经产业园污水处理厂处理达到一级A标后接入湾外排放口外排</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供电工程</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由产业园一期的10kV开关站采用四路10kV专用进线，电源引自当地供电部门。厂区内设置高压配电房引入，年总用电量约4027.5万度。</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供热工程</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本项目使用蒸汽由园区统一提供，园区热源为福建申远新材料有限公司，年低压蒸汽（0.8MPa）用量6.</w:t>
            </w:r>
            <w:r>
              <w:rPr>
                <w:rFonts w:hint="eastAsia"/>
                <w:spacing w:val="0"/>
                <w:position w:val="0"/>
                <w:szCs w:val="21"/>
                <w:lang w:val="en-US" w:eastAsia="zh-CN"/>
              </w:rPr>
              <w:t>78</w:t>
            </w:r>
            <w:r>
              <w:rPr>
                <w:rFonts w:hint="eastAsia"/>
                <w:spacing w:val="0"/>
                <w:position w:val="0"/>
                <w:szCs w:val="21"/>
              </w:rPr>
              <w:t>万t/a，中压蒸汽（2.8MPa）用量1</w:t>
            </w:r>
            <w:r>
              <w:rPr>
                <w:rFonts w:hint="eastAsia"/>
                <w:spacing w:val="0"/>
                <w:position w:val="0"/>
                <w:szCs w:val="21"/>
                <w:lang w:val="en-US" w:eastAsia="zh-CN"/>
              </w:rPr>
              <w:t>1.21</w:t>
            </w:r>
            <w:r>
              <w:rPr>
                <w:rFonts w:hint="eastAsia"/>
                <w:spacing w:val="0"/>
                <w:position w:val="0"/>
                <w:szCs w:val="21"/>
              </w:rPr>
              <w:t>万t/a。</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依托园区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空压站</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lang w:val="en-US" w:eastAsia="zh-CN"/>
              </w:rPr>
              <w:t>一层工具间内</w:t>
            </w:r>
            <w:r>
              <w:rPr>
                <w:rFonts w:hint="eastAsia"/>
                <w:spacing w:val="0"/>
                <w:position w:val="0"/>
                <w:szCs w:val="21"/>
              </w:rPr>
              <w:t>设置</w:t>
            </w:r>
            <w:r>
              <w:rPr>
                <w:rFonts w:hint="eastAsia"/>
                <w:spacing w:val="0"/>
                <w:position w:val="0"/>
                <w:szCs w:val="21"/>
                <w:lang w:eastAsia="zh-CN"/>
              </w:rPr>
              <w:t>空压</w:t>
            </w:r>
            <w:r>
              <w:rPr>
                <w:rFonts w:hint="eastAsia"/>
                <w:spacing w:val="0"/>
                <w:position w:val="0"/>
                <w:szCs w:val="21"/>
                <w:lang w:val="en-US" w:eastAsia="zh-CN"/>
              </w:rPr>
              <w:t>设备</w:t>
            </w:r>
            <w:r>
              <w:rPr>
                <w:rFonts w:hint="eastAsia"/>
                <w:spacing w:val="0"/>
                <w:position w:val="0"/>
                <w:szCs w:val="21"/>
                <w:lang w:eastAsia="zh-CN"/>
              </w:rPr>
              <w:t>，供各车间压缩空气使用，独立运行独立核算。</w:t>
            </w:r>
            <w:r>
              <w:rPr>
                <w:rFonts w:hint="eastAsia"/>
                <w:spacing w:val="0"/>
                <w:position w:val="0"/>
                <w:szCs w:val="21"/>
              </w:rPr>
              <w:t>设置风冷式螺杆空压机5台（4用1备），用气量75Nm</w:t>
            </w:r>
            <w:r>
              <w:rPr>
                <w:rFonts w:hint="eastAsia"/>
                <w:spacing w:val="0"/>
                <w:position w:val="0"/>
                <w:szCs w:val="21"/>
                <w:vertAlign w:val="superscript"/>
              </w:rPr>
              <w:t>3</w:t>
            </w:r>
            <w:r>
              <w:rPr>
                <w:rFonts w:hint="eastAsia"/>
                <w:spacing w:val="0"/>
                <w:position w:val="0"/>
                <w:szCs w:val="21"/>
              </w:rPr>
              <w:t>/min，</w:t>
            </w:r>
            <w:r>
              <w:rPr>
                <w:rFonts w:hint="eastAsia"/>
                <w:spacing w:val="0"/>
                <w:position w:val="0"/>
                <w:szCs w:val="21"/>
                <w:lang w:eastAsia="zh-CN"/>
              </w:rPr>
              <w:t>其配备</w:t>
            </w:r>
            <w:r>
              <w:rPr>
                <w:rFonts w:hint="eastAsia"/>
                <w:spacing w:val="0"/>
                <w:position w:val="0"/>
                <w:szCs w:val="21"/>
              </w:rPr>
              <w:t>微热再生吸附式干燥器5台（4用1备）。</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冷冻站</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lang w:val="en-US" w:eastAsia="zh-CN"/>
              </w:rPr>
              <w:t>一层工具间内</w:t>
            </w:r>
            <w:r>
              <w:rPr>
                <w:rFonts w:hint="eastAsia"/>
                <w:spacing w:val="0"/>
                <w:position w:val="0"/>
                <w:szCs w:val="21"/>
              </w:rPr>
              <w:t>设置4台离心式冷水机组，单机制冷量960kW，制冷剂为R134a和R410a。</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消防设施</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消防用水由产业园区消防水池及泵房统一供给，水源为市政自来水管网。室内消防水量20L/</w:t>
            </w:r>
            <w:r>
              <w:rPr>
                <w:rFonts w:hint="eastAsia"/>
                <w:spacing w:val="0"/>
                <w:position w:val="0"/>
                <w:szCs w:val="21"/>
                <w:lang w:val="en-US" w:eastAsia="zh-CN"/>
              </w:rPr>
              <w:t>s</w:t>
            </w:r>
            <w:r>
              <w:rPr>
                <w:rFonts w:hint="eastAsia"/>
                <w:spacing w:val="0"/>
                <w:position w:val="0"/>
                <w:szCs w:val="21"/>
              </w:rPr>
              <w:t>，室外消防水量40L/</w:t>
            </w:r>
            <w:r>
              <w:rPr>
                <w:rFonts w:hint="eastAsia"/>
                <w:spacing w:val="0"/>
                <w:position w:val="0"/>
                <w:szCs w:val="21"/>
                <w:lang w:val="en-US" w:eastAsia="zh-CN"/>
              </w:rPr>
              <w:t>s</w:t>
            </w:r>
            <w:r>
              <w:rPr>
                <w:rFonts w:hint="eastAsia"/>
                <w:spacing w:val="0"/>
                <w:position w:val="0"/>
                <w:szCs w:val="21"/>
              </w:rPr>
              <w:t>。生产车间地下室设一座648m</w:t>
            </w:r>
            <w:r>
              <w:rPr>
                <w:rFonts w:hint="eastAsia"/>
                <w:spacing w:val="0"/>
                <w:position w:val="0"/>
                <w:szCs w:val="21"/>
                <w:vertAlign w:val="superscript"/>
              </w:rPr>
              <w:t>3</w:t>
            </w:r>
            <w:r>
              <w:rPr>
                <w:rFonts w:hint="eastAsia"/>
                <w:spacing w:val="0"/>
                <w:position w:val="0"/>
                <w:szCs w:val="21"/>
              </w:rPr>
              <w:t>的消防水池。</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软水制备系统</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lang w:val="en-US" w:eastAsia="zh-CN"/>
              </w:rPr>
              <w:t>项目设置软水站，</w:t>
            </w:r>
            <w:r>
              <w:rPr>
                <w:rFonts w:hint="eastAsia"/>
                <w:spacing w:val="0"/>
                <w:position w:val="0"/>
                <w:szCs w:val="21"/>
              </w:rPr>
              <w:t>为染整工序提供软水。软水站制水规模为</w:t>
            </w:r>
            <w:r>
              <w:rPr>
                <w:rFonts w:hint="eastAsia"/>
                <w:spacing w:val="0"/>
                <w:position w:val="0"/>
                <w:szCs w:val="21"/>
                <w:lang w:val="en-US" w:eastAsia="zh-CN"/>
              </w:rPr>
              <w:t>180</w:t>
            </w:r>
            <w:r>
              <w:rPr>
                <w:rFonts w:hint="eastAsia"/>
                <w:spacing w:val="0"/>
                <w:position w:val="0"/>
                <w:szCs w:val="21"/>
              </w:rPr>
              <w:t>t/h，软水制备采用离子交换工艺，离子交换采用氯化钠定期再生。</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中水回用系统</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rPr>
              <w:t>中水回用是采用园区中水</w:t>
            </w:r>
            <w:r>
              <w:rPr>
                <w:rFonts w:hint="eastAsia"/>
                <w:spacing w:val="0"/>
                <w:position w:val="0"/>
                <w:lang w:eastAsia="zh-CN"/>
              </w:rPr>
              <w:t>进行回用</w:t>
            </w:r>
            <w:r>
              <w:rPr>
                <w:rFonts w:hint="eastAsia"/>
                <w:spacing w:val="0"/>
                <w:position w:val="0"/>
              </w:rPr>
              <w:t>，厂内建设中水管道，厂房地下室设共计2300m</w:t>
            </w:r>
            <w:r>
              <w:rPr>
                <w:rFonts w:hint="eastAsia"/>
                <w:spacing w:val="0"/>
                <w:position w:val="0"/>
                <w:vertAlign w:val="superscript"/>
              </w:rPr>
              <w:t>3</w:t>
            </w:r>
            <w:r>
              <w:rPr>
                <w:rFonts w:hint="eastAsia"/>
                <w:spacing w:val="0"/>
                <w:position w:val="0"/>
              </w:rPr>
              <w:t>的中水回用水池。</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restart"/>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储运工程</w:t>
            </w: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危化品库</w:t>
            </w:r>
          </w:p>
        </w:tc>
        <w:tc>
          <w:tcPr>
            <w:tcW w:w="6400" w:type="dxa"/>
            <w:tcBorders>
              <w:tl2br w:val="nil"/>
              <w:tr2bl w:val="nil"/>
            </w:tcBorders>
            <w:vAlign w:val="center"/>
          </w:tcPr>
          <w:p>
            <w:pPr>
              <w:widowControl w:val="0"/>
              <w:adjustRightInd w:val="0"/>
              <w:snapToGrid w:val="0"/>
              <w:jc w:val="center"/>
              <w:rPr>
                <w:rFonts w:hint="eastAsia" w:eastAsia="宋体"/>
                <w:spacing w:val="0"/>
                <w:position w:val="0"/>
                <w:szCs w:val="21"/>
                <w:lang w:eastAsia="zh-CN"/>
              </w:rPr>
            </w:pPr>
            <w:r>
              <w:rPr>
                <w:rFonts w:hint="eastAsia"/>
                <w:spacing w:val="0"/>
                <w:position w:val="0"/>
                <w:szCs w:val="21"/>
              </w:rPr>
              <w:t>位于厂</w:t>
            </w:r>
            <w:r>
              <w:rPr>
                <w:rFonts w:hint="eastAsia"/>
                <w:spacing w:val="0"/>
                <w:position w:val="0"/>
                <w:szCs w:val="21"/>
                <w:lang w:eastAsia="zh-CN"/>
              </w:rPr>
              <w:t>区外，</w:t>
            </w:r>
            <w:r>
              <w:rPr>
                <w:rFonts w:hint="eastAsia"/>
                <w:spacing w:val="0"/>
                <w:position w:val="0"/>
                <w:szCs w:val="21"/>
                <w:lang w:val="en-US" w:eastAsia="zh-CN"/>
              </w:rPr>
              <w:t>租用</w:t>
            </w:r>
            <w:r>
              <w:rPr>
                <w:rFonts w:hint="eastAsia"/>
                <w:spacing w:val="0"/>
                <w:position w:val="0"/>
                <w:szCs w:val="21"/>
                <w:lang w:eastAsia="zh-CN"/>
              </w:rPr>
              <w:t>东北侧</w:t>
            </w:r>
            <w:r>
              <w:rPr>
                <w:rFonts w:hint="eastAsia"/>
                <w:spacing w:val="0"/>
                <w:position w:val="0"/>
                <w:szCs w:val="21"/>
                <w:lang w:val="en-US" w:eastAsia="zh-CN"/>
              </w:rPr>
              <w:t>的</w:t>
            </w:r>
            <w:r>
              <w:rPr>
                <w:rFonts w:hint="eastAsia"/>
                <w:spacing w:val="0"/>
                <w:position w:val="0"/>
                <w:szCs w:val="21"/>
                <w:lang w:eastAsia="zh-CN"/>
              </w:rPr>
              <w:t>芳达纺织厂</w:t>
            </w:r>
            <w:r>
              <w:rPr>
                <w:rFonts w:hint="eastAsia"/>
                <w:spacing w:val="0"/>
                <w:position w:val="0"/>
                <w:szCs w:val="21"/>
                <w:lang w:val="en-US" w:eastAsia="zh-CN"/>
              </w:rPr>
              <w:t>内地块</w:t>
            </w:r>
            <w:r>
              <w:rPr>
                <w:rFonts w:hint="eastAsia"/>
                <w:spacing w:val="0"/>
                <w:position w:val="0"/>
                <w:szCs w:val="21"/>
              </w:rPr>
              <w:t>，占地面积48m</w:t>
            </w:r>
            <w:r>
              <w:rPr>
                <w:rFonts w:hint="eastAsia"/>
                <w:spacing w:val="0"/>
                <w:position w:val="0"/>
                <w:szCs w:val="21"/>
                <w:vertAlign w:val="superscript"/>
              </w:rPr>
              <w:t>2</w:t>
            </w:r>
            <w:r>
              <w:rPr>
                <w:rFonts w:hint="eastAsia"/>
                <w:spacing w:val="0"/>
                <w:position w:val="0"/>
                <w:szCs w:val="21"/>
              </w:rPr>
              <w:t>，共1层，用于存放保险粉、片碱、冰醋酸、硫酸铵等化学品</w:t>
            </w:r>
            <w:r>
              <w:rPr>
                <w:rFonts w:hint="eastAsia"/>
                <w:spacing w:val="0"/>
                <w:position w:val="0"/>
                <w:szCs w:val="21"/>
                <w:lang w:eastAsia="zh-CN"/>
              </w:rPr>
              <w:t>，</w:t>
            </w:r>
            <w:r>
              <w:rPr>
                <w:rFonts w:hint="eastAsia"/>
                <w:spacing w:val="0"/>
                <w:position w:val="0"/>
                <w:szCs w:val="21"/>
                <w:lang w:val="en-US" w:eastAsia="zh-CN"/>
              </w:rPr>
              <w:t>即用即运</w:t>
            </w:r>
            <w:r>
              <w:rPr>
                <w:rFonts w:hint="eastAsia"/>
                <w:spacing w:val="0"/>
                <w:position w:val="0"/>
                <w:szCs w:val="21"/>
                <w:lang w:eastAsia="zh-CN"/>
              </w:rPr>
              <w:t>。</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rFonts w:hint="eastAsia"/>
                <w:spacing w:val="0"/>
                <w:position w:val="0"/>
                <w:szCs w:val="21"/>
              </w:rPr>
            </w:pPr>
          </w:p>
        </w:tc>
        <w:tc>
          <w:tcPr>
            <w:tcW w:w="1277" w:type="dxa"/>
            <w:gridSpan w:val="2"/>
            <w:tcBorders>
              <w:tl2br w:val="nil"/>
              <w:tr2bl w:val="nil"/>
            </w:tcBorders>
            <w:vAlign w:val="center"/>
          </w:tcPr>
          <w:p>
            <w:pPr>
              <w:widowControl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染料库</w:t>
            </w:r>
          </w:p>
        </w:tc>
        <w:tc>
          <w:tcPr>
            <w:tcW w:w="6400" w:type="dxa"/>
            <w:tcBorders>
              <w:tl2br w:val="nil"/>
              <w:tr2bl w:val="nil"/>
            </w:tcBorders>
            <w:vAlign w:val="center"/>
          </w:tcPr>
          <w:p>
            <w:pPr>
              <w:widowControl w:val="0"/>
              <w:adjustRightInd w:val="0"/>
              <w:snapToGrid w:val="0"/>
              <w:jc w:val="center"/>
              <w:rPr>
                <w:rFonts w:hint="eastAsia" w:eastAsia="宋体"/>
                <w:spacing w:val="0"/>
                <w:position w:val="0"/>
                <w:szCs w:val="21"/>
                <w:lang w:eastAsia="zh-CN"/>
              </w:rPr>
            </w:pPr>
            <w:r>
              <w:rPr>
                <w:rFonts w:hint="eastAsia"/>
                <w:spacing w:val="0"/>
                <w:position w:val="0"/>
                <w:szCs w:val="21"/>
              </w:rPr>
              <w:t>位于生产厂房一层的染整车间的南部，占地面积80m2，用于存放染料</w:t>
            </w:r>
            <w:r>
              <w:rPr>
                <w:rFonts w:hint="eastAsia"/>
                <w:spacing w:val="0"/>
                <w:position w:val="0"/>
                <w:szCs w:val="21"/>
                <w:lang w:eastAsia="zh-CN"/>
              </w:rPr>
              <w:t>。</w:t>
            </w:r>
          </w:p>
        </w:tc>
        <w:tc>
          <w:tcPr>
            <w:tcW w:w="570" w:type="dxa"/>
            <w:tcBorders>
              <w:tl2br w:val="nil"/>
              <w:tr2bl w:val="nil"/>
            </w:tcBorders>
            <w:vAlign w:val="center"/>
          </w:tcPr>
          <w:p>
            <w:pPr>
              <w:widowControl w:val="0"/>
              <w:adjustRightInd w:val="0"/>
              <w:snapToGrid w:val="0"/>
              <w:jc w:val="center"/>
              <w:rPr>
                <w:rFonts w:hint="eastAsia"/>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原料仓库</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位于生产车间第</w:t>
            </w:r>
            <w:r>
              <w:rPr>
                <w:rFonts w:hint="eastAsia"/>
                <w:spacing w:val="0"/>
                <w:position w:val="0"/>
                <w:szCs w:val="21"/>
                <w:lang w:val="en-US" w:eastAsia="zh-CN"/>
              </w:rPr>
              <w:t>三</w:t>
            </w:r>
            <w:r>
              <w:rPr>
                <w:rFonts w:hint="eastAsia"/>
                <w:spacing w:val="0"/>
                <w:position w:val="0"/>
                <w:szCs w:val="21"/>
              </w:rPr>
              <w:t>层，占地面积约</w:t>
            </w:r>
            <w:r>
              <w:rPr>
                <w:rFonts w:hint="eastAsia"/>
                <w:spacing w:val="0"/>
                <w:position w:val="0"/>
                <w:szCs w:val="21"/>
                <w:lang w:val="en-US" w:eastAsia="zh-CN"/>
              </w:rPr>
              <w:t>1209.6</w:t>
            </w:r>
            <w:r>
              <w:rPr>
                <w:rFonts w:hint="eastAsia"/>
                <w:spacing w:val="0"/>
                <w:position w:val="0"/>
                <w:szCs w:val="21"/>
              </w:rPr>
              <w:t>m</w:t>
            </w:r>
            <w:r>
              <w:rPr>
                <w:rFonts w:hint="eastAsia"/>
                <w:spacing w:val="0"/>
                <w:position w:val="0"/>
                <w:szCs w:val="21"/>
                <w:vertAlign w:val="superscript"/>
              </w:rPr>
              <w:t>2</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成品仓库</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lang w:val="en-US" w:eastAsia="zh-CN"/>
              </w:rPr>
              <w:t>主要</w:t>
            </w:r>
            <w:r>
              <w:rPr>
                <w:rFonts w:hint="eastAsia"/>
                <w:spacing w:val="0"/>
                <w:position w:val="0"/>
                <w:szCs w:val="21"/>
              </w:rPr>
              <w:t>位于生产车间</w:t>
            </w:r>
            <w:r>
              <w:rPr>
                <w:rFonts w:hint="eastAsia"/>
                <w:spacing w:val="0"/>
                <w:position w:val="0"/>
                <w:szCs w:val="21"/>
                <w:lang w:val="en-US" w:eastAsia="zh-CN"/>
              </w:rPr>
              <w:t>二层的检验储布区域</w:t>
            </w:r>
            <w:r>
              <w:rPr>
                <w:rFonts w:hint="eastAsia"/>
                <w:spacing w:val="0"/>
                <w:position w:val="0"/>
                <w:szCs w:val="21"/>
              </w:rPr>
              <w:t>，占地面积约</w:t>
            </w:r>
            <w:r>
              <w:rPr>
                <w:rFonts w:hint="eastAsia"/>
                <w:spacing w:val="0"/>
                <w:position w:val="0"/>
                <w:szCs w:val="21"/>
                <w:lang w:val="en-US" w:eastAsia="zh-CN"/>
              </w:rPr>
              <w:t>1500</w:t>
            </w:r>
            <w:r>
              <w:rPr>
                <w:rFonts w:hint="eastAsia"/>
                <w:spacing w:val="0"/>
                <w:position w:val="0"/>
                <w:szCs w:val="21"/>
              </w:rPr>
              <w:t>m</w:t>
            </w:r>
            <w:r>
              <w:rPr>
                <w:rFonts w:hint="eastAsia"/>
                <w:spacing w:val="0"/>
                <w:position w:val="0"/>
                <w:szCs w:val="21"/>
                <w:vertAlign w:val="superscript"/>
              </w:rPr>
              <w:t>2</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restart"/>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环保工程</w:t>
            </w: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废气治理工程</w:t>
            </w:r>
          </w:p>
        </w:tc>
        <w:tc>
          <w:tcPr>
            <w:tcW w:w="6400" w:type="dxa"/>
            <w:tcBorders>
              <w:tl2br w:val="nil"/>
              <w:tr2bl w:val="nil"/>
            </w:tcBorders>
            <w:vAlign w:val="center"/>
          </w:tcPr>
          <w:p>
            <w:pPr>
              <w:widowControl w:val="0"/>
              <w:numPr>
                <w:ilvl w:val="0"/>
                <w:numId w:val="0"/>
              </w:numPr>
              <w:adjustRightInd w:val="0"/>
              <w:snapToGrid w:val="0"/>
              <w:rPr>
                <w:rStyle w:val="19"/>
                <w:spacing w:val="0"/>
                <w:position w:val="0"/>
              </w:rPr>
            </w:pPr>
            <w:r>
              <w:rPr>
                <w:rFonts w:ascii="Times New Roman" w:hAnsi="Times New Roman" w:eastAsia="宋体" w:cs="Times New Roman"/>
                <w:spacing w:val="0"/>
                <w:kern w:val="2"/>
                <w:position w:val="0"/>
                <w:sz w:val="21"/>
                <w:szCs w:val="21"/>
                <w:lang w:val="en-US" w:eastAsia="zh-CN" w:bidi="ar-SA"/>
              </w:rPr>
              <w:t>1）</w:t>
            </w:r>
            <w:r>
              <w:rPr>
                <w:rFonts w:hint="eastAsia"/>
                <w:spacing w:val="0"/>
                <w:position w:val="0"/>
                <w:szCs w:val="21"/>
                <w:lang w:val="en-US" w:eastAsia="zh-CN"/>
              </w:rPr>
              <w:t>定型废气、印花废气、蒸化废气，均通过“热能回收+冷却+静电”处理工艺进行处理，分别引至30m高的DA001排气筒及DA002排气筒排放</w:t>
            </w:r>
            <w:r>
              <w:rPr>
                <w:rFonts w:hint="eastAsia"/>
                <w:spacing w:val="0"/>
                <w:position w:val="0"/>
                <w:szCs w:val="21"/>
              </w:rPr>
              <w:t>。</w:t>
            </w:r>
          </w:p>
          <w:p>
            <w:pPr>
              <w:widowControl w:val="0"/>
              <w:numPr>
                <w:ilvl w:val="0"/>
                <w:numId w:val="0"/>
              </w:numPr>
              <w:adjustRightInd w:val="0"/>
              <w:snapToGrid w:val="0"/>
              <w:rPr>
                <w:rFonts w:hint="default" w:eastAsia="宋体"/>
                <w:spacing w:val="0"/>
                <w:position w:val="0"/>
                <w:szCs w:val="21"/>
                <w:lang w:val="en-US" w:eastAsia="zh-CN"/>
              </w:rPr>
            </w:pPr>
            <w:r>
              <w:rPr>
                <w:rFonts w:hint="eastAsia" w:ascii="Times New Roman" w:hAnsi="Times New Roman" w:eastAsia="宋体" w:cs="Times New Roman"/>
                <w:spacing w:val="0"/>
                <w:kern w:val="2"/>
                <w:position w:val="0"/>
                <w:sz w:val="21"/>
                <w:szCs w:val="21"/>
                <w:lang w:val="en-US" w:eastAsia="zh-CN" w:bidi="ar-SA"/>
              </w:rPr>
              <w:t>2）</w:t>
            </w:r>
            <w:r>
              <w:rPr>
                <w:rStyle w:val="19"/>
                <w:rFonts w:hint="eastAsia"/>
                <w:spacing w:val="0"/>
                <w:position w:val="0"/>
                <w:lang w:val="en-US" w:eastAsia="zh-CN"/>
              </w:rPr>
              <w:t>磨毛废气经布袋除尘器处理后，于车间内排放。</w:t>
            </w:r>
          </w:p>
          <w:p>
            <w:pPr>
              <w:widowControl w:val="0"/>
              <w:adjustRightInd w:val="0"/>
              <w:snapToGrid w:val="0"/>
              <w:rPr>
                <w:spacing w:val="0"/>
                <w:position w:val="0"/>
                <w:szCs w:val="21"/>
              </w:rPr>
            </w:pPr>
            <w:r>
              <w:rPr>
                <w:rFonts w:hint="eastAsia"/>
                <w:spacing w:val="0"/>
                <w:position w:val="0"/>
                <w:szCs w:val="21"/>
                <w:lang w:val="en-US" w:eastAsia="zh-CN"/>
              </w:rPr>
              <w:t>3）高、低浓度废水收集池加盖密闭，因此不考虑恶臭影响</w:t>
            </w:r>
            <w:r>
              <w:rPr>
                <w:rFonts w:hint="eastAsia"/>
                <w:spacing w:val="0"/>
                <w:position w:val="0"/>
                <w:szCs w:val="21"/>
              </w:rPr>
              <w:t>。</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vMerge w:val="restart"/>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废水处理工程</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本项目不设污水处理站，仅在生产车间地下一层建设高、低浓度废水收集池，废水从收集池提升后分别排入园区高、低浓度废水收集管网，高、低浓度废水收集池容积分别为1800m</w:t>
            </w:r>
            <w:r>
              <w:rPr>
                <w:rFonts w:hint="eastAsia"/>
                <w:spacing w:val="0"/>
                <w:position w:val="0"/>
                <w:szCs w:val="21"/>
                <w:vertAlign w:val="superscript"/>
              </w:rPr>
              <w:t>3</w:t>
            </w:r>
            <w:r>
              <w:rPr>
                <w:rFonts w:hint="eastAsia"/>
                <w:spacing w:val="0"/>
                <w:position w:val="0"/>
                <w:szCs w:val="21"/>
              </w:rPr>
              <w:t>、1300m</w:t>
            </w:r>
            <w:r>
              <w:rPr>
                <w:rFonts w:hint="eastAsia"/>
                <w:spacing w:val="0"/>
                <w:position w:val="0"/>
                <w:szCs w:val="21"/>
                <w:vertAlign w:val="superscript"/>
              </w:rPr>
              <w:t>3</w:t>
            </w:r>
            <w:r>
              <w:rPr>
                <w:rFonts w:hint="eastAsia"/>
                <w:spacing w:val="0"/>
                <w:position w:val="0"/>
                <w:szCs w:val="21"/>
              </w:rPr>
              <w:t>。</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rPr>
            </w:pPr>
          </w:p>
        </w:tc>
        <w:tc>
          <w:tcPr>
            <w:tcW w:w="1277" w:type="dxa"/>
            <w:gridSpan w:val="2"/>
            <w:vMerge w:val="continue"/>
            <w:tcBorders>
              <w:tl2br w:val="nil"/>
              <w:tr2bl w:val="nil"/>
            </w:tcBorders>
            <w:vAlign w:val="center"/>
          </w:tcPr>
          <w:p>
            <w:pPr>
              <w:widowControl w:val="0"/>
              <w:adjustRightInd w:val="0"/>
              <w:snapToGrid w:val="0"/>
              <w:jc w:val="center"/>
              <w:rPr>
                <w:spacing w:val="0"/>
                <w:position w:val="0"/>
              </w:rPr>
            </w:pPr>
          </w:p>
        </w:tc>
        <w:tc>
          <w:tcPr>
            <w:tcW w:w="6400" w:type="dxa"/>
            <w:tcBorders>
              <w:tl2br w:val="nil"/>
              <w:tr2bl w:val="nil"/>
            </w:tcBorders>
            <w:vAlign w:val="center"/>
          </w:tcPr>
          <w:p>
            <w:pPr>
              <w:widowControl w:val="0"/>
              <w:adjustRightInd w:val="0"/>
              <w:snapToGrid w:val="0"/>
              <w:jc w:val="center"/>
              <w:rPr>
                <w:rFonts w:hint="eastAsia" w:eastAsia="宋体"/>
                <w:spacing w:val="0"/>
                <w:position w:val="0"/>
                <w:szCs w:val="21"/>
                <w:lang w:eastAsia="zh-CN"/>
              </w:rPr>
            </w:pPr>
            <w:r>
              <w:rPr>
                <w:rFonts w:hint="eastAsia"/>
                <w:spacing w:val="0"/>
                <w:position w:val="0"/>
                <w:szCs w:val="21"/>
              </w:rPr>
              <w:t>废水分质排入园区污水处理厂的高、低浓度两套处理系统处理，</w:t>
            </w:r>
            <w:r>
              <w:rPr>
                <w:rFonts w:hint="eastAsia"/>
                <w:spacing w:val="0"/>
                <w:position w:val="0"/>
                <w:szCs w:val="21"/>
                <w:lang w:val="en-US" w:eastAsia="zh-CN"/>
              </w:rPr>
              <w:t>低浓度废水</w:t>
            </w:r>
            <w:r>
              <w:rPr>
                <w:rFonts w:hint="eastAsia"/>
                <w:spacing w:val="0"/>
                <w:position w:val="0"/>
                <w:szCs w:val="21"/>
              </w:rPr>
              <w:t>处理后由专管回到各企业生产重复利用，</w:t>
            </w:r>
            <w:r>
              <w:rPr>
                <w:rFonts w:hint="eastAsia"/>
                <w:spacing w:val="0"/>
                <w:position w:val="0"/>
                <w:szCs w:val="21"/>
                <w:lang w:val="en-US" w:eastAsia="zh-CN"/>
              </w:rPr>
              <w:t>高浓度废水处理后</w:t>
            </w:r>
            <w:r>
              <w:rPr>
                <w:rFonts w:hint="eastAsia"/>
                <w:spacing w:val="0"/>
                <w:position w:val="0"/>
                <w:szCs w:val="21"/>
              </w:rPr>
              <w:t>通过管网排海</w:t>
            </w:r>
            <w:r>
              <w:rPr>
                <w:rStyle w:val="19"/>
                <w:rFonts w:hint="eastAsia"/>
                <w:spacing w:val="0"/>
                <w:position w:val="0"/>
                <w:lang w:eastAsia="zh-CN"/>
              </w:rPr>
              <w:t>。</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依托园区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噪声处理工程</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选用低噪设备，减振隔声措施。</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固废处理工程</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①废丝、废布头及次品外售综合利用；普通废包装外售回收企业；危化品废包装、废气处理废油、化验室废液委托有资质单位进行处置。</w:t>
            </w:r>
          </w:p>
          <w:p>
            <w:pPr>
              <w:widowControl w:val="0"/>
              <w:adjustRightInd w:val="0"/>
              <w:snapToGrid w:val="0"/>
              <w:jc w:val="center"/>
              <w:rPr>
                <w:spacing w:val="0"/>
                <w:position w:val="0"/>
                <w:szCs w:val="21"/>
              </w:rPr>
            </w:pPr>
            <w:r>
              <w:rPr>
                <w:rFonts w:hint="eastAsia"/>
                <w:spacing w:val="0"/>
                <w:position w:val="0"/>
                <w:szCs w:val="21"/>
              </w:rPr>
              <w:t>②规范建设一般固废仓库和危废暂存仓库。一般固废仓库位于生产厂房一层的染整车间南部，占地面积80m</w:t>
            </w:r>
            <w:r>
              <w:rPr>
                <w:rFonts w:hint="eastAsia"/>
                <w:spacing w:val="0"/>
                <w:position w:val="0"/>
                <w:szCs w:val="21"/>
                <w:vertAlign w:val="superscript"/>
              </w:rPr>
              <w:t>2</w:t>
            </w:r>
            <w:r>
              <w:rPr>
                <w:rFonts w:hint="eastAsia"/>
                <w:spacing w:val="0"/>
                <w:position w:val="0"/>
                <w:szCs w:val="21"/>
              </w:rPr>
              <w:t>；危废暂存仓库</w:t>
            </w:r>
            <w:r>
              <w:rPr>
                <w:rFonts w:hint="eastAsia"/>
                <w:spacing w:val="0"/>
                <w:position w:val="0"/>
                <w:szCs w:val="21"/>
                <w:lang w:val="en-US" w:eastAsia="zh-CN"/>
              </w:rPr>
              <w:t>租用项目</w:t>
            </w:r>
            <w:r>
              <w:rPr>
                <w:rFonts w:hint="eastAsia"/>
                <w:spacing w:val="0"/>
                <w:position w:val="0"/>
                <w:szCs w:val="21"/>
              </w:rPr>
              <w:t>东北侧芳达纺织厂</w:t>
            </w:r>
            <w:r>
              <w:rPr>
                <w:rFonts w:hint="eastAsia"/>
                <w:spacing w:val="0"/>
                <w:position w:val="0"/>
                <w:szCs w:val="21"/>
                <w:lang w:val="en-US" w:eastAsia="zh-CN"/>
              </w:rPr>
              <w:t>场地</w:t>
            </w:r>
            <w:r>
              <w:rPr>
                <w:rFonts w:hint="eastAsia"/>
                <w:spacing w:val="0"/>
                <w:position w:val="0"/>
                <w:szCs w:val="21"/>
              </w:rPr>
              <w:t>，占地面积57.6m</w:t>
            </w:r>
            <w:r>
              <w:rPr>
                <w:rFonts w:hint="eastAsia"/>
                <w:spacing w:val="0"/>
                <w:position w:val="0"/>
                <w:szCs w:val="21"/>
                <w:vertAlign w:val="superscript"/>
              </w:rPr>
              <w:t>2</w:t>
            </w:r>
            <w:r>
              <w:rPr>
                <w:rFonts w:hint="eastAsia"/>
                <w:spacing w:val="0"/>
                <w:position w:val="0"/>
                <w:szCs w:val="21"/>
              </w:rPr>
              <w:t>，共1层，用于存放危险废物。</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42" w:type="dxa"/>
            <w:vMerge w:val="continue"/>
            <w:tcBorders>
              <w:tl2br w:val="nil"/>
              <w:tr2bl w:val="nil"/>
            </w:tcBorders>
            <w:vAlign w:val="center"/>
          </w:tcPr>
          <w:p>
            <w:pPr>
              <w:widowControl w:val="0"/>
              <w:adjustRightInd w:val="0"/>
              <w:snapToGrid w:val="0"/>
              <w:jc w:val="center"/>
              <w:rPr>
                <w:spacing w:val="0"/>
                <w:position w:val="0"/>
                <w:szCs w:val="21"/>
              </w:rPr>
            </w:pPr>
          </w:p>
        </w:tc>
        <w:tc>
          <w:tcPr>
            <w:tcW w:w="1277" w:type="dxa"/>
            <w:gridSpan w:val="2"/>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事故应急池</w:t>
            </w:r>
          </w:p>
        </w:tc>
        <w:tc>
          <w:tcPr>
            <w:tcW w:w="640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位于生产厂房地下一层，容积为</w:t>
            </w:r>
            <w:r>
              <w:rPr>
                <w:rFonts w:hint="eastAsia"/>
                <w:spacing w:val="0"/>
                <w:position w:val="0"/>
                <w:szCs w:val="21"/>
                <w:lang w:val="en-US" w:eastAsia="zh-CN"/>
              </w:rPr>
              <w:t>840</w:t>
            </w:r>
            <w:r>
              <w:rPr>
                <w:rFonts w:hint="eastAsia"/>
                <w:spacing w:val="0"/>
                <w:position w:val="0"/>
                <w:szCs w:val="21"/>
              </w:rPr>
              <w:t>m</w:t>
            </w:r>
            <w:r>
              <w:rPr>
                <w:rFonts w:hint="eastAsia"/>
                <w:spacing w:val="0"/>
                <w:position w:val="0"/>
                <w:szCs w:val="21"/>
                <w:vertAlign w:val="superscript"/>
              </w:rPr>
              <w:t>3</w:t>
            </w:r>
            <w:r>
              <w:rPr>
                <w:rFonts w:hint="eastAsia"/>
                <w:spacing w:val="0"/>
                <w:position w:val="0"/>
                <w:szCs w:val="21"/>
              </w:rPr>
              <w:t>。</w:t>
            </w:r>
          </w:p>
        </w:tc>
        <w:tc>
          <w:tcPr>
            <w:tcW w:w="570" w:type="dxa"/>
            <w:tcBorders>
              <w:tl2br w:val="nil"/>
              <w:tr2bl w:val="nil"/>
            </w:tcBorders>
            <w:vAlign w:val="center"/>
          </w:tcPr>
          <w:p>
            <w:pPr>
              <w:widowControl w:val="0"/>
              <w:adjustRightInd w:val="0"/>
              <w:snapToGrid w:val="0"/>
              <w:jc w:val="center"/>
              <w:rPr>
                <w:spacing w:val="0"/>
                <w:position w:val="0"/>
                <w:szCs w:val="21"/>
              </w:rPr>
            </w:pPr>
            <w:r>
              <w:rPr>
                <w:rFonts w:hint="eastAsia"/>
                <w:spacing w:val="0"/>
                <w:position w:val="0"/>
                <w:szCs w:val="21"/>
              </w:rPr>
              <w:t>新建</w:t>
            </w:r>
          </w:p>
        </w:tc>
      </w:tr>
    </w:tbl>
    <w:p>
      <w:pPr>
        <w:adjustRightInd w:val="0"/>
        <w:snapToGrid w:val="0"/>
        <w:spacing w:line="360" w:lineRule="auto"/>
        <w:outlineLvl w:val="2"/>
        <w:rPr>
          <w:b/>
          <w:bCs/>
          <w:spacing w:val="0"/>
          <w:position w:val="0"/>
          <w:sz w:val="28"/>
          <w:szCs w:val="28"/>
        </w:rPr>
      </w:pPr>
      <w:r>
        <w:rPr>
          <w:rFonts w:hint="eastAsia"/>
          <w:b/>
          <w:bCs/>
          <w:spacing w:val="0"/>
          <w:position w:val="0"/>
          <w:sz w:val="28"/>
          <w:szCs w:val="28"/>
        </w:rPr>
        <w:t>3.2.2公用工程</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3.2.2.1给排水工程</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（1）给水水源</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绿色纺织产业园生产用水取自塘坂引水工程，生活办公用水由金狮溪水厂统一供水。供水压力保证用户接管点处服务水头0.28MPa以上。产业园区内工业用水从可门经济开发区市政管网接入纺织产业园后环状布置，送至各地块用水点，各企业可根据需要进行软化处理后接入用水点。自来水从市政自来水管网上接入，并在管网上设置室外消火栓。在规划园区内设置消防水池和泵房，管网环状布置，供给各地块消防和喷淋系统。</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给水管分三路入厂，一路接园区自来水管，供生活用水和市政消火栓用水，管径DN100；一路接园区生产用水管，供车间生产用水使用，管径DN300；另一路园区中水从项目东北侧接入口引入厂区，与厂区中水管连接，管径DN200。</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lang w:val="en-US" w:eastAsia="zh-CN"/>
        </w:rPr>
        <w:t>项目工艺</w:t>
      </w:r>
      <w:r>
        <w:rPr>
          <w:rFonts w:hint="eastAsia"/>
          <w:spacing w:val="0"/>
          <w:position w:val="0"/>
          <w:sz w:val="24"/>
          <w:szCs w:val="24"/>
        </w:rPr>
        <w:t>用水均经离子交换软化处理后再用于生产。本项目软水站制水规模为180t/h，软水制备采用离子交换工艺，离子交换采用氯化钠定期再生。</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（2）给水量</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项目用水包括生产用水（</w:t>
      </w:r>
      <w:r>
        <w:rPr>
          <w:rFonts w:hint="eastAsia"/>
          <w:spacing w:val="0"/>
          <w:position w:val="0"/>
          <w:sz w:val="24"/>
          <w:szCs w:val="24"/>
          <w:lang w:val="en-US" w:eastAsia="zh-CN"/>
        </w:rPr>
        <w:t>印染</w:t>
      </w:r>
      <w:r>
        <w:rPr>
          <w:rFonts w:hint="eastAsia"/>
          <w:spacing w:val="0"/>
          <w:position w:val="0"/>
          <w:sz w:val="24"/>
          <w:szCs w:val="24"/>
        </w:rPr>
        <w:t>工艺用水、</w:t>
      </w:r>
      <w:r>
        <w:rPr>
          <w:rFonts w:hint="eastAsia"/>
          <w:spacing w:val="0"/>
          <w:position w:val="0"/>
          <w:sz w:val="24"/>
          <w:szCs w:val="24"/>
          <w:lang w:val="en-US" w:eastAsia="zh-CN"/>
        </w:rPr>
        <w:t>循环冷却用水</w:t>
      </w:r>
      <w:r>
        <w:rPr>
          <w:rFonts w:hint="eastAsia"/>
          <w:spacing w:val="0"/>
          <w:position w:val="0"/>
          <w:sz w:val="24"/>
          <w:szCs w:val="24"/>
        </w:rPr>
        <w:t>、车间冲洗用水等）和生活用水，总用水量为</w:t>
      </w:r>
      <w:r>
        <w:rPr>
          <w:rFonts w:hint="eastAsia"/>
          <w:spacing w:val="0"/>
          <w:position w:val="0"/>
          <w:sz w:val="24"/>
          <w:szCs w:val="24"/>
          <w:lang w:val="en-US" w:eastAsia="zh-CN"/>
        </w:rPr>
        <w:t>6427.4</w:t>
      </w:r>
      <w:r>
        <w:rPr>
          <w:rFonts w:hint="eastAsia"/>
          <w:spacing w:val="0"/>
          <w:position w:val="0"/>
          <w:sz w:val="24"/>
          <w:szCs w:val="24"/>
        </w:rPr>
        <w:t>t/d，其中其中工业新鲜水用量为1925.12t/d，生活用水为12.95t/d，园区污水厂中水回用水量约</w:t>
      </w:r>
      <w:r>
        <w:rPr>
          <w:rFonts w:hint="eastAsia"/>
          <w:spacing w:val="0"/>
          <w:position w:val="0"/>
          <w:sz w:val="24"/>
          <w:szCs w:val="24"/>
          <w:lang w:val="en-US" w:eastAsia="zh-CN"/>
        </w:rPr>
        <w:t>1863.72</w:t>
      </w:r>
      <w:r>
        <w:rPr>
          <w:rFonts w:hint="eastAsia"/>
          <w:spacing w:val="0"/>
          <w:position w:val="0"/>
          <w:sz w:val="24"/>
          <w:szCs w:val="24"/>
        </w:rPr>
        <w:t>t/d，循环冷却水用量2138.18t/d，冷凝水487.43t/d。计算过程详见3.</w:t>
      </w:r>
      <w:r>
        <w:rPr>
          <w:rFonts w:hint="eastAsia"/>
          <w:spacing w:val="0"/>
          <w:position w:val="0"/>
          <w:sz w:val="24"/>
          <w:szCs w:val="24"/>
          <w:lang w:val="en-US" w:eastAsia="zh-CN"/>
        </w:rPr>
        <w:t>3.</w:t>
      </w:r>
      <w:r>
        <w:rPr>
          <w:rFonts w:hint="eastAsia"/>
          <w:spacing w:val="0"/>
          <w:position w:val="0"/>
          <w:sz w:val="24"/>
          <w:szCs w:val="24"/>
        </w:rPr>
        <w:t>4.</w:t>
      </w:r>
      <w:r>
        <w:rPr>
          <w:rFonts w:hint="eastAsia"/>
          <w:spacing w:val="0"/>
          <w:position w:val="0"/>
          <w:sz w:val="24"/>
          <w:szCs w:val="24"/>
          <w:lang w:val="en-US" w:eastAsia="zh-CN"/>
        </w:rPr>
        <w:t>2全厂水平衡分析</w:t>
      </w:r>
      <w:r>
        <w:rPr>
          <w:rFonts w:hint="eastAsia"/>
          <w:spacing w:val="0"/>
          <w:position w:val="0"/>
          <w:sz w:val="24"/>
          <w:szCs w:val="24"/>
        </w:rPr>
        <w:t>。</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（3）排水工程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rPr>
        <w:t>本项目位于连江可门绿色纺织产业园一期，园区规划于产业园一期北侧建设一座污水处理，规模为5.5万t/d。污水站分低污废水和高污废水处置，高浓度废水排入园区高浓污水处理装置集中处理、集中排放；低浓度废水排入园区低浓污水处理装置集中处理处理后返回各企业回用。污水处理厂尾水达到《城镇污水处理厂污染物排放标准》(GB18918-2002)一级A标准后接入湾外排放口外排。</w:t>
      </w:r>
    </w:p>
    <w:p>
      <w:pPr>
        <w:widowControl w:val="0"/>
        <w:adjustRightInd w:val="0"/>
        <w:snapToGrid w:val="0"/>
        <w:spacing w:line="360" w:lineRule="auto"/>
        <w:ind w:firstLine="480" w:firstLineChars="200"/>
        <w:rPr>
          <w:spacing w:val="0"/>
          <w:position w:val="0"/>
          <w:sz w:val="24"/>
          <w:szCs w:val="24"/>
        </w:rPr>
      </w:pPr>
      <w:r>
        <w:rPr>
          <w:rFonts w:hint="eastAsia"/>
          <w:spacing w:val="0"/>
          <w:position w:val="0"/>
          <w:sz w:val="24"/>
          <w:szCs w:val="24"/>
        </w:rPr>
        <w:t>业园规划建设统一的污水收集干管，按照“一企两管”分高、低浓度两套废水管网系统分别收集园区污水，干管建设至各地块，各地块企业自行建设厂区内废水收集管网，与园区高、低浓度污水干管连接。</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园区污水厂与各企业签订责任明晰的协议，明确纳管标准。根据建设单位提供的资料，本项目高、低浓度废水理论上可以满足纳管标准。因此，本项目不设置废水处理设施，依托园区污水处理厂集中处理废水。在厂区内建设高、低浓度废水收集池，废水分质分流后通过厂内高、低浓度废水收集管道排至产业园区高、低浓度污水管网系统，分别接入园区污水处理厂高、低浓度污水处理系统，高、低浓度排放口均设置在线监测设施。雨水通过厂区内雨水管网就近排放。</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3.2.2.2供电工程</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工程消防负荷属二级负荷，生产负荷属二级负荷，由公司110KV高压变电站提供两路10KV高压电源，在厂区内设一处高压配电房，四处低压配电房。本工程总装机容量11200KW，计算负荷69600KW，变压器总容量7800KVA，年总用电量约4027.5万度。</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此外，在高低压配电房边另设置一柴油发电机房（容量约400KW）以满足二级负荷和其他重要负荷用电要求。</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3.2.2.3供热工程</w:t>
      </w:r>
    </w:p>
    <w:p>
      <w:pPr>
        <w:adjustRightInd w:val="0"/>
        <w:snapToGrid w:val="0"/>
        <w:spacing w:line="360" w:lineRule="auto"/>
        <w:ind w:firstLine="480" w:firstLineChars="200"/>
        <w:rPr>
          <w:rFonts w:hint="eastAsia"/>
          <w:spacing w:val="0"/>
          <w:position w:val="0"/>
          <w:sz w:val="24"/>
          <w:szCs w:val="24"/>
          <w:lang w:eastAsia="zh-CN"/>
        </w:rPr>
      </w:pPr>
      <w:r>
        <w:rPr>
          <w:rFonts w:hint="eastAsia"/>
          <w:spacing w:val="0"/>
          <w:position w:val="0"/>
          <w:sz w:val="24"/>
          <w:szCs w:val="24"/>
        </w:rPr>
        <w:t>本项目不设供热锅炉，根据园区规划及规划环评要求，由园区实施集中供热。根据《连江可门绿色纺织产业园规划(一期)环境影响报告书》，绿色纺织产业园不新增热源点，采用园区集中供热方式，热源依托申远新材料一体化产业园内供热体系对纺织产业园企业实施集中供热。该供热方案在福建省连江县可门经济开发区管理委员会组织编制的《可门港经济区（一期）供热专项规划（2021年-2030年）》中进行论证，规划由连江县人民政府于2021年10月20日批复，《供热规划》审查意见指出：根据可门港经济区（一期）的发展以及可门港经济区（一期）化工园区对供热双回路、安全性、稳定性等的要求，对福建申远新材料有限公司的锅炉及化工装置产生的余热蒸汽进行综合利</w:t>
      </w:r>
      <w:r>
        <w:rPr>
          <w:rFonts w:hint="eastAsia"/>
          <w:spacing w:val="0"/>
          <w:position w:val="0"/>
          <w:sz w:val="24"/>
          <w:szCs w:val="24"/>
          <w:lang w:eastAsia="zh-CN"/>
        </w:rPr>
        <w:t>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rPr>
        <w:t>本项目不设锅炉，由产业园热源集中供应。福建申远新材料有限公司其富余蒸汽量162.4t/h</w:t>
      </w:r>
      <w:r>
        <w:rPr>
          <w:rFonts w:hint="eastAsia"/>
          <w:spacing w:val="0"/>
          <w:position w:val="0"/>
          <w:sz w:val="24"/>
          <w:szCs w:val="24"/>
          <w:lang w:eastAsia="zh-CN"/>
        </w:rPr>
        <w:t>，即</w:t>
      </w:r>
      <w:r>
        <w:rPr>
          <w:rFonts w:hint="eastAsia"/>
          <w:spacing w:val="0"/>
          <w:position w:val="0"/>
          <w:sz w:val="24"/>
          <w:szCs w:val="24"/>
          <w:lang w:val="en-US" w:eastAsia="zh-CN"/>
        </w:rPr>
        <w:t>3897.6t/d</w:t>
      </w:r>
      <w:r>
        <w:rPr>
          <w:rFonts w:hint="eastAsia"/>
          <w:spacing w:val="0"/>
          <w:position w:val="0"/>
          <w:sz w:val="24"/>
          <w:szCs w:val="24"/>
          <w:lang w:eastAsia="zh-CN"/>
        </w:rPr>
        <w:t>，通过计算，本项目外购蒸汽</w:t>
      </w:r>
      <w:r>
        <w:rPr>
          <w:rFonts w:hint="eastAsia"/>
          <w:spacing w:val="0"/>
          <w:position w:val="0"/>
          <w:sz w:val="24"/>
          <w:szCs w:val="24"/>
          <w:lang w:val="en-US" w:eastAsia="zh-CN"/>
        </w:rPr>
        <w:t>545.01t/d，余热蒸汽满足本项目蒸汽所需量。本</w:t>
      </w:r>
      <w:r>
        <w:rPr>
          <w:rFonts w:hint="eastAsia"/>
          <w:spacing w:val="0"/>
          <w:position w:val="0"/>
          <w:sz w:val="24"/>
          <w:szCs w:val="24"/>
        </w:rPr>
        <w:t>项目年低压蒸汽（0.8MPa）用量6.</w:t>
      </w:r>
      <w:r>
        <w:rPr>
          <w:rFonts w:hint="eastAsia"/>
          <w:spacing w:val="0"/>
          <w:position w:val="0"/>
          <w:sz w:val="24"/>
          <w:szCs w:val="24"/>
          <w:lang w:val="en-US" w:eastAsia="zh-CN"/>
        </w:rPr>
        <w:t>78</w:t>
      </w:r>
      <w:r>
        <w:rPr>
          <w:rFonts w:hint="eastAsia"/>
          <w:spacing w:val="0"/>
          <w:position w:val="0"/>
          <w:sz w:val="24"/>
          <w:szCs w:val="24"/>
        </w:rPr>
        <w:t>万t/a，中压蒸汽（2.8MPa）用量1</w:t>
      </w:r>
      <w:r>
        <w:rPr>
          <w:rFonts w:hint="eastAsia"/>
          <w:spacing w:val="0"/>
          <w:position w:val="0"/>
          <w:sz w:val="24"/>
          <w:szCs w:val="24"/>
          <w:lang w:val="en-US" w:eastAsia="zh-CN"/>
        </w:rPr>
        <w:t>1.21</w:t>
      </w:r>
      <w:r>
        <w:rPr>
          <w:rFonts w:hint="eastAsia"/>
          <w:spacing w:val="0"/>
          <w:position w:val="0"/>
          <w:sz w:val="24"/>
          <w:szCs w:val="24"/>
        </w:rPr>
        <w:t>万t/a。</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3.2.2.4空压站</w:t>
      </w:r>
    </w:p>
    <w:p>
      <w:pPr>
        <w:widowControl w:val="0"/>
        <w:adjustRightInd w:val="0"/>
        <w:snapToGrid w:val="0"/>
        <w:spacing w:line="360" w:lineRule="auto"/>
        <w:ind w:firstLine="480" w:firstLineChars="200"/>
        <w:rPr>
          <w:spacing w:val="0"/>
          <w:position w:val="0"/>
          <w:sz w:val="24"/>
          <w:szCs w:val="24"/>
        </w:rPr>
      </w:pPr>
      <w:r>
        <w:rPr>
          <w:rFonts w:hint="eastAsia"/>
          <w:spacing w:val="0"/>
          <w:position w:val="0"/>
          <w:sz w:val="24"/>
          <w:szCs w:val="24"/>
        </w:rPr>
        <w:t>压缩空气用气点为织造生产线、染整生产线和印花生产线等工艺、仪表用气，用量分别为20Nm</w:t>
      </w:r>
      <w:r>
        <w:rPr>
          <w:rFonts w:hint="eastAsia"/>
          <w:spacing w:val="0"/>
          <w:position w:val="0"/>
          <w:sz w:val="24"/>
          <w:szCs w:val="24"/>
          <w:vertAlign w:val="superscript"/>
        </w:rPr>
        <w:t>3</w:t>
      </w:r>
      <w:r>
        <w:rPr>
          <w:rFonts w:hint="eastAsia"/>
          <w:spacing w:val="0"/>
          <w:position w:val="0"/>
          <w:sz w:val="24"/>
          <w:szCs w:val="24"/>
        </w:rPr>
        <w:t>/min、30Nm</w:t>
      </w:r>
      <w:r>
        <w:rPr>
          <w:rFonts w:hint="eastAsia"/>
          <w:spacing w:val="0"/>
          <w:position w:val="0"/>
          <w:sz w:val="24"/>
          <w:szCs w:val="24"/>
          <w:vertAlign w:val="superscript"/>
        </w:rPr>
        <w:t>3</w:t>
      </w:r>
      <w:r>
        <w:rPr>
          <w:rFonts w:hint="eastAsia"/>
          <w:spacing w:val="0"/>
          <w:position w:val="0"/>
          <w:sz w:val="24"/>
          <w:szCs w:val="24"/>
        </w:rPr>
        <w:t>/min、25Nm</w:t>
      </w:r>
      <w:r>
        <w:rPr>
          <w:rFonts w:hint="eastAsia"/>
          <w:spacing w:val="0"/>
          <w:position w:val="0"/>
          <w:sz w:val="24"/>
          <w:szCs w:val="24"/>
          <w:vertAlign w:val="superscript"/>
        </w:rPr>
        <w:t>3</w:t>
      </w:r>
      <w:r>
        <w:rPr>
          <w:rFonts w:hint="eastAsia"/>
          <w:spacing w:val="0"/>
          <w:position w:val="0"/>
          <w:sz w:val="24"/>
          <w:szCs w:val="24"/>
        </w:rPr>
        <w:t>/min，压缩空气总用量为75Nm</w:t>
      </w:r>
      <w:r>
        <w:rPr>
          <w:rFonts w:hint="eastAsia"/>
          <w:spacing w:val="0"/>
          <w:position w:val="0"/>
          <w:sz w:val="24"/>
          <w:szCs w:val="24"/>
          <w:vertAlign w:val="superscript"/>
        </w:rPr>
        <w:t>3</w:t>
      </w:r>
      <w:r>
        <w:rPr>
          <w:rFonts w:hint="eastAsia"/>
          <w:spacing w:val="0"/>
          <w:position w:val="0"/>
          <w:sz w:val="24"/>
          <w:szCs w:val="24"/>
        </w:rPr>
        <w:t>/min，全年压缩空气用量为3564万Nm</w:t>
      </w:r>
      <w:r>
        <w:rPr>
          <w:rFonts w:hint="eastAsia"/>
          <w:spacing w:val="0"/>
          <w:position w:val="0"/>
          <w:sz w:val="24"/>
          <w:szCs w:val="24"/>
          <w:vertAlign w:val="superscript"/>
        </w:rPr>
        <w:t>3</w:t>
      </w:r>
      <w:r>
        <w:rPr>
          <w:rFonts w:hint="eastAsia"/>
          <w:spacing w:val="0"/>
          <w:position w:val="0"/>
          <w:sz w:val="24"/>
          <w:szCs w:val="24"/>
        </w:rPr>
        <w:t>/a。生产车间</w:t>
      </w:r>
      <w:r>
        <w:rPr>
          <w:spacing w:val="0"/>
          <w:position w:val="0"/>
          <w:sz w:val="24"/>
          <w:szCs w:val="24"/>
        </w:rPr>
        <w:t>选用</w:t>
      </w:r>
      <w:r>
        <w:rPr>
          <w:rFonts w:hint="eastAsia"/>
          <w:spacing w:val="0"/>
          <w:position w:val="0"/>
          <w:sz w:val="24"/>
          <w:szCs w:val="24"/>
        </w:rPr>
        <w:t>5</w:t>
      </w:r>
      <w:r>
        <w:rPr>
          <w:spacing w:val="0"/>
          <w:position w:val="0"/>
          <w:sz w:val="24"/>
          <w:szCs w:val="24"/>
        </w:rPr>
        <w:t>台风冷式螺杆空压机</w:t>
      </w:r>
      <w:r>
        <w:rPr>
          <w:rFonts w:hint="eastAsia"/>
          <w:spacing w:val="0"/>
          <w:position w:val="0"/>
          <w:sz w:val="24"/>
          <w:szCs w:val="24"/>
        </w:rPr>
        <w:t>26</w:t>
      </w:r>
      <w:r>
        <w:rPr>
          <w:spacing w:val="0"/>
          <w:position w:val="0"/>
          <w:sz w:val="24"/>
          <w:szCs w:val="24"/>
        </w:rPr>
        <w:t>Nm</w:t>
      </w:r>
      <w:r>
        <w:rPr>
          <w:spacing w:val="0"/>
          <w:position w:val="0"/>
          <w:sz w:val="24"/>
          <w:szCs w:val="24"/>
          <w:vertAlign w:val="superscript"/>
        </w:rPr>
        <w:t>3</w:t>
      </w:r>
      <w:r>
        <w:rPr>
          <w:spacing w:val="0"/>
          <w:position w:val="0"/>
          <w:sz w:val="24"/>
          <w:szCs w:val="24"/>
        </w:rPr>
        <w:t>/min（</w:t>
      </w:r>
      <w:r>
        <w:rPr>
          <w:rFonts w:hint="eastAsia"/>
          <w:spacing w:val="0"/>
          <w:position w:val="0"/>
          <w:sz w:val="24"/>
          <w:szCs w:val="24"/>
        </w:rPr>
        <w:t>4</w:t>
      </w:r>
      <w:r>
        <w:rPr>
          <w:spacing w:val="0"/>
          <w:position w:val="0"/>
          <w:sz w:val="24"/>
          <w:szCs w:val="24"/>
        </w:rPr>
        <w:t>用一备）并配套相应的干燥设备，排气压力0.75～0.8MPa。</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表3.2-2空压站设备选型</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997"/>
        <w:gridCol w:w="3716"/>
        <w:gridCol w:w="714"/>
        <w:gridCol w:w="746"/>
        <w:gridCol w:w="1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序号</w:t>
            </w:r>
          </w:p>
        </w:tc>
        <w:tc>
          <w:tcPr>
            <w:tcW w:w="210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设备名称</w:t>
            </w:r>
          </w:p>
        </w:tc>
        <w:tc>
          <w:tcPr>
            <w:tcW w:w="385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型号及主要技术参数</w:t>
            </w:r>
          </w:p>
        </w:tc>
        <w:tc>
          <w:tcPr>
            <w:tcW w:w="733"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单位</w:t>
            </w:r>
          </w:p>
        </w:tc>
        <w:tc>
          <w:tcPr>
            <w:tcW w:w="76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数量</w:t>
            </w:r>
          </w:p>
        </w:tc>
        <w:tc>
          <w:tcPr>
            <w:tcW w:w="1102"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p>
        </w:tc>
        <w:tc>
          <w:tcPr>
            <w:tcW w:w="2100"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风冷式螺杆空压机</w:t>
            </w:r>
          </w:p>
        </w:tc>
        <w:tc>
          <w:tcPr>
            <w:tcW w:w="3850"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ZLS175-2C/8，26Nm</w:t>
            </w:r>
            <w:r>
              <w:rPr>
                <w:rFonts w:hint="eastAsia" w:cs="宋体"/>
                <w:bCs/>
                <w:color w:val="000000"/>
                <w:spacing w:val="0"/>
                <w:position w:val="0"/>
                <w:vertAlign w:val="superscript"/>
              </w:rPr>
              <w:t>3</w:t>
            </w:r>
            <w:r>
              <w:rPr>
                <w:rFonts w:hint="eastAsia" w:cs="宋体"/>
                <w:bCs/>
                <w:color w:val="000000"/>
                <w:spacing w:val="0"/>
                <w:position w:val="0"/>
              </w:rPr>
              <w:t>/min，P=0.8MPa</w:t>
            </w:r>
          </w:p>
        </w:tc>
        <w:tc>
          <w:tcPr>
            <w:tcW w:w="733"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台</w:t>
            </w:r>
          </w:p>
        </w:tc>
        <w:tc>
          <w:tcPr>
            <w:tcW w:w="767"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5</w:t>
            </w:r>
          </w:p>
        </w:tc>
        <w:tc>
          <w:tcPr>
            <w:tcW w:w="1102"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4用1备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p>
        </w:tc>
        <w:tc>
          <w:tcPr>
            <w:tcW w:w="2100"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微热再生吸附式干燥器</w:t>
            </w:r>
          </w:p>
        </w:tc>
        <w:tc>
          <w:tcPr>
            <w:tcW w:w="3850"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TGH-26，Q=26Nm</w:t>
            </w:r>
            <w:r>
              <w:rPr>
                <w:rFonts w:hint="eastAsia" w:cs="宋体"/>
                <w:bCs/>
                <w:color w:val="000000"/>
                <w:spacing w:val="0"/>
                <w:position w:val="0"/>
                <w:vertAlign w:val="superscript"/>
                <w:lang w:val="en-US" w:eastAsia="zh-CN"/>
              </w:rPr>
              <w:t>3</w:t>
            </w:r>
            <w:r>
              <w:rPr>
                <w:rFonts w:hint="eastAsia" w:cs="宋体"/>
                <w:bCs/>
                <w:color w:val="000000"/>
                <w:spacing w:val="0"/>
                <w:position w:val="0"/>
              </w:rPr>
              <w:t>/min，P=0.6～1.0MPa常压露点：-40</w:t>
            </w:r>
            <w:r>
              <w:rPr>
                <w:bCs/>
                <w:color w:val="000000"/>
                <w:spacing w:val="0"/>
                <w:position w:val="0"/>
              </w:rPr>
              <w:t>℃</w:t>
            </w:r>
          </w:p>
        </w:tc>
        <w:tc>
          <w:tcPr>
            <w:tcW w:w="733"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台</w:t>
            </w:r>
          </w:p>
        </w:tc>
        <w:tc>
          <w:tcPr>
            <w:tcW w:w="767"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5</w:t>
            </w:r>
          </w:p>
        </w:tc>
        <w:tc>
          <w:tcPr>
            <w:tcW w:w="1102"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4用1备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w:t>
            </w:r>
          </w:p>
        </w:tc>
        <w:tc>
          <w:tcPr>
            <w:tcW w:w="2100"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贮气罐</w:t>
            </w:r>
          </w:p>
        </w:tc>
        <w:tc>
          <w:tcPr>
            <w:tcW w:w="3850"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Vc=30m</w:t>
            </w:r>
            <w:r>
              <w:rPr>
                <w:rFonts w:hint="eastAsia" w:cs="宋体"/>
                <w:bCs/>
                <w:color w:val="000000"/>
                <w:spacing w:val="0"/>
                <w:position w:val="0"/>
                <w:vertAlign w:val="superscript"/>
                <w:lang w:val="en-US" w:eastAsia="zh-CN"/>
              </w:rPr>
              <w:t>3</w:t>
            </w:r>
            <w:r>
              <w:rPr>
                <w:rFonts w:hint="eastAsia" w:cs="宋体"/>
                <w:bCs/>
                <w:color w:val="000000"/>
                <w:spacing w:val="0"/>
                <w:position w:val="0"/>
                <w:lang w:eastAsia="zh-CN"/>
              </w:rPr>
              <w:t>，</w:t>
            </w:r>
            <w:r>
              <w:rPr>
                <w:rFonts w:hint="eastAsia" w:cs="宋体"/>
                <w:bCs/>
                <w:color w:val="000000"/>
                <w:spacing w:val="0"/>
                <w:position w:val="0"/>
              </w:rPr>
              <w:t>工作压力P=0.8MPa</w:t>
            </w:r>
          </w:p>
        </w:tc>
        <w:tc>
          <w:tcPr>
            <w:tcW w:w="733"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只</w:t>
            </w:r>
          </w:p>
        </w:tc>
        <w:tc>
          <w:tcPr>
            <w:tcW w:w="767" w:type="dxa"/>
            <w:tcBorders>
              <w:tl2br w:val="nil"/>
              <w:tr2bl w:val="nil"/>
            </w:tcBorders>
            <w:vAlign w:val="center"/>
          </w:tcPr>
          <w:p>
            <w:pPr>
              <w:widowControl/>
              <w:adjustRightInd w:val="0"/>
              <w:snapToGrid w:val="0"/>
              <w:jc w:val="center"/>
              <w:rPr>
                <w:spacing w:val="0"/>
                <w:position w:val="0"/>
                <w:szCs w:val="21"/>
              </w:rPr>
            </w:pPr>
            <w:r>
              <w:rPr>
                <w:rFonts w:hint="eastAsia" w:cs="宋体"/>
                <w:bCs/>
                <w:color w:val="000000"/>
                <w:spacing w:val="0"/>
                <w:position w:val="0"/>
              </w:rPr>
              <w:t>5</w:t>
            </w:r>
          </w:p>
        </w:tc>
        <w:tc>
          <w:tcPr>
            <w:tcW w:w="1102" w:type="dxa"/>
            <w:tcBorders>
              <w:tl2br w:val="nil"/>
              <w:tr2bl w:val="nil"/>
            </w:tcBorders>
            <w:vAlign w:val="center"/>
          </w:tcPr>
          <w:p>
            <w:pPr>
              <w:widowControl/>
              <w:adjustRightInd w:val="0"/>
              <w:snapToGrid w:val="0"/>
              <w:jc w:val="center"/>
              <w:rPr>
                <w:spacing w:val="0"/>
                <w:position w:val="0"/>
                <w:szCs w:val="21"/>
              </w:rPr>
            </w:pPr>
          </w:p>
        </w:tc>
      </w:tr>
    </w:tbl>
    <w:p>
      <w:pPr>
        <w:adjustRightInd w:val="0"/>
        <w:snapToGrid w:val="0"/>
        <w:spacing w:line="360" w:lineRule="auto"/>
        <w:outlineLvl w:val="3"/>
        <w:rPr>
          <w:b/>
          <w:bCs/>
          <w:spacing w:val="0"/>
          <w:position w:val="0"/>
          <w:sz w:val="24"/>
          <w:szCs w:val="24"/>
        </w:rPr>
      </w:pPr>
      <w:r>
        <w:rPr>
          <w:rFonts w:hint="eastAsia"/>
          <w:b/>
          <w:bCs/>
          <w:spacing w:val="0"/>
          <w:position w:val="0"/>
          <w:sz w:val="24"/>
          <w:szCs w:val="24"/>
        </w:rPr>
        <w:t>3.2.2.5冷冻站</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本冷冻站设置在</w:t>
      </w:r>
      <w:r>
        <w:rPr>
          <w:rFonts w:hint="eastAsia"/>
          <w:spacing w:val="0"/>
          <w:position w:val="0"/>
          <w:sz w:val="24"/>
          <w:szCs w:val="24"/>
          <w:lang w:val="en-US" w:eastAsia="zh-CN"/>
        </w:rPr>
        <w:t>车间一层的工具间内</w:t>
      </w:r>
      <w:r>
        <w:rPr>
          <w:rFonts w:hint="eastAsia"/>
          <w:spacing w:val="0"/>
          <w:position w:val="0"/>
          <w:sz w:val="24"/>
          <w:szCs w:val="24"/>
        </w:rPr>
        <w:t>，为空调系统提供7</w:t>
      </w:r>
      <w:r>
        <w:rPr>
          <w:spacing w:val="0"/>
          <w:position w:val="0"/>
          <w:sz w:val="24"/>
          <w:szCs w:val="24"/>
        </w:rPr>
        <w:t>℃</w:t>
      </w:r>
      <w:r>
        <w:rPr>
          <w:rFonts w:hint="eastAsia"/>
          <w:spacing w:val="0"/>
          <w:position w:val="0"/>
          <w:sz w:val="24"/>
          <w:szCs w:val="24"/>
        </w:rPr>
        <w:t>/12</w:t>
      </w:r>
      <w:r>
        <w:rPr>
          <w:spacing w:val="0"/>
          <w:position w:val="0"/>
          <w:sz w:val="24"/>
          <w:szCs w:val="24"/>
        </w:rPr>
        <w:t>℃</w:t>
      </w:r>
      <w:r>
        <w:rPr>
          <w:rFonts w:hint="eastAsia"/>
          <w:spacing w:val="0"/>
          <w:position w:val="0"/>
          <w:sz w:val="24"/>
          <w:szCs w:val="24"/>
        </w:rPr>
        <w:t>的冷冻水。总的冷负荷为3840kW，选用4台离心式冷水机组，单机制冷量980kW，制冷剂为R134a和R410a，冷却方式为水冷。</w:t>
      </w:r>
    </w:p>
    <w:p>
      <w:pPr>
        <w:adjustRightInd w:val="0"/>
        <w:snapToGrid w:val="0"/>
        <w:spacing w:line="360" w:lineRule="auto"/>
        <w:jc w:val="left"/>
        <w:rPr>
          <w:b/>
          <w:bCs/>
          <w:spacing w:val="0"/>
          <w:position w:val="0"/>
          <w:sz w:val="28"/>
          <w:szCs w:val="28"/>
        </w:rPr>
      </w:pPr>
      <w:r>
        <w:rPr>
          <w:rFonts w:hint="eastAsia"/>
          <w:b/>
          <w:bCs/>
          <w:spacing w:val="0"/>
          <w:position w:val="0"/>
          <w:sz w:val="28"/>
          <w:szCs w:val="28"/>
        </w:rPr>
        <w:t>3.2.3原辅材料</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项目主要原辅材料使用情况、贮存情况及能源消耗情况见表3.2-3。</w:t>
      </w:r>
      <w:r>
        <w:rPr>
          <w:rFonts w:hint="eastAsia"/>
          <w:spacing w:val="0"/>
          <w:position w:val="0"/>
          <w:sz w:val="24"/>
          <w:szCs w:val="24"/>
          <w:lang w:eastAsia="zh-CN"/>
        </w:rPr>
        <w:t>（</w:t>
      </w:r>
      <w:r>
        <w:rPr>
          <w:rFonts w:hint="eastAsia"/>
          <w:spacing w:val="0"/>
          <w:position w:val="0"/>
          <w:sz w:val="24"/>
          <w:szCs w:val="24"/>
          <w:lang w:val="en-US" w:eastAsia="zh-CN"/>
        </w:rPr>
        <w:t>略</w:t>
      </w:r>
      <w:r>
        <w:rPr>
          <w:rFonts w:hint="eastAsia"/>
          <w:spacing w:val="0"/>
          <w:position w:val="0"/>
          <w:sz w:val="24"/>
          <w:szCs w:val="24"/>
          <w:lang w:eastAsia="zh-CN"/>
        </w:rPr>
        <w:t>）</w:t>
      </w:r>
    </w:p>
    <w:p>
      <w:pPr>
        <w:adjustRightInd w:val="0"/>
        <w:snapToGrid w:val="0"/>
        <w:spacing w:line="360" w:lineRule="auto"/>
        <w:jc w:val="left"/>
        <w:outlineLvl w:val="2"/>
        <w:rPr>
          <w:b/>
          <w:bCs/>
          <w:spacing w:val="0"/>
          <w:position w:val="0"/>
          <w:sz w:val="28"/>
          <w:szCs w:val="28"/>
        </w:rPr>
      </w:pPr>
      <w:r>
        <w:rPr>
          <w:rFonts w:hint="eastAsia"/>
          <w:b/>
          <w:bCs/>
          <w:spacing w:val="0"/>
          <w:position w:val="0"/>
          <w:sz w:val="28"/>
          <w:szCs w:val="28"/>
        </w:rPr>
        <w:t>3.2.4生产设备</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3.2.4.1主要生产设备</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项目主要生产设备见表3.2-4。</w:t>
      </w:r>
      <w:r>
        <w:rPr>
          <w:rFonts w:hint="eastAsia"/>
          <w:spacing w:val="0"/>
          <w:position w:val="0"/>
          <w:sz w:val="24"/>
          <w:szCs w:val="24"/>
          <w:lang w:eastAsia="zh-CN"/>
        </w:rPr>
        <w:t>（</w:t>
      </w:r>
      <w:r>
        <w:rPr>
          <w:rFonts w:hint="eastAsia"/>
          <w:spacing w:val="0"/>
          <w:position w:val="0"/>
          <w:sz w:val="24"/>
          <w:szCs w:val="24"/>
          <w:lang w:val="en-US" w:eastAsia="zh-CN"/>
        </w:rPr>
        <w:t>略</w:t>
      </w:r>
      <w:r>
        <w:rPr>
          <w:rFonts w:hint="eastAsia"/>
          <w:spacing w:val="0"/>
          <w:position w:val="0"/>
          <w:sz w:val="24"/>
          <w:szCs w:val="24"/>
          <w:lang w:eastAsia="zh-CN"/>
        </w:rPr>
        <w:t>）</w:t>
      </w:r>
    </w:p>
    <w:p>
      <w:pPr>
        <w:widowControl w:val="0"/>
        <w:adjustRightInd w:val="0"/>
        <w:snapToGrid w:val="0"/>
        <w:spacing w:line="360" w:lineRule="auto"/>
        <w:outlineLvl w:val="3"/>
        <w:rPr>
          <w:b/>
          <w:bCs/>
          <w:spacing w:val="0"/>
          <w:position w:val="0"/>
          <w:sz w:val="24"/>
          <w:szCs w:val="24"/>
        </w:rPr>
      </w:pPr>
      <w:r>
        <w:rPr>
          <w:rFonts w:hint="eastAsia"/>
          <w:b/>
          <w:bCs/>
          <w:spacing w:val="0"/>
          <w:position w:val="0"/>
          <w:sz w:val="24"/>
          <w:szCs w:val="24"/>
        </w:rPr>
        <w:t>3.2.4.2产能核算</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根据设备规格及数量，本项目生产能力见下表。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表3.2-5染整加工产能核算一览表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98"/>
        <w:gridCol w:w="838"/>
        <w:gridCol w:w="643"/>
        <w:gridCol w:w="1140"/>
        <w:gridCol w:w="1153"/>
        <w:gridCol w:w="1066"/>
        <w:gridCol w:w="1008"/>
        <w:gridCol w:w="1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740" w:type="dxa"/>
            <w:tcBorders>
              <w:tl2br w:val="nil"/>
              <w:tr2bl w:val="nil"/>
            </w:tcBorders>
            <w:vAlign w:val="center"/>
          </w:tcPr>
          <w:p>
            <w:pPr>
              <w:widowControl/>
              <w:adjustRightInd w:val="0"/>
              <w:snapToGrid w:val="0"/>
              <w:jc w:val="center"/>
              <w:rPr>
                <w:b/>
                <w:bCs/>
                <w:color w:val="000000"/>
                <w:spacing w:val="0"/>
                <w:position w:val="0"/>
                <w:szCs w:val="21"/>
              </w:rPr>
            </w:pPr>
            <w:r>
              <w:rPr>
                <w:rFonts w:hint="eastAsia"/>
                <w:b/>
                <w:bCs/>
                <w:color w:val="000000"/>
                <w:spacing w:val="0"/>
                <w:position w:val="0"/>
                <w:szCs w:val="21"/>
                <w:lang w:eastAsia="zh-CN"/>
              </w:rPr>
              <w:t>生产设备</w:t>
            </w:r>
          </w:p>
        </w:tc>
        <w:tc>
          <w:tcPr>
            <w:tcW w:w="859" w:type="dxa"/>
            <w:tcBorders>
              <w:tl2br w:val="nil"/>
              <w:tr2bl w:val="nil"/>
            </w:tcBorders>
            <w:vAlign w:val="center"/>
          </w:tcPr>
          <w:p>
            <w:pPr>
              <w:widowControl/>
              <w:adjustRightInd w:val="0"/>
              <w:snapToGrid w:val="0"/>
              <w:jc w:val="center"/>
              <w:rPr>
                <w:rFonts w:hint="eastAsia"/>
                <w:b/>
                <w:bCs/>
                <w:color w:val="000000"/>
                <w:spacing w:val="0"/>
                <w:position w:val="0"/>
                <w:szCs w:val="21"/>
              </w:rPr>
            </w:pPr>
            <w:r>
              <w:rPr>
                <w:rFonts w:hint="eastAsia"/>
                <w:b/>
                <w:bCs/>
                <w:color w:val="000000"/>
                <w:spacing w:val="0"/>
                <w:position w:val="0"/>
                <w:szCs w:val="21"/>
              </w:rPr>
              <w:t>缸容</w:t>
            </w:r>
          </w:p>
          <w:p>
            <w:pPr>
              <w:widowControl/>
              <w:adjustRightInd w:val="0"/>
              <w:snapToGrid w:val="0"/>
              <w:jc w:val="center"/>
              <w:rPr>
                <w:rFonts w:hint="eastAsia" w:ascii="Times New Roman" w:hAnsi="Times New Roman" w:eastAsia="宋体" w:cs="Times New Roman"/>
                <w:b/>
                <w:bCs/>
                <w:color w:val="000000"/>
                <w:spacing w:val="0"/>
                <w:kern w:val="2"/>
                <w:position w:val="0"/>
                <w:sz w:val="21"/>
                <w:szCs w:val="21"/>
                <w:lang w:val="en-US" w:eastAsia="zh-CN" w:bidi="ar-SA"/>
              </w:rPr>
            </w:pPr>
            <w:r>
              <w:rPr>
                <w:rFonts w:hint="eastAsia"/>
                <w:b/>
                <w:bCs/>
                <w:color w:val="000000"/>
                <w:spacing w:val="0"/>
                <w:position w:val="0"/>
                <w:szCs w:val="21"/>
              </w:rPr>
              <w:t>（kg</w:t>
            </w:r>
            <w:r>
              <w:rPr>
                <w:rFonts w:hint="eastAsia"/>
                <w:b/>
                <w:bCs/>
                <w:color w:val="000000"/>
                <w:spacing w:val="0"/>
                <w:position w:val="0"/>
                <w:szCs w:val="21"/>
                <w:lang w:val="en-US" w:eastAsia="zh-CN"/>
              </w:rPr>
              <w:t>/台</w:t>
            </w:r>
            <w:r>
              <w:rPr>
                <w:rFonts w:hint="eastAsia"/>
                <w:b/>
                <w:bCs/>
                <w:color w:val="000000"/>
                <w:spacing w:val="0"/>
                <w:position w:val="0"/>
                <w:szCs w:val="21"/>
              </w:rPr>
              <w:t>）</w:t>
            </w:r>
          </w:p>
        </w:tc>
        <w:tc>
          <w:tcPr>
            <w:tcW w:w="659" w:type="dxa"/>
            <w:tcBorders>
              <w:tl2br w:val="nil"/>
              <w:tr2bl w:val="nil"/>
            </w:tcBorders>
            <w:vAlign w:val="center"/>
          </w:tcPr>
          <w:p>
            <w:pPr>
              <w:widowControl/>
              <w:adjustRightInd w:val="0"/>
              <w:snapToGrid w:val="0"/>
              <w:jc w:val="center"/>
              <w:rPr>
                <w:rFonts w:ascii="Times New Roman" w:hAnsi="Times New Roman" w:eastAsia="宋体" w:cs="Times New Roman"/>
                <w:b/>
                <w:bCs/>
                <w:color w:val="000000"/>
                <w:spacing w:val="0"/>
                <w:kern w:val="2"/>
                <w:position w:val="0"/>
                <w:sz w:val="21"/>
                <w:szCs w:val="21"/>
                <w:lang w:val="en-US" w:eastAsia="zh-CN" w:bidi="ar-SA"/>
              </w:rPr>
            </w:pPr>
            <w:r>
              <w:rPr>
                <w:rFonts w:hint="eastAsia"/>
                <w:b/>
                <w:bCs/>
                <w:color w:val="000000"/>
                <w:spacing w:val="0"/>
                <w:position w:val="0"/>
                <w:szCs w:val="21"/>
              </w:rPr>
              <w:t>数量（台）</w:t>
            </w:r>
          </w:p>
        </w:tc>
        <w:tc>
          <w:tcPr>
            <w:tcW w:w="1168" w:type="dxa"/>
            <w:tcBorders>
              <w:tl2br w:val="nil"/>
              <w:tr2bl w:val="nil"/>
            </w:tcBorders>
            <w:vAlign w:val="center"/>
          </w:tcPr>
          <w:p>
            <w:pPr>
              <w:widowControl/>
              <w:adjustRightInd w:val="0"/>
              <w:snapToGrid w:val="0"/>
              <w:jc w:val="center"/>
              <w:rPr>
                <w:rFonts w:ascii="Times New Roman" w:hAnsi="Times New Roman" w:eastAsia="宋体" w:cs="Times New Roman"/>
                <w:b/>
                <w:bCs/>
                <w:color w:val="000000"/>
                <w:spacing w:val="0"/>
                <w:kern w:val="2"/>
                <w:position w:val="0"/>
                <w:sz w:val="21"/>
                <w:szCs w:val="21"/>
                <w:lang w:val="en-US" w:eastAsia="zh-CN" w:bidi="ar-SA"/>
              </w:rPr>
            </w:pPr>
            <w:r>
              <w:rPr>
                <w:rFonts w:hint="eastAsia"/>
                <w:b/>
                <w:bCs/>
                <w:color w:val="000000"/>
                <w:spacing w:val="0"/>
                <w:position w:val="0"/>
                <w:szCs w:val="21"/>
                <w:lang w:eastAsia="zh-CN"/>
              </w:rPr>
              <w:t>合计缸容量（</w:t>
            </w:r>
            <w:r>
              <w:rPr>
                <w:rFonts w:hint="eastAsia"/>
                <w:b/>
                <w:bCs/>
                <w:color w:val="000000"/>
                <w:spacing w:val="0"/>
                <w:position w:val="0"/>
                <w:szCs w:val="21"/>
                <w:lang w:val="en-US" w:eastAsia="zh-CN"/>
              </w:rPr>
              <w:t>kg</w:t>
            </w:r>
            <w:r>
              <w:rPr>
                <w:rFonts w:hint="eastAsia"/>
                <w:b/>
                <w:bCs/>
                <w:color w:val="000000"/>
                <w:spacing w:val="0"/>
                <w:position w:val="0"/>
                <w:szCs w:val="21"/>
                <w:lang w:eastAsia="zh-CN"/>
              </w:rPr>
              <w:t>）</w:t>
            </w:r>
          </w:p>
        </w:tc>
        <w:tc>
          <w:tcPr>
            <w:tcW w:w="1182" w:type="dxa"/>
            <w:tcBorders>
              <w:tl2br w:val="nil"/>
              <w:tr2bl w:val="nil"/>
            </w:tcBorders>
            <w:vAlign w:val="center"/>
          </w:tcPr>
          <w:p>
            <w:pPr>
              <w:widowControl/>
              <w:adjustRightInd w:val="0"/>
              <w:snapToGrid w:val="0"/>
              <w:jc w:val="center"/>
              <w:rPr>
                <w:rFonts w:hint="eastAsia" w:eastAsia="宋体"/>
                <w:b/>
                <w:bCs/>
                <w:color w:val="000000"/>
                <w:spacing w:val="0"/>
                <w:position w:val="0"/>
                <w:szCs w:val="21"/>
                <w:lang w:eastAsia="zh-CN"/>
              </w:rPr>
            </w:pPr>
            <w:r>
              <w:rPr>
                <w:rFonts w:hint="eastAsia"/>
                <w:b/>
                <w:bCs/>
                <w:color w:val="000000"/>
                <w:spacing w:val="0"/>
                <w:position w:val="0"/>
                <w:szCs w:val="21"/>
                <w:lang w:eastAsia="zh-CN"/>
              </w:rPr>
              <w:t>缸容利用量</w:t>
            </w:r>
            <w:r>
              <w:rPr>
                <w:rFonts w:hint="eastAsia"/>
                <w:b/>
                <w:bCs/>
                <w:color w:val="000000"/>
                <w:spacing w:val="0"/>
                <w:position w:val="0"/>
                <w:szCs w:val="21"/>
              </w:rPr>
              <w:t>（</w:t>
            </w:r>
            <w:r>
              <w:rPr>
                <w:rFonts w:hint="eastAsia"/>
                <w:b/>
                <w:bCs/>
                <w:color w:val="000000"/>
                <w:spacing w:val="0"/>
                <w:position w:val="0"/>
                <w:szCs w:val="21"/>
                <w:lang w:val="en-US" w:eastAsia="zh-CN"/>
              </w:rPr>
              <w:t>kg/台</w:t>
            </w:r>
            <w:r>
              <w:rPr>
                <w:rFonts w:hint="eastAsia"/>
                <w:b/>
                <w:bCs/>
                <w:color w:val="000000"/>
                <w:spacing w:val="0"/>
                <w:position w:val="0"/>
                <w:szCs w:val="21"/>
              </w:rPr>
              <w:t>）</w:t>
            </w:r>
          </w:p>
        </w:tc>
        <w:tc>
          <w:tcPr>
            <w:tcW w:w="1093" w:type="dxa"/>
            <w:tcBorders>
              <w:tl2br w:val="nil"/>
              <w:tr2bl w:val="nil"/>
            </w:tcBorders>
            <w:vAlign w:val="center"/>
          </w:tcPr>
          <w:p>
            <w:pPr>
              <w:widowControl/>
              <w:adjustRightInd w:val="0"/>
              <w:snapToGrid w:val="0"/>
              <w:jc w:val="center"/>
              <w:rPr>
                <w:b/>
                <w:bCs/>
                <w:color w:val="000000"/>
                <w:spacing w:val="0"/>
                <w:position w:val="0"/>
                <w:szCs w:val="21"/>
              </w:rPr>
            </w:pPr>
            <w:r>
              <w:rPr>
                <w:rFonts w:hint="eastAsia"/>
                <w:b/>
                <w:bCs/>
                <w:color w:val="000000"/>
                <w:spacing w:val="0"/>
                <w:position w:val="0"/>
                <w:szCs w:val="21"/>
              </w:rPr>
              <w:t>生产周期（h/次）</w:t>
            </w:r>
          </w:p>
        </w:tc>
        <w:tc>
          <w:tcPr>
            <w:tcW w:w="1033" w:type="dxa"/>
            <w:tcBorders>
              <w:tl2br w:val="nil"/>
              <w:tr2bl w:val="nil"/>
            </w:tcBorders>
            <w:vAlign w:val="center"/>
          </w:tcPr>
          <w:p>
            <w:pPr>
              <w:widowControl/>
              <w:adjustRightInd w:val="0"/>
              <w:snapToGrid w:val="0"/>
              <w:jc w:val="center"/>
              <w:rPr>
                <w:b/>
                <w:bCs/>
                <w:color w:val="000000"/>
                <w:spacing w:val="0"/>
                <w:position w:val="0"/>
                <w:szCs w:val="21"/>
              </w:rPr>
            </w:pPr>
            <w:r>
              <w:rPr>
                <w:rFonts w:hint="eastAsia"/>
                <w:b/>
                <w:bCs/>
                <w:color w:val="000000"/>
                <w:spacing w:val="0"/>
                <w:position w:val="0"/>
                <w:szCs w:val="21"/>
                <w:lang w:eastAsia="zh-CN"/>
              </w:rPr>
              <w:t>生产频次</w:t>
            </w:r>
            <w:r>
              <w:rPr>
                <w:rFonts w:hint="eastAsia"/>
                <w:b/>
                <w:bCs/>
                <w:color w:val="000000"/>
                <w:spacing w:val="0"/>
                <w:position w:val="0"/>
                <w:szCs w:val="21"/>
              </w:rPr>
              <w:t>（次/d）</w:t>
            </w:r>
          </w:p>
        </w:tc>
        <w:tc>
          <w:tcPr>
            <w:tcW w:w="1171" w:type="dxa"/>
            <w:tcBorders>
              <w:tl2br w:val="nil"/>
              <w:tr2bl w:val="nil"/>
            </w:tcBorders>
            <w:vAlign w:val="center"/>
          </w:tcPr>
          <w:p>
            <w:pPr>
              <w:widowControl/>
              <w:adjustRightInd w:val="0"/>
              <w:snapToGrid w:val="0"/>
              <w:jc w:val="center"/>
              <w:rPr>
                <w:b/>
                <w:bCs/>
                <w:color w:val="000000"/>
                <w:spacing w:val="0"/>
                <w:position w:val="0"/>
                <w:szCs w:val="21"/>
              </w:rPr>
            </w:pPr>
            <w:r>
              <w:rPr>
                <w:rFonts w:hint="eastAsia"/>
                <w:b/>
                <w:bCs/>
                <w:color w:val="000000"/>
                <w:spacing w:val="0"/>
                <w:position w:val="0"/>
                <w:szCs w:val="21"/>
              </w:rPr>
              <w:t>日产量</w:t>
            </w:r>
          </w:p>
          <w:p>
            <w:pPr>
              <w:widowControl/>
              <w:adjustRightInd w:val="0"/>
              <w:snapToGrid w:val="0"/>
              <w:jc w:val="center"/>
              <w:rPr>
                <w:b/>
                <w:bCs/>
                <w:color w:val="000000"/>
                <w:spacing w:val="0"/>
                <w:position w:val="0"/>
                <w:szCs w:val="21"/>
              </w:rPr>
            </w:pPr>
            <w:r>
              <w:rPr>
                <w:rFonts w:hint="eastAsia"/>
                <w:b/>
                <w:bCs/>
                <w:color w:val="000000"/>
                <w:spacing w:val="0"/>
                <w:position w:val="0"/>
                <w:szCs w:val="21"/>
              </w:rPr>
              <w:t>（t/d）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0" w:type="dxa"/>
            <w:tcBorders>
              <w:tl2br w:val="nil"/>
              <w:tr2bl w:val="nil"/>
            </w:tcBorders>
            <w:vAlign w:val="center"/>
          </w:tcPr>
          <w:p>
            <w:pPr>
              <w:widowControl/>
              <w:adjustRightInd w:val="0"/>
              <w:snapToGrid w:val="0"/>
              <w:jc w:val="center"/>
              <w:textAlignment w:val="center"/>
              <w:rPr>
                <w:color w:val="000000"/>
                <w:spacing w:val="0"/>
                <w:position w:val="0"/>
                <w:szCs w:val="21"/>
              </w:rPr>
            </w:pPr>
            <w:r>
              <w:rPr>
                <w:rFonts w:hint="eastAsia" w:cs="宋体"/>
                <w:color w:val="000000"/>
                <w:spacing w:val="0"/>
                <w:position w:val="0"/>
                <w:szCs w:val="24"/>
              </w:rPr>
              <w:t>高温溢流染色机</w:t>
            </w:r>
          </w:p>
        </w:tc>
        <w:tc>
          <w:tcPr>
            <w:tcW w:w="859" w:type="dxa"/>
            <w:tcBorders>
              <w:tl2br w:val="nil"/>
              <w:tr2bl w:val="nil"/>
            </w:tcBorders>
            <w:vAlign w:val="center"/>
          </w:tcPr>
          <w:p>
            <w:pPr>
              <w:widowControl/>
              <w:adjustRightInd w:val="0"/>
              <w:snapToGrid w:val="0"/>
              <w:jc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100</w:t>
            </w:r>
          </w:p>
        </w:tc>
        <w:tc>
          <w:tcPr>
            <w:tcW w:w="659"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15</w:t>
            </w:r>
          </w:p>
        </w:tc>
        <w:tc>
          <w:tcPr>
            <w:tcW w:w="1168"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00"/>
                <w:spacing w:val="0"/>
                <w:kern w:val="2"/>
                <w:position w:val="0"/>
                <w:sz w:val="21"/>
                <w:szCs w:val="21"/>
                <w:lang w:val="en-US" w:eastAsia="zh-CN" w:bidi="ar-SA"/>
              </w:rPr>
            </w:pPr>
            <w:r>
              <w:rPr>
                <w:rFonts w:hint="eastAsia" w:cs="Times New Roman"/>
                <w:color w:val="000000"/>
                <w:spacing w:val="0"/>
                <w:kern w:val="2"/>
                <w:position w:val="0"/>
                <w:sz w:val="21"/>
                <w:szCs w:val="21"/>
                <w:lang w:val="en-US" w:eastAsia="zh-CN" w:bidi="ar-SA"/>
              </w:rPr>
              <w:t>1500</w:t>
            </w:r>
          </w:p>
        </w:tc>
        <w:tc>
          <w:tcPr>
            <w:tcW w:w="1182" w:type="dxa"/>
            <w:tcBorders>
              <w:tl2br w:val="nil"/>
              <w:tr2bl w:val="nil"/>
            </w:tcBorders>
            <w:vAlign w:val="center"/>
          </w:tcPr>
          <w:p>
            <w:pPr>
              <w:keepNext w:val="0"/>
              <w:keepLines w:val="0"/>
              <w:widowControl/>
              <w:suppressLineNumbers w:val="0"/>
              <w:jc w:val="center"/>
              <w:textAlignment w:val="center"/>
              <w:rPr>
                <w:rFonts w:hint="default" w:eastAsia="宋体"/>
                <w:color w:val="000000"/>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60</w:t>
            </w:r>
          </w:p>
        </w:tc>
        <w:tc>
          <w:tcPr>
            <w:tcW w:w="109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03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171" w:type="dxa"/>
            <w:tcBorders>
              <w:tl2br w:val="nil"/>
              <w:tr2bl w:val="nil"/>
            </w:tcBorders>
            <w:vAlign w:val="center"/>
          </w:tcPr>
          <w:p>
            <w:pPr>
              <w:keepNext w:val="0"/>
              <w:keepLines w:val="0"/>
              <w:widowControl/>
              <w:suppressLineNumbers w:val="0"/>
              <w:jc w:val="center"/>
              <w:textAlignment w:val="center"/>
              <w:rPr>
                <w:rFonts w:hint="default"/>
                <w:color w:val="000000"/>
                <w:spacing w:val="0"/>
                <w:position w:val="0"/>
                <w:szCs w:val="21"/>
                <w:lang w:val="en-US"/>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0" w:type="dxa"/>
            <w:tcBorders>
              <w:tl2br w:val="nil"/>
              <w:tr2bl w:val="nil"/>
            </w:tcBorders>
            <w:vAlign w:val="center"/>
          </w:tcPr>
          <w:p>
            <w:pPr>
              <w:widowControl/>
              <w:adjustRightInd w:val="0"/>
              <w:snapToGrid w:val="0"/>
              <w:jc w:val="center"/>
              <w:textAlignment w:val="center"/>
              <w:rPr>
                <w:color w:val="000000"/>
                <w:spacing w:val="0"/>
                <w:position w:val="0"/>
                <w:szCs w:val="21"/>
              </w:rPr>
            </w:pPr>
            <w:r>
              <w:rPr>
                <w:rFonts w:hint="eastAsia" w:cs="宋体"/>
                <w:color w:val="000000"/>
                <w:spacing w:val="0"/>
                <w:position w:val="0"/>
                <w:szCs w:val="24"/>
              </w:rPr>
              <w:t>高温溢流染色机</w:t>
            </w:r>
          </w:p>
        </w:tc>
        <w:tc>
          <w:tcPr>
            <w:tcW w:w="859" w:type="dxa"/>
            <w:tcBorders>
              <w:tl2br w:val="nil"/>
              <w:tr2bl w:val="nil"/>
            </w:tcBorders>
            <w:vAlign w:val="center"/>
          </w:tcPr>
          <w:p>
            <w:pPr>
              <w:widowControl/>
              <w:adjustRightInd w:val="0"/>
              <w:snapToGrid w:val="0"/>
              <w:jc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150</w:t>
            </w:r>
          </w:p>
        </w:tc>
        <w:tc>
          <w:tcPr>
            <w:tcW w:w="659"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10</w:t>
            </w:r>
          </w:p>
        </w:tc>
        <w:tc>
          <w:tcPr>
            <w:tcW w:w="1168"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00"/>
                <w:spacing w:val="0"/>
                <w:kern w:val="2"/>
                <w:position w:val="0"/>
                <w:sz w:val="21"/>
                <w:szCs w:val="21"/>
                <w:lang w:val="en-US" w:eastAsia="zh-CN" w:bidi="ar-SA"/>
              </w:rPr>
            </w:pPr>
            <w:r>
              <w:rPr>
                <w:rFonts w:hint="eastAsia" w:cs="Times New Roman"/>
                <w:color w:val="000000"/>
                <w:spacing w:val="0"/>
                <w:kern w:val="2"/>
                <w:position w:val="0"/>
                <w:sz w:val="21"/>
                <w:szCs w:val="21"/>
                <w:lang w:val="en-US" w:eastAsia="zh-CN" w:bidi="ar-SA"/>
              </w:rPr>
              <w:t>1500</w:t>
            </w:r>
          </w:p>
        </w:tc>
        <w:tc>
          <w:tcPr>
            <w:tcW w:w="1182" w:type="dxa"/>
            <w:tcBorders>
              <w:tl2br w:val="nil"/>
              <w:tr2bl w:val="nil"/>
            </w:tcBorders>
            <w:vAlign w:val="center"/>
          </w:tcPr>
          <w:p>
            <w:pPr>
              <w:keepNext w:val="0"/>
              <w:keepLines w:val="0"/>
              <w:widowControl/>
              <w:suppressLineNumbers w:val="0"/>
              <w:jc w:val="center"/>
              <w:textAlignment w:val="center"/>
              <w:rPr>
                <w:rFonts w:hint="default" w:eastAsia="宋体"/>
                <w:color w:val="000000"/>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90</w:t>
            </w:r>
          </w:p>
        </w:tc>
        <w:tc>
          <w:tcPr>
            <w:tcW w:w="109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03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171" w:type="dxa"/>
            <w:tcBorders>
              <w:tl2br w:val="nil"/>
              <w:tr2bl w:val="nil"/>
            </w:tcBorders>
            <w:vAlign w:val="center"/>
          </w:tcPr>
          <w:p>
            <w:pPr>
              <w:keepNext w:val="0"/>
              <w:keepLines w:val="0"/>
              <w:widowControl/>
              <w:suppressLineNumbers w:val="0"/>
              <w:jc w:val="center"/>
              <w:textAlignment w:val="center"/>
              <w:rPr>
                <w:rFonts w:hint="default" w:eastAsia="宋体"/>
                <w:color w:val="000000"/>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0" w:type="dxa"/>
            <w:tcBorders>
              <w:tl2br w:val="nil"/>
              <w:tr2bl w:val="nil"/>
            </w:tcBorders>
            <w:vAlign w:val="center"/>
          </w:tcPr>
          <w:p>
            <w:pPr>
              <w:widowControl/>
              <w:adjustRightInd w:val="0"/>
              <w:snapToGrid w:val="0"/>
              <w:jc w:val="center"/>
              <w:textAlignment w:val="center"/>
              <w:rPr>
                <w:color w:val="000000"/>
                <w:spacing w:val="0"/>
                <w:position w:val="0"/>
                <w:szCs w:val="21"/>
              </w:rPr>
            </w:pPr>
            <w:r>
              <w:rPr>
                <w:rFonts w:hint="eastAsia" w:cs="宋体"/>
                <w:color w:val="000000"/>
                <w:spacing w:val="0"/>
                <w:position w:val="0"/>
                <w:szCs w:val="24"/>
              </w:rPr>
              <w:t>高温溢流染色机</w:t>
            </w:r>
          </w:p>
        </w:tc>
        <w:tc>
          <w:tcPr>
            <w:tcW w:w="859" w:type="dxa"/>
            <w:tcBorders>
              <w:tl2br w:val="nil"/>
              <w:tr2bl w:val="nil"/>
            </w:tcBorders>
            <w:vAlign w:val="center"/>
          </w:tcPr>
          <w:p>
            <w:pPr>
              <w:widowControl/>
              <w:adjustRightInd w:val="0"/>
              <w:snapToGrid w:val="0"/>
              <w:jc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200</w:t>
            </w:r>
          </w:p>
        </w:tc>
        <w:tc>
          <w:tcPr>
            <w:tcW w:w="659"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10</w:t>
            </w:r>
          </w:p>
        </w:tc>
        <w:tc>
          <w:tcPr>
            <w:tcW w:w="1168"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00"/>
                <w:spacing w:val="0"/>
                <w:kern w:val="2"/>
                <w:position w:val="0"/>
                <w:sz w:val="21"/>
                <w:szCs w:val="21"/>
                <w:lang w:val="en-US" w:eastAsia="zh-CN" w:bidi="ar-SA"/>
              </w:rPr>
            </w:pPr>
            <w:r>
              <w:rPr>
                <w:rFonts w:hint="eastAsia" w:cs="Times New Roman"/>
                <w:color w:val="000000"/>
                <w:spacing w:val="0"/>
                <w:kern w:val="2"/>
                <w:position w:val="0"/>
                <w:sz w:val="21"/>
                <w:szCs w:val="21"/>
                <w:lang w:val="en-US" w:eastAsia="zh-CN" w:bidi="ar-SA"/>
              </w:rPr>
              <w:t>2000</w:t>
            </w:r>
          </w:p>
        </w:tc>
        <w:tc>
          <w:tcPr>
            <w:tcW w:w="1182" w:type="dxa"/>
            <w:tcBorders>
              <w:tl2br w:val="nil"/>
              <w:tr2bl w:val="nil"/>
            </w:tcBorders>
            <w:vAlign w:val="center"/>
          </w:tcPr>
          <w:p>
            <w:pPr>
              <w:keepNext w:val="0"/>
              <w:keepLines w:val="0"/>
              <w:widowControl/>
              <w:suppressLineNumbers w:val="0"/>
              <w:jc w:val="center"/>
              <w:textAlignment w:val="center"/>
              <w:rPr>
                <w:rFonts w:hint="default" w:eastAsia="宋体"/>
                <w:color w:val="000000"/>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120</w:t>
            </w:r>
          </w:p>
        </w:tc>
        <w:tc>
          <w:tcPr>
            <w:tcW w:w="109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03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171" w:type="dxa"/>
            <w:tcBorders>
              <w:tl2br w:val="nil"/>
              <w:tr2bl w:val="nil"/>
            </w:tcBorders>
            <w:vAlign w:val="center"/>
          </w:tcPr>
          <w:p>
            <w:pPr>
              <w:keepNext w:val="0"/>
              <w:keepLines w:val="0"/>
              <w:widowControl/>
              <w:suppressLineNumbers w:val="0"/>
              <w:jc w:val="center"/>
              <w:textAlignment w:val="center"/>
              <w:rPr>
                <w:rFonts w:hint="default" w:eastAsia="宋体"/>
                <w:color w:val="000000"/>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0" w:type="dxa"/>
            <w:tcBorders>
              <w:tl2br w:val="nil"/>
              <w:tr2bl w:val="nil"/>
            </w:tcBorders>
            <w:vAlign w:val="center"/>
          </w:tcPr>
          <w:p>
            <w:pPr>
              <w:widowControl/>
              <w:adjustRightInd w:val="0"/>
              <w:snapToGrid w:val="0"/>
              <w:jc w:val="center"/>
              <w:textAlignment w:val="center"/>
              <w:rPr>
                <w:color w:val="000000"/>
                <w:spacing w:val="0"/>
                <w:position w:val="0"/>
                <w:szCs w:val="21"/>
              </w:rPr>
            </w:pPr>
            <w:r>
              <w:rPr>
                <w:rFonts w:hint="eastAsia" w:cs="宋体"/>
                <w:color w:val="000000"/>
                <w:spacing w:val="0"/>
                <w:position w:val="0"/>
                <w:szCs w:val="24"/>
              </w:rPr>
              <w:t>高温溢流染色机</w:t>
            </w:r>
          </w:p>
        </w:tc>
        <w:tc>
          <w:tcPr>
            <w:tcW w:w="859" w:type="dxa"/>
            <w:tcBorders>
              <w:tl2br w:val="nil"/>
              <w:tr2bl w:val="nil"/>
            </w:tcBorders>
            <w:vAlign w:val="center"/>
          </w:tcPr>
          <w:p>
            <w:pPr>
              <w:widowControl/>
              <w:adjustRightInd w:val="0"/>
              <w:snapToGrid w:val="0"/>
              <w:jc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250</w:t>
            </w:r>
          </w:p>
        </w:tc>
        <w:tc>
          <w:tcPr>
            <w:tcW w:w="659"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15</w:t>
            </w:r>
          </w:p>
        </w:tc>
        <w:tc>
          <w:tcPr>
            <w:tcW w:w="1168" w:type="dxa"/>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000000"/>
                <w:spacing w:val="0"/>
                <w:kern w:val="2"/>
                <w:position w:val="0"/>
                <w:sz w:val="21"/>
                <w:szCs w:val="21"/>
                <w:lang w:val="en-US" w:eastAsia="zh-CN" w:bidi="ar-SA"/>
              </w:rPr>
            </w:pPr>
            <w:r>
              <w:rPr>
                <w:rFonts w:hint="eastAsia" w:cs="Times New Roman"/>
                <w:color w:val="000000"/>
                <w:spacing w:val="0"/>
                <w:kern w:val="2"/>
                <w:position w:val="0"/>
                <w:sz w:val="21"/>
                <w:szCs w:val="21"/>
                <w:lang w:val="en-US" w:eastAsia="zh-CN" w:bidi="ar-SA"/>
              </w:rPr>
              <w:t>3750</w:t>
            </w:r>
          </w:p>
        </w:tc>
        <w:tc>
          <w:tcPr>
            <w:tcW w:w="1182" w:type="dxa"/>
            <w:tcBorders>
              <w:tl2br w:val="nil"/>
              <w:tr2bl w:val="nil"/>
            </w:tcBorders>
            <w:vAlign w:val="center"/>
          </w:tcPr>
          <w:p>
            <w:pPr>
              <w:keepNext w:val="0"/>
              <w:keepLines w:val="0"/>
              <w:widowControl/>
              <w:suppressLineNumbers w:val="0"/>
              <w:jc w:val="center"/>
              <w:textAlignment w:val="center"/>
              <w:rPr>
                <w:rFonts w:hint="default" w:eastAsia="宋体"/>
                <w:color w:val="000000"/>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109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03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171"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0" w:type="dxa"/>
            <w:tcBorders>
              <w:tl2br w:val="nil"/>
              <w:tr2bl w:val="nil"/>
            </w:tcBorders>
            <w:vAlign w:val="center"/>
          </w:tcPr>
          <w:p>
            <w:pPr>
              <w:widowControl/>
              <w:adjustRightInd w:val="0"/>
              <w:snapToGrid w:val="0"/>
              <w:jc w:val="center"/>
              <w:textAlignment w:val="center"/>
              <w:rPr>
                <w:rFonts w:cs="宋体"/>
                <w:color w:val="000000"/>
                <w:spacing w:val="0"/>
                <w:position w:val="0"/>
                <w:szCs w:val="24"/>
              </w:rPr>
            </w:pPr>
            <w:r>
              <w:rPr>
                <w:rFonts w:hint="eastAsia" w:cs="宋体"/>
                <w:color w:val="000000"/>
                <w:spacing w:val="0"/>
                <w:position w:val="0"/>
                <w:szCs w:val="24"/>
              </w:rPr>
              <w:t>高温溢流染色机</w:t>
            </w:r>
          </w:p>
        </w:tc>
        <w:tc>
          <w:tcPr>
            <w:tcW w:w="859" w:type="dxa"/>
            <w:tcBorders>
              <w:tl2br w:val="nil"/>
              <w:tr2bl w:val="nil"/>
            </w:tcBorders>
            <w:vAlign w:val="center"/>
          </w:tcPr>
          <w:p>
            <w:pPr>
              <w:widowControl/>
              <w:adjustRightInd w:val="0"/>
              <w:snapToGrid w:val="0"/>
              <w:jc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500</w:t>
            </w:r>
          </w:p>
        </w:tc>
        <w:tc>
          <w:tcPr>
            <w:tcW w:w="659" w:type="dxa"/>
            <w:tcBorders>
              <w:tl2br w:val="nil"/>
              <w:tr2bl w:val="nil"/>
            </w:tcBorders>
            <w:vAlign w:val="center"/>
          </w:tcPr>
          <w:p>
            <w:pPr>
              <w:widowControl/>
              <w:adjustRightInd w:val="0"/>
              <w:snapToGrid w:val="0"/>
              <w:jc w:val="center"/>
              <w:textAlignment w:val="center"/>
              <w:rPr>
                <w:rFonts w:ascii="Times New Roman" w:hAnsi="Times New Roman" w:eastAsia="宋体" w:cs="宋体"/>
                <w:color w:val="000000"/>
                <w:spacing w:val="0"/>
                <w:kern w:val="2"/>
                <w:position w:val="0"/>
                <w:sz w:val="21"/>
                <w:szCs w:val="24"/>
                <w:lang w:val="en-US" w:eastAsia="zh-CN" w:bidi="ar-SA"/>
              </w:rPr>
            </w:pPr>
            <w:r>
              <w:rPr>
                <w:rFonts w:hint="eastAsia" w:cs="宋体"/>
                <w:color w:val="000000"/>
                <w:spacing w:val="0"/>
                <w:position w:val="0"/>
                <w:szCs w:val="24"/>
              </w:rPr>
              <w:t>45</w:t>
            </w:r>
          </w:p>
        </w:tc>
        <w:tc>
          <w:tcPr>
            <w:tcW w:w="1168" w:type="dxa"/>
            <w:tcBorders>
              <w:tl2br w:val="nil"/>
              <w:tr2bl w:val="nil"/>
            </w:tcBorders>
            <w:vAlign w:val="center"/>
          </w:tcPr>
          <w:p>
            <w:pPr>
              <w:widowControl/>
              <w:adjustRightInd w:val="0"/>
              <w:snapToGrid w:val="0"/>
              <w:jc w:val="center"/>
              <w:textAlignment w:val="center"/>
              <w:rPr>
                <w:rFonts w:hint="default" w:ascii="Times New Roman" w:hAnsi="Times New Roman" w:eastAsia="宋体" w:cs="宋体"/>
                <w:color w:val="000000"/>
                <w:spacing w:val="0"/>
                <w:kern w:val="2"/>
                <w:position w:val="0"/>
                <w:sz w:val="21"/>
                <w:szCs w:val="24"/>
                <w:lang w:val="en-US" w:eastAsia="zh-CN" w:bidi="ar-SA"/>
              </w:rPr>
            </w:pPr>
            <w:r>
              <w:rPr>
                <w:rFonts w:hint="eastAsia" w:cs="宋体"/>
                <w:color w:val="000000"/>
                <w:spacing w:val="0"/>
                <w:kern w:val="2"/>
                <w:position w:val="0"/>
                <w:sz w:val="21"/>
                <w:szCs w:val="24"/>
                <w:lang w:val="en-US" w:eastAsia="zh-CN" w:bidi="ar-SA"/>
              </w:rPr>
              <w:t>22500</w:t>
            </w:r>
          </w:p>
        </w:tc>
        <w:tc>
          <w:tcPr>
            <w:tcW w:w="1182" w:type="dxa"/>
            <w:tcBorders>
              <w:tl2br w:val="nil"/>
              <w:tr2bl w:val="nil"/>
            </w:tcBorders>
            <w:vAlign w:val="center"/>
          </w:tcPr>
          <w:p>
            <w:pPr>
              <w:keepNext w:val="0"/>
              <w:keepLines w:val="0"/>
              <w:widowControl/>
              <w:suppressLineNumbers w:val="0"/>
              <w:jc w:val="center"/>
              <w:textAlignment w:val="center"/>
              <w:rPr>
                <w:rFonts w:hint="default" w:eastAsia="宋体" w:cs="宋体"/>
                <w:color w:val="000000"/>
                <w:spacing w:val="0"/>
                <w:position w:val="0"/>
                <w:szCs w:val="24"/>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300</w:t>
            </w:r>
          </w:p>
        </w:tc>
        <w:tc>
          <w:tcPr>
            <w:tcW w:w="109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03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171"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0" w:type="dxa"/>
            <w:tcBorders>
              <w:tl2br w:val="nil"/>
              <w:tr2bl w:val="nil"/>
            </w:tcBorders>
            <w:vAlign w:val="center"/>
          </w:tcPr>
          <w:p>
            <w:pPr>
              <w:widowControl/>
              <w:adjustRightInd w:val="0"/>
              <w:snapToGrid w:val="0"/>
              <w:jc w:val="center"/>
              <w:textAlignment w:val="center"/>
              <w:rPr>
                <w:rFonts w:cs="宋体"/>
                <w:color w:val="000000"/>
                <w:spacing w:val="0"/>
                <w:position w:val="0"/>
                <w:szCs w:val="24"/>
              </w:rPr>
            </w:pPr>
            <w:r>
              <w:rPr>
                <w:rFonts w:hint="eastAsia" w:cs="宋体"/>
                <w:color w:val="000000"/>
                <w:spacing w:val="0"/>
                <w:position w:val="0"/>
                <w:szCs w:val="24"/>
              </w:rPr>
              <w:t>高温溢流染色机</w:t>
            </w:r>
          </w:p>
        </w:tc>
        <w:tc>
          <w:tcPr>
            <w:tcW w:w="859" w:type="dxa"/>
            <w:tcBorders>
              <w:tl2br w:val="nil"/>
              <w:tr2bl w:val="nil"/>
            </w:tcBorders>
            <w:vAlign w:val="center"/>
          </w:tcPr>
          <w:p>
            <w:pPr>
              <w:widowControl/>
              <w:adjustRightInd w:val="0"/>
              <w:snapToGrid w:val="0"/>
              <w:jc w:val="center"/>
              <w:rPr>
                <w:rFonts w:ascii="Times New Roman" w:hAnsi="Times New Roman" w:eastAsia="宋体" w:cs="Times New Roman"/>
                <w:color w:val="000000"/>
                <w:spacing w:val="0"/>
                <w:kern w:val="2"/>
                <w:position w:val="0"/>
                <w:sz w:val="21"/>
                <w:szCs w:val="21"/>
                <w:lang w:val="en-US" w:eastAsia="zh-CN" w:bidi="ar-SA"/>
              </w:rPr>
            </w:pPr>
            <w:r>
              <w:rPr>
                <w:rFonts w:hint="eastAsia"/>
                <w:color w:val="000000"/>
                <w:spacing w:val="0"/>
                <w:position w:val="0"/>
                <w:szCs w:val="21"/>
              </w:rPr>
              <w:t>1000</w:t>
            </w:r>
          </w:p>
        </w:tc>
        <w:tc>
          <w:tcPr>
            <w:tcW w:w="659"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宋体"/>
                <w:color w:val="000000"/>
                <w:spacing w:val="0"/>
                <w:kern w:val="2"/>
                <w:position w:val="0"/>
                <w:sz w:val="21"/>
                <w:szCs w:val="24"/>
                <w:lang w:val="en-US" w:eastAsia="zh-CN" w:bidi="ar-SA"/>
              </w:rPr>
            </w:pPr>
            <w:r>
              <w:rPr>
                <w:rFonts w:hint="eastAsia" w:cs="宋体"/>
                <w:color w:val="000000"/>
                <w:spacing w:val="0"/>
                <w:position w:val="0"/>
                <w:szCs w:val="24"/>
              </w:rPr>
              <w:t>2</w:t>
            </w:r>
            <w:r>
              <w:rPr>
                <w:rFonts w:hint="eastAsia" w:cs="宋体"/>
                <w:color w:val="000000"/>
                <w:spacing w:val="0"/>
                <w:position w:val="0"/>
                <w:szCs w:val="24"/>
                <w:lang w:val="en-US" w:eastAsia="zh-CN"/>
              </w:rPr>
              <w:t>5</w:t>
            </w:r>
          </w:p>
        </w:tc>
        <w:tc>
          <w:tcPr>
            <w:tcW w:w="1168" w:type="dxa"/>
            <w:tcBorders>
              <w:tl2br w:val="nil"/>
              <w:tr2bl w:val="nil"/>
            </w:tcBorders>
            <w:vAlign w:val="center"/>
          </w:tcPr>
          <w:p>
            <w:pPr>
              <w:widowControl/>
              <w:adjustRightInd w:val="0"/>
              <w:snapToGrid w:val="0"/>
              <w:jc w:val="center"/>
              <w:textAlignment w:val="center"/>
              <w:rPr>
                <w:rFonts w:hint="default" w:ascii="Times New Roman" w:hAnsi="Times New Roman" w:eastAsia="宋体" w:cs="宋体"/>
                <w:color w:val="000000"/>
                <w:spacing w:val="0"/>
                <w:kern w:val="2"/>
                <w:position w:val="0"/>
                <w:sz w:val="21"/>
                <w:szCs w:val="24"/>
                <w:lang w:val="en-US" w:eastAsia="zh-CN" w:bidi="ar-SA"/>
              </w:rPr>
            </w:pPr>
            <w:r>
              <w:rPr>
                <w:rFonts w:hint="eastAsia" w:cs="宋体"/>
                <w:color w:val="000000"/>
                <w:spacing w:val="0"/>
                <w:kern w:val="2"/>
                <w:position w:val="0"/>
                <w:sz w:val="21"/>
                <w:szCs w:val="24"/>
                <w:lang w:val="en-US" w:eastAsia="zh-CN" w:bidi="ar-SA"/>
              </w:rPr>
              <w:t>25000</w:t>
            </w:r>
          </w:p>
        </w:tc>
        <w:tc>
          <w:tcPr>
            <w:tcW w:w="1182" w:type="dxa"/>
            <w:tcBorders>
              <w:tl2br w:val="nil"/>
              <w:tr2bl w:val="nil"/>
            </w:tcBorders>
            <w:vAlign w:val="center"/>
          </w:tcPr>
          <w:p>
            <w:pPr>
              <w:keepNext w:val="0"/>
              <w:keepLines w:val="0"/>
              <w:widowControl/>
              <w:suppressLineNumbers w:val="0"/>
              <w:jc w:val="center"/>
              <w:textAlignment w:val="center"/>
              <w:rPr>
                <w:rFonts w:hint="default" w:eastAsia="宋体" w:cs="宋体"/>
                <w:color w:val="000000"/>
                <w:spacing w:val="0"/>
                <w:position w:val="0"/>
                <w:szCs w:val="24"/>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550</w:t>
            </w:r>
          </w:p>
        </w:tc>
        <w:tc>
          <w:tcPr>
            <w:tcW w:w="109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033"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171"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40" w:type="dxa"/>
            <w:tcBorders>
              <w:tl2br w:val="nil"/>
              <w:tr2bl w:val="nil"/>
            </w:tcBorders>
            <w:vAlign w:val="center"/>
          </w:tcPr>
          <w:p>
            <w:pPr>
              <w:widowControl/>
              <w:adjustRightInd w:val="0"/>
              <w:snapToGrid w:val="0"/>
              <w:jc w:val="center"/>
              <w:textAlignment w:val="center"/>
              <w:rPr>
                <w:rFonts w:cs="宋体"/>
                <w:color w:val="000000"/>
                <w:spacing w:val="0"/>
                <w:position w:val="0"/>
                <w:szCs w:val="24"/>
              </w:rPr>
            </w:pPr>
          </w:p>
        </w:tc>
        <w:tc>
          <w:tcPr>
            <w:tcW w:w="859" w:type="dxa"/>
            <w:tcBorders>
              <w:tl2br w:val="nil"/>
              <w:tr2bl w:val="nil"/>
            </w:tcBorders>
            <w:vAlign w:val="center"/>
          </w:tcPr>
          <w:p>
            <w:pPr>
              <w:widowControl/>
              <w:adjustRightInd w:val="0"/>
              <w:snapToGrid w:val="0"/>
              <w:jc w:val="center"/>
              <w:textAlignment w:val="center"/>
              <w:rPr>
                <w:rFonts w:cs="宋体"/>
                <w:color w:val="000000"/>
                <w:spacing w:val="0"/>
                <w:kern w:val="0"/>
                <w:position w:val="0"/>
                <w:szCs w:val="24"/>
                <w:lang w:bidi="ar"/>
              </w:rPr>
            </w:pPr>
            <w:r>
              <w:rPr>
                <w:rFonts w:hint="eastAsia" w:cs="宋体"/>
                <w:color w:val="000000"/>
                <w:spacing w:val="0"/>
                <w:kern w:val="0"/>
                <w:position w:val="0"/>
                <w:szCs w:val="24"/>
                <w:lang w:bidi="ar"/>
              </w:rPr>
              <w:t>合计</w:t>
            </w:r>
          </w:p>
        </w:tc>
        <w:tc>
          <w:tcPr>
            <w:tcW w:w="659" w:type="dxa"/>
            <w:tcBorders>
              <w:tl2br w:val="nil"/>
              <w:tr2bl w:val="nil"/>
            </w:tcBorders>
            <w:vAlign w:val="center"/>
          </w:tcPr>
          <w:p>
            <w:pPr>
              <w:widowControl/>
              <w:adjustRightInd w:val="0"/>
              <w:snapToGrid w:val="0"/>
              <w:jc w:val="center"/>
              <w:rPr>
                <w:color w:val="000000"/>
                <w:spacing w:val="0"/>
                <w:position w:val="0"/>
                <w:szCs w:val="21"/>
              </w:rPr>
            </w:pPr>
            <w:r>
              <w:rPr>
                <w:rFonts w:hint="eastAsia" w:cs="宋体"/>
                <w:color w:val="000000"/>
                <w:spacing w:val="0"/>
                <w:position w:val="0"/>
                <w:szCs w:val="24"/>
                <w:lang w:val="en-US" w:eastAsia="zh-CN"/>
              </w:rPr>
              <w:t>120</w:t>
            </w:r>
          </w:p>
        </w:tc>
        <w:tc>
          <w:tcPr>
            <w:tcW w:w="1168" w:type="dxa"/>
            <w:tcBorders>
              <w:tl2br w:val="nil"/>
              <w:tr2bl w:val="nil"/>
            </w:tcBorders>
            <w:vAlign w:val="center"/>
          </w:tcPr>
          <w:p>
            <w:pPr>
              <w:widowControl/>
              <w:adjustRightInd w:val="0"/>
              <w:snapToGrid w:val="0"/>
              <w:jc w:val="center"/>
              <w:rPr>
                <w:rFonts w:hint="default" w:eastAsia="宋体" w:cs="宋体"/>
                <w:color w:val="000000"/>
                <w:spacing w:val="0"/>
                <w:position w:val="0"/>
                <w:szCs w:val="24"/>
                <w:lang w:val="en-US" w:eastAsia="zh-CN"/>
              </w:rPr>
            </w:pPr>
            <w:r>
              <w:rPr>
                <w:rFonts w:hint="eastAsia" w:cs="宋体"/>
                <w:color w:val="000000"/>
                <w:spacing w:val="0"/>
                <w:position w:val="0"/>
                <w:szCs w:val="24"/>
                <w:lang w:val="en-US" w:eastAsia="zh-CN"/>
              </w:rPr>
              <w:t>56250</w:t>
            </w:r>
          </w:p>
        </w:tc>
        <w:tc>
          <w:tcPr>
            <w:tcW w:w="1182" w:type="dxa"/>
            <w:tcBorders>
              <w:tl2br w:val="nil"/>
              <w:tr2bl w:val="nil"/>
            </w:tcBorders>
            <w:vAlign w:val="center"/>
          </w:tcPr>
          <w:p>
            <w:pPr>
              <w:widowControl w:val="0"/>
              <w:jc w:val="center"/>
              <w:rPr>
                <w:rFonts w:hint="eastAsia" w:eastAsia="宋体" w:cs="宋体"/>
                <w:color w:val="000000"/>
                <w:spacing w:val="0"/>
                <w:position w:val="0"/>
                <w:szCs w:val="24"/>
                <w:lang w:eastAsia="zh-CN"/>
              </w:rPr>
            </w:pPr>
          </w:p>
        </w:tc>
        <w:tc>
          <w:tcPr>
            <w:tcW w:w="1093" w:type="dxa"/>
            <w:tcBorders>
              <w:tl2br w:val="nil"/>
              <w:tr2bl w:val="nil"/>
            </w:tcBorders>
            <w:vAlign w:val="center"/>
          </w:tcPr>
          <w:p>
            <w:pPr>
              <w:widowControl w:val="0"/>
              <w:jc w:val="center"/>
              <w:rPr>
                <w:color w:val="000000"/>
                <w:spacing w:val="0"/>
                <w:position w:val="0"/>
                <w:szCs w:val="21"/>
              </w:rPr>
            </w:pPr>
          </w:p>
        </w:tc>
        <w:tc>
          <w:tcPr>
            <w:tcW w:w="1033" w:type="dxa"/>
            <w:tcBorders>
              <w:tl2br w:val="nil"/>
              <w:tr2bl w:val="nil"/>
            </w:tcBorders>
            <w:vAlign w:val="center"/>
          </w:tcPr>
          <w:p>
            <w:pPr>
              <w:widowControl w:val="0"/>
              <w:jc w:val="center"/>
              <w:rPr>
                <w:color w:val="000000"/>
                <w:spacing w:val="0"/>
                <w:position w:val="0"/>
                <w:szCs w:val="21"/>
              </w:rPr>
            </w:pPr>
          </w:p>
        </w:tc>
        <w:tc>
          <w:tcPr>
            <w:tcW w:w="1171" w:type="dxa"/>
            <w:tcBorders>
              <w:tl2br w:val="nil"/>
              <w:tr2bl w:val="nil"/>
            </w:tcBorders>
            <w:vAlign w:val="center"/>
          </w:tcPr>
          <w:p>
            <w:pPr>
              <w:keepNext w:val="0"/>
              <w:keepLines w:val="0"/>
              <w:widowControl/>
              <w:suppressLineNumbers w:val="0"/>
              <w:jc w:val="center"/>
              <w:textAlignment w:val="center"/>
              <w:rPr>
                <w:color w:val="000000"/>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65</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spacing w:val="0"/>
          <w:position w:val="0"/>
          <w:szCs w:val="21"/>
        </w:rPr>
      </w:pPr>
      <w:r>
        <w:rPr>
          <w:rFonts w:hint="eastAsia"/>
          <w:spacing w:val="0"/>
          <w:position w:val="0"/>
          <w:szCs w:val="21"/>
        </w:rPr>
        <w:t>注：产能核算中未考虑染色样机。</w:t>
      </w:r>
    </w:p>
    <w:p>
      <w:pPr>
        <w:adjustRightInd w:val="0"/>
        <w:snapToGrid w:val="0"/>
        <w:spacing w:line="360" w:lineRule="auto"/>
        <w:ind w:firstLine="480" w:firstLineChars="200"/>
        <w:rPr>
          <w:spacing w:val="0"/>
          <w:position w:val="0"/>
        </w:rPr>
      </w:pPr>
      <w:r>
        <w:rPr>
          <w:rFonts w:hint="eastAsia"/>
          <w:spacing w:val="0"/>
          <w:position w:val="0"/>
          <w:sz w:val="24"/>
          <w:szCs w:val="24"/>
          <w:lang w:eastAsia="zh-CN"/>
        </w:rPr>
        <w:t>由上表可知，染整每批次最大生产能力为</w:t>
      </w:r>
      <w:r>
        <w:rPr>
          <w:rFonts w:hint="eastAsia"/>
          <w:spacing w:val="0"/>
          <w:position w:val="0"/>
          <w:sz w:val="24"/>
          <w:szCs w:val="24"/>
          <w:lang w:val="en-US" w:eastAsia="zh-CN"/>
        </w:rPr>
        <w:t>56.25吨，实际运行时，由于本项目加工的坯布较为轻薄，因此单位重量下空间体积占比大，缸容利用率约为55%~65%，每天生产2批次，即染整产能为65t/d，年生产330天，则年染整能力</w:t>
      </w:r>
      <w:r>
        <w:rPr>
          <w:rFonts w:hint="eastAsia"/>
          <w:spacing w:val="0"/>
          <w:position w:val="0"/>
          <w:sz w:val="24"/>
          <w:szCs w:val="24"/>
        </w:rPr>
        <w:t>为：</w:t>
      </w:r>
      <w:r>
        <w:rPr>
          <w:rFonts w:hint="eastAsia"/>
          <w:spacing w:val="0"/>
          <w:position w:val="0"/>
          <w:sz w:val="24"/>
          <w:szCs w:val="24"/>
          <w:lang w:val="en-US" w:eastAsia="zh-CN"/>
        </w:rPr>
        <w:t>21450</w:t>
      </w:r>
      <w:r>
        <w:rPr>
          <w:rFonts w:hint="eastAsia"/>
          <w:spacing w:val="0"/>
          <w:position w:val="0"/>
          <w:sz w:val="24"/>
          <w:szCs w:val="24"/>
        </w:rPr>
        <w:t>t，</w:t>
      </w:r>
      <w:r>
        <w:rPr>
          <w:rFonts w:hint="eastAsia"/>
          <w:spacing w:val="0"/>
          <w:position w:val="0"/>
          <w:sz w:val="24"/>
          <w:szCs w:val="24"/>
          <w:lang w:eastAsia="zh-CN"/>
        </w:rPr>
        <w:t>根据企业提供的资料，染整环节需加料复染的产品占</w:t>
      </w:r>
      <w:r>
        <w:rPr>
          <w:rFonts w:hint="eastAsia"/>
          <w:spacing w:val="0"/>
          <w:position w:val="0"/>
          <w:sz w:val="24"/>
          <w:szCs w:val="24"/>
          <w:lang w:val="en-US" w:eastAsia="zh-CN"/>
        </w:rPr>
        <w:t>10%，</w:t>
      </w:r>
      <w:r>
        <w:rPr>
          <w:rFonts w:hint="eastAsia"/>
          <w:spacing w:val="0"/>
          <w:position w:val="0"/>
          <w:sz w:val="24"/>
          <w:szCs w:val="24"/>
          <w:lang w:eastAsia="zh-CN"/>
        </w:rPr>
        <w:t>因此项目染整实际成品产量为</w:t>
      </w:r>
      <w:r>
        <w:rPr>
          <w:rFonts w:hint="eastAsia"/>
          <w:spacing w:val="0"/>
          <w:position w:val="0"/>
          <w:sz w:val="24"/>
          <w:szCs w:val="24"/>
          <w:lang w:val="en-US" w:eastAsia="zh-CN"/>
        </w:rPr>
        <w:t>21450/1.1=19500t/a，</w:t>
      </w:r>
      <w:r>
        <w:rPr>
          <w:rFonts w:hint="eastAsia"/>
          <w:spacing w:val="0"/>
          <w:position w:val="0"/>
          <w:sz w:val="24"/>
          <w:szCs w:val="24"/>
        </w:rPr>
        <w:t>与设计规模</w:t>
      </w:r>
      <w:r>
        <w:rPr>
          <w:rFonts w:hint="eastAsia"/>
          <w:spacing w:val="0"/>
          <w:position w:val="0"/>
          <w:sz w:val="24"/>
          <w:szCs w:val="24"/>
          <w:lang w:val="en-US" w:eastAsia="zh-CN"/>
        </w:rPr>
        <w:t>19500</w:t>
      </w:r>
      <w:r>
        <w:rPr>
          <w:rFonts w:hint="eastAsia"/>
          <w:spacing w:val="0"/>
          <w:position w:val="0"/>
          <w:sz w:val="24"/>
          <w:szCs w:val="24"/>
        </w:rPr>
        <w:t>t/a</w:t>
      </w:r>
      <w:r>
        <w:rPr>
          <w:rFonts w:hint="eastAsia"/>
          <w:spacing w:val="0"/>
          <w:position w:val="0"/>
          <w:sz w:val="24"/>
          <w:szCs w:val="24"/>
          <w:lang w:eastAsia="zh-CN"/>
        </w:rPr>
        <w:t>一致</w:t>
      </w:r>
      <w:r>
        <w:rPr>
          <w:rFonts w:hint="eastAsia"/>
          <w:spacing w:val="0"/>
          <w:position w:val="0"/>
          <w:sz w:val="24"/>
          <w:szCs w:val="24"/>
        </w:rPr>
        <w:t>。</w:t>
      </w:r>
    </w:p>
    <w:p>
      <w:pPr>
        <w:adjustRightInd w:val="0"/>
        <w:snapToGrid w:val="0"/>
        <w:spacing w:line="360" w:lineRule="auto"/>
        <w:outlineLvl w:val="2"/>
        <w:rPr>
          <w:rFonts w:hint="eastAsia" w:eastAsia="宋体"/>
          <w:b/>
          <w:bCs/>
          <w:spacing w:val="0"/>
          <w:position w:val="0"/>
          <w:sz w:val="28"/>
          <w:szCs w:val="28"/>
          <w:lang w:eastAsia="zh-CN"/>
        </w:rPr>
      </w:pPr>
      <w:r>
        <w:rPr>
          <w:rFonts w:hint="eastAsia"/>
          <w:b/>
          <w:bCs/>
          <w:spacing w:val="0"/>
          <w:position w:val="0"/>
          <w:sz w:val="28"/>
          <w:szCs w:val="28"/>
        </w:rPr>
        <w:t>3.2.5</w:t>
      </w:r>
      <w:r>
        <w:rPr>
          <w:rFonts w:hint="eastAsia"/>
          <w:b/>
          <w:bCs/>
          <w:spacing w:val="0"/>
          <w:position w:val="0"/>
          <w:sz w:val="28"/>
          <w:szCs w:val="28"/>
          <w:lang w:eastAsia="zh-CN"/>
        </w:rPr>
        <w:t>项目布局</w:t>
      </w:r>
    </w:p>
    <w:p>
      <w:pPr>
        <w:widowControl w:val="0"/>
        <w:adjustRightInd w:val="0"/>
        <w:snapToGrid w:val="0"/>
        <w:spacing w:line="360" w:lineRule="auto"/>
        <w:outlineLvl w:val="3"/>
        <w:rPr>
          <w:rFonts w:hint="eastAsia" w:eastAsia="宋体"/>
          <w:b/>
          <w:bCs/>
          <w:spacing w:val="0"/>
          <w:position w:val="0"/>
          <w:sz w:val="24"/>
          <w:szCs w:val="24"/>
          <w:lang w:eastAsia="zh-CN"/>
        </w:rPr>
      </w:pPr>
      <w:r>
        <w:rPr>
          <w:rFonts w:hint="eastAsia"/>
          <w:b/>
          <w:bCs/>
          <w:spacing w:val="0"/>
          <w:position w:val="0"/>
          <w:sz w:val="24"/>
          <w:szCs w:val="24"/>
        </w:rPr>
        <w:t>3.2.</w:t>
      </w:r>
      <w:r>
        <w:rPr>
          <w:rFonts w:hint="eastAsia"/>
          <w:b/>
          <w:bCs/>
          <w:spacing w:val="0"/>
          <w:position w:val="0"/>
          <w:sz w:val="24"/>
          <w:szCs w:val="24"/>
          <w:lang w:val="en-US" w:eastAsia="zh-CN"/>
        </w:rPr>
        <w:t>5</w:t>
      </w:r>
      <w:r>
        <w:rPr>
          <w:rFonts w:hint="eastAsia"/>
          <w:b/>
          <w:bCs/>
          <w:spacing w:val="0"/>
          <w:position w:val="0"/>
          <w:sz w:val="24"/>
          <w:szCs w:val="24"/>
        </w:rPr>
        <w:t>.</w:t>
      </w:r>
      <w:r>
        <w:rPr>
          <w:rFonts w:hint="eastAsia"/>
          <w:b/>
          <w:bCs/>
          <w:spacing w:val="0"/>
          <w:position w:val="0"/>
          <w:sz w:val="24"/>
          <w:szCs w:val="24"/>
          <w:lang w:val="en-US" w:eastAsia="zh-CN"/>
        </w:rPr>
        <w:t>1</w:t>
      </w:r>
      <w:r>
        <w:rPr>
          <w:rFonts w:hint="eastAsia"/>
          <w:b/>
          <w:bCs/>
          <w:spacing w:val="0"/>
          <w:position w:val="0"/>
          <w:sz w:val="24"/>
          <w:szCs w:val="24"/>
          <w:lang w:eastAsia="zh-CN"/>
        </w:rPr>
        <w:t>平面布置</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按本项目的生产工艺要求及开发周期特点，及充分考虑环境保护和绿化工作，合理地安排厂区内各功能区。整个地块分为厂前区、生产区。</w:t>
      </w:r>
    </w:p>
    <w:p>
      <w:pPr>
        <w:numPr>
          <w:ilvl w:val="0"/>
          <w:numId w:val="0"/>
        </w:numPr>
        <w:adjustRightInd w:val="0"/>
        <w:snapToGrid w:val="0"/>
        <w:spacing w:line="360" w:lineRule="auto"/>
        <w:ind w:firstLine="480" w:firstLineChars="200"/>
        <w:rPr>
          <w:rFonts w:hint="eastAsia"/>
          <w:spacing w:val="0"/>
          <w:position w:val="0"/>
          <w:sz w:val="24"/>
          <w:szCs w:val="24"/>
          <w:lang w:eastAsia="zh-CN"/>
        </w:rPr>
      </w:pPr>
      <w:r>
        <w:rPr>
          <w:rFonts w:hint="eastAsia" w:ascii="Times New Roman" w:hAnsi="Times New Roman" w:eastAsia="宋体" w:cs="Times New Roman"/>
          <w:spacing w:val="0"/>
          <w:kern w:val="2"/>
          <w:position w:val="0"/>
          <w:sz w:val="24"/>
          <w:szCs w:val="24"/>
          <w:lang w:val="en-US" w:eastAsia="zh-CN" w:bidi="ar-SA"/>
        </w:rPr>
        <w:t>（1）</w:t>
      </w:r>
      <w:r>
        <w:rPr>
          <w:rFonts w:hint="eastAsia"/>
          <w:spacing w:val="0"/>
          <w:position w:val="0"/>
          <w:sz w:val="24"/>
          <w:szCs w:val="24"/>
          <w:lang w:eastAsia="zh-CN"/>
        </w:rPr>
        <w:t>厂前区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spacing w:val="0"/>
          <w:kern w:val="2"/>
          <w:position w:val="0"/>
          <w:sz w:val="24"/>
          <w:szCs w:val="24"/>
          <w:lang w:val="en-US" w:eastAsia="zh-CN" w:bidi="ar-SA"/>
        </w:rPr>
      </w:pPr>
      <w:r>
        <w:rPr>
          <w:rFonts w:hint="eastAsia"/>
          <w:spacing w:val="0"/>
          <w:position w:val="0"/>
          <w:sz w:val="24"/>
          <w:szCs w:val="24"/>
        </w:rPr>
        <w:t>厂前区设在厂区的东北侧。主要由办公楼、门卫、机修车间及厂前广场组成。整个厂前区为基地的生产服务设施用地，约占规划总用地面积比例的11%。在门卫的</w:t>
      </w:r>
      <w:r>
        <w:rPr>
          <w:rFonts w:hint="eastAsia"/>
          <w:spacing w:val="0"/>
          <w:position w:val="0"/>
          <w:sz w:val="24"/>
          <w:szCs w:val="24"/>
          <w:lang w:eastAsia="zh-CN"/>
        </w:rPr>
        <w:t>北侧</w:t>
      </w:r>
      <w:r>
        <w:rPr>
          <w:rFonts w:hint="eastAsia"/>
          <w:spacing w:val="0"/>
          <w:position w:val="0"/>
          <w:sz w:val="24"/>
          <w:szCs w:val="24"/>
        </w:rPr>
        <w:t>为厂区的厂前广场，是厂区的主要景观点也是厂区人流集散广场。整个厂区的人流出入口位于厂区东北面的园区道路上，设置一个出入口，便于工作人员进出厂区。</w:t>
      </w:r>
    </w:p>
    <w:p>
      <w:pPr>
        <w:numPr>
          <w:ilvl w:val="0"/>
          <w:numId w:val="0"/>
        </w:numPr>
        <w:adjustRightInd w:val="0"/>
        <w:snapToGrid w:val="0"/>
        <w:spacing w:line="360" w:lineRule="auto"/>
        <w:ind w:firstLine="480" w:firstLineChars="200"/>
        <w:rPr>
          <w:rFonts w:hint="eastAsia" w:cs="Times New Roman"/>
          <w:spacing w:val="0"/>
          <w:kern w:val="2"/>
          <w:position w:val="0"/>
          <w:sz w:val="24"/>
          <w:szCs w:val="24"/>
          <w:lang w:val="en-US" w:eastAsia="zh-CN" w:bidi="ar-SA"/>
        </w:rPr>
      </w:pPr>
      <w:r>
        <w:rPr>
          <w:rFonts w:hint="eastAsia" w:ascii="Times New Roman" w:hAnsi="Times New Roman" w:eastAsia="宋体" w:cs="Times New Roman"/>
          <w:spacing w:val="0"/>
          <w:kern w:val="2"/>
          <w:position w:val="0"/>
          <w:sz w:val="24"/>
          <w:szCs w:val="24"/>
          <w:lang w:val="en-US" w:eastAsia="zh-CN" w:bidi="ar-SA"/>
        </w:rPr>
        <w:t>（2）</w:t>
      </w:r>
      <w:r>
        <w:rPr>
          <w:rFonts w:hint="eastAsia" w:cs="Times New Roman"/>
          <w:spacing w:val="0"/>
          <w:kern w:val="2"/>
          <w:position w:val="0"/>
          <w:sz w:val="24"/>
          <w:szCs w:val="24"/>
          <w:lang w:val="en-US" w:eastAsia="zh-CN" w:bidi="ar-SA"/>
        </w:rPr>
        <w:t>主要生产区</w:t>
      </w:r>
    </w:p>
    <w:p>
      <w:pPr>
        <w:numPr>
          <w:ilvl w:val="0"/>
          <w:numId w:val="0"/>
        </w:num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主要生产区由1栋</w:t>
      </w:r>
      <w:r>
        <w:rPr>
          <w:rFonts w:hint="eastAsia"/>
          <w:spacing w:val="0"/>
          <w:position w:val="0"/>
          <w:sz w:val="24"/>
          <w:szCs w:val="24"/>
          <w:lang w:eastAsia="zh-CN"/>
        </w:rPr>
        <w:t>生产厂房</w:t>
      </w:r>
      <w:r>
        <w:rPr>
          <w:rFonts w:hint="eastAsia"/>
          <w:spacing w:val="0"/>
          <w:position w:val="0"/>
          <w:sz w:val="24"/>
          <w:szCs w:val="24"/>
        </w:rPr>
        <w:t>组成。车间位于厂区西南部，占规划总用地面积比例的58.4%。同时在</w:t>
      </w:r>
      <w:r>
        <w:rPr>
          <w:rFonts w:hint="eastAsia"/>
          <w:spacing w:val="0"/>
          <w:position w:val="0"/>
          <w:sz w:val="24"/>
          <w:szCs w:val="24"/>
          <w:lang w:eastAsia="zh-CN"/>
        </w:rPr>
        <w:t>生产厂房的</w:t>
      </w:r>
      <w:r>
        <w:rPr>
          <w:rFonts w:hint="eastAsia"/>
          <w:spacing w:val="0"/>
          <w:position w:val="0"/>
          <w:sz w:val="24"/>
          <w:szCs w:val="24"/>
        </w:rPr>
        <w:t>四周设置一条环形车道。</w:t>
      </w:r>
    </w:p>
    <w:p>
      <w:pPr>
        <w:numPr>
          <w:ilvl w:val="0"/>
          <w:numId w:val="0"/>
        </w:num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w:t>
      </w:r>
      <w:r>
        <w:rPr>
          <w:rFonts w:hint="eastAsia"/>
          <w:spacing w:val="0"/>
          <w:position w:val="0"/>
          <w:sz w:val="24"/>
          <w:szCs w:val="24"/>
          <w:lang w:val="en-US" w:eastAsia="zh-CN"/>
        </w:rPr>
        <w:t>效果图见图3.2-1，其</w:t>
      </w:r>
      <w:r>
        <w:rPr>
          <w:rFonts w:hint="eastAsia"/>
          <w:spacing w:val="0"/>
          <w:position w:val="0"/>
          <w:sz w:val="24"/>
          <w:szCs w:val="24"/>
          <w:lang w:eastAsia="zh-CN"/>
        </w:rPr>
        <w:t>平面布局见图</w:t>
      </w:r>
      <w:r>
        <w:rPr>
          <w:rFonts w:hint="eastAsia"/>
          <w:spacing w:val="0"/>
          <w:position w:val="0"/>
          <w:sz w:val="24"/>
          <w:szCs w:val="24"/>
          <w:lang w:val="en-US" w:eastAsia="zh-CN"/>
        </w:rPr>
        <w:t>3.2-2~3.2-8</w:t>
      </w:r>
      <w:r>
        <w:rPr>
          <w:rFonts w:hint="eastAsia"/>
          <w:spacing w:val="0"/>
          <w:position w:val="0"/>
          <w:sz w:val="24"/>
          <w:szCs w:val="24"/>
        </w:rPr>
        <w:t>，地下水池容积见表3.2-</w:t>
      </w:r>
      <w:r>
        <w:rPr>
          <w:rFonts w:hint="eastAsia"/>
          <w:spacing w:val="0"/>
          <w:position w:val="0"/>
          <w:sz w:val="24"/>
          <w:szCs w:val="24"/>
          <w:lang w:val="en-US" w:eastAsia="zh-CN"/>
        </w:rPr>
        <w:t>6</w:t>
      </w:r>
      <w:r>
        <w:rPr>
          <w:rFonts w:hint="eastAsia"/>
          <w:spacing w:val="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表3.2-</w:t>
      </w:r>
      <w:r>
        <w:rPr>
          <w:rFonts w:hint="eastAsia"/>
          <w:b/>
          <w:bCs/>
          <w:spacing w:val="0"/>
          <w:position w:val="0"/>
          <w:sz w:val="24"/>
          <w:szCs w:val="24"/>
          <w:lang w:val="en-US" w:eastAsia="zh-CN"/>
        </w:rPr>
        <w:t>6</w:t>
      </w:r>
      <w:r>
        <w:rPr>
          <w:rFonts w:hint="eastAsia"/>
          <w:b/>
          <w:bCs/>
          <w:spacing w:val="0"/>
          <w:position w:val="0"/>
          <w:sz w:val="24"/>
          <w:szCs w:val="24"/>
        </w:rPr>
        <w:t>各类水池指标一览表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1879"/>
        <w:gridCol w:w="1533"/>
        <w:gridCol w:w="4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1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序号</w:t>
            </w:r>
          </w:p>
        </w:tc>
        <w:tc>
          <w:tcPr>
            <w:tcW w:w="1879"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池体名称</w:t>
            </w:r>
          </w:p>
        </w:tc>
        <w:tc>
          <w:tcPr>
            <w:tcW w:w="1533"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容积（m</w:t>
            </w:r>
            <w:r>
              <w:rPr>
                <w:rFonts w:hint="eastAsia"/>
                <w:b/>
                <w:bCs/>
                <w:spacing w:val="0"/>
                <w:position w:val="0"/>
                <w:szCs w:val="21"/>
                <w:vertAlign w:val="superscript"/>
              </w:rPr>
              <w:t>3</w:t>
            </w:r>
            <w:r>
              <w:rPr>
                <w:rFonts w:hint="eastAsia"/>
                <w:b/>
                <w:bCs/>
                <w:spacing w:val="0"/>
                <w:position w:val="0"/>
                <w:szCs w:val="21"/>
              </w:rPr>
              <w:t>）</w:t>
            </w:r>
          </w:p>
        </w:tc>
        <w:tc>
          <w:tcPr>
            <w:tcW w:w="4476"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原水池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2200</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分两</w:t>
            </w:r>
            <w:r>
              <w:rPr>
                <w:rFonts w:hint="eastAsia"/>
                <w:spacing w:val="0"/>
                <w:position w:val="0"/>
                <w:szCs w:val="21"/>
                <w:lang w:eastAsia="zh-CN"/>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中水池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2300</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分两</w:t>
            </w:r>
            <w:r>
              <w:rPr>
                <w:rFonts w:hint="eastAsia"/>
                <w:spacing w:val="0"/>
                <w:position w:val="0"/>
                <w:szCs w:val="21"/>
                <w:lang w:eastAsia="zh-CN"/>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w:t>
            </w: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降温池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1800</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分两</w:t>
            </w:r>
            <w:r>
              <w:rPr>
                <w:rFonts w:hint="eastAsia"/>
                <w:spacing w:val="0"/>
                <w:position w:val="0"/>
                <w:szCs w:val="21"/>
                <w:lang w:eastAsia="zh-CN"/>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4</w:t>
            </w: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应急池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840</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eastAsia="zh-CN"/>
              </w:rPr>
              <w:t>即事故应急池，</w:t>
            </w:r>
            <w:r>
              <w:rPr>
                <w:rFonts w:hint="eastAsia"/>
                <w:spacing w:val="0"/>
                <w:position w:val="0"/>
                <w:szCs w:val="21"/>
              </w:rPr>
              <w:t>分两</w:t>
            </w:r>
            <w:r>
              <w:rPr>
                <w:rFonts w:hint="eastAsia"/>
                <w:spacing w:val="0"/>
                <w:position w:val="0"/>
                <w:szCs w:val="21"/>
                <w:lang w:eastAsia="zh-CN"/>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5</w:t>
            </w: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轻污染废水池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1800</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eastAsia="zh-CN"/>
              </w:rPr>
              <w:t>即低浓度废水收集池，</w:t>
            </w:r>
            <w:r>
              <w:rPr>
                <w:rFonts w:hint="eastAsia"/>
                <w:spacing w:val="0"/>
                <w:position w:val="0"/>
                <w:szCs w:val="21"/>
              </w:rPr>
              <w:t>分两</w:t>
            </w:r>
            <w:r>
              <w:rPr>
                <w:rFonts w:hint="eastAsia"/>
                <w:spacing w:val="0"/>
                <w:position w:val="0"/>
                <w:szCs w:val="21"/>
                <w:lang w:eastAsia="zh-CN"/>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w:t>
            </w:r>
          </w:p>
        </w:tc>
        <w:tc>
          <w:tcPr>
            <w:tcW w:w="1879"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rPr>
              <w:t>重污染</w:t>
            </w:r>
            <w:r>
              <w:rPr>
                <w:rFonts w:hint="eastAsia"/>
                <w:spacing w:val="0"/>
                <w:position w:val="0"/>
                <w:szCs w:val="21"/>
                <w:lang w:eastAsia="zh-CN"/>
              </w:rPr>
              <w:t>废水池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1300</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eastAsia="zh-CN"/>
              </w:rPr>
              <w:t>即高浓度废水收集池，</w:t>
            </w:r>
            <w:r>
              <w:rPr>
                <w:rFonts w:hint="eastAsia"/>
                <w:spacing w:val="0"/>
                <w:position w:val="0"/>
                <w:szCs w:val="21"/>
              </w:rPr>
              <w:t>分两</w:t>
            </w:r>
            <w:r>
              <w:rPr>
                <w:rFonts w:hint="eastAsia"/>
                <w:spacing w:val="0"/>
                <w:position w:val="0"/>
                <w:szCs w:val="21"/>
                <w:lang w:eastAsia="zh-CN"/>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7</w:t>
            </w:r>
          </w:p>
        </w:tc>
        <w:tc>
          <w:tcPr>
            <w:tcW w:w="1879"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调节池</w:t>
            </w:r>
          </w:p>
        </w:tc>
        <w:tc>
          <w:tcPr>
            <w:tcW w:w="1533"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840</w:t>
            </w:r>
          </w:p>
        </w:tc>
        <w:tc>
          <w:tcPr>
            <w:tcW w:w="4476" w:type="dxa"/>
            <w:tcBorders>
              <w:tl2br w:val="nil"/>
              <w:tr2bl w:val="nil"/>
            </w:tcBorders>
            <w:vAlign w:val="center"/>
          </w:tcPr>
          <w:p>
            <w:pPr>
              <w:widowControl/>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rPr>
              <w:t>分两</w:t>
            </w:r>
            <w:r>
              <w:rPr>
                <w:rFonts w:hint="eastAsia"/>
                <w:spacing w:val="0"/>
                <w:position w:val="0"/>
                <w:szCs w:val="21"/>
                <w:lang w:eastAsia="zh-CN"/>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8</w:t>
            </w: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雨水收集池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352</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9</w:t>
            </w: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消防水池</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648</w:t>
            </w:r>
          </w:p>
        </w:tc>
        <w:tc>
          <w:tcPr>
            <w:tcW w:w="447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Borders>
              <w:tl2br w:val="nil"/>
              <w:tr2bl w:val="nil"/>
            </w:tcBorders>
            <w:vAlign w:val="center"/>
          </w:tcPr>
          <w:p>
            <w:pPr>
              <w:widowControl/>
              <w:adjustRightInd w:val="0"/>
              <w:snapToGrid w:val="0"/>
              <w:jc w:val="center"/>
              <w:rPr>
                <w:spacing w:val="0"/>
                <w:position w:val="0"/>
                <w:szCs w:val="21"/>
              </w:rPr>
            </w:pPr>
          </w:p>
        </w:tc>
        <w:tc>
          <w:tcPr>
            <w:tcW w:w="187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合计</w:t>
            </w:r>
          </w:p>
        </w:tc>
        <w:tc>
          <w:tcPr>
            <w:tcW w:w="153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12080</w:t>
            </w:r>
          </w:p>
        </w:tc>
        <w:tc>
          <w:tcPr>
            <w:tcW w:w="4476" w:type="dxa"/>
            <w:tcBorders>
              <w:tl2br w:val="nil"/>
              <w:tr2bl w:val="nil"/>
            </w:tcBorders>
            <w:vAlign w:val="center"/>
          </w:tcPr>
          <w:p>
            <w:pPr>
              <w:widowControl/>
              <w:adjustRightInd w:val="0"/>
              <w:snapToGrid w:val="0"/>
              <w:jc w:val="center"/>
              <w:rPr>
                <w:spacing w:val="0"/>
                <w:position w:val="0"/>
                <w:szCs w:val="21"/>
              </w:rPr>
            </w:pPr>
          </w:p>
        </w:tc>
      </w:tr>
    </w:tbl>
    <w:p>
      <w:pPr>
        <w:keepNext w:val="0"/>
        <w:keepLines w:val="0"/>
        <w:pageBreakBefore w:val="0"/>
        <w:widowControl/>
        <w:kinsoku/>
        <w:wordWrap/>
        <w:overflowPunct/>
        <w:topLinePunct w:val="0"/>
        <w:autoSpaceDE/>
        <w:autoSpaceDN/>
        <w:bidi w:val="0"/>
        <w:adjustRightInd w:val="0"/>
        <w:snapToGrid w:val="0"/>
        <w:textAlignment w:val="auto"/>
        <w:rPr>
          <w:rFonts w:hint="eastAsia"/>
          <w:b/>
          <w:bCs/>
          <w:spacing w:val="0"/>
          <w:position w:val="0"/>
          <w:sz w:val="30"/>
          <w:szCs w:val="30"/>
        </w:rPr>
      </w:pPr>
      <w:r>
        <w:rPr>
          <w:rFonts w:hint="eastAsia"/>
          <w:b/>
          <w:bCs/>
          <w:spacing w:val="0"/>
          <w:position w:val="0"/>
          <w:sz w:val="30"/>
          <w:szCs w:val="30"/>
        </w:rPr>
        <w:br w:type="page"/>
      </w:r>
    </w:p>
    <w:p>
      <w:pPr>
        <w:adjustRightInd w:val="0"/>
        <w:snapToGrid w:val="0"/>
        <w:spacing w:line="360" w:lineRule="auto"/>
        <w:outlineLvl w:val="1"/>
        <w:rPr>
          <w:b/>
          <w:bCs/>
          <w:spacing w:val="0"/>
          <w:position w:val="0"/>
          <w:sz w:val="30"/>
          <w:szCs w:val="30"/>
        </w:rPr>
      </w:pPr>
      <w:r>
        <w:rPr>
          <w:rFonts w:hint="eastAsia"/>
          <w:b/>
          <w:bCs/>
          <w:spacing w:val="0"/>
          <w:position w:val="0"/>
          <w:sz w:val="30"/>
          <w:szCs w:val="30"/>
        </w:rPr>
        <w:t>3.3生产工艺及产污环节分析</w:t>
      </w: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3.3.1织造工艺工艺流程及产污环节</w:t>
      </w:r>
    </w:p>
    <w:p>
      <w:pPr>
        <w:widowControl w:val="0"/>
        <w:adjustRightInd w:val="0"/>
        <w:snapToGrid w:val="0"/>
        <w:spacing w:line="360" w:lineRule="auto"/>
        <w:ind w:firstLine="480" w:firstLineChars="200"/>
        <w:rPr>
          <w:spacing w:val="0"/>
          <w:position w:val="0"/>
          <w:sz w:val="24"/>
          <w:szCs w:val="24"/>
        </w:rPr>
      </w:pPr>
      <w:r>
        <w:rPr>
          <w:rFonts w:hint="eastAsia"/>
          <w:spacing w:val="0"/>
          <w:position w:val="0"/>
          <w:sz w:val="24"/>
          <w:szCs w:val="24"/>
        </w:rPr>
        <w:t>针织坯布生产线生产工艺流程及产污环节见图3.3-1。</w:t>
      </w:r>
    </w:p>
    <w:p>
      <w:pPr>
        <w:adjustRightInd w:val="0"/>
        <w:snapToGrid w:val="0"/>
        <w:spacing w:line="360" w:lineRule="auto"/>
        <w:ind w:left="1680" w:firstLine="420"/>
        <w:jc w:val="left"/>
        <w:rPr>
          <w:spacing w:val="0"/>
          <w:position w:val="0"/>
          <w:sz w:val="24"/>
          <w:szCs w:val="24"/>
        </w:rPr>
      </w:pPr>
      <w:r>
        <w:rPr>
          <w:rFonts w:ascii="仿宋_GB2312" w:hAnsi="仿宋_GB2312" w:eastAsia="仿宋_GB2312" w:cs="仿宋_GB2312"/>
          <w:b/>
          <w:bCs/>
          <w:spacing w:val="0"/>
          <w:position w:val="0"/>
          <w:sz w:val="28"/>
          <w:szCs w:val="32"/>
        </w:rPr>
        <w:object>
          <v:shape id="_x0000_i1025" o:spt="75" type="#_x0000_t75" style="height:224.5pt;width:220.6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p>
      <w:pPr>
        <w:adjustRightInd w:val="0"/>
        <w:snapToGrid w:val="0"/>
        <w:spacing w:line="360" w:lineRule="auto"/>
        <w:ind w:left="0" w:firstLine="0"/>
        <w:jc w:val="center"/>
        <w:rPr>
          <w:b/>
          <w:bCs/>
          <w:spacing w:val="0"/>
          <w:position w:val="0"/>
          <w:sz w:val="24"/>
          <w:szCs w:val="24"/>
        </w:rPr>
      </w:pPr>
      <w:r>
        <w:rPr>
          <w:rFonts w:hint="eastAsia"/>
          <w:b/>
          <w:bCs/>
          <w:spacing w:val="0"/>
          <w:position w:val="0"/>
          <w:sz w:val="24"/>
          <w:szCs w:val="24"/>
        </w:rPr>
        <w:t>图3.3-1织造生产工艺流程及产污环节图</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生产工艺及产排污环节说明：</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（1）整经</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将一定根数的经纱按规定的长度和宽度平行卷绕在经轴或织轴上的工艺过程。整经过程会产生S1</w:t>
      </w:r>
      <w:r>
        <w:rPr>
          <w:rFonts w:hint="eastAsia"/>
          <w:spacing w:val="0"/>
          <w:position w:val="0"/>
          <w:sz w:val="24"/>
          <w:szCs w:val="24"/>
          <w:lang w:val="en-US" w:eastAsia="zh-CN"/>
        </w:rPr>
        <w:t>-1整经</w:t>
      </w:r>
      <w:r>
        <w:rPr>
          <w:rFonts w:hint="eastAsia"/>
          <w:spacing w:val="0"/>
          <w:position w:val="0"/>
          <w:sz w:val="24"/>
          <w:szCs w:val="24"/>
        </w:rPr>
        <w:t>废丝和设备运行产生的噪声。</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（2）经编织造</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通过经编机将整经后的</w:t>
      </w:r>
      <w:r>
        <w:rPr>
          <w:rFonts w:hint="eastAsia"/>
          <w:spacing w:val="0"/>
          <w:position w:val="0"/>
          <w:sz w:val="24"/>
          <w:szCs w:val="24"/>
          <w:lang w:eastAsia="zh-CN"/>
        </w:rPr>
        <w:t>长丝</w:t>
      </w:r>
      <w:r>
        <w:rPr>
          <w:rFonts w:hint="eastAsia"/>
          <w:spacing w:val="0"/>
          <w:position w:val="0"/>
          <w:sz w:val="24"/>
          <w:szCs w:val="24"/>
        </w:rPr>
        <w:t>经编成坯布。在牵经</w:t>
      </w:r>
      <w:r>
        <w:rPr>
          <w:rFonts w:hint="eastAsia"/>
          <w:spacing w:val="0"/>
          <w:position w:val="0"/>
          <w:sz w:val="24"/>
          <w:szCs w:val="24"/>
          <w:lang w:eastAsia="zh-CN"/>
        </w:rPr>
        <w:t>进行织造的</w:t>
      </w:r>
      <w:r>
        <w:rPr>
          <w:rFonts w:hint="eastAsia"/>
          <w:spacing w:val="0"/>
          <w:position w:val="0"/>
          <w:sz w:val="24"/>
          <w:szCs w:val="24"/>
        </w:rPr>
        <w:t>过程会产生少量</w:t>
      </w:r>
      <w:r>
        <w:rPr>
          <w:rFonts w:hint="eastAsia"/>
          <w:spacing w:val="0"/>
          <w:position w:val="0"/>
          <w:sz w:val="24"/>
          <w:szCs w:val="24"/>
          <w:lang w:val="en-US" w:eastAsia="zh-CN"/>
        </w:rPr>
        <w:t>G1-1</w:t>
      </w:r>
      <w:r>
        <w:rPr>
          <w:rFonts w:hint="eastAsia"/>
          <w:spacing w:val="0"/>
          <w:position w:val="0"/>
          <w:sz w:val="24"/>
          <w:szCs w:val="24"/>
        </w:rPr>
        <w:t>纤维粉尘，因其产生量甚微，</w:t>
      </w:r>
      <w:r>
        <w:rPr>
          <w:rFonts w:hint="eastAsia"/>
          <w:spacing w:val="0"/>
          <w:position w:val="0"/>
          <w:sz w:val="24"/>
          <w:szCs w:val="24"/>
          <w:lang w:eastAsia="zh-CN"/>
        </w:rPr>
        <w:t>故</w:t>
      </w:r>
      <w:r>
        <w:rPr>
          <w:rFonts w:hint="eastAsia"/>
          <w:spacing w:val="0"/>
          <w:position w:val="0"/>
          <w:sz w:val="24"/>
          <w:szCs w:val="24"/>
        </w:rPr>
        <w:t>本环评不做定量分析。经编过程</w:t>
      </w:r>
      <w:r>
        <w:rPr>
          <w:rFonts w:hint="eastAsia"/>
          <w:spacing w:val="0"/>
          <w:position w:val="0"/>
          <w:sz w:val="24"/>
          <w:szCs w:val="24"/>
          <w:lang w:eastAsia="zh-CN"/>
        </w:rPr>
        <w:t>还</w:t>
      </w:r>
      <w:r>
        <w:rPr>
          <w:rFonts w:hint="eastAsia"/>
          <w:spacing w:val="0"/>
          <w:position w:val="0"/>
          <w:sz w:val="24"/>
          <w:szCs w:val="24"/>
        </w:rPr>
        <w:t>会产生S1</w:t>
      </w:r>
      <w:r>
        <w:rPr>
          <w:rFonts w:hint="eastAsia"/>
          <w:spacing w:val="0"/>
          <w:position w:val="0"/>
          <w:sz w:val="24"/>
          <w:szCs w:val="24"/>
          <w:lang w:val="en-US" w:eastAsia="zh-CN"/>
        </w:rPr>
        <w:t>-2织造</w:t>
      </w:r>
      <w:r>
        <w:rPr>
          <w:rFonts w:hint="eastAsia"/>
          <w:spacing w:val="0"/>
          <w:position w:val="0"/>
          <w:sz w:val="24"/>
          <w:szCs w:val="24"/>
        </w:rPr>
        <w:t>废丝及设备噪声。</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（3）坯检、入仓</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lang w:eastAsia="zh-CN"/>
        </w:rPr>
        <w:t>对坯布进行检验</w:t>
      </w:r>
      <w:r>
        <w:rPr>
          <w:rFonts w:hint="eastAsia"/>
          <w:spacing w:val="0"/>
          <w:position w:val="0"/>
          <w:sz w:val="24"/>
          <w:szCs w:val="24"/>
        </w:rPr>
        <w:t>，合格品入库。</w:t>
      </w: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3.3.2染整工艺流程及产污环节</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染整车间设在生产车间的一层，共配置12</w:t>
      </w:r>
      <w:r>
        <w:rPr>
          <w:rFonts w:hint="eastAsia"/>
          <w:spacing w:val="0"/>
          <w:position w:val="0"/>
          <w:sz w:val="24"/>
          <w:szCs w:val="24"/>
          <w:lang w:val="en-US" w:eastAsia="zh-CN"/>
        </w:rPr>
        <w:t>0</w:t>
      </w:r>
      <w:r>
        <w:rPr>
          <w:rFonts w:hint="eastAsia"/>
          <w:spacing w:val="0"/>
          <w:position w:val="0"/>
          <w:sz w:val="24"/>
          <w:szCs w:val="24"/>
        </w:rPr>
        <w:t>台高温溢流染色机，用于染整加工生产。染整</w:t>
      </w:r>
      <w:r>
        <w:rPr>
          <w:rFonts w:hint="eastAsia"/>
          <w:spacing w:val="0"/>
          <w:position w:val="0"/>
          <w:sz w:val="24"/>
          <w:szCs w:val="24"/>
          <w:lang w:eastAsia="zh-CN"/>
        </w:rPr>
        <w:t>工艺</w:t>
      </w:r>
      <w:r>
        <w:rPr>
          <w:rFonts w:hint="eastAsia"/>
          <w:spacing w:val="0"/>
          <w:position w:val="0"/>
          <w:sz w:val="24"/>
          <w:szCs w:val="24"/>
        </w:rPr>
        <w:t>设计</w:t>
      </w:r>
      <w:r>
        <w:rPr>
          <w:rFonts w:hint="eastAsia"/>
          <w:spacing w:val="0"/>
          <w:position w:val="0"/>
          <w:sz w:val="24"/>
          <w:szCs w:val="24"/>
          <w:lang w:val="en-US" w:eastAsia="zh-CN"/>
        </w:rPr>
        <w:t>处理19500</w:t>
      </w:r>
      <w:r>
        <w:rPr>
          <w:rFonts w:hint="eastAsia"/>
          <w:spacing w:val="0"/>
          <w:position w:val="0"/>
          <w:sz w:val="24"/>
          <w:szCs w:val="24"/>
        </w:rPr>
        <w:t>吨/年。</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染整加工生产工艺流程如下图</w:t>
      </w:r>
      <w:r>
        <w:rPr>
          <w:rFonts w:hint="eastAsia"/>
          <w:spacing w:val="0"/>
          <w:position w:val="0"/>
          <w:sz w:val="24"/>
          <w:szCs w:val="24"/>
          <w:lang w:val="en-US" w:eastAsia="zh-CN"/>
        </w:rPr>
        <w:t>3.3-2</w:t>
      </w:r>
      <w:r>
        <w:rPr>
          <w:rFonts w:hint="eastAsia"/>
          <w:spacing w:val="0"/>
          <w:position w:val="0"/>
          <w:sz w:val="24"/>
          <w:szCs w:val="24"/>
        </w:rPr>
        <w:t>所示。</w:t>
      </w:r>
    </w:p>
    <w:p>
      <w:pPr>
        <w:adjustRightInd w:val="0"/>
        <w:snapToGrid w:val="0"/>
        <w:spacing w:line="360" w:lineRule="auto"/>
        <w:jc w:val="center"/>
        <w:rPr>
          <w:rFonts w:hint="eastAsia"/>
          <w:spacing w:val="0"/>
          <w:position w:val="0"/>
          <w:sz w:val="24"/>
          <w:szCs w:val="24"/>
        </w:rPr>
      </w:pPr>
      <w:r>
        <w:rPr>
          <w:rFonts w:hint="eastAsia"/>
          <w:spacing w:val="0"/>
          <w:position w:val="0"/>
          <w:sz w:val="24"/>
          <w:szCs w:val="24"/>
        </w:rPr>
        <w:object>
          <v:shape id="_x0000_i1026" o:spt="75" type="#_x0000_t75" style="height:454.5pt;width:404.7pt;" o:ole="t" filled="f" o:preferrelative="t" stroked="f" coordsize="21600,21600">
            <v:path/>
            <v:fill on="f" focussize="0,0"/>
            <v:stroke on="f"/>
            <v:imagedata r:id="rId13" o:title=""/>
            <o:lock v:ext="edit" aspectratio="t"/>
            <w10:wrap type="none"/>
            <w10:anchorlock/>
          </v:shape>
          <o:OLEObject Type="Embed" ProgID="Visio.Drawing.11" ShapeID="_x0000_i1026" DrawAspect="Content" ObjectID="_1468075726" r:id="rId12">
            <o:LockedField>false</o:LockedField>
          </o:OLEObject>
        </w:object>
      </w:r>
    </w:p>
    <w:p>
      <w:pPr>
        <w:adjustRightInd w:val="0"/>
        <w:snapToGrid w:val="0"/>
        <w:spacing w:line="360" w:lineRule="auto"/>
        <w:jc w:val="center"/>
        <w:rPr>
          <w:b/>
          <w:bCs/>
          <w:spacing w:val="0"/>
          <w:position w:val="0"/>
          <w:sz w:val="24"/>
          <w:szCs w:val="24"/>
        </w:rPr>
      </w:pPr>
      <w:r>
        <w:rPr>
          <w:rFonts w:hint="eastAsia"/>
          <w:b/>
          <w:bCs/>
          <w:spacing w:val="0"/>
          <w:position w:val="0"/>
          <w:sz w:val="24"/>
          <w:szCs w:val="24"/>
        </w:rPr>
        <w:t>图3.3-</w:t>
      </w:r>
      <w:r>
        <w:rPr>
          <w:rFonts w:hint="eastAsia"/>
          <w:b/>
          <w:bCs/>
          <w:spacing w:val="0"/>
          <w:position w:val="0"/>
          <w:sz w:val="24"/>
          <w:szCs w:val="24"/>
          <w:lang w:val="en-US" w:eastAsia="zh-CN"/>
        </w:rPr>
        <w:t>2</w:t>
      </w:r>
      <w:r>
        <w:rPr>
          <w:rFonts w:hint="eastAsia"/>
          <w:b/>
          <w:bCs/>
          <w:spacing w:val="0"/>
          <w:position w:val="0"/>
          <w:sz w:val="24"/>
          <w:szCs w:val="24"/>
        </w:rPr>
        <w:t>染整工艺流程及产污环节图</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染整加工生产工艺流程及产污环节说明：</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（1）除油</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lang w:eastAsia="zh-CN"/>
        </w:rPr>
        <w:t>除油</w:t>
      </w:r>
      <w:r>
        <w:rPr>
          <w:rFonts w:hint="eastAsia"/>
          <w:spacing w:val="0"/>
          <w:position w:val="0"/>
          <w:sz w:val="24"/>
          <w:szCs w:val="24"/>
        </w:rPr>
        <w:t>主要是</w:t>
      </w:r>
      <w:r>
        <w:rPr>
          <w:rFonts w:hint="eastAsia"/>
          <w:spacing w:val="0"/>
          <w:position w:val="0"/>
          <w:sz w:val="24"/>
          <w:szCs w:val="24"/>
          <w:lang w:eastAsia="zh-CN"/>
        </w:rPr>
        <w:t>利用</w:t>
      </w:r>
      <w:r>
        <w:rPr>
          <w:rFonts w:hint="eastAsia"/>
          <w:spacing w:val="0"/>
          <w:position w:val="0"/>
          <w:sz w:val="24"/>
          <w:szCs w:val="24"/>
        </w:rPr>
        <w:t>平幅水洗机对纤维中的油脂进行脱脂，不涉及退浆、精炼、漂白等处理工序。水洗机除油所采用的方法：加入少量去油剂等在水洗机内进行。</w:t>
      </w:r>
      <w:r>
        <w:rPr>
          <w:rFonts w:hint="eastAsia"/>
          <w:spacing w:val="0"/>
          <w:position w:val="0"/>
          <w:sz w:val="24"/>
          <w:szCs w:val="24"/>
          <w:lang w:eastAsia="zh-CN"/>
        </w:rPr>
        <w:t>除油</w:t>
      </w:r>
      <w:r>
        <w:rPr>
          <w:rFonts w:hint="eastAsia"/>
          <w:spacing w:val="0"/>
          <w:position w:val="0"/>
          <w:sz w:val="24"/>
          <w:szCs w:val="24"/>
        </w:rPr>
        <w:t>处理过程会产生W</w:t>
      </w:r>
      <w:r>
        <w:rPr>
          <w:rFonts w:hint="eastAsia"/>
          <w:spacing w:val="0"/>
          <w:position w:val="0"/>
          <w:sz w:val="24"/>
          <w:szCs w:val="24"/>
          <w:lang w:val="en-US" w:eastAsia="zh-CN"/>
        </w:rPr>
        <w:t>2-1</w:t>
      </w:r>
      <w:r>
        <w:rPr>
          <w:rFonts w:hint="eastAsia"/>
          <w:spacing w:val="0"/>
          <w:position w:val="0"/>
          <w:sz w:val="24"/>
          <w:szCs w:val="24"/>
          <w:lang w:eastAsia="zh-CN"/>
        </w:rPr>
        <w:t>除油</w:t>
      </w:r>
      <w:r>
        <w:rPr>
          <w:rFonts w:hint="eastAsia"/>
          <w:spacing w:val="0"/>
          <w:position w:val="0"/>
          <w:sz w:val="24"/>
          <w:szCs w:val="24"/>
        </w:rPr>
        <w:t>废水。</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（2）预定型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lang w:eastAsia="zh-CN"/>
        </w:rPr>
        <w:t>定型前坯布会通过定型机前的浆料槽里已添加的助剂，沾有助剂的</w:t>
      </w:r>
      <w:r>
        <w:rPr>
          <w:rFonts w:hint="eastAsia"/>
          <w:spacing w:val="0"/>
          <w:position w:val="0"/>
          <w:sz w:val="24"/>
          <w:szCs w:val="24"/>
        </w:rPr>
        <w:t>坯布</w:t>
      </w:r>
      <w:r>
        <w:rPr>
          <w:rFonts w:hint="eastAsia"/>
          <w:spacing w:val="0"/>
          <w:position w:val="0"/>
          <w:sz w:val="24"/>
          <w:szCs w:val="24"/>
          <w:lang w:eastAsia="zh-CN"/>
        </w:rPr>
        <w:t>再</w:t>
      </w:r>
      <w:r>
        <w:rPr>
          <w:rFonts w:hint="eastAsia"/>
          <w:spacing w:val="0"/>
          <w:position w:val="0"/>
          <w:sz w:val="24"/>
          <w:szCs w:val="24"/>
        </w:rPr>
        <w:t>进入定型机，通过机器中蒸汽间接对织物进行</w:t>
      </w:r>
      <w:r>
        <w:rPr>
          <w:rFonts w:hint="eastAsia"/>
          <w:spacing w:val="0"/>
          <w:position w:val="0"/>
          <w:sz w:val="24"/>
          <w:szCs w:val="24"/>
          <w:lang w:eastAsia="zh-CN"/>
        </w:rPr>
        <w:t>加热</w:t>
      </w:r>
      <w:r>
        <w:rPr>
          <w:rFonts w:hint="eastAsia"/>
          <w:spacing w:val="0"/>
          <w:position w:val="0"/>
          <w:sz w:val="24"/>
          <w:szCs w:val="24"/>
        </w:rPr>
        <w:t>定型。根据坯布性质及在染色前需稳定尺寸，并且纤维需要在</w:t>
      </w:r>
      <w:r>
        <w:rPr>
          <w:rFonts w:hint="eastAsia"/>
          <w:spacing w:val="0"/>
          <w:position w:val="0"/>
          <w:sz w:val="24"/>
          <w:szCs w:val="24"/>
          <w:lang w:eastAsia="zh-CN"/>
        </w:rPr>
        <w:t>较高温度的</w:t>
      </w:r>
      <w:r>
        <w:rPr>
          <w:rFonts w:hint="eastAsia"/>
          <w:spacing w:val="0"/>
          <w:position w:val="0"/>
          <w:sz w:val="24"/>
          <w:szCs w:val="24"/>
        </w:rPr>
        <w:t>条件下进行分子结构重组，以便后续保持良好的面料风格。</w:t>
      </w:r>
      <w:r>
        <w:rPr>
          <w:rFonts w:hint="eastAsia"/>
          <w:spacing w:val="0"/>
          <w:position w:val="0"/>
          <w:sz w:val="24"/>
          <w:szCs w:val="24"/>
          <w:lang w:eastAsia="zh-CN"/>
        </w:rPr>
        <w:t>定型后清洗浆料槽内残留助剂产生</w:t>
      </w:r>
      <w:r>
        <w:rPr>
          <w:rFonts w:hint="eastAsia"/>
          <w:spacing w:val="0"/>
          <w:position w:val="0"/>
          <w:sz w:val="24"/>
          <w:szCs w:val="24"/>
          <w:lang w:val="en-US" w:eastAsia="zh-CN"/>
        </w:rPr>
        <w:t>W2-2洗槽废水，定型过程会产生</w:t>
      </w:r>
      <w:r>
        <w:rPr>
          <w:rFonts w:hint="eastAsia"/>
          <w:spacing w:val="0"/>
          <w:position w:val="0"/>
          <w:sz w:val="24"/>
          <w:szCs w:val="24"/>
        </w:rPr>
        <w:t>一定量的G2-1定型废气。</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（3）染色</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本项目采用高温溢流染色机进行染色加工，通过蒸汽把染液加热，使织物在一定温度、压力及酸碱度下，与染料分子发生物理化学作用，从而固定在织物纤维上，使织物显现所需颜色。</w:t>
      </w:r>
      <w:r>
        <w:rPr>
          <w:rFonts w:hint="eastAsia"/>
          <w:spacing w:val="0"/>
          <w:position w:val="0"/>
          <w:sz w:val="24"/>
          <w:szCs w:val="24"/>
          <w:lang w:eastAsia="zh-CN"/>
        </w:rPr>
        <w:t>染色过程产生</w:t>
      </w:r>
      <w:r>
        <w:rPr>
          <w:rFonts w:hint="eastAsia"/>
          <w:spacing w:val="0"/>
          <w:position w:val="0"/>
          <w:sz w:val="24"/>
          <w:szCs w:val="24"/>
          <w:lang w:val="en-US" w:eastAsia="zh-CN"/>
        </w:rPr>
        <w:t>W2-3染色废水和噪声</w:t>
      </w:r>
      <w:r>
        <w:rPr>
          <w:rFonts w:hint="eastAsia"/>
          <w:spacing w:val="0"/>
          <w:position w:val="0"/>
          <w:sz w:val="24"/>
          <w:szCs w:val="24"/>
        </w:rPr>
        <w:t>。</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lang w:eastAsia="zh-CN"/>
        </w:rPr>
        <w:t>（</w:t>
      </w:r>
      <w:r>
        <w:rPr>
          <w:rFonts w:hint="eastAsia"/>
          <w:spacing w:val="0"/>
          <w:position w:val="0"/>
          <w:sz w:val="24"/>
          <w:szCs w:val="24"/>
          <w:lang w:val="en-US" w:eastAsia="zh-CN"/>
        </w:rPr>
        <w:t>4</w:t>
      </w:r>
      <w:r>
        <w:rPr>
          <w:rFonts w:hint="eastAsia"/>
          <w:spacing w:val="0"/>
          <w:position w:val="0"/>
          <w:sz w:val="24"/>
          <w:szCs w:val="24"/>
          <w:lang w:eastAsia="zh-CN"/>
        </w:rPr>
        <w:t>）</w:t>
      </w:r>
      <w:r>
        <w:rPr>
          <w:rFonts w:hint="eastAsia"/>
          <w:spacing w:val="0"/>
          <w:position w:val="0"/>
          <w:sz w:val="24"/>
          <w:szCs w:val="24"/>
          <w:lang w:val="en-US" w:eastAsia="zh-CN"/>
        </w:rPr>
        <w:t>4次</w:t>
      </w:r>
      <w:r>
        <w:rPr>
          <w:rFonts w:hint="eastAsia"/>
          <w:spacing w:val="0"/>
          <w:position w:val="0"/>
          <w:sz w:val="24"/>
          <w:szCs w:val="24"/>
          <w:lang w:eastAsia="zh-CN"/>
        </w:rPr>
        <w:t>水洗</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织物染色后许多未上染固色的染料和其他化学物质附着在织物表面，必须经过</w:t>
      </w:r>
      <w:r>
        <w:rPr>
          <w:rFonts w:hint="eastAsia"/>
          <w:spacing w:val="0"/>
          <w:position w:val="0"/>
          <w:sz w:val="24"/>
          <w:szCs w:val="24"/>
          <w:lang w:eastAsia="zh-CN"/>
        </w:rPr>
        <w:t>水洗</w:t>
      </w:r>
      <w:r>
        <w:rPr>
          <w:rFonts w:hint="eastAsia"/>
          <w:spacing w:val="0"/>
          <w:position w:val="0"/>
          <w:sz w:val="24"/>
          <w:szCs w:val="24"/>
        </w:rPr>
        <w:t>去除，以提高织物的色泽艳度、色牢度和洁净度，根据产品颜色深浅的不同，其</w:t>
      </w:r>
      <w:r>
        <w:rPr>
          <w:rFonts w:hint="eastAsia"/>
          <w:spacing w:val="0"/>
          <w:position w:val="0"/>
          <w:sz w:val="24"/>
          <w:szCs w:val="24"/>
          <w:lang w:eastAsia="zh-CN"/>
        </w:rPr>
        <w:t>水洗</w:t>
      </w:r>
      <w:r>
        <w:rPr>
          <w:rFonts w:hint="eastAsia"/>
          <w:spacing w:val="0"/>
          <w:position w:val="0"/>
          <w:sz w:val="24"/>
          <w:szCs w:val="24"/>
        </w:rPr>
        <w:t>次数也不同，在2~4次之间</w:t>
      </w:r>
      <w:r>
        <w:rPr>
          <w:rFonts w:hint="eastAsia"/>
          <w:spacing w:val="0"/>
          <w:position w:val="0"/>
          <w:sz w:val="24"/>
          <w:szCs w:val="24"/>
          <w:lang w:eastAsia="zh-CN"/>
        </w:rPr>
        <w:t>，</w:t>
      </w:r>
      <w:r>
        <w:rPr>
          <w:rFonts w:hint="eastAsia"/>
          <w:spacing w:val="0"/>
          <w:position w:val="0"/>
          <w:sz w:val="24"/>
          <w:szCs w:val="24"/>
        </w:rPr>
        <w:t>本项目染色后</w:t>
      </w:r>
      <w:r>
        <w:rPr>
          <w:rFonts w:hint="eastAsia"/>
          <w:spacing w:val="0"/>
          <w:position w:val="0"/>
          <w:sz w:val="24"/>
          <w:szCs w:val="24"/>
          <w:lang w:eastAsia="zh-CN"/>
        </w:rPr>
        <w:t>最多</w:t>
      </w:r>
      <w:r>
        <w:rPr>
          <w:rFonts w:hint="eastAsia"/>
          <w:spacing w:val="0"/>
          <w:position w:val="0"/>
          <w:sz w:val="24"/>
          <w:szCs w:val="24"/>
        </w:rPr>
        <w:t>连续</w:t>
      </w:r>
      <w:r>
        <w:rPr>
          <w:rFonts w:hint="eastAsia"/>
          <w:spacing w:val="0"/>
          <w:position w:val="0"/>
          <w:sz w:val="24"/>
          <w:szCs w:val="24"/>
          <w:lang w:eastAsia="zh-CN"/>
        </w:rPr>
        <w:t>水洗4</w:t>
      </w:r>
      <w:r>
        <w:rPr>
          <w:rFonts w:hint="eastAsia"/>
          <w:spacing w:val="0"/>
          <w:position w:val="0"/>
          <w:sz w:val="24"/>
          <w:szCs w:val="24"/>
        </w:rPr>
        <w:t>次，第</w:t>
      </w:r>
      <w:r>
        <w:rPr>
          <w:rFonts w:hint="eastAsia"/>
          <w:spacing w:val="0"/>
          <w:position w:val="0"/>
          <w:sz w:val="24"/>
          <w:szCs w:val="24"/>
          <w:lang w:eastAsia="zh-CN"/>
        </w:rPr>
        <w:t>1、</w:t>
      </w:r>
      <w:r>
        <w:rPr>
          <w:rFonts w:hint="eastAsia"/>
          <w:spacing w:val="0"/>
          <w:position w:val="0"/>
          <w:sz w:val="24"/>
          <w:szCs w:val="24"/>
          <w:lang w:val="en-US" w:eastAsia="zh-CN"/>
        </w:rPr>
        <w:t>2</w:t>
      </w:r>
      <w:r>
        <w:rPr>
          <w:rFonts w:hint="eastAsia"/>
          <w:spacing w:val="0"/>
          <w:position w:val="0"/>
          <w:sz w:val="24"/>
          <w:szCs w:val="24"/>
        </w:rPr>
        <w:t>道</w:t>
      </w:r>
      <w:r>
        <w:rPr>
          <w:rFonts w:hint="eastAsia"/>
          <w:spacing w:val="0"/>
          <w:position w:val="0"/>
          <w:sz w:val="24"/>
          <w:szCs w:val="24"/>
          <w:lang w:val="en-US" w:eastAsia="zh-CN"/>
        </w:rPr>
        <w:t>W2-4</w:t>
      </w:r>
      <w:r>
        <w:rPr>
          <w:rFonts w:hint="eastAsia"/>
          <w:spacing w:val="0"/>
          <w:position w:val="0"/>
          <w:sz w:val="24"/>
          <w:szCs w:val="24"/>
          <w:lang w:eastAsia="zh-CN"/>
        </w:rPr>
        <w:t>水洗</w:t>
      </w:r>
      <w:r>
        <w:rPr>
          <w:rFonts w:hint="eastAsia"/>
          <w:spacing w:val="0"/>
          <w:position w:val="0"/>
          <w:sz w:val="24"/>
          <w:szCs w:val="24"/>
        </w:rPr>
        <w:t>废水会残留部分染料和助剂，废水污染物浓度较高，故收集至高浓度水池，第</w:t>
      </w:r>
      <w:r>
        <w:rPr>
          <w:rFonts w:hint="eastAsia"/>
          <w:spacing w:val="0"/>
          <w:position w:val="0"/>
          <w:sz w:val="24"/>
          <w:szCs w:val="24"/>
          <w:lang w:eastAsia="zh-CN"/>
        </w:rPr>
        <w:t>3、</w:t>
      </w:r>
      <w:r>
        <w:rPr>
          <w:rFonts w:hint="eastAsia"/>
          <w:spacing w:val="0"/>
          <w:position w:val="0"/>
          <w:sz w:val="24"/>
          <w:szCs w:val="24"/>
          <w:lang w:val="en-US" w:eastAsia="zh-CN"/>
        </w:rPr>
        <w:t>4</w:t>
      </w:r>
      <w:r>
        <w:rPr>
          <w:rFonts w:hint="eastAsia"/>
          <w:spacing w:val="0"/>
          <w:position w:val="0"/>
          <w:sz w:val="24"/>
          <w:szCs w:val="24"/>
        </w:rPr>
        <w:t>道</w:t>
      </w:r>
      <w:r>
        <w:rPr>
          <w:rFonts w:hint="eastAsia"/>
          <w:spacing w:val="0"/>
          <w:position w:val="0"/>
          <w:sz w:val="24"/>
          <w:szCs w:val="24"/>
          <w:lang w:val="en-US" w:eastAsia="zh-CN"/>
        </w:rPr>
        <w:t>W2-5</w:t>
      </w:r>
      <w:r>
        <w:rPr>
          <w:rFonts w:hint="eastAsia"/>
          <w:spacing w:val="0"/>
          <w:position w:val="0"/>
          <w:sz w:val="24"/>
          <w:szCs w:val="24"/>
          <w:lang w:eastAsia="zh-CN"/>
        </w:rPr>
        <w:t>水洗</w:t>
      </w:r>
      <w:r>
        <w:rPr>
          <w:rFonts w:hint="eastAsia"/>
          <w:spacing w:val="0"/>
          <w:position w:val="0"/>
          <w:sz w:val="24"/>
          <w:szCs w:val="24"/>
        </w:rPr>
        <w:t>废水污染物浓度较低，收集至低浓度水池</w:t>
      </w:r>
      <w:r>
        <w:rPr>
          <w:rFonts w:hint="eastAsia"/>
          <w:spacing w:val="0"/>
          <w:position w:val="0"/>
          <w:sz w:val="24"/>
          <w:szCs w:val="24"/>
          <w:lang w:eastAsia="zh-CN"/>
        </w:rPr>
        <w:t>。采用调节阀门进行高低浓度废水的收集</w:t>
      </w:r>
      <w:r>
        <w:rPr>
          <w:rFonts w:hint="eastAsia"/>
          <w:spacing w:val="0"/>
          <w:position w:val="0"/>
          <w:sz w:val="24"/>
          <w:szCs w:val="24"/>
        </w:rPr>
        <w:t>。</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5</w:t>
      </w:r>
      <w:r>
        <w:rPr>
          <w:rFonts w:hint="eastAsia"/>
          <w:spacing w:val="0"/>
          <w:position w:val="0"/>
          <w:sz w:val="24"/>
          <w:szCs w:val="24"/>
        </w:rPr>
        <w:t>）固色</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eastAsia"/>
          <w:spacing w:val="0"/>
          <w:position w:val="0"/>
          <w:sz w:val="24"/>
          <w:szCs w:val="24"/>
        </w:rPr>
        <w:t>为保障高档纺织品质量，上染后的坯布需进行固色，通过固色剂的作用，使与纤维接枝的染料分子上的水溶性基团封闭，提高染色牢度。固色在染色机内完成，加</w:t>
      </w:r>
      <w:r>
        <w:rPr>
          <w:rFonts w:hint="eastAsia"/>
          <w:spacing w:val="0"/>
          <w:position w:val="0"/>
          <w:sz w:val="24"/>
          <w:szCs w:val="24"/>
          <w:lang w:eastAsia="zh-CN"/>
        </w:rPr>
        <w:t>入</w:t>
      </w:r>
      <w:r>
        <w:rPr>
          <w:rFonts w:hint="eastAsia"/>
          <w:spacing w:val="0"/>
          <w:position w:val="0"/>
          <w:sz w:val="24"/>
          <w:szCs w:val="24"/>
        </w:rPr>
        <w:t>固色剂</w:t>
      </w:r>
      <w:r>
        <w:rPr>
          <w:rFonts w:hint="eastAsia"/>
          <w:spacing w:val="0"/>
          <w:position w:val="0"/>
          <w:sz w:val="24"/>
          <w:szCs w:val="24"/>
          <w:lang w:eastAsia="zh-CN"/>
        </w:rPr>
        <w:t>及助剂</w:t>
      </w:r>
      <w:r>
        <w:rPr>
          <w:rFonts w:hint="eastAsia"/>
          <w:spacing w:val="0"/>
          <w:position w:val="0"/>
          <w:sz w:val="24"/>
          <w:szCs w:val="24"/>
        </w:rPr>
        <w:t>进行固色</w:t>
      </w:r>
      <w:r>
        <w:rPr>
          <w:rFonts w:hint="eastAsia"/>
          <w:spacing w:val="0"/>
          <w:position w:val="0"/>
          <w:sz w:val="24"/>
          <w:szCs w:val="24"/>
          <w:lang w:eastAsia="zh-CN"/>
        </w:rPr>
        <w:t>后，排水进入下一道工序。固色阶段会产生</w:t>
      </w:r>
      <w:r>
        <w:rPr>
          <w:rFonts w:hint="eastAsia"/>
          <w:spacing w:val="0"/>
          <w:position w:val="0"/>
          <w:sz w:val="24"/>
          <w:szCs w:val="24"/>
          <w:lang w:val="en-US" w:eastAsia="zh-CN"/>
        </w:rPr>
        <w:t>W2-6固色废水和噪声。</w:t>
      </w:r>
    </w:p>
    <w:p>
      <w:pPr>
        <w:adjustRightInd w:val="0"/>
        <w:snapToGrid w:val="0"/>
        <w:spacing w:line="360" w:lineRule="auto"/>
        <w:ind w:firstLine="480" w:firstLineChars="200"/>
        <w:rPr>
          <w:rFonts w:hint="eastAsia"/>
          <w:spacing w:val="0"/>
          <w:position w:val="0"/>
          <w:sz w:val="24"/>
          <w:szCs w:val="24"/>
          <w:lang w:eastAsia="zh-CN"/>
        </w:rPr>
      </w:pPr>
      <w:r>
        <w:rPr>
          <w:rFonts w:hint="eastAsia"/>
          <w:spacing w:val="0"/>
          <w:position w:val="0"/>
          <w:sz w:val="24"/>
          <w:szCs w:val="24"/>
          <w:lang w:eastAsia="zh-CN"/>
        </w:rPr>
        <w:t>（</w:t>
      </w:r>
      <w:r>
        <w:rPr>
          <w:rFonts w:hint="eastAsia"/>
          <w:spacing w:val="0"/>
          <w:position w:val="0"/>
          <w:sz w:val="24"/>
          <w:szCs w:val="24"/>
          <w:lang w:val="en-US" w:eastAsia="zh-CN"/>
        </w:rPr>
        <w:t>6</w:t>
      </w:r>
      <w:r>
        <w:rPr>
          <w:rFonts w:hint="eastAsia"/>
          <w:spacing w:val="0"/>
          <w:position w:val="0"/>
          <w:sz w:val="24"/>
          <w:szCs w:val="24"/>
          <w:lang w:eastAsia="zh-CN"/>
        </w:rPr>
        <w:t>）</w:t>
      </w:r>
      <w:r>
        <w:rPr>
          <w:rFonts w:hint="eastAsia"/>
          <w:spacing w:val="0"/>
          <w:position w:val="0"/>
          <w:sz w:val="24"/>
          <w:szCs w:val="24"/>
          <w:lang w:val="en-US" w:eastAsia="zh-CN"/>
        </w:rPr>
        <w:t>3次</w:t>
      </w:r>
      <w:r>
        <w:rPr>
          <w:rFonts w:hint="eastAsia"/>
          <w:spacing w:val="0"/>
          <w:position w:val="0"/>
          <w:sz w:val="24"/>
          <w:szCs w:val="24"/>
          <w:lang w:eastAsia="zh-CN"/>
        </w:rPr>
        <w:t>水洗</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固色后的织物直接在染色机内进行清洗，其主要目的是去除织物表面的杂质和浮色。根据产品颜色深浅的不同，其清洗次数也不同，在1~3次之间</w:t>
      </w:r>
      <w:r>
        <w:rPr>
          <w:rFonts w:hint="eastAsia"/>
          <w:spacing w:val="0"/>
          <w:position w:val="0"/>
          <w:sz w:val="24"/>
          <w:szCs w:val="24"/>
          <w:lang w:eastAsia="zh-CN"/>
        </w:rPr>
        <w:t>，</w:t>
      </w:r>
      <w:r>
        <w:rPr>
          <w:rFonts w:hint="eastAsia"/>
          <w:spacing w:val="0"/>
          <w:position w:val="0"/>
          <w:sz w:val="24"/>
          <w:szCs w:val="24"/>
        </w:rPr>
        <w:t>该过程</w:t>
      </w:r>
      <w:r>
        <w:rPr>
          <w:rFonts w:hint="eastAsia"/>
          <w:spacing w:val="0"/>
          <w:position w:val="0"/>
          <w:sz w:val="24"/>
          <w:szCs w:val="24"/>
          <w:lang w:eastAsia="zh-CN"/>
        </w:rPr>
        <w:t>产生的</w:t>
      </w:r>
      <w:r>
        <w:rPr>
          <w:rFonts w:hint="eastAsia"/>
          <w:spacing w:val="0"/>
          <w:position w:val="0"/>
          <w:sz w:val="24"/>
          <w:szCs w:val="24"/>
        </w:rPr>
        <w:t>第</w:t>
      </w:r>
      <w:r>
        <w:rPr>
          <w:rFonts w:hint="eastAsia"/>
          <w:spacing w:val="0"/>
          <w:position w:val="0"/>
          <w:sz w:val="24"/>
          <w:szCs w:val="24"/>
          <w:lang w:val="en-US" w:eastAsia="zh-CN"/>
        </w:rPr>
        <w:t>1</w:t>
      </w:r>
      <w:r>
        <w:rPr>
          <w:rFonts w:hint="eastAsia"/>
          <w:spacing w:val="0"/>
          <w:position w:val="0"/>
          <w:sz w:val="24"/>
          <w:szCs w:val="24"/>
        </w:rPr>
        <w:t>道</w:t>
      </w:r>
      <w:r>
        <w:rPr>
          <w:rFonts w:hint="eastAsia"/>
          <w:spacing w:val="0"/>
          <w:position w:val="0"/>
          <w:sz w:val="24"/>
          <w:szCs w:val="24"/>
          <w:lang w:eastAsia="zh-CN"/>
        </w:rPr>
        <w:t>W</w:t>
      </w:r>
      <w:r>
        <w:rPr>
          <w:rFonts w:hint="eastAsia"/>
          <w:spacing w:val="0"/>
          <w:position w:val="0"/>
          <w:sz w:val="24"/>
          <w:szCs w:val="24"/>
          <w:lang w:val="en-US" w:eastAsia="zh-CN"/>
        </w:rPr>
        <w:t>2-7水</w:t>
      </w:r>
      <w:r>
        <w:rPr>
          <w:rFonts w:hint="eastAsia"/>
          <w:spacing w:val="0"/>
          <w:position w:val="0"/>
          <w:sz w:val="24"/>
          <w:szCs w:val="24"/>
        </w:rPr>
        <w:t>洗废水会残留部分固色剂及</w:t>
      </w:r>
      <w:r>
        <w:rPr>
          <w:rFonts w:hint="eastAsia"/>
          <w:spacing w:val="0"/>
          <w:position w:val="0"/>
          <w:sz w:val="24"/>
          <w:szCs w:val="24"/>
          <w:lang w:eastAsia="zh-CN"/>
        </w:rPr>
        <w:t>其他</w:t>
      </w:r>
      <w:r>
        <w:rPr>
          <w:rFonts w:hint="eastAsia"/>
          <w:spacing w:val="0"/>
          <w:position w:val="0"/>
          <w:sz w:val="24"/>
          <w:szCs w:val="24"/>
        </w:rPr>
        <w:t>助剂，废水污染物浓度较高，故收集至高浓度水池，第</w:t>
      </w:r>
      <w:r>
        <w:rPr>
          <w:rFonts w:hint="eastAsia"/>
          <w:spacing w:val="0"/>
          <w:position w:val="0"/>
          <w:sz w:val="24"/>
          <w:szCs w:val="24"/>
          <w:lang w:eastAsia="zh-CN"/>
        </w:rPr>
        <w:t>2</w:t>
      </w:r>
      <w:r>
        <w:rPr>
          <w:rFonts w:hint="eastAsia"/>
          <w:spacing w:val="0"/>
          <w:position w:val="0"/>
          <w:sz w:val="24"/>
          <w:szCs w:val="24"/>
        </w:rPr>
        <w:t>、</w:t>
      </w:r>
      <w:r>
        <w:rPr>
          <w:rFonts w:hint="eastAsia"/>
          <w:spacing w:val="0"/>
          <w:position w:val="0"/>
          <w:sz w:val="24"/>
          <w:szCs w:val="24"/>
          <w:lang w:eastAsia="zh-CN"/>
        </w:rPr>
        <w:t>3</w:t>
      </w:r>
      <w:r>
        <w:rPr>
          <w:rFonts w:hint="eastAsia"/>
          <w:spacing w:val="0"/>
          <w:position w:val="0"/>
          <w:sz w:val="24"/>
          <w:szCs w:val="24"/>
        </w:rPr>
        <w:t>道</w:t>
      </w:r>
      <w:r>
        <w:rPr>
          <w:rFonts w:hint="eastAsia"/>
          <w:spacing w:val="0"/>
          <w:position w:val="0"/>
          <w:sz w:val="24"/>
          <w:szCs w:val="24"/>
          <w:lang w:eastAsia="zh-CN"/>
        </w:rPr>
        <w:t>W</w:t>
      </w:r>
      <w:r>
        <w:rPr>
          <w:rFonts w:hint="eastAsia"/>
          <w:spacing w:val="0"/>
          <w:position w:val="0"/>
          <w:sz w:val="24"/>
          <w:szCs w:val="24"/>
          <w:lang w:val="en-US" w:eastAsia="zh-CN"/>
        </w:rPr>
        <w:t>2-8水洗</w:t>
      </w:r>
      <w:r>
        <w:rPr>
          <w:rFonts w:hint="eastAsia"/>
          <w:spacing w:val="0"/>
          <w:position w:val="0"/>
          <w:sz w:val="24"/>
          <w:szCs w:val="24"/>
        </w:rPr>
        <w:t>废水污染物浓度较低，收集至低浓度水池。</w:t>
      </w:r>
    </w:p>
    <w:p>
      <w:pPr>
        <w:adjustRightInd w:val="0"/>
        <w:snapToGrid w:val="0"/>
        <w:spacing w:line="360" w:lineRule="auto"/>
        <w:ind w:firstLine="480" w:firstLineChars="200"/>
        <w:rPr>
          <w:rFonts w:hint="eastAsia" w:eastAsia="宋体"/>
          <w:spacing w:val="0"/>
          <w:position w:val="0"/>
          <w:sz w:val="24"/>
          <w:szCs w:val="24"/>
          <w:lang w:val="en-US" w:eastAsia="zh-CN"/>
        </w:rPr>
      </w:pPr>
      <w:r>
        <w:rPr>
          <w:rFonts w:hint="eastAsia"/>
          <w:spacing w:val="0"/>
          <w:position w:val="0"/>
          <w:sz w:val="24"/>
          <w:szCs w:val="24"/>
          <w:lang w:val="en-US" w:eastAsia="zh-CN"/>
        </w:rPr>
        <w:t>（7）洗缸</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eastAsia"/>
          <w:spacing w:val="0"/>
          <w:position w:val="0"/>
          <w:sz w:val="24"/>
          <w:szCs w:val="24"/>
          <w:lang w:eastAsia="zh-CN"/>
        </w:rPr>
        <w:t>每次染色完成后进入下一批次坯布染色前，需对染缸进行清洗，清洗剂使用保险粉、片碱，清洗过程产生</w:t>
      </w:r>
      <w:r>
        <w:rPr>
          <w:rFonts w:hint="eastAsia"/>
          <w:spacing w:val="0"/>
          <w:position w:val="0"/>
          <w:sz w:val="24"/>
          <w:szCs w:val="24"/>
          <w:lang w:val="en-US" w:eastAsia="zh-CN"/>
        </w:rPr>
        <w:t>W2-9</w:t>
      </w:r>
      <w:r>
        <w:rPr>
          <w:rFonts w:hint="eastAsia"/>
          <w:spacing w:val="0"/>
          <w:position w:val="0"/>
          <w:sz w:val="24"/>
          <w:szCs w:val="24"/>
          <w:lang w:eastAsia="zh-CN"/>
        </w:rPr>
        <w:t>洗缸废水，染缸清洗干净后待用。因染色后缸内可能依旧残留较多的染料及助剂，因此产生的</w:t>
      </w:r>
      <w:r>
        <w:rPr>
          <w:rFonts w:hint="eastAsia"/>
          <w:spacing w:val="0"/>
          <w:position w:val="0"/>
          <w:sz w:val="24"/>
          <w:szCs w:val="24"/>
          <w:lang w:val="en-US" w:eastAsia="zh-CN"/>
        </w:rPr>
        <w:t>W2-9洗缸废水进入高浓度水池。</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w:t>
      </w:r>
      <w:r>
        <w:rPr>
          <w:rFonts w:hint="eastAsia"/>
          <w:spacing w:val="0"/>
          <w:position w:val="0"/>
          <w:sz w:val="24"/>
          <w:szCs w:val="24"/>
          <w:lang w:val="en-US" w:eastAsia="zh-CN"/>
        </w:rPr>
        <w:t>8</w:t>
      </w:r>
      <w:r>
        <w:rPr>
          <w:rFonts w:hint="eastAsia"/>
          <w:spacing w:val="0"/>
          <w:position w:val="0"/>
          <w:sz w:val="24"/>
          <w:szCs w:val="24"/>
        </w:rPr>
        <w:t>）脱水</w:t>
      </w:r>
      <w:r>
        <w:rPr>
          <w:rFonts w:hint="eastAsia"/>
          <w:spacing w:val="0"/>
          <w:position w:val="0"/>
          <w:sz w:val="24"/>
          <w:szCs w:val="24"/>
          <w:lang w:eastAsia="zh-CN"/>
        </w:rPr>
        <w:t>理布</w:t>
      </w:r>
    </w:p>
    <w:p>
      <w:pPr>
        <w:widowControl w:val="0"/>
        <w:adjustRightInd w:val="0"/>
        <w:snapToGrid w:val="0"/>
        <w:spacing w:line="360" w:lineRule="auto"/>
        <w:ind w:firstLine="480" w:firstLineChars="200"/>
        <w:rPr>
          <w:spacing w:val="0"/>
          <w:position w:val="0"/>
          <w:sz w:val="24"/>
          <w:szCs w:val="24"/>
        </w:rPr>
      </w:pPr>
      <w:r>
        <w:rPr>
          <w:rFonts w:hint="eastAsia"/>
          <w:spacing w:val="0"/>
          <w:position w:val="0"/>
          <w:sz w:val="24"/>
          <w:szCs w:val="24"/>
          <w:lang w:eastAsia="zh-CN"/>
        </w:rPr>
        <w:t>使用脱水机</w:t>
      </w:r>
      <w:r>
        <w:rPr>
          <w:rFonts w:hint="eastAsia"/>
          <w:spacing w:val="0"/>
          <w:position w:val="0"/>
          <w:sz w:val="24"/>
          <w:szCs w:val="24"/>
        </w:rPr>
        <w:t>对</w:t>
      </w:r>
      <w:r>
        <w:rPr>
          <w:rFonts w:hint="eastAsia"/>
          <w:spacing w:val="0"/>
          <w:position w:val="0"/>
          <w:sz w:val="24"/>
          <w:szCs w:val="24"/>
          <w:lang w:eastAsia="zh-CN"/>
        </w:rPr>
        <w:t>水洗</w:t>
      </w:r>
      <w:r>
        <w:rPr>
          <w:rFonts w:hint="eastAsia"/>
          <w:spacing w:val="0"/>
          <w:position w:val="0"/>
          <w:sz w:val="24"/>
          <w:szCs w:val="24"/>
        </w:rPr>
        <w:t>后的湿色布进行离心脱水甩干</w:t>
      </w:r>
      <w:r>
        <w:rPr>
          <w:rFonts w:hint="eastAsia"/>
          <w:spacing w:val="0"/>
          <w:position w:val="0"/>
          <w:sz w:val="24"/>
          <w:szCs w:val="24"/>
          <w:lang w:eastAsia="zh-CN"/>
        </w:rPr>
        <w:t>，以去</w:t>
      </w:r>
      <w:r>
        <w:rPr>
          <w:rFonts w:hint="eastAsia"/>
          <w:spacing w:val="0"/>
          <w:position w:val="0"/>
          <w:sz w:val="24"/>
          <w:szCs w:val="24"/>
        </w:rPr>
        <w:t>除前道工序完成后织物上携带的大部分水分，并整理整齐，以保证烘干的顺利进行。脱水过程会产生W</w:t>
      </w:r>
      <w:r>
        <w:rPr>
          <w:rFonts w:hint="eastAsia"/>
          <w:spacing w:val="0"/>
          <w:position w:val="0"/>
          <w:sz w:val="24"/>
          <w:szCs w:val="24"/>
          <w:lang w:val="en-US" w:eastAsia="zh-CN"/>
        </w:rPr>
        <w:t>2-10脱水</w:t>
      </w:r>
      <w:r>
        <w:rPr>
          <w:rFonts w:hint="eastAsia"/>
          <w:spacing w:val="0"/>
          <w:position w:val="0"/>
          <w:sz w:val="24"/>
          <w:szCs w:val="24"/>
        </w:rPr>
        <w:t>废水和噪声。</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9</w:t>
      </w:r>
      <w:r>
        <w:rPr>
          <w:rFonts w:hint="eastAsia"/>
          <w:spacing w:val="0"/>
          <w:position w:val="0"/>
          <w:sz w:val="24"/>
          <w:szCs w:val="24"/>
        </w:rPr>
        <w:t>）</w:t>
      </w:r>
      <w:r>
        <w:rPr>
          <w:rFonts w:hint="eastAsia"/>
          <w:spacing w:val="0"/>
          <w:position w:val="0"/>
          <w:sz w:val="24"/>
          <w:szCs w:val="24"/>
          <w:lang w:eastAsia="zh-CN"/>
        </w:rPr>
        <w:t>烘干</w:t>
      </w:r>
      <w:r>
        <w:rPr>
          <w:rFonts w:hint="eastAsia"/>
          <w:spacing w:val="0"/>
          <w:position w:val="0"/>
          <w:sz w:val="24"/>
          <w:szCs w:val="24"/>
        </w:rPr>
        <w:t>定型</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完成脱水的半成品坯布通过定型机中的蒸汽间接</w:t>
      </w:r>
      <w:r>
        <w:rPr>
          <w:rFonts w:hint="eastAsia"/>
          <w:spacing w:val="0"/>
          <w:position w:val="0"/>
          <w:sz w:val="24"/>
          <w:szCs w:val="24"/>
          <w:lang w:eastAsia="zh-CN"/>
        </w:rPr>
        <w:t>加热</w:t>
      </w:r>
      <w:r>
        <w:rPr>
          <w:rFonts w:hint="eastAsia"/>
          <w:spacing w:val="0"/>
          <w:position w:val="0"/>
          <w:sz w:val="24"/>
          <w:szCs w:val="24"/>
        </w:rPr>
        <w:t>定型，使得织物具有一定的尺寸稳定性，同时还能改善织物的风格、手感及表面平整度等。定型前坯布会通过定型机前的浆料槽</w:t>
      </w:r>
      <w:r>
        <w:rPr>
          <w:rFonts w:hint="eastAsia"/>
          <w:spacing w:val="0"/>
          <w:position w:val="0"/>
          <w:sz w:val="24"/>
          <w:szCs w:val="24"/>
          <w:lang w:eastAsia="zh-CN"/>
        </w:rPr>
        <w:t>沾染助剂</w:t>
      </w:r>
      <w:r>
        <w:rPr>
          <w:rFonts w:hint="eastAsia"/>
          <w:spacing w:val="0"/>
          <w:position w:val="0"/>
          <w:sz w:val="24"/>
          <w:szCs w:val="24"/>
        </w:rPr>
        <w:t>以满足客户对坯布的要求。其产出物称为“成品布”。该过程产生</w:t>
      </w:r>
      <w:r>
        <w:rPr>
          <w:rFonts w:hint="eastAsia"/>
          <w:spacing w:val="0"/>
          <w:position w:val="0"/>
          <w:sz w:val="24"/>
          <w:szCs w:val="24"/>
          <w:lang w:eastAsia="zh-CN"/>
        </w:rPr>
        <w:t>会产生</w:t>
      </w:r>
      <w:r>
        <w:rPr>
          <w:rFonts w:hint="eastAsia"/>
          <w:spacing w:val="0"/>
          <w:position w:val="0"/>
          <w:sz w:val="24"/>
          <w:szCs w:val="24"/>
        </w:rPr>
        <w:t>G2</w:t>
      </w:r>
      <w:r>
        <w:rPr>
          <w:rFonts w:hint="eastAsia"/>
          <w:spacing w:val="0"/>
          <w:position w:val="0"/>
          <w:sz w:val="24"/>
          <w:szCs w:val="24"/>
          <w:lang w:val="en-US" w:eastAsia="zh-CN"/>
        </w:rPr>
        <w:t>-2</w:t>
      </w:r>
      <w:r>
        <w:rPr>
          <w:rFonts w:hint="eastAsia"/>
          <w:spacing w:val="0"/>
          <w:position w:val="0"/>
          <w:sz w:val="24"/>
          <w:szCs w:val="24"/>
        </w:rPr>
        <w:t>定型废气</w:t>
      </w:r>
      <w:r>
        <w:rPr>
          <w:rFonts w:hint="eastAsia"/>
          <w:spacing w:val="0"/>
          <w:position w:val="0"/>
          <w:sz w:val="24"/>
          <w:szCs w:val="24"/>
          <w:lang w:eastAsia="zh-CN"/>
        </w:rPr>
        <w:t>，浆料槽定期清洗会产生W</w:t>
      </w:r>
      <w:r>
        <w:rPr>
          <w:rFonts w:hint="eastAsia"/>
          <w:spacing w:val="0"/>
          <w:position w:val="0"/>
          <w:sz w:val="24"/>
          <w:szCs w:val="24"/>
          <w:lang w:val="en-US" w:eastAsia="zh-CN"/>
        </w:rPr>
        <w:t>2-11</w:t>
      </w:r>
      <w:r>
        <w:rPr>
          <w:rFonts w:hint="eastAsia"/>
          <w:spacing w:val="0"/>
          <w:position w:val="0"/>
          <w:sz w:val="24"/>
          <w:szCs w:val="24"/>
          <w:lang w:eastAsia="zh-CN"/>
        </w:rPr>
        <w:t>洗槽废水。设备运行时会产生噪声</w:t>
      </w:r>
      <w:r>
        <w:rPr>
          <w:rFonts w:hint="eastAsia"/>
          <w:spacing w:val="0"/>
          <w:position w:val="0"/>
          <w:sz w:val="24"/>
          <w:szCs w:val="24"/>
        </w:rPr>
        <w:t>。</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（10）剪毛/拉毛</w:t>
      </w:r>
    </w:p>
    <w:p>
      <w:pPr>
        <w:adjustRightInd w:val="0"/>
        <w:snapToGrid w:val="0"/>
        <w:spacing w:line="360" w:lineRule="auto"/>
        <w:ind w:firstLine="480" w:firstLineChars="200"/>
        <w:rPr>
          <w:rFonts w:hint="default"/>
          <w:spacing w:val="0"/>
          <w:position w:val="0"/>
          <w:sz w:val="24"/>
          <w:szCs w:val="24"/>
          <w:lang w:val="en-US" w:eastAsia="zh-CN"/>
        </w:rPr>
      </w:pPr>
      <w:r>
        <w:rPr>
          <w:rFonts w:hint="default"/>
          <w:spacing w:val="0"/>
          <w:position w:val="0"/>
          <w:sz w:val="24"/>
          <w:szCs w:val="24"/>
          <w:lang w:val="en-US" w:eastAsia="zh-CN"/>
        </w:rPr>
        <w:t>根据订单要求，采用拉毛机、剪毛机等设备对布料进行后整理，以达到订单需要的触感。该过程产生少量G</w:t>
      </w:r>
      <w:r>
        <w:rPr>
          <w:rFonts w:hint="eastAsia"/>
          <w:spacing w:val="0"/>
          <w:position w:val="0"/>
          <w:sz w:val="24"/>
          <w:szCs w:val="24"/>
          <w:lang w:val="en-US" w:eastAsia="zh-CN"/>
        </w:rPr>
        <w:t>2-3磨毛废气</w:t>
      </w:r>
      <w:r>
        <w:rPr>
          <w:rFonts w:hint="default"/>
          <w:spacing w:val="0"/>
          <w:position w:val="0"/>
          <w:sz w:val="24"/>
          <w:szCs w:val="24"/>
          <w:lang w:val="en-US" w:eastAsia="zh-CN"/>
        </w:rPr>
        <w:t>，</w:t>
      </w:r>
      <w:r>
        <w:rPr>
          <w:rFonts w:hint="eastAsia"/>
          <w:spacing w:val="0"/>
          <w:position w:val="0"/>
          <w:sz w:val="24"/>
          <w:szCs w:val="24"/>
          <w:lang w:val="en-US" w:eastAsia="zh-CN"/>
        </w:rPr>
        <w:t>G2-3磨毛废气</w:t>
      </w:r>
      <w:r>
        <w:rPr>
          <w:rFonts w:hint="default"/>
          <w:spacing w:val="0"/>
          <w:position w:val="0"/>
          <w:sz w:val="24"/>
          <w:szCs w:val="24"/>
          <w:lang w:val="en-US" w:eastAsia="zh-CN"/>
        </w:rPr>
        <w:t>由设备自带</w:t>
      </w:r>
      <w:r>
        <w:rPr>
          <w:rFonts w:hint="eastAsia"/>
          <w:spacing w:val="0"/>
          <w:position w:val="0"/>
          <w:sz w:val="24"/>
          <w:szCs w:val="24"/>
          <w:lang w:val="en-US" w:eastAsia="zh-CN"/>
        </w:rPr>
        <w:t>的</w:t>
      </w:r>
      <w:r>
        <w:rPr>
          <w:rFonts w:hint="default"/>
          <w:spacing w:val="0"/>
          <w:position w:val="0"/>
          <w:sz w:val="24"/>
          <w:szCs w:val="24"/>
          <w:lang w:val="en-US" w:eastAsia="zh-CN"/>
        </w:rPr>
        <w:t>除尘器处理</w:t>
      </w:r>
      <w:r>
        <w:rPr>
          <w:rFonts w:hint="eastAsia"/>
          <w:spacing w:val="0"/>
          <w:position w:val="0"/>
          <w:sz w:val="24"/>
          <w:szCs w:val="24"/>
          <w:lang w:val="en-US" w:eastAsia="zh-CN"/>
        </w:rPr>
        <w:t>后</w:t>
      </w:r>
      <w:r>
        <w:rPr>
          <w:rFonts w:hint="default"/>
          <w:spacing w:val="0"/>
          <w:position w:val="0"/>
          <w:sz w:val="24"/>
          <w:szCs w:val="24"/>
          <w:lang w:val="en-US" w:eastAsia="zh-CN"/>
        </w:rPr>
        <w:t>于车间内排放。</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11</w:t>
      </w:r>
      <w:r>
        <w:rPr>
          <w:rFonts w:hint="eastAsia"/>
          <w:spacing w:val="0"/>
          <w:position w:val="0"/>
          <w:sz w:val="24"/>
          <w:szCs w:val="24"/>
        </w:rPr>
        <w:t>）</w:t>
      </w:r>
      <w:r>
        <w:rPr>
          <w:rFonts w:hint="eastAsia"/>
          <w:spacing w:val="0"/>
          <w:position w:val="0"/>
          <w:sz w:val="24"/>
          <w:szCs w:val="24"/>
          <w:lang w:eastAsia="zh-CN"/>
        </w:rPr>
        <w:t>品检包装</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对成品布依客户品质标准进行布面品质、颜色、规格的检查和判定。检验过程会产生S</w:t>
      </w:r>
      <w:r>
        <w:rPr>
          <w:rFonts w:hint="eastAsia"/>
          <w:spacing w:val="0"/>
          <w:position w:val="0"/>
          <w:sz w:val="24"/>
          <w:szCs w:val="24"/>
          <w:lang w:val="en-US" w:eastAsia="zh-CN"/>
        </w:rPr>
        <w:t>2-3不合格品</w:t>
      </w:r>
      <w:r>
        <w:rPr>
          <w:rFonts w:hint="eastAsia"/>
          <w:spacing w:val="0"/>
          <w:position w:val="0"/>
          <w:sz w:val="24"/>
          <w:szCs w:val="24"/>
        </w:rPr>
        <w:t>。</w:t>
      </w:r>
      <w:r>
        <w:rPr>
          <w:rFonts w:hint="eastAsia"/>
          <w:spacing w:val="0"/>
          <w:position w:val="0"/>
          <w:sz w:val="24"/>
          <w:szCs w:val="24"/>
          <w:lang w:eastAsia="zh-CN"/>
        </w:rPr>
        <w:t>对合格的成品布进行打卷后，</w:t>
      </w:r>
      <w:r>
        <w:rPr>
          <w:rFonts w:hint="eastAsia"/>
          <w:spacing w:val="0"/>
          <w:position w:val="0"/>
          <w:sz w:val="24"/>
          <w:szCs w:val="24"/>
        </w:rPr>
        <w:t>再依客户要求进行</w:t>
      </w:r>
      <w:r>
        <w:rPr>
          <w:rFonts w:hint="eastAsia"/>
          <w:spacing w:val="0"/>
          <w:position w:val="0"/>
          <w:sz w:val="24"/>
          <w:szCs w:val="24"/>
          <w:lang w:eastAsia="zh-CN"/>
        </w:rPr>
        <w:t>卷支、</w:t>
      </w:r>
      <w:r>
        <w:rPr>
          <w:rFonts w:hint="eastAsia"/>
          <w:spacing w:val="0"/>
          <w:position w:val="0"/>
          <w:sz w:val="24"/>
          <w:szCs w:val="24"/>
        </w:rPr>
        <w:t>打码等形式的内包装并美化整齐外包装后入库存放。</w:t>
      </w: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3.3.</w:t>
      </w:r>
      <w:r>
        <w:rPr>
          <w:rFonts w:hint="eastAsia"/>
          <w:b/>
          <w:bCs/>
          <w:spacing w:val="0"/>
          <w:position w:val="0"/>
          <w:sz w:val="28"/>
          <w:szCs w:val="28"/>
          <w:lang w:val="en-US" w:eastAsia="zh-CN"/>
        </w:rPr>
        <w:t>3印花</w:t>
      </w:r>
      <w:r>
        <w:rPr>
          <w:rFonts w:hint="eastAsia"/>
          <w:b/>
          <w:bCs/>
          <w:spacing w:val="0"/>
          <w:position w:val="0"/>
          <w:sz w:val="28"/>
          <w:szCs w:val="28"/>
        </w:rPr>
        <w:t>工艺流程及产污环节</w:t>
      </w:r>
    </w:p>
    <w:p>
      <w:pPr>
        <w:adjustRightInd w:val="0"/>
        <w:snapToGrid w:val="0"/>
        <w:spacing w:line="360" w:lineRule="auto"/>
        <w:ind w:firstLine="0" w:firstLineChars="0"/>
        <w:outlineLvl w:val="3"/>
        <w:rPr>
          <w:rFonts w:hint="default"/>
          <w:b/>
          <w:bCs/>
          <w:spacing w:val="0"/>
          <w:position w:val="0"/>
          <w:sz w:val="24"/>
          <w:szCs w:val="24"/>
          <w:lang w:val="en-US" w:eastAsia="zh-CN"/>
        </w:rPr>
      </w:pPr>
      <w:r>
        <w:rPr>
          <w:rFonts w:hint="eastAsia"/>
          <w:b/>
          <w:bCs/>
          <w:spacing w:val="0"/>
          <w:position w:val="0"/>
          <w:sz w:val="24"/>
          <w:szCs w:val="24"/>
          <w:lang w:val="en-US" w:eastAsia="zh-CN"/>
        </w:rPr>
        <w:t>3.3.3.1数码印花</w:t>
      </w:r>
    </w:p>
    <w:p>
      <w:pPr>
        <w:adjustRightInd w:val="0"/>
        <w:snapToGrid w:val="0"/>
        <w:spacing w:line="360" w:lineRule="auto"/>
        <w:ind w:firstLine="480" w:firstLineChars="200"/>
        <w:rPr>
          <w:rFonts w:hint="default"/>
          <w:spacing w:val="0"/>
          <w:position w:val="0"/>
          <w:sz w:val="24"/>
          <w:szCs w:val="24"/>
          <w:lang w:val="en-US" w:eastAsia="zh-CN"/>
        </w:rPr>
      </w:pPr>
      <w:r>
        <w:rPr>
          <w:rFonts w:hint="eastAsia"/>
          <w:spacing w:val="0"/>
          <w:position w:val="0"/>
          <w:sz w:val="24"/>
          <w:szCs w:val="24"/>
          <w:lang w:eastAsia="zh-CN"/>
        </w:rPr>
        <w:t>本项目数码印花工艺设于生产厂房四层的</w:t>
      </w:r>
      <w:r>
        <w:rPr>
          <w:rFonts w:hint="eastAsia"/>
          <w:spacing w:val="0"/>
          <w:position w:val="0"/>
          <w:sz w:val="24"/>
          <w:szCs w:val="24"/>
          <w:lang w:val="en-US" w:eastAsia="zh-CN"/>
        </w:rPr>
        <w:t>2#印染单元</w:t>
      </w:r>
      <w:r>
        <w:rPr>
          <w:rFonts w:hint="eastAsia"/>
          <w:spacing w:val="0"/>
          <w:position w:val="0"/>
          <w:sz w:val="24"/>
          <w:szCs w:val="24"/>
          <w:lang w:eastAsia="zh-CN"/>
        </w:rPr>
        <w:t>，设计</w:t>
      </w:r>
      <w:r>
        <w:rPr>
          <w:rFonts w:hint="eastAsia"/>
          <w:spacing w:val="0"/>
          <w:position w:val="0"/>
          <w:sz w:val="24"/>
          <w:szCs w:val="24"/>
          <w:lang w:val="en-US" w:eastAsia="zh-CN"/>
        </w:rPr>
        <w:t>处理能力</w:t>
      </w:r>
      <w:r>
        <w:rPr>
          <w:rFonts w:hint="eastAsia"/>
          <w:spacing w:val="0"/>
          <w:position w:val="0"/>
          <w:sz w:val="24"/>
          <w:szCs w:val="24"/>
          <w:lang w:eastAsia="zh-CN"/>
        </w:rPr>
        <w:t>为</w:t>
      </w:r>
      <w:r>
        <w:rPr>
          <w:rFonts w:hint="eastAsia"/>
          <w:spacing w:val="0"/>
          <w:position w:val="0"/>
          <w:sz w:val="24"/>
          <w:szCs w:val="24"/>
          <w:lang w:val="en-US" w:eastAsia="zh-CN"/>
        </w:rPr>
        <w:t>2250t/a，配备5台数码印花机，用于数码印花。数码印花工艺流程如图3.3-3所示。</w:t>
      </w:r>
    </w:p>
    <w:p>
      <w:pPr>
        <w:adjustRightInd w:val="0"/>
        <w:snapToGrid w:val="0"/>
        <w:spacing w:line="240" w:lineRule="auto"/>
        <w:ind w:firstLine="0" w:firstLineChars="0"/>
        <w:jc w:val="center"/>
        <w:rPr>
          <w:rFonts w:hint="eastAsia"/>
          <w:spacing w:val="0"/>
          <w:position w:val="0"/>
          <w:sz w:val="24"/>
          <w:szCs w:val="24"/>
        </w:rPr>
      </w:pPr>
      <w:r>
        <w:rPr>
          <w:rFonts w:hint="eastAsia"/>
          <w:spacing w:val="0"/>
          <w:position w:val="0"/>
          <w:sz w:val="24"/>
          <w:szCs w:val="24"/>
        </w:rPr>
        <w:object>
          <v:shape id="_x0000_i1027" o:spt="75" type="#_x0000_t75" style="height:163.25pt;width:324.25pt;" o:ole="t" filled="f" o:preferrelative="t" stroked="f" coordsize="21600,21600">
            <v:path/>
            <v:fill on="f" focussize="0,0"/>
            <v:stroke on="f"/>
            <v:imagedata r:id="rId15" o:title=""/>
            <o:lock v:ext="edit" aspectratio="t"/>
            <w10:wrap type="none"/>
            <w10:anchorlock/>
          </v:shape>
          <o:OLEObject Type="Embed" ProgID="Visio.Drawing.11" ShapeID="_x0000_i1027" DrawAspect="Content" ObjectID="_1468075727" r:id="rId14">
            <o:LockedField>false</o:LockedField>
          </o:OLEObject>
        </w:object>
      </w:r>
    </w:p>
    <w:p>
      <w:pPr>
        <w:adjustRightInd w:val="0"/>
        <w:snapToGrid w:val="0"/>
        <w:spacing w:line="360" w:lineRule="auto"/>
        <w:ind w:firstLine="0" w:firstLineChars="0"/>
        <w:jc w:val="center"/>
        <w:rPr>
          <w:rFonts w:hint="eastAsia"/>
          <w:spacing w:val="0"/>
          <w:position w:val="0"/>
          <w:sz w:val="24"/>
          <w:szCs w:val="24"/>
          <w:lang w:eastAsia="zh-CN"/>
        </w:rPr>
      </w:pPr>
      <w:r>
        <w:rPr>
          <w:rFonts w:hint="eastAsia"/>
          <w:b/>
          <w:bCs/>
          <w:spacing w:val="0"/>
          <w:position w:val="0"/>
          <w:sz w:val="24"/>
          <w:szCs w:val="24"/>
        </w:rPr>
        <w:t>图3.3-</w:t>
      </w:r>
      <w:r>
        <w:rPr>
          <w:rFonts w:hint="eastAsia"/>
          <w:b/>
          <w:bCs/>
          <w:spacing w:val="0"/>
          <w:position w:val="0"/>
          <w:sz w:val="24"/>
          <w:szCs w:val="24"/>
          <w:lang w:val="en-US" w:eastAsia="zh-CN"/>
        </w:rPr>
        <w:t>3数码印花</w:t>
      </w:r>
      <w:r>
        <w:rPr>
          <w:rFonts w:hint="eastAsia"/>
          <w:b/>
          <w:bCs/>
          <w:spacing w:val="0"/>
          <w:position w:val="0"/>
          <w:sz w:val="24"/>
          <w:szCs w:val="24"/>
        </w:rPr>
        <w:t>工艺流程及产污环节</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lang w:eastAsia="zh-CN"/>
        </w:rPr>
        <w:t>数码印花</w:t>
      </w:r>
      <w:r>
        <w:rPr>
          <w:rFonts w:hint="eastAsia"/>
          <w:spacing w:val="0"/>
          <w:position w:val="0"/>
          <w:sz w:val="24"/>
          <w:szCs w:val="24"/>
        </w:rPr>
        <w:t>工艺流程及产污环节说明</w:t>
      </w:r>
      <w:r>
        <w:rPr>
          <w:rFonts w:hint="eastAsia"/>
          <w:spacing w:val="0"/>
          <w:position w:val="0"/>
          <w:sz w:val="24"/>
          <w:szCs w:val="24"/>
          <w:lang w:eastAsia="zh-CN"/>
        </w:rPr>
        <w:t>：</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1</w:t>
      </w:r>
      <w:r>
        <w:rPr>
          <w:rFonts w:hint="eastAsia"/>
          <w:spacing w:val="0"/>
          <w:position w:val="0"/>
          <w:sz w:val="24"/>
          <w:szCs w:val="24"/>
        </w:rPr>
        <w:t>）数码印花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spacing w:val="0"/>
          <w:position w:val="0"/>
          <w:sz w:val="24"/>
          <w:szCs w:val="24"/>
          <w:lang w:eastAsia="zh-CN"/>
        </w:rPr>
      </w:pPr>
      <w:r>
        <w:rPr>
          <w:rFonts w:hint="eastAsia"/>
          <w:spacing w:val="0"/>
          <w:position w:val="0"/>
          <w:sz w:val="24"/>
          <w:szCs w:val="24"/>
        </w:rPr>
        <w:t>本项目印花采用数码喷墨印花，数码喷墨印花的生产过程简单地说就是通过各种数字化手段如：扫描、数字相片、图像或计算机制作处理的各种数字化图案输入计算机，再通过电脑分色印花系统处理后，由专用的RIP软件通过喷印系统将各种专用墨水直接喷印</w:t>
      </w:r>
      <w:r>
        <w:rPr>
          <w:rFonts w:hint="eastAsia"/>
          <w:spacing w:val="0"/>
          <w:position w:val="0"/>
          <w:sz w:val="24"/>
          <w:szCs w:val="24"/>
          <w:lang w:eastAsia="zh-CN"/>
        </w:rPr>
        <w:t>到坯布上，</w:t>
      </w:r>
      <w:r>
        <w:rPr>
          <w:rFonts w:hint="eastAsia"/>
          <w:spacing w:val="0"/>
          <w:position w:val="0"/>
          <w:sz w:val="24"/>
          <w:szCs w:val="24"/>
        </w:rPr>
        <w:t>再经过</w:t>
      </w:r>
      <w:r>
        <w:rPr>
          <w:rFonts w:hint="eastAsia"/>
          <w:spacing w:val="0"/>
          <w:position w:val="0"/>
          <w:sz w:val="24"/>
          <w:szCs w:val="24"/>
          <w:lang w:eastAsia="zh-CN"/>
        </w:rPr>
        <w:t>烘干定型</w:t>
      </w:r>
      <w:r>
        <w:rPr>
          <w:rFonts w:hint="eastAsia"/>
          <w:spacing w:val="0"/>
          <w:position w:val="0"/>
          <w:sz w:val="24"/>
          <w:szCs w:val="24"/>
        </w:rPr>
        <w:t>，</w:t>
      </w:r>
      <w:r>
        <w:rPr>
          <w:rFonts w:hint="eastAsia"/>
          <w:spacing w:val="0"/>
          <w:position w:val="0"/>
          <w:sz w:val="24"/>
          <w:szCs w:val="24"/>
          <w:lang w:eastAsia="zh-CN"/>
        </w:rPr>
        <w:t>即可在</w:t>
      </w:r>
      <w:r>
        <w:rPr>
          <w:rFonts w:hint="eastAsia"/>
          <w:spacing w:val="0"/>
          <w:position w:val="0"/>
          <w:sz w:val="24"/>
          <w:szCs w:val="24"/>
        </w:rPr>
        <w:t>纺织面料上获得所需的各种高精度的印花产品</w:t>
      </w:r>
      <w:r>
        <w:rPr>
          <w:rFonts w:hint="eastAsia"/>
          <w:spacing w:val="0"/>
          <w:position w:val="0"/>
          <w:sz w:val="24"/>
          <w:szCs w:val="24"/>
          <w:lang w:eastAsia="zh-CN"/>
        </w:rPr>
        <w:t>，数码喷墨印花</w:t>
      </w:r>
      <w:r>
        <w:rPr>
          <w:rFonts w:hint="eastAsia"/>
          <w:spacing w:val="0"/>
          <w:position w:val="0"/>
          <w:sz w:val="24"/>
          <w:szCs w:val="24"/>
        </w:rPr>
        <w:t>过程产生G3</w:t>
      </w:r>
      <w:r>
        <w:rPr>
          <w:rFonts w:hint="eastAsia"/>
          <w:spacing w:val="0"/>
          <w:position w:val="0"/>
          <w:sz w:val="24"/>
          <w:szCs w:val="24"/>
          <w:lang w:val="en-US" w:eastAsia="zh-CN"/>
        </w:rPr>
        <w:t>-1</w:t>
      </w:r>
      <w:r>
        <w:rPr>
          <w:rFonts w:hint="eastAsia"/>
          <w:spacing w:val="0"/>
          <w:position w:val="0"/>
          <w:sz w:val="24"/>
          <w:szCs w:val="24"/>
        </w:rPr>
        <w:t>印花废气。</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2</w:t>
      </w:r>
      <w:r>
        <w:rPr>
          <w:rFonts w:hint="eastAsia"/>
          <w:spacing w:val="0"/>
          <w:position w:val="0"/>
          <w:sz w:val="24"/>
          <w:szCs w:val="24"/>
        </w:rPr>
        <w:t>）</w:t>
      </w:r>
      <w:r>
        <w:rPr>
          <w:rFonts w:hint="eastAsia"/>
          <w:spacing w:val="0"/>
          <w:position w:val="0"/>
          <w:sz w:val="24"/>
          <w:szCs w:val="24"/>
          <w:lang w:eastAsia="zh-CN"/>
        </w:rPr>
        <w:t>烘干</w:t>
      </w:r>
      <w:r>
        <w:rPr>
          <w:rFonts w:hint="eastAsia"/>
          <w:spacing w:val="0"/>
          <w:position w:val="0"/>
          <w:sz w:val="24"/>
          <w:szCs w:val="24"/>
        </w:rPr>
        <w:t>定型</w:t>
      </w:r>
    </w:p>
    <w:p>
      <w:pPr>
        <w:adjustRightInd w:val="0"/>
        <w:snapToGrid w:val="0"/>
        <w:spacing w:line="360" w:lineRule="auto"/>
        <w:ind w:firstLine="480" w:firstLineChars="200"/>
        <w:rPr>
          <w:rFonts w:hint="eastAsia"/>
          <w:spacing w:val="0"/>
          <w:position w:val="0"/>
          <w:sz w:val="24"/>
          <w:szCs w:val="24"/>
          <w:lang w:eastAsia="zh-CN"/>
        </w:rPr>
      </w:pPr>
      <w:r>
        <w:rPr>
          <w:rFonts w:hint="eastAsia"/>
          <w:spacing w:val="0"/>
          <w:position w:val="0"/>
          <w:sz w:val="24"/>
          <w:szCs w:val="24"/>
        </w:rPr>
        <w:t>坯布通过定型机中的蒸汽间接</w:t>
      </w:r>
      <w:r>
        <w:rPr>
          <w:rFonts w:hint="eastAsia"/>
          <w:spacing w:val="0"/>
          <w:position w:val="0"/>
          <w:sz w:val="24"/>
          <w:szCs w:val="24"/>
          <w:lang w:eastAsia="zh-CN"/>
        </w:rPr>
        <w:t>加热</w:t>
      </w:r>
      <w:r>
        <w:rPr>
          <w:rFonts w:hint="eastAsia"/>
          <w:spacing w:val="0"/>
          <w:position w:val="0"/>
          <w:sz w:val="24"/>
          <w:szCs w:val="24"/>
        </w:rPr>
        <w:t>定型</w:t>
      </w:r>
      <w:r>
        <w:rPr>
          <w:rFonts w:hint="eastAsia"/>
          <w:spacing w:val="0"/>
          <w:position w:val="0"/>
          <w:sz w:val="24"/>
          <w:szCs w:val="24"/>
          <w:lang w:eastAsia="zh-CN"/>
        </w:rPr>
        <w:t>，</w:t>
      </w:r>
      <w:r>
        <w:rPr>
          <w:rFonts w:hint="eastAsia"/>
          <w:spacing w:val="0"/>
          <w:position w:val="0"/>
          <w:sz w:val="24"/>
          <w:szCs w:val="24"/>
        </w:rPr>
        <w:t>定型前坯布会通过定型机前的浆料槽</w:t>
      </w:r>
      <w:r>
        <w:rPr>
          <w:rFonts w:hint="eastAsia"/>
          <w:spacing w:val="0"/>
          <w:position w:val="0"/>
          <w:sz w:val="24"/>
          <w:szCs w:val="24"/>
          <w:lang w:eastAsia="zh-CN"/>
        </w:rPr>
        <w:t>沾染助剂</w:t>
      </w:r>
      <w:r>
        <w:rPr>
          <w:rFonts w:hint="eastAsia"/>
          <w:spacing w:val="0"/>
          <w:position w:val="0"/>
          <w:sz w:val="24"/>
          <w:szCs w:val="24"/>
        </w:rPr>
        <w:t>以满足客户对坯布的要求。</w:t>
      </w:r>
      <w:r>
        <w:rPr>
          <w:rFonts w:hint="eastAsia"/>
          <w:spacing w:val="0"/>
          <w:position w:val="0"/>
          <w:sz w:val="24"/>
          <w:szCs w:val="24"/>
          <w:lang w:eastAsia="zh-CN"/>
        </w:rPr>
        <w:t>烘干定型期间会</w:t>
      </w:r>
      <w:r>
        <w:rPr>
          <w:rFonts w:hint="eastAsia"/>
          <w:spacing w:val="0"/>
          <w:position w:val="0"/>
          <w:sz w:val="24"/>
          <w:szCs w:val="24"/>
        </w:rPr>
        <w:t>产生G</w:t>
      </w:r>
      <w:r>
        <w:rPr>
          <w:rFonts w:hint="eastAsia"/>
          <w:spacing w:val="0"/>
          <w:position w:val="0"/>
          <w:sz w:val="24"/>
          <w:szCs w:val="24"/>
          <w:lang w:val="en-US" w:eastAsia="zh-CN"/>
        </w:rPr>
        <w:t>3-2</w:t>
      </w:r>
      <w:r>
        <w:rPr>
          <w:rFonts w:hint="eastAsia"/>
          <w:spacing w:val="0"/>
          <w:position w:val="0"/>
          <w:sz w:val="24"/>
          <w:szCs w:val="24"/>
        </w:rPr>
        <w:t>定型废气</w:t>
      </w:r>
      <w:r>
        <w:rPr>
          <w:rFonts w:hint="eastAsia"/>
          <w:spacing w:val="0"/>
          <w:position w:val="0"/>
          <w:sz w:val="24"/>
          <w:szCs w:val="24"/>
          <w:lang w:eastAsia="zh-CN"/>
        </w:rPr>
        <w:t>，浆料槽定期清洗会产生W</w:t>
      </w:r>
      <w:r>
        <w:rPr>
          <w:rFonts w:hint="eastAsia"/>
          <w:spacing w:val="0"/>
          <w:position w:val="0"/>
          <w:sz w:val="24"/>
          <w:szCs w:val="24"/>
          <w:lang w:val="en-US" w:eastAsia="zh-CN"/>
        </w:rPr>
        <w:t>3-</w:t>
      </w:r>
      <w:r>
        <w:rPr>
          <w:rFonts w:hint="eastAsia"/>
          <w:spacing w:val="0"/>
          <w:position w:val="0"/>
          <w:sz w:val="24"/>
          <w:szCs w:val="24"/>
          <w:lang w:eastAsia="zh-CN"/>
        </w:rPr>
        <w:t>1洗槽废水。</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3</w:t>
      </w:r>
      <w:r>
        <w:rPr>
          <w:rFonts w:hint="eastAsia"/>
          <w:spacing w:val="0"/>
          <w:position w:val="0"/>
          <w:sz w:val="24"/>
          <w:szCs w:val="24"/>
        </w:rPr>
        <w:t>）</w:t>
      </w:r>
      <w:r>
        <w:rPr>
          <w:rFonts w:hint="eastAsia"/>
          <w:spacing w:val="0"/>
          <w:position w:val="0"/>
          <w:sz w:val="24"/>
          <w:szCs w:val="24"/>
          <w:lang w:eastAsia="zh-CN"/>
        </w:rPr>
        <w:t>品检包装、</w:t>
      </w:r>
      <w:r>
        <w:rPr>
          <w:rFonts w:hint="eastAsia"/>
          <w:spacing w:val="0"/>
          <w:position w:val="0"/>
          <w:sz w:val="24"/>
          <w:szCs w:val="24"/>
        </w:rPr>
        <w:t>入库</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将</w:t>
      </w:r>
      <w:r>
        <w:rPr>
          <w:rFonts w:hint="eastAsia"/>
          <w:spacing w:val="0"/>
          <w:position w:val="0"/>
          <w:sz w:val="24"/>
          <w:szCs w:val="24"/>
          <w:lang w:eastAsia="zh-CN"/>
        </w:rPr>
        <w:t>定型</w:t>
      </w:r>
      <w:r>
        <w:rPr>
          <w:rFonts w:hint="eastAsia"/>
          <w:spacing w:val="0"/>
          <w:position w:val="0"/>
          <w:sz w:val="24"/>
          <w:szCs w:val="24"/>
        </w:rPr>
        <w:t>完成后的布料用各种检验设备进行检验，合格的布料经包装后入库。检验工序</w:t>
      </w:r>
      <w:r>
        <w:rPr>
          <w:rFonts w:hint="eastAsia"/>
          <w:spacing w:val="0"/>
          <w:position w:val="0"/>
          <w:sz w:val="24"/>
          <w:szCs w:val="24"/>
          <w:lang w:eastAsia="zh-CN"/>
        </w:rPr>
        <w:t>会有</w:t>
      </w:r>
      <w:r>
        <w:rPr>
          <w:rFonts w:hint="eastAsia"/>
          <w:spacing w:val="0"/>
          <w:position w:val="0"/>
          <w:sz w:val="24"/>
          <w:szCs w:val="24"/>
        </w:rPr>
        <w:t>S3-1不合格品产生。</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lang w:eastAsia="zh-CN"/>
        </w:rPr>
        <w:t>数码</w:t>
      </w:r>
      <w:r>
        <w:rPr>
          <w:rFonts w:hint="eastAsia"/>
          <w:spacing w:val="0"/>
          <w:position w:val="0"/>
          <w:sz w:val="24"/>
          <w:szCs w:val="24"/>
        </w:rPr>
        <w:t>印花</w:t>
      </w:r>
      <w:r>
        <w:rPr>
          <w:rFonts w:hint="eastAsia"/>
          <w:spacing w:val="0"/>
          <w:position w:val="0"/>
          <w:sz w:val="24"/>
          <w:szCs w:val="24"/>
          <w:lang w:eastAsia="zh-CN"/>
        </w:rPr>
        <w:t>过程中设备的运行均会产生噪声。</w:t>
      </w:r>
    </w:p>
    <w:p>
      <w:pPr>
        <w:adjustRightInd w:val="0"/>
        <w:snapToGrid w:val="0"/>
        <w:spacing w:line="360" w:lineRule="auto"/>
        <w:ind w:firstLine="0" w:firstLineChars="0"/>
        <w:outlineLvl w:val="3"/>
        <w:rPr>
          <w:rFonts w:hint="default"/>
          <w:b/>
          <w:bCs/>
          <w:spacing w:val="0"/>
          <w:position w:val="0"/>
          <w:sz w:val="24"/>
          <w:szCs w:val="24"/>
          <w:lang w:val="en-US" w:eastAsia="zh-CN"/>
        </w:rPr>
      </w:pPr>
      <w:r>
        <w:rPr>
          <w:rFonts w:hint="eastAsia"/>
          <w:b/>
          <w:bCs/>
          <w:spacing w:val="0"/>
          <w:position w:val="0"/>
          <w:sz w:val="24"/>
          <w:szCs w:val="24"/>
          <w:lang w:val="en-US" w:eastAsia="zh-CN"/>
        </w:rPr>
        <w:t>3.3.3.2圆网印花</w:t>
      </w:r>
    </w:p>
    <w:p>
      <w:pPr>
        <w:widowControl w:val="0"/>
        <w:adjustRightInd w:val="0"/>
        <w:snapToGrid w:val="0"/>
        <w:spacing w:line="360" w:lineRule="auto"/>
        <w:ind w:firstLine="480" w:firstLineChars="200"/>
        <w:rPr>
          <w:rFonts w:hint="default" w:eastAsia="宋体"/>
          <w:spacing w:val="0"/>
          <w:position w:val="0"/>
          <w:sz w:val="24"/>
          <w:szCs w:val="24"/>
          <w:lang w:val="en-US" w:eastAsia="zh-CN"/>
        </w:rPr>
      </w:pPr>
      <w:r>
        <w:rPr>
          <w:rFonts w:hint="eastAsia"/>
          <w:spacing w:val="0"/>
          <w:position w:val="0"/>
          <w:sz w:val="24"/>
          <w:szCs w:val="24"/>
          <w:lang w:eastAsia="zh-CN"/>
        </w:rPr>
        <w:t>数码印花产品为高精度、高品质印花产品，但相对印花效率较低，为满足产能需求，因此项目另设圆网印花工艺。圆网印花设于生产车间四层的</w:t>
      </w:r>
      <w:r>
        <w:rPr>
          <w:rFonts w:hint="eastAsia"/>
          <w:spacing w:val="0"/>
          <w:position w:val="0"/>
          <w:sz w:val="24"/>
          <w:szCs w:val="24"/>
          <w:lang w:val="en-US" w:eastAsia="zh-CN"/>
        </w:rPr>
        <w:t>#3印染单元，设计处理能力2250t/a。加工工艺如下图3.3-4所示。</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pacing w:val="0"/>
          <w:position w:val="0"/>
          <w:sz w:val="24"/>
          <w:szCs w:val="24"/>
        </w:rPr>
      </w:pPr>
      <w:r>
        <w:rPr>
          <w:rFonts w:hint="eastAsia"/>
          <w:spacing w:val="0"/>
          <w:position w:val="0"/>
          <w:sz w:val="24"/>
          <w:szCs w:val="24"/>
        </w:rPr>
        <w:object>
          <v:shape id="_x0000_i1028" o:spt="75" type="#_x0000_t75" style="height:260.05pt;width:314.05pt;" o:ole="t" filled="f" o:preferrelative="t" stroked="f" coordsize="21600,21600">
            <v:path/>
            <v:fill on="f" focussize="0,0"/>
            <v:stroke on="f"/>
            <v:imagedata r:id="rId17" o:title=""/>
            <o:lock v:ext="edit" aspectratio="t"/>
            <w10:wrap type="none"/>
            <w10:anchorlock/>
          </v:shape>
          <o:OLEObject Type="Embed" ProgID="Visio.Drawing.11" ShapeID="_x0000_i1028" DrawAspect="Content" ObjectID="_1468075728" r:id="rId16">
            <o:LockedField>false</o:LockedField>
          </o:OLEObject>
        </w:object>
      </w:r>
    </w:p>
    <w:p>
      <w:pPr>
        <w:adjustRightInd w:val="0"/>
        <w:snapToGrid w:val="0"/>
        <w:spacing w:line="360" w:lineRule="auto"/>
        <w:ind w:firstLine="0" w:firstLineChars="0"/>
        <w:jc w:val="center"/>
        <w:rPr>
          <w:rFonts w:hint="eastAsia"/>
          <w:spacing w:val="0"/>
          <w:position w:val="0"/>
          <w:sz w:val="24"/>
          <w:szCs w:val="24"/>
          <w:lang w:eastAsia="zh-CN"/>
        </w:rPr>
      </w:pPr>
      <w:r>
        <w:rPr>
          <w:rFonts w:hint="eastAsia"/>
          <w:b/>
          <w:bCs/>
          <w:spacing w:val="0"/>
          <w:position w:val="0"/>
          <w:sz w:val="24"/>
          <w:szCs w:val="24"/>
        </w:rPr>
        <w:t>图3.3-</w:t>
      </w:r>
      <w:r>
        <w:rPr>
          <w:rFonts w:hint="eastAsia"/>
          <w:b/>
          <w:bCs/>
          <w:spacing w:val="0"/>
          <w:position w:val="0"/>
          <w:sz w:val="24"/>
          <w:szCs w:val="24"/>
          <w:lang w:val="en-US" w:eastAsia="zh-CN"/>
        </w:rPr>
        <w:t>4圆网印花</w:t>
      </w:r>
      <w:r>
        <w:rPr>
          <w:rFonts w:hint="eastAsia"/>
          <w:b/>
          <w:bCs/>
          <w:spacing w:val="0"/>
          <w:position w:val="0"/>
          <w:sz w:val="24"/>
          <w:szCs w:val="24"/>
        </w:rPr>
        <w:t>工艺流程及产污环节</w:t>
      </w:r>
    </w:p>
    <w:p>
      <w:pPr>
        <w:adjustRightInd w:val="0"/>
        <w:snapToGrid w:val="0"/>
        <w:spacing w:line="360" w:lineRule="auto"/>
        <w:ind w:firstLine="480" w:firstLineChars="200"/>
        <w:jc w:val="left"/>
        <w:rPr>
          <w:rFonts w:hint="eastAsia"/>
          <w:spacing w:val="0"/>
          <w:position w:val="0"/>
          <w:sz w:val="24"/>
          <w:szCs w:val="24"/>
          <w:lang w:eastAsia="zh-CN"/>
        </w:rPr>
      </w:pPr>
      <w:r>
        <w:rPr>
          <w:rFonts w:hint="eastAsia" w:ascii="宋体" w:hAnsi="宋体" w:eastAsia="宋体" w:cs="宋体"/>
          <w:color w:val="000000"/>
          <w:spacing w:val="0"/>
          <w:kern w:val="0"/>
          <w:position w:val="0"/>
          <w:sz w:val="24"/>
          <w:szCs w:val="24"/>
          <w:lang w:val="en-US" w:eastAsia="zh-CN" w:bidi="ar"/>
        </w:rPr>
        <w:t>圆网加工工艺流程及产污环节说明：</w:t>
      </w:r>
    </w:p>
    <w:p>
      <w:pPr>
        <w:adjustRightInd w:val="0"/>
        <w:snapToGrid w:val="0"/>
        <w:spacing w:line="360" w:lineRule="auto"/>
        <w:ind w:firstLine="480" w:firstLineChars="200"/>
        <w:jc w:val="both"/>
        <w:rPr>
          <w:rFonts w:hint="eastAsia"/>
          <w:spacing w:val="0"/>
          <w:position w:val="0"/>
          <w:sz w:val="24"/>
          <w:szCs w:val="24"/>
          <w:lang w:eastAsia="zh-CN"/>
        </w:rPr>
      </w:pPr>
      <w:r>
        <w:rPr>
          <w:rFonts w:hint="eastAsia"/>
          <w:spacing w:val="0"/>
          <w:position w:val="0"/>
          <w:sz w:val="24"/>
          <w:szCs w:val="24"/>
          <w:lang w:eastAsia="zh-CN"/>
        </w:rPr>
        <w:t>（</w:t>
      </w:r>
      <w:r>
        <w:rPr>
          <w:rFonts w:hint="eastAsia"/>
          <w:spacing w:val="0"/>
          <w:position w:val="0"/>
          <w:sz w:val="24"/>
          <w:szCs w:val="24"/>
          <w:lang w:val="en-US" w:eastAsia="zh-CN"/>
        </w:rPr>
        <w:t>1</w:t>
      </w:r>
      <w:r>
        <w:rPr>
          <w:rFonts w:hint="eastAsia"/>
          <w:spacing w:val="0"/>
          <w:position w:val="0"/>
          <w:sz w:val="24"/>
          <w:szCs w:val="24"/>
          <w:lang w:eastAsia="zh-CN"/>
        </w:rPr>
        <w:t>）圆网印花</w:t>
      </w:r>
    </w:p>
    <w:p>
      <w:pPr>
        <w:adjustRightInd w:val="0"/>
        <w:snapToGrid w:val="0"/>
        <w:spacing w:line="360" w:lineRule="auto"/>
        <w:ind w:firstLine="480" w:firstLineChars="200"/>
        <w:jc w:val="both"/>
        <w:rPr>
          <w:rFonts w:hint="eastAsia"/>
          <w:spacing w:val="0"/>
          <w:position w:val="0"/>
          <w:sz w:val="24"/>
          <w:szCs w:val="24"/>
        </w:rPr>
      </w:pPr>
      <w:r>
        <w:rPr>
          <w:rFonts w:hint="eastAsia"/>
          <w:spacing w:val="0"/>
          <w:position w:val="0"/>
          <w:sz w:val="24"/>
          <w:szCs w:val="24"/>
        </w:rPr>
        <w:t>印花是根据工艺要求配置色浆，使用网版（网筒）在织物上形成预定花型图案的工艺过程。本项目印花方式为</w:t>
      </w:r>
      <w:r>
        <w:rPr>
          <w:rFonts w:hint="eastAsia"/>
          <w:spacing w:val="0"/>
          <w:position w:val="0"/>
          <w:sz w:val="24"/>
          <w:szCs w:val="24"/>
          <w:lang w:eastAsia="zh-CN"/>
        </w:rPr>
        <w:t>圆</w:t>
      </w:r>
      <w:r>
        <w:rPr>
          <w:rFonts w:hint="eastAsia"/>
          <w:spacing w:val="0"/>
          <w:position w:val="0"/>
          <w:sz w:val="24"/>
          <w:szCs w:val="24"/>
        </w:rPr>
        <w:t>网直接印花，在常温下，将面料平铺，通过自动进布装置运送至印花机上，及其自动覆盖网版，然后自动控制系统将一定量色浆置于网版表面，利用刮色板在网版表面挤压色浆，少量色浆透过网版上的花纹附着于面料纤维，从而实现印花过程。印花采用自动调加料系统，每一组用料都是通过管道、阀门分配到各个滚筒里面，通过数字控制系统将所有浆料输送到刮刀处。</w:t>
      </w:r>
      <w:r>
        <w:rPr>
          <w:rFonts w:hint="eastAsia"/>
          <w:spacing w:val="0"/>
          <w:position w:val="0"/>
          <w:sz w:val="24"/>
          <w:szCs w:val="24"/>
          <w:lang w:eastAsia="zh-CN"/>
        </w:rPr>
        <w:t>印花过程中会产生</w:t>
      </w:r>
      <w:r>
        <w:rPr>
          <w:rFonts w:hint="eastAsia"/>
          <w:spacing w:val="0"/>
          <w:position w:val="0"/>
          <w:sz w:val="24"/>
          <w:szCs w:val="24"/>
          <w:lang w:val="en-US" w:eastAsia="zh-CN"/>
        </w:rPr>
        <w:t>G4-1印花废气</w:t>
      </w:r>
      <w:r>
        <w:rPr>
          <w:rFonts w:hint="eastAsia"/>
          <w:spacing w:val="0"/>
          <w:position w:val="0"/>
          <w:sz w:val="24"/>
          <w:szCs w:val="24"/>
        </w:rPr>
        <w:t>。</w:t>
      </w:r>
    </w:p>
    <w:p>
      <w:pPr>
        <w:adjustRightInd w:val="0"/>
        <w:snapToGrid w:val="0"/>
        <w:spacing w:line="360" w:lineRule="auto"/>
        <w:ind w:firstLine="480" w:firstLineChars="200"/>
        <w:jc w:val="both"/>
        <w:rPr>
          <w:rFonts w:hint="eastAsia"/>
          <w:spacing w:val="0"/>
          <w:position w:val="0"/>
          <w:sz w:val="24"/>
          <w:szCs w:val="24"/>
          <w:lang w:eastAsia="zh-CN"/>
        </w:rPr>
      </w:pPr>
      <w:r>
        <w:rPr>
          <w:rFonts w:hint="eastAsia"/>
          <w:spacing w:val="0"/>
          <w:position w:val="0"/>
          <w:sz w:val="24"/>
          <w:szCs w:val="24"/>
          <w:lang w:eastAsia="zh-CN"/>
        </w:rPr>
        <w:t>（</w:t>
      </w:r>
      <w:r>
        <w:rPr>
          <w:rFonts w:hint="eastAsia"/>
          <w:spacing w:val="0"/>
          <w:position w:val="0"/>
          <w:sz w:val="24"/>
          <w:szCs w:val="24"/>
          <w:lang w:val="en-US" w:eastAsia="zh-CN"/>
        </w:rPr>
        <w:t>2</w:t>
      </w:r>
      <w:r>
        <w:rPr>
          <w:rFonts w:hint="eastAsia"/>
          <w:spacing w:val="0"/>
          <w:position w:val="0"/>
          <w:sz w:val="24"/>
          <w:szCs w:val="24"/>
          <w:lang w:eastAsia="zh-CN"/>
        </w:rPr>
        <w:t>）设备清洗</w:t>
      </w:r>
    </w:p>
    <w:p>
      <w:pPr>
        <w:adjustRightInd w:val="0"/>
        <w:snapToGrid w:val="0"/>
        <w:spacing w:line="360" w:lineRule="auto"/>
        <w:ind w:firstLine="480" w:firstLineChars="200"/>
        <w:jc w:val="both"/>
        <w:rPr>
          <w:rFonts w:hint="eastAsia"/>
          <w:spacing w:val="0"/>
          <w:position w:val="0"/>
          <w:sz w:val="24"/>
          <w:szCs w:val="24"/>
          <w:lang w:val="en-US" w:eastAsia="zh-CN"/>
        </w:rPr>
      </w:pPr>
      <w:r>
        <w:rPr>
          <w:rFonts w:hint="eastAsia"/>
          <w:spacing w:val="0"/>
          <w:position w:val="0"/>
          <w:sz w:val="24"/>
          <w:szCs w:val="24"/>
          <w:lang w:eastAsia="zh-CN"/>
        </w:rPr>
        <w:t>圆网印花后，冲洗印花丝网和印花机导带产生的冲洗废水，经收集后送至污水站处理。冲洗会产生</w:t>
      </w:r>
      <w:r>
        <w:rPr>
          <w:rFonts w:hint="eastAsia"/>
          <w:spacing w:val="0"/>
          <w:position w:val="0"/>
          <w:sz w:val="24"/>
          <w:szCs w:val="24"/>
          <w:lang w:val="en-US" w:eastAsia="zh-CN"/>
        </w:rPr>
        <w:t>W4-1冲洗废水，不再使用的圆网更换后产生S4-1废圆网。</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（3）蒸化</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lang w:eastAsia="zh-CN"/>
        </w:rPr>
        <w:t>经圆网印花</w:t>
      </w:r>
      <w:r>
        <w:rPr>
          <w:rFonts w:hint="eastAsia"/>
          <w:spacing w:val="0"/>
          <w:position w:val="0"/>
          <w:sz w:val="24"/>
          <w:szCs w:val="24"/>
        </w:rPr>
        <w:t>后的坯布送蒸化机发色，蒸化机的热源为蒸汽，间接加热5~10min，这时正确的颜色方可显现。印花车间蒸化工序产生G</w:t>
      </w:r>
      <w:r>
        <w:rPr>
          <w:rFonts w:hint="eastAsia"/>
          <w:spacing w:val="0"/>
          <w:position w:val="0"/>
          <w:sz w:val="24"/>
          <w:szCs w:val="24"/>
          <w:lang w:val="en-US" w:eastAsia="zh-CN"/>
        </w:rPr>
        <w:t>4-2</w:t>
      </w:r>
      <w:r>
        <w:rPr>
          <w:rFonts w:hint="eastAsia"/>
          <w:spacing w:val="0"/>
          <w:position w:val="0"/>
          <w:sz w:val="24"/>
          <w:szCs w:val="24"/>
        </w:rPr>
        <w:t>蒸化废气，其主要成分为水蒸气及少量非甲烷总烃。</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（4）水洗</w:t>
      </w:r>
      <w:r>
        <w:rPr>
          <w:rFonts w:hint="eastAsia"/>
          <w:spacing w:val="0"/>
          <w:position w:val="0"/>
          <w:sz w:val="24"/>
          <w:szCs w:val="24"/>
          <w:lang w:eastAsia="zh-CN"/>
        </w:rPr>
        <w:t>、脱水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spacing w:val="0"/>
          <w:position w:val="0"/>
          <w:sz w:val="24"/>
          <w:szCs w:val="24"/>
          <w:lang w:val="en-US" w:eastAsia="zh-CN"/>
        </w:rPr>
      </w:pPr>
      <w:r>
        <w:rPr>
          <w:rFonts w:hint="eastAsia"/>
          <w:spacing w:val="0"/>
          <w:position w:val="0"/>
          <w:sz w:val="24"/>
          <w:szCs w:val="24"/>
        </w:rPr>
        <w:t>蒸化后织物水洗一次</w:t>
      </w:r>
      <w:r>
        <w:rPr>
          <w:rFonts w:hint="eastAsia"/>
          <w:spacing w:val="0"/>
          <w:position w:val="0"/>
          <w:sz w:val="24"/>
          <w:szCs w:val="24"/>
          <w:lang w:eastAsia="zh-CN"/>
        </w:rPr>
        <w:t>后进行脱水</w:t>
      </w:r>
      <w:r>
        <w:rPr>
          <w:rFonts w:hint="eastAsia"/>
          <w:spacing w:val="0"/>
          <w:position w:val="0"/>
          <w:sz w:val="24"/>
          <w:szCs w:val="24"/>
        </w:rPr>
        <w:t>，产生W</w:t>
      </w:r>
      <w:r>
        <w:rPr>
          <w:rFonts w:hint="eastAsia"/>
          <w:spacing w:val="0"/>
          <w:position w:val="0"/>
          <w:sz w:val="24"/>
          <w:szCs w:val="24"/>
          <w:lang w:val="en-US" w:eastAsia="zh-CN"/>
        </w:rPr>
        <w:t>4-2</w:t>
      </w:r>
      <w:r>
        <w:rPr>
          <w:rFonts w:hint="eastAsia"/>
          <w:spacing w:val="0"/>
          <w:position w:val="0"/>
          <w:sz w:val="24"/>
          <w:szCs w:val="24"/>
        </w:rPr>
        <w:t>水洗废水</w:t>
      </w:r>
      <w:r>
        <w:rPr>
          <w:rFonts w:hint="eastAsia"/>
          <w:spacing w:val="0"/>
          <w:position w:val="0"/>
          <w:sz w:val="24"/>
          <w:szCs w:val="24"/>
          <w:lang w:eastAsia="zh-CN"/>
        </w:rPr>
        <w:t>和</w:t>
      </w:r>
      <w:r>
        <w:rPr>
          <w:rFonts w:hint="eastAsia"/>
          <w:spacing w:val="0"/>
          <w:position w:val="0"/>
          <w:sz w:val="24"/>
          <w:szCs w:val="24"/>
          <w:lang w:val="en-US" w:eastAsia="zh-CN"/>
        </w:rPr>
        <w:t>W4-3脱水废水</w:t>
      </w:r>
      <w:r>
        <w:rPr>
          <w:rFonts w:hint="eastAsia"/>
          <w:spacing w:val="0"/>
          <w:position w:val="0"/>
          <w:sz w:val="24"/>
          <w:szCs w:val="24"/>
        </w:rPr>
        <w:t>，主要</w:t>
      </w:r>
      <w:r>
        <w:rPr>
          <w:rFonts w:hint="eastAsia"/>
          <w:spacing w:val="0"/>
          <w:position w:val="0"/>
          <w:sz w:val="24"/>
          <w:szCs w:val="24"/>
          <w:lang w:eastAsia="zh-CN"/>
        </w:rPr>
        <w:t>含有</w:t>
      </w:r>
      <w:r>
        <w:rPr>
          <w:rFonts w:hint="eastAsia"/>
          <w:spacing w:val="0"/>
          <w:position w:val="0"/>
          <w:sz w:val="24"/>
          <w:szCs w:val="24"/>
        </w:rPr>
        <w:t>布料上</w:t>
      </w:r>
      <w:r>
        <w:rPr>
          <w:rFonts w:hint="eastAsia"/>
          <w:spacing w:val="0"/>
          <w:position w:val="0"/>
          <w:sz w:val="24"/>
          <w:szCs w:val="24"/>
          <w:lang w:eastAsia="zh-CN"/>
        </w:rPr>
        <w:t>的</w:t>
      </w:r>
      <w:r>
        <w:rPr>
          <w:rFonts w:hint="eastAsia"/>
          <w:spacing w:val="0"/>
          <w:position w:val="0"/>
          <w:sz w:val="24"/>
          <w:szCs w:val="24"/>
        </w:rPr>
        <w:t>浮色。</w:t>
      </w:r>
      <w:r>
        <w:rPr>
          <w:rFonts w:hint="eastAsia"/>
          <w:spacing w:val="0"/>
          <w:position w:val="0"/>
          <w:sz w:val="24"/>
          <w:szCs w:val="24"/>
          <w:lang w:eastAsia="zh-CN"/>
        </w:rPr>
        <w:t>因水洗废水中含有较大量的印花浆，因此</w:t>
      </w:r>
      <w:r>
        <w:rPr>
          <w:rFonts w:hint="eastAsia"/>
          <w:spacing w:val="0"/>
          <w:position w:val="0"/>
          <w:sz w:val="24"/>
          <w:szCs w:val="24"/>
          <w:lang w:val="en-US" w:eastAsia="zh-CN"/>
        </w:rPr>
        <w:t>W4-2水洗废水进入高浓度废水收集池，布料上的浮色被洗去后进行脱水，脱水于脱水机内进行，脱水后形成的W4-3脱水废水为低浓度废水，因此W4-3脱水废水接驳至低浓度废水收集池。</w:t>
      </w:r>
    </w:p>
    <w:p>
      <w:pPr>
        <w:adjustRightInd w:val="0"/>
        <w:snapToGrid w:val="0"/>
        <w:spacing w:line="360" w:lineRule="auto"/>
        <w:ind w:firstLine="480" w:firstLineChars="200"/>
        <w:jc w:val="both"/>
        <w:rPr>
          <w:rFonts w:hint="default"/>
          <w:spacing w:val="0"/>
          <w:position w:val="0"/>
          <w:sz w:val="24"/>
          <w:szCs w:val="24"/>
          <w:lang w:val="en-US" w:eastAsia="zh-CN"/>
        </w:rPr>
      </w:pPr>
      <w:r>
        <w:rPr>
          <w:rFonts w:hint="eastAsia"/>
          <w:spacing w:val="0"/>
          <w:position w:val="0"/>
          <w:sz w:val="24"/>
          <w:szCs w:val="24"/>
          <w:lang w:val="en-US" w:eastAsia="zh-CN"/>
        </w:rPr>
        <w:t>（5）烘干定型</w:t>
      </w:r>
    </w:p>
    <w:p>
      <w:pPr>
        <w:adjustRightInd w:val="0"/>
        <w:snapToGrid w:val="0"/>
        <w:spacing w:line="360" w:lineRule="auto"/>
        <w:ind w:firstLine="480" w:firstLineChars="200"/>
        <w:jc w:val="both"/>
        <w:rPr>
          <w:rFonts w:hint="eastAsia"/>
          <w:spacing w:val="0"/>
          <w:position w:val="0"/>
          <w:sz w:val="24"/>
          <w:szCs w:val="24"/>
        </w:rPr>
      </w:pPr>
      <w:r>
        <w:rPr>
          <w:rFonts w:hint="eastAsia"/>
          <w:spacing w:val="0"/>
          <w:position w:val="0"/>
          <w:sz w:val="24"/>
          <w:szCs w:val="24"/>
          <w:lang w:eastAsia="zh-CN"/>
        </w:rPr>
        <w:t>每次印花结束后，印花后的</w:t>
      </w:r>
      <w:r>
        <w:rPr>
          <w:rFonts w:hint="eastAsia"/>
          <w:spacing w:val="0"/>
          <w:position w:val="0"/>
          <w:sz w:val="24"/>
          <w:szCs w:val="24"/>
        </w:rPr>
        <w:t>坯布通过定型机中的蒸汽间接</w:t>
      </w:r>
      <w:r>
        <w:rPr>
          <w:rFonts w:hint="eastAsia"/>
          <w:spacing w:val="0"/>
          <w:position w:val="0"/>
          <w:sz w:val="24"/>
          <w:szCs w:val="24"/>
          <w:lang w:eastAsia="zh-CN"/>
        </w:rPr>
        <w:t>加热</w:t>
      </w:r>
      <w:r>
        <w:rPr>
          <w:rFonts w:hint="eastAsia"/>
          <w:spacing w:val="0"/>
          <w:position w:val="0"/>
          <w:sz w:val="24"/>
          <w:szCs w:val="24"/>
        </w:rPr>
        <w:t>定型。定型期间会产生G</w:t>
      </w:r>
      <w:r>
        <w:rPr>
          <w:rFonts w:hint="eastAsia"/>
          <w:spacing w:val="0"/>
          <w:position w:val="0"/>
          <w:sz w:val="24"/>
          <w:szCs w:val="24"/>
          <w:lang w:val="en-US" w:eastAsia="zh-CN"/>
        </w:rPr>
        <w:t>4-3</w:t>
      </w:r>
      <w:r>
        <w:rPr>
          <w:rFonts w:hint="eastAsia"/>
          <w:spacing w:val="0"/>
          <w:position w:val="0"/>
          <w:sz w:val="24"/>
          <w:szCs w:val="24"/>
        </w:rPr>
        <w:t>定型废气。</w:t>
      </w:r>
    </w:p>
    <w:p>
      <w:pPr>
        <w:adjustRightInd w:val="0"/>
        <w:snapToGrid w:val="0"/>
        <w:spacing w:line="360" w:lineRule="auto"/>
        <w:ind w:firstLine="480" w:firstLineChars="200"/>
        <w:jc w:val="both"/>
        <w:rPr>
          <w:rFonts w:hint="eastAsia"/>
          <w:spacing w:val="0"/>
          <w:position w:val="0"/>
          <w:sz w:val="24"/>
          <w:szCs w:val="24"/>
          <w:lang w:eastAsia="zh-CN"/>
        </w:rPr>
      </w:pPr>
      <w:r>
        <w:rPr>
          <w:rFonts w:hint="eastAsia"/>
          <w:spacing w:val="0"/>
          <w:position w:val="0"/>
          <w:sz w:val="24"/>
          <w:szCs w:val="24"/>
          <w:lang w:eastAsia="zh-CN"/>
        </w:rPr>
        <w:t>（</w:t>
      </w:r>
      <w:r>
        <w:rPr>
          <w:rFonts w:hint="eastAsia"/>
          <w:spacing w:val="0"/>
          <w:position w:val="0"/>
          <w:sz w:val="24"/>
          <w:szCs w:val="24"/>
          <w:lang w:val="en-US" w:eastAsia="zh-CN"/>
        </w:rPr>
        <w:t>6</w:t>
      </w:r>
      <w:r>
        <w:rPr>
          <w:rFonts w:hint="eastAsia"/>
          <w:spacing w:val="0"/>
          <w:position w:val="0"/>
          <w:sz w:val="24"/>
          <w:szCs w:val="24"/>
          <w:lang w:eastAsia="zh-CN"/>
        </w:rPr>
        <w:t>）品检包装、入库</w:t>
      </w:r>
    </w:p>
    <w:p>
      <w:pPr>
        <w:adjustRightInd w:val="0"/>
        <w:snapToGrid w:val="0"/>
        <w:spacing w:line="360" w:lineRule="auto"/>
        <w:ind w:firstLine="480" w:firstLineChars="200"/>
        <w:jc w:val="both"/>
        <w:rPr>
          <w:rFonts w:hint="eastAsia"/>
          <w:spacing w:val="0"/>
          <w:position w:val="0"/>
          <w:sz w:val="24"/>
          <w:szCs w:val="24"/>
        </w:rPr>
      </w:pPr>
      <w:r>
        <w:rPr>
          <w:rFonts w:hint="eastAsia"/>
          <w:spacing w:val="0"/>
          <w:position w:val="0"/>
          <w:sz w:val="24"/>
          <w:szCs w:val="24"/>
        </w:rPr>
        <w:t>将定型完成后的布料进行检验，合格的</w:t>
      </w:r>
      <w:r>
        <w:rPr>
          <w:rFonts w:hint="eastAsia"/>
          <w:spacing w:val="0"/>
          <w:position w:val="0"/>
          <w:sz w:val="24"/>
          <w:szCs w:val="24"/>
          <w:lang w:eastAsia="zh-CN"/>
        </w:rPr>
        <w:t>印花产品</w:t>
      </w:r>
      <w:r>
        <w:rPr>
          <w:rFonts w:hint="eastAsia"/>
          <w:spacing w:val="0"/>
          <w:position w:val="0"/>
          <w:sz w:val="24"/>
          <w:szCs w:val="24"/>
        </w:rPr>
        <w:t>经包装后入库。检验工序会有S</w:t>
      </w:r>
      <w:r>
        <w:rPr>
          <w:rFonts w:hint="eastAsia"/>
          <w:spacing w:val="0"/>
          <w:position w:val="0"/>
          <w:sz w:val="24"/>
          <w:szCs w:val="24"/>
          <w:lang w:val="en-US" w:eastAsia="zh-CN"/>
        </w:rPr>
        <w:t>4-2</w:t>
      </w:r>
      <w:r>
        <w:rPr>
          <w:rFonts w:hint="eastAsia"/>
          <w:spacing w:val="0"/>
          <w:position w:val="0"/>
          <w:sz w:val="24"/>
          <w:szCs w:val="24"/>
        </w:rPr>
        <w:t>不合格品产生。</w:t>
      </w:r>
    </w:p>
    <w:p>
      <w:pPr>
        <w:adjustRightInd w:val="0"/>
        <w:snapToGrid w:val="0"/>
        <w:spacing w:line="360" w:lineRule="auto"/>
        <w:ind w:firstLine="480" w:firstLineChars="200"/>
        <w:jc w:val="both"/>
        <w:rPr>
          <w:rFonts w:hint="eastAsia"/>
          <w:spacing w:val="0"/>
          <w:position w:val="0"/>
          <w:sz w:val="24"/>
          <w:szCs w:val="24"/>
        </w:rPr>
      </w:pPr>
      <w:r>
        <w:rPr>
          <w:rFonts w:hint="eastAsia"/>
          <w:spacing w:val="0"/>
          <w:position w:val="0"/>
          <w:sz w:val="24"/>
          <w:szCs w:val="24"/>
          <w:lang w:eastAsia="zh-CN"/>
        </w:rPr>
        <w:t>圆网</w:t>
      </w:r>
      <w:r>
        <w:rPr>
          <w:rFonts w:hint="eastAsia"/>
          <w:spacing w:val="0"/>
          <w:position w:val="0"/>
          <w:sz w:val="24"/>
          <w:szCs w:val="24"/>
        </w:rPr>
        <w:t>印花</w:t>
      </w:r>
      <w:r>
        <w:rPr>
          <w:rFonts w:hint="eastAsia"/>
          <w:spacing w:val="0"/>
          <w:position w:val="0"/>
          <w:sz w:val="24"/>
          <w:szCs w:val="24"/>
          <w:lang w:eastAsia="zh-CN"/>
        </w:rPr>
        <w:t>过程中设备的运行均会产生噪声。</w:t>
      </w:r>
    </w:p>
    <w:p>
      <w:pPr>
        <w:adjustRightInd w:val="0"/>
        <w:snapToGrid w:val="0"/>
        <w:spacing w:line="360" w:lineRule="auto"/>
        <w:ind w:firstLine="0" w:firstLineChars="0"/>
        <w:jc w:val="both"/>
        <w:outlineLvl w:val="2"/>
        <w:rPr>
          <w:rFonts w:hint="default" w:eastAsia="宋体"/>
          <w:b/>
          <w:bCs/>
          <w:spacing w:val="0"/>
          <w:position w:val="0"/>
          <w:sz w:val="28"/>
          <w:szCs w:val="28"/>
          <w:lang w:val="en-US" w:eastAsia="zh-CN"/>
        </w:rPr>
      </w:pPr>
      <w:r>
        <w:rPr>
          <w:rFonts w:hint="eastAsia"/>
          <w:b/>
          <w:bCs/>
          <w:spacing w:val="0"/>
          <w:position w:val="0"/>
          <w:sz w:val="28"/>
          <w:szCs w:val="28"/>
          <w:lang w:val="en-US" w:eastAsia="zh-CN"/>
        </w:rPr>
        <w:t>3.3.4平衡分析</w:t>
      </w:r>
    </w:p>
    <w:p>
      <w:pPr>
        <w:adjustRightInd w:val="0"/>
        <w:snapToGrid w:val="0"/>
        <w:spacing w:line="360" w:lineRule="auto"/>
        <w:ind w:firstLine="0" w:firstLineChars="0"/>
        <w:outlineLvl w:val="3"/>
        <w:rPr>
          <w:rFonts w:hint="eastAsia"/>
          <w:b/>
          <w:bCs/>
          <w:spacing w:val="0"/>
          <w:position w:val="0"/>
          <w:sz w:val="24"/>
          <w:szCs w:val="24"/>
          <w:lang w:val="en-US" w:eastAsia="zh-CN"/>
        </w:rPr>
      </w:pPr>
      <w:r>
        <w:rPr>
          <w:rFonts w:hint="eastAsia"/>
          <w:b/>
          <w:bCs/>
          <w:spacing w:val="0"/>
          <w:position w:val="0"/>
          <w:sz w:val="24"/>
          <w:szCs w:val="24"/>
          <w:lang w:val="en-US" w:eastAsia="zh-CN"/>
        </w:rPr>
        <w:t>3.3.4.1工艺水平衡分析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sectPr>
          <w:footerReference r:id="rId5" w:type="default"/>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val="0"/>
          <w:bCs w:val="0"/>
          <w:spacing w:val="0"/>
          <w:position w:val="0"/>
          <w:sz w:val="24"/>
          <w:szCs w:val="24"/>
          <w:lang w:val="en-US" w:eastAsia="zh-CN"/>
        </w:rPr>
        <w:t>项目用水工序较多，用量大，染整加工及印花工艺用水平衡如表3.3-1（略）。</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w:t>
      </w:r>
      <w:r>
        <w:rPr>
          <w:rFonts w:hint="eastAsia"/>
          <w:b/>
          <w:bCs/>
          <w:spacing w:val="0"/>
          <w:position w:val="0"/>
          <w:sz w:val="24"/>
          <w:szCs w:val="24"/>
          <w:lang w:val="en-US" w:eastAsia="zh-CN"/>
        </w:rPr>
        <w:t>3</w:t>
      </w:r>
      <w:r>
        <w:rPr>
          <w:rFonts w:hint="eastAsia"/>
          <w:b/>
          <w:bCs/>
          <w:spacing w:val="0"/>
          <w:position w:val="0"/>
          <w:sz w:val="24"/>
          <w:szCs w:val="24"/>
        </w:rPr>
        <w:t>.</w:t>
      </w:r>
      <w:r>
        <w:rPr>
          <w:rFonts w:hint="eastAsia"/>
          <w:b/>
          <w:bCs/>
          <w:spacing w:val="0"/>
          <w:position w:val="0"/>
          <w:sz w:val="24"/>
          <w:szCs w:val="24"/>
          <w:lang w:val="en-US" w:eastAsia="zh-CN"/>
        </w:rPr>
        <w:t>4</w:t>
      </w:r>
      <w:r>
        <w:rPr>
          <w:rFonts w:hint="eastAsia"/>
          <w:b/>
          <w:bCs/>
          <w:spacing w:val="0"/>
          <w:position w:val="0"/>
          <w:sz w:val="24"/>
          <w:szCs w:val="24"/>
        </w:rPr>
        <w:t>.</w:t>
      </w:r>
      <w:r>
        <w:rPr>
          <w:rFonts w:hint="eastAsia"/>
          <w:b/>
          <w:bCs/>
          <w:spacing w:val="0"/>
          <w:position w:val="0"/>
          <w:sz w:val="24"/>
          <w:szCs w:val="24"/>
          <w:lang w:val="en-US" w:eastAsia="zh-CN"/>
        </w:rPr>
        <w:t>2</w:t>
      </w:r>
      <w:r>
        <w:rPr>
          <w:rFonts w:hint="eastAsia"/>
          <w:b/>
          <w:bCs/>
          <w:spacing w:val="0"/>
          <w:position w:val="0"/>
          <w:sz w:val="24"/>
          <w:szCs w:val="24"/>
        </w:rPr>
        <w:t>全厂水平衡分析</w:t>
      </w:r>
    </w:p>
    <w:p>
      <w:pPr>
        <w:adjustRightInd w:val="0"/>
        <w:snapToGrid w:val="0"/>
        <w:spacing w:line="360" w:lineRule="auto"/>
        <w:ind w:firstLine="562" w:firstLineChars="200"/>
        <w:jc w:val="center"/>
        <w:rPr>
          <w:rFonts w:ascii="仿宋_GB2312" w:hAnsi="仿宋_GB2312" w:eastAsia="仿宋_GB2312" w:cs="仿宋_GB2312"/>
          <w:b/>
          <w:bCs/>
          <w:spacing w:val="0"/>
          <w:position w:val="0"/>
          <w:sz w:val="28"/>
          <w:szCs w:val="32"/>
        </w:rPr>
      </w:pPr>
      <w:r>
        <w:rPr>
          <w:rFonts w:hint="eastAsia" w:ascii="仿宋_GB2312" w:hAnsi="仿宋_GB2312" w:eastAsia="仿宋_GB2312" w:cs="仿宋_GB2312"/>
          <w:b/>
          <w:bCs/>
          <w:spacing w:val="0"/>
          <w:position w:val="0"/>
          <w:sz w:val="28"/>
          <w:szCs w:val="32"/>
        </w:rPr>
        <w:object>
          <v:shape id="_x0000_i1029" o:spt="75" type="#_x0000_t75" style="height:357.85pt;width:536.95pt;" o:ole="t" filled="f" o:preferrelative="t" stroked="f" coordsize="21600,21600">
            <v:path/>
            <v:fill on="f" focussize="0,0"/>
            <v:stroke on="f"/>
            <v:imagedata r:id="rId19" o:title=""/>
            <o:lock v:ext="edit" aspectratio="t"/>
            <w10:wrap type="none"/>
            <w10:anchorlock/>
          </v:shape>
          <o:OLEObject Type="Embed" ProgID="Visio.Drawing.11" ShapeID="_x0000_i1029" DrawAspect="Content" ObjectID="_1468075729" r:id="rId18">
            <o:LockedField>false</o:LockedField>
          </o:OLEObject>
        </w:object>
      </w:r>
    </w:p>
    <w:p>
      <w:pPr>
        <w:adjustRightInd w:val="0"/>
        <w:snapToGrid w:val="0"/>
        <w:spacing w:line="360" w:lineRule="auto"/>
        <w:ind w:firstLine="482" w:firstLineChars="200"/>
        <w:jc w:val="center"/>
        <w:rPr>
          <w:b/>
          <w:bCs/>
          <w:spacing w:val="0"/>
          <w:position w:val="0"/>
          <w:sz w:val="24"/>
          <w:szCs w:val="24"/>
        </w:rPr>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bCs/>
          <w:spacing w:val="0"/>
          <w:position w:val="0"/>
          <w:sz w:val="24"/>
          <w:szCs w:val="24"/>
        </w:rPr>
        <w:t>图3.</w:t>
      </w:r>
      <w:r>
        <w:rPr>
          <w:rFonts w:hint="eastAsia"/>
          <w:b/>
          <w:bCs/>
          <w:spacing w:val="0"/>
          <w:position w:val="0"/>
          <w:sz w:val="24"/>
          <w:szCs w:val="24"/>
          <w:lang w:val="en-US" w:eastAsia="zh-CN"/>
        </w:rPr>
        <w:t>3</w:t>
      </w:r>
      <w:r>
        <w:rPr>
          <w:rFonts w:hint="eastAsia"/>
          <w:b/>
          <w:bCs/>
          <w:spacing w:val="0"/>
          <w:position w:val="0"/>
          <w:sz w:val="24"/>
          <w:szCs w:val="24"/>
        </w:rPr>
        <w:t>-</w:t>
      </w:r>
      <w:r>
        <w:rPr>
          <w:rFonts w:hint="eastAsia"/>
          <w:b/>
          <w:bCs/>
          <w:spacing w:val="0"/>
          <w:position w:val="0"/>
          <w:sz w:val="24"/>
          <w:szCs w:val="24"/>
          <w:lang w:val="en-US" w:eastAsia="zh-CN"/>
        </w:rPr>
        <w:t>5</w:t>
      </w:r>
      <w:r>
        <w:rPr>
          <w:rFonts w:hint="eastAsia"/>
          <w:b/>
          <w:bCs/>
          <w:spacing w:val="0"/>
          <w:position w:val="0"/>
          <w:sz w:val="24"/>
          <w:szCs w:val="24"/>
        </w:rPr>
        <w:t>本项目水平衡 单位：t/d</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水量分析：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（1）</w:t>
      </w:r>
      <w:r>
        <w:rPr>
          <w:rFonts w:hint="eastAsia"/>
          <w:b w:val="0"/>
          <w:bCs w:val="0"/>
          <w:spacing w:val="0"/>
          <w:position w:val="0"/>
          <w:sz w:val="24"/>
          <w:szCs w:val="24"/>
          <w:lang w:val="en-US" w:eastAsia="zh-CN"/>
        </w:rPr>
        <w:t>全厂总用水量为6427.4t/d（包含园区中水回用1863.72t/d+新鲜水1938.07t/d+循环水2138.18t/d+冷凝水487.43t/d）；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（2）</w:t>
      </w:r>
      <w:r>
        <w:rPr>
          <w:rFonts w:hint="eastAsia"/>
          <w:b w:val="0"/>
          <w:bCs w:val="0"/>
          <w:spacing w:val="0"/>
          <w:position w:val="0"/>
          <w:sz w:val="24"/>
          <w:szCs w:val="24"/>
          <w:lang w:val="en-US" w:eastAsia="zh-CN"/>
        </w:rPr>
        <w:t>新鲜水用水量1938.07t/d（包含工业新鲜水1925.12t/d+生活用水12.95t/d）；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（3）</w:t>
      </w:r>
      <w:r>
        <w:rPr>
          <w:rFonts w:hint="eastAsia"/>
          <w:b w:val="0"/>
          <w:bCs w:val="0"/>
          <w:spacing w:val="0"/>
          <w:position w:val="0"/>
          <w:sz w:val="24"/>
          <w:szCs w:val="24"/>
          <w:lang w:val="en-US" w:eastAsia="zh-CN"/>
        </w:rPr>
        <w:t>厂内回用水量约2625.61t/d（包含循环冷却水2138.18t/d+冷凝水487.43t/d）；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（4）</w:t>
      </w:r>
      <w:r>
        <w:rPr>
          <w:rFonts w:hint="eastAsia"/>
          <w:b w:val="0"/>
          <w:bCs w:val="0"/>
          <w:spacing w:val="0"/>
          <w:position w:val="0"/>
          <w:sz w:val="24"/>
          <w:szCs w:val="24"/>
          <w:lang w:val="en-US" w:eastAsia="zh-CN"/>
        </w:rPr>
        <w:t>重复用水量为4489.33t/d（包含园区中水回用1863.72t/d+循环水2138.18t/d+冷凝水487.43t/d）；</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（5）全厂排放到园区污水厂的废水总量4141.6t/d，其中高浓度废水2526.77t/d，低浓度废水1614.83t/d。</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水耗指标分析：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（1）单位产品用水量=日用水量÷日产品产量=6427.4÷59.09=108.77t/t-产品。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（2）单位产品新鲜水取水量=日新鲜水取水量÷日产品产量=1938.07÷59.09=32.8t/t-产品。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（3）单位产品排水量=（日排放到污水厂的废水量-中水回用量）÷日产品产量=（4129.14-1858.12）÷59.09=38.55t/t-产品。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4）工业用水重复利用率=重复用水量÷（重复用水量+工业新鲜水量）=4489.33÷（4489.33+1925.12）=69.99%，满足《印染行业规范条件》（2017年版）中工业用水重复利用率40%的要求，满足《连江可门绿色纺织产业园规划(一期)环境影响报告书》中要求印染企业水重复利用率不低于55%的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（5）中水回用率=中水回用量÷排放到污水厂的废水量=1863.72÷4141.6=45%，满足规划环评中要求中水回用率不低于45%的要求。</w:t>
      </w:r>
    </w:p>
    <w:p>
      <w:pPr>
        <w:adjustRightInd w:val="0"/>
        <w:snapToGrid w:val="0"/>
        <w:spacing w:line="360" w:lineRule="auto"/>
        <w:ind w:firstLine="0" w:firstLineChars="0"/>
        <w:outlineLvl w:val="3"/>
        <w:rPr>
          <w:rFonts w:hint="eastAsia"/>
          <w:b/>
          <w:bCs/>
          <w:spacing w:val="0"/>
          <w:position w:val="0"/>
          <w:sz w:val="24"/>
          <w:szCs w:val="24"/>
          <w:lang w:val="en-US" w:eastAsia="zh-CN"/>
        </w:rPr>
      </w:pPr>
      <w:r>
        <w:rPr>
          <w:rFonts w:hint="eastAsia"/>
          <w:b/>
          <w:bCs/>
          <w:spacing w:val="0"/>
          <w:position w:val="0"/>
          <w:sz w:val="24"/>
          <w:szCs w:val="24"/>
          <w:lang w:val="en-US" w:eastAsia="zh-CN"/>
        </w:rPr>
        <w:t>3.3.4.3织造工艺平衡分析</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lang w:eastAsia="zh-CN"/>
        </w:rPr>
        <w:t>本项目设计</w:t>
      </w:r>
      <w:r>
        <w:rPr>
          <w:rFonts w:hint="eastAsia"/>
          <w:spacing w:val="0"/>
          <w:position w:val="0"/>
          <w:sz w:val="24"/>
          <w:szCs w:val="24"/>
        </w:rPr>
        <w:t>织造</w:t>
      </w:r>
      <w:r>
        <w:rPr>
          <w:rFonts w:hint="eastAsia"/>
          <w:spacing w:val="0"/>
          <w:position w:val="0"/>
          <w:sz w:val="24"/>
          <w:szCs w:val="24"/>
          <w:lang w:val="en-US" w:eastAsia="zh-CN"/>
        </w:rPr>
        <w:t>产能</w:t>
      </w:r>
      <w:r>
        <w:rPr>
          <w:rFonts w:hint="eastAsia"/>
          <w:spacing w:val="0"/>
          <w:position w:val="0"/>
          <w:sz w:val="24"/>
          <w:szCs w:val="24"/>
          <w:lang w:eastAsia="zh-CN"/>
        </w:rPr>
        <w:t>为</w:t>
      </w:r>
      <w:r>
        <w:rPr>
          <w:rFonts w:hint="eastAsia"/>
          <w:spacing w:val="0"/>
          <w:position w:val="0"/>
          <w:sz w:val="24"/>
          <w:szCs w:val="24"/>
          <w:lang w:val="en-US" w:eastAsia="zh-CN"/>
        </w:rPr>
        <w:t>19500t/a。本项目在</w:t>
      </w:r>
      <w:r>
        <w:rPr>
          <w:rFonts w:hint="eastAsia"/>
          <w:spacing w:val="0"/>
          <w:position w:val="0"/>
          <w:sz w:val="24"/>
          <w:szCs w:val="24"/>
        </w:rPr>
        <w:t>牵经进行织造的过程会产生少量G1-1纤维粉尘，因其产生量甚微，故本环评不做定量分析</w:t>
      </w:r>
      <w:r>
        <w:rPr>
          <w:rFonts w:hint="eastAsia"/>
          <w:spacing w:val="0"/>
          <w:position w:val="0"/>
          <w:sz w:val="24"/>
          <w:szCs w:val="24"/>
          <w:lang w:eastAsia="zh-CN"/>
        </w:rPr>
        <w:t>。</w:t>
      </w:r>
      <w:r>
        <w:rPr>
          <w:rFonts w:hint="eastAsia"/>
          <w:spacing w:val="0"/>
          <w:position w:val="0"/>
          <w:sz w:val="24"/>
          <w:szCs w:val="24"/>
          <w:lang w:val="en-US" w:eastAsia="zh-CN"/>
        </w:rPr>
        <w:t>结合行业生产经验及参照企业周边多家纺织厂环境影响报告书，如《</w:t>
      </w:r>
      <w:r>
        <w:rPr>
          <w:rFonts w:hint="eastAsia"/>
          <w:spacing w:val="0"/>
          <w:position w:val="0"/>
          <w:sz w:val="24"/>
          <w:szCs w:val="24"/>
        </w:rPr>
        <w:t>福建省恒创优品科技有限公司智能化高档纺织面料生产项目环境影响报告书</w:t>
      </w:r>
      <w:r>
        <w:rPr>
          <w:rFonts w:hint="eastAsia"/>
          <w:spacing w:val="0"/>
          <w:position w:val="0"/>
          <w:sz w:val="24"/>
          <w:szCs w:val="24"/>
          <w:lang w:val="en-US" w:eastAsia="zh-CN"/>
        </w:rPr>
        <w:t>》、《</w:t>
      </w:r>
      <w:r>
        <w:rPr>
          <w:rFonts w:hint="eastAsia"/>
          <w:spacing w:val="0"/>
          <w:position w:val="0"/>
          <w:sz w:val="24"/>
          <w:szCs w:val="24"/>
        </w:rPr>
        <w:t>福建俊诚纺织有限公司年产4万吨智能化高档纺织面料生产项目</w:t>
      </w:r>
      <w:r>
        <w:rPr>
          <w:rFonts w:hint="eastAsia"/>
          <w:spacing w:val="0"/>
          <w:position w:val="0"/>
          <w:sz w:val="24"/>
          <w:szCs w:val="24"/>
          <w:lang w:eastAsia="zh-CN"/>
        </w:rPr>
        <w:t>环境影响报告书</w:t>
      </w:r>
      <w:r>
        <w:rPr>
          <w:rFonts w:hint="eastAsia"/>
          <w:spacing w:val="0"/>
          <w:position w:val="0"/>
          <w:sz w:val="24"/>
          <w:szCs w:val="24"/>
          <w:lang w:val="en-US" w:eastAsia="zh-CN"/>
        </w:rPr>
        <w:t>》，整经废丝产生量为9kg/t-产品，织造废丝产生量为21kg/t-产品，物料衡算见表3.3-1及图3.3-5</w:t>
      </w:r>
      <w:r>
        <w:rPr>
          <w:rFonts w:hint="eastAsia"/>
          <w:spacing w:val="0"/>
          <w:position w:val="0"/>
          <w:sz w:val="24"/>
          <w:szCs w:val="24"/>
        </w:rPr>
        <w:t>。</w:t>
      </w:r>
      <w:r>
        <w:rPr>
          <w:rFonts w:hint="eastAsia"/>
          <w:spacing w:val="0"/>
          <w:position w:val="0"/>
          <w:sz w:val="24"/>
          <w:szCs w:val="24"/>
          <w:lang w:eastAsia="zh-CN"/>
        </w:rPr>
        <w:t>（</w:t>
      </w:r>
      <w:r>
        <w:rPr>
          <w:rFonts w:hint="eastAsia"/>
          <w:spacing w:val="0"/>
          <w:position w:val="0"/>
          <w:sz w:val="24"/>
          <w:szCs w:val="24"/>
          <w:lang w:val="en-US" w:eastAsia="zh-CN"/>
        </w:rPr>
        <w:t>略</w:t>
      </w:r>
      <w:r>
        <w:rPr>
          <w:rFonts w:hint="eastAsia"/>
          <w:spacing w:val="0"/>
          <w:position w:val="0"/>
          <w:sz w:val="24"/>
          <w:szCs w:val="24"/>
          <w:lang w:eastAsia="zh-CN"/>
        </w:rPr>
        <w:t>）</w:t>
      </w:r>
    </w:p>
    <w:p>
      <w:pPr>
        <w:adjustRightInd w:val="0"/>
        <w:snapToGrid w:val="0"/>
        <w:spacing w:line="360" w:lineRule="auto"/>
        <w:ind w:firstLine="0" w:firstLineChars="0"/>
        <w:outlineLvl w:val="3"/>
        <w:rPr>
          <w:rFonts w:hint="eastAsia"/>
          <w:b/>
          <w:bCs/>
          <w:spacing w:val="0"/>
          <w:position w:val="0"/>
          <w:sz w:val="24"/>
          <w:szCs w:val="24"/>
          <w:lang w:val="en-US" w:eastAsia="zh-CN"/>
        </w:rPr>
      </w:pPr>
      <w:r>
        <w:rPr>
          <w:rFonts w:hint="eastAsia"/>
          <w:b/>
          <w:bCs/>
          <w:spacing w:val="0"/>
          <w:position w:val="0"/>
          <w:sz w:val="24"/>
          <w:szCs w:val="24"/>
          <w:lang w:val="en-US" w:eastAsia="zh-CN"/>
        </w:rPr>
        <w:t>3.3.4.4染整工艺平衡分析</w:t>
      </w:r>
    </w:p>
    <w:p>
      <w:pPr>
        <w:adjustRightInd w:val="0"/>
        <w:snapToGrid w:val="0"/>
        <w:spacing w:line="360" w:lineRule="auto"/>
        <w:ind w:firstLine="480" w:firstLineChars="200"/>
        <w:rPr>
          <w:rFonts w:hint="default"/>
          <w:spacing w:val="0"/>
          <w:position w:val="0"/>
          <w:sz w:val="24"/>
          <w:szCs w:val="24"/>
          <w:lang w:val="en-US" w:eastAsia="zh-CN"/>
        </w:rPr>
      </w:pPr>
      <w:r>
        <w:rPr>
          <w:rFonts w:hint="eastAsia"/>
          <w:spacing w:val="0"/>
          <w:position w:val="0"/>
          <w:sz w:val="24"/>
          <w:szCs w:val="24"/>
          <w:lang w:val="en-US" w:eastAsia="zh-CN"/>
        </w:rPr>
        <w:t>根据建设单位提供的资料，项目染整工艺物料平衡见表3.3-2及图3.3-2。（略）</w:t>
      </w:r>
    </w:p>
    <w:p>
      <w:pPr>
        <w:adjustRightInd w:val="0"/>
        <w:snapToGrid w:val="0"/>
        <w:spacing w:line="360" w:lineRule="auto"/>
        <w:ind w:firstLine="0" w:firstLineChars="0"/>
        <w:outlineLvl w:val="3"/>
        <w:rPr>
          <w:rFonts w:hint="eastAsia"/>
          <w:b/>
          <w:bCs/>
          <w:spacing w:val="0"/>
          <w:position w:val="0"/>
          <w:sz w:val="24"/>
          <w:szCs w:val="24"/>
          <w:lang w:val="en-US" w:eastAsia="zh-CN"/>
        </w:rPr>
      </w:pPr>
      <w:r>
        <w:rPr>
          <w:rFonts w:hint="eastAsia"/>
          <w:b/>
          <w:bCs/>
          <w:spacing w:val="0"/>
          <w:position w:val="0"/>
          <w:sz w:val="24"/>
          <w:szCs w:val="24"/>
          <w:lang w:val="en-US" w:eastAsia="zh-CN"/>
        </w:rPr>
        <w:t>3.3.4.5数码印花工艺平衡分析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spacing w:val="0"/>
          <w:position w:val="0"/>
          <w:sz w:val="24"/>
          <w:szCs w:val="24"/>
          <w:lang w:val="en-US" w:eastAsia="zh-CN"/>
        </w:rPr>
      </w:pPr>
      <w:r>
        <w:rPr>
          <w:rFonts w:hint="eastAsia" w:ascii="Times New Roman" w:hAnsi="Times New Roman" w:eastAsia="宋体" w:cs="宋体"/>
          <w:b w:val="0"/>
          <w:bCs w:val="0"/>
          <w:spacing w:val="0"/>
          <w:position w:val="0"/>
          <w:sz w:val="24"/>
          <w:szCs w:val="24"/>
          <w:lang w:val="en-US" w:eastAsia="zh-CN"/>
        </w:rPr>
        <w:t>本项目</w:t>
      </w:r>
      <w:r>
        <w:rPr>
          <w:rFonts w:hint="eastAsia" w:ascii="Times New Roman" w:hAnsi="Times New Roman" w:cs="宋体"/>
          <w:b w:val="0"/>
          <w:bCs w:val="0"/>
          <w:spacing w:val="0"/>
          <w:position w:val="0"/>
          <w:sz w:val="24"/>
          <w:szCs w:val="24"/>
          <w:lang w:val="en-US" w:eastAsia="zh-CN"/>
        </w:rPr>
        <w:t>数码印花</w:t>
      </w:r>
      <w:r>
        <w:rPr>
          <w:rFonts w:hint="eastAsia" w:ascii="Times New Roman" w:hAnsi="Times New Roman" w:eastAsia="宋体" w:cs="宋体"/>
          <w:b w:val="0"/>
          <w:bCs w:val="0"/>
          <w:spacing w:val="0"/>
          <w:position w:val="0"/>
          <w:sz w:val="24"/>
          <w:szCs w:val="24"/>
          <w:lang w:val="en-US" w:eastAsia="zh-CN"/>
        </w:rPr>
        <w:t>工艺物料平衡</w:t>
      </w:r>
      <w:r>
        <w:rPr>
          <w:rFonts w:hint="eastAsia" w:ascii="Times New Roman" w:hAnsi="Times New Roman" w:cs="宋体"/>
          <w:b w:val="0"/>
          <w:bCs w:val="0"/>
          <w:spacing w:val="0"/>
          <w:position w:val="0"/>
          <w:sz w:val="24"/>
          <w:szCs w:val="24"/>
          <w:lang w:val="en-US" w:eastAsia="zh-CN"/>
        </w:rPr>
        <w:t>详见表3.3-3、图</w:t>
      </w:r>
      <w:r>
        <w:rPr>
          <w:rFonts w:hint="default" w:ascii="Times New Roman" w:hAnsi="Times New Roman" w:eastAsia="宋体" w:cs="Times New Roman"/>
          <w:b w:val="0"/>
          <w:bCs w:val="0"/>
          <w:spacing w:val="0"/>
          <w:position w:val="0"/>
          <w:sz w:val="24"/>
          <w:szCs w:val="24"/>
          <w:lang w:val="en-US" w:eastAsia="zh-CN"/>
        </w:rPr>
        <w:t>3.3-6</w:t>
      </w:r>
      <w:r>
        <w:rPr>
          <w:rFonts w:hint="eastAsia" w:ascii="Times New Roman" w:hAnsi="Times New Roman" w:eastAsia="宋体" w:cs="宋体"/>
          <w:b w:val="0"/>
          <w:bCs w:val="0"/>
          <w:spacing w:val="0"/>
          <w:position w:val="0"/>
          <w:sz w:val="24"/>
          <w:szCs w:val="24"/>
          <w:lang w:val="en-US" w:eastAsia="zh-CN"/>
        </w:rPr>
        <w:t>。</w:t>
      </w:r>
      <w:r>
        <w:rPr>
          <w:rFonts w:hint="eastAsia" w:cs="宋体"/>
          <w:b w:val="0"/>
          <w:bCs w:val="0"/>
          <w:spacing w:val="0"/>
          <w:position w:val="0"/>
          <w:sz w:val="24"/>
          <w:szCs w:val="24"/>
          <w:lang w:val="en-US" w:eastAsia="zh-CN"/>
        </w:rPr>
        <w:t>（略）</w:t>
      </w:r>
    </w:p>
    <w:p>
      <w:pPr>
        <w:adjustRightInd w:val="0"/>
        <w:snapToGrid w:val="0"/>
        <w:spacing w:line="360" w:lineRule="auto"/>
        <w:ind w:firstLine="0" w:firstLineChars="0"/>
        <w:outlineLvl w:val="3"/>
        <w:rPr>
          <w:rFonts w:hint="eastAsia"/>
          <w:b/>
          <w:bCs/>
          <w:spacing w:val="0"/>
          <w:position w:val="0"/>
          <w:sz w:val="24"/>
          <w:szCs w:val="24"/>
          <w:lang w:val="en-US" w:eastAsia="zh-CN"/>
        </w:rPr>
      </w:pPr>
      <w:r>
        <w:rPr>
          <w:rFonts w:hint="eastAsia"/>
          <w:b/>
          <w:bCs/>
          <w:spacing w:val="0"/>
          <w:position w:val="0"/>
          <w:sz w:val="24"/>
          <w:szCs w:val="24"/>
          <w:lang w:val="en-US" w:eastAsia="zh-CN"/>
        </w:rPr>
        <w:t>3.3.4.6圆网印花工艺平衡分析</w:t>
      </w:r>
    </w:p>
    <w:p>
      <w:pPr>
        <w:adjustRightInd w:val="0"/>
        <w:snapToGrid w:val="0"/>
        <w:spacing w:line="360" w:lineRule="auto"/>
        <w:ind w:firstLine="480" w:firstLineChars="200"/>
        <w:jc w:val="both"/>
        <w:rPr>
          <w:rFonts w:hint="eastAsia" w:cs="Times New Roman"/>
          <w:b w:val="0"/>
          <w:bCs w:val="0"/>
          <w:spacing w:val="0"/>
          <w:position w:val="0"/>
          <w:sz w:val="24"/>
          <w:szCs w:val="24"/>
          <w:lang w:val="en-US" w:eastAsia="zh-CN"/>
        </w:rPr>
      </w:pPr>
      <w:r>
        <w:rPr>
          <w:rFonts w:hint="eastAsia" w:cs="Times New Roman"/>
          <w:b w:val="0"/>
          <w:bCs w:val="0"/>
          <w:spacing w:val="0"/>
          <w:position w:val="0"/>
          <w:sz w:val="24"/>
          <w:szCs w:val="24"/>
          <w:lang w:val="en-US" w:eastAsia="zh-CN"/>
        </w:rPr>
        <w:t>本项目</w:t>
      </w:r>
      <w:r>
        <w:rPr>
          <w:rFonts w:hint="eastAsia" w:ascii="Times New Roman" w:hAnsi="Times New Roman" w:cs="Times New Roman"/>
          <w:b w:val="0"/>
          <w:bCs w:val="0"/>
          <w:spacing w:val="0"/>
          <w:position w:val="0"/>
          <w:sz w:val="24"/>
          <w:szCs w:val="24"/>
          <w:lang w:val="en-US" w:eastAsia="zh-CN"/>
        </w:rPr>
        <w:t>圆网印花工艺物料平衡详见表3.3-4，图3.3-7</w:t>
      </w:r>
      <w:r>
        <w:rPr>
          <w:rFonts w:hint="eastAsia" w:cs="Times New Roman"/>
          <w:b w:val="0"/>
          <w:bCs w:val="0"/>
          <w:spacing w:val="0"/>
          <w:position w:val="0"/>
          <w:sz w:val="24"/>
          <w:szCs w:val="24"/>
          <w:lang w:val="en-US" w:eastAsia="zh-CN"/>
        </w:rPr>
        <w:t>。（略）</w:t>
      </w:r>
    </w:p>
    <w:p>
      <w:pPr>
        <w:adjustRightInd w:val="0"/>
        <w:snapToGrid w:val="0"/>
        <w:spacing w:line="360" w:lineRule="auto"/>
        <w:ind w:firstLine="0" w:firstLineChars="0"/>
        <w:outlineLvl w:val="3"/>
        <w:rPr>
          <w:rFonts w:hint="eastAsia"/>
          <w:b/>
          <w:bCs/>
          <w:spacing w:val="0"/>
          <w:position w:val="0"/>
          <w:sz w:val="24"/>
          <w:szCs w:val="24"/>
          <w:lang w:val="en-US" w:eastAsia="zh-CN"/>
        </w:rPr>
      </w:pPr>
      <w:r>
        <w:rPr>
          <w:rFonts w:hint="eastAsia"/>
          <w:b/>
          <w:bCs/>
          <w:spacing w:val="0"/>
          <w:position w:val="0"/>
          <w:sz w:val="24"/>
          <w:szCs w:val="24"/>
          <w:lang w:val="en-US" w:eastAsia="zh-CN"/>
        </w:rPr>
        <w:t>3.3.4.6蒸汽平衡分析</w:t>
      </w:r>
    </w:p>
    <w:p>
      <w:pPr>
        <w:adjustRightInd w:val="0"/>
        <w:snapToGrid w:val="0"/>
        <w:spacing w:line="360" w:lineRule="auto"/>
        <w:ind w:firstLine="480" w:firstLineChars="200"/>
        <w:jc w:val="both"/>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根据项目建设情况及生产工艺，结合蒸汽用量，项目所需低压蒸汽和中压蒸汽供热平衡如图3.3-9所示</w:t>
      </w:r>
      <w:r>
        <w:rPr>
          <w:rFonts w:hint="eastAsia" w:cs="Times New Roman"/>
          <w:b w:val="0"/>
          <w:bCs w:val="0"/>
          <w:spacing w:val="0"/>
          <w:position w:val="0"/>
          <w:sz w:val="24"/>
          <w:szCs w:val="24"/>
          <w:lang w:val="en-US" w:eastAsia="zh-CN"/>
        </w:rPr>
        <w:t>（略）</w:t>
      </w:r>
      <w:r>
        <w:rPr>
          <w:rFonts w:hint="eastAsia"/>
          <w:b w:val="0"/>
          <w:bCs w:val="0"/>
          <w:spacing w:val="0"/>
          <w:position w:val="0"/>
          <w:sz w:val="24"/>
          <w:szCs w:val="24"/>
          <w:lang w:val="en-US" w:eastAsia="zh-CN"/>
        </w:rPr>
        <w:t>。根据项目蒸汽供热平衡图，本项目年低压蒸汽（0.8MPa）用量6.78万t/a（205.35t/d），中压蒸汽（2.8MPa）用量11.21万t/a（339.66t/d）。</w:t>
      </w:r>
    </w:p>
    <w:p>
      <w:pPr>
        <w:adjustRightInd w:val="0"/>
        <w:snapToGrid w:val="0"/>
        <w:spacing w:line="360" w:lineRule="auto"/>
        <w:outlineLvl w:val="1"/>
        <w:rPr>
          <w:b/>
          <w:bCs/>
          <w:spacing w:val="0"/>
          <w:position w:val="0"/>
          <w:sz w:val="30"/>
          <w:szCs w:val="30"/>
        </w:rPr>
      </w:pPr>
      <w:r>
        <w:rPr>
          <w:rFonts w:hint="eastAsia"/>
          <w:b/>
          <w:bCs/>
          <w:spacing w:val="0"/>
          <w:position w:val="0"/>
          <w:sz w:val="30"/>
          <w:szCs w:val="30"/>
        </w:rPr>
        <w:t>3.4运营期污染源分析</w:t>
      </w: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3.4.1废水污染源</w:t>
      </w:r>
    </w:p>
    <w:p>
      <w:pPr>
        <w:adjustRightInd w:val="0"/>
        <w:snapToGrid w:val="0"/>
        <w:spacing w:line="360" w:lineRule="auto"/>
        <w:rPr>
          <w:b/>
          <w:bCs/>
          <w:spacing w:val="0"/>
          <w:position w:val="0"/>
          <w:sz w:val="24"/>
          <w:szCs w:val="24"/>
        </w:rPr>
      </w:pPr>
      <w:r>
        <w:rPr>
          <w:rFonts w:hint="eastAsia"/>
          <w:b/>
          <w:bCs/>
          <w:spacing w:val="0"/>
          <w:position w:val="0"/>
          <w:sz w:val="24"/>
          <w:szCs w:val="24"/>
        </w:rPr>
        <w:t>3.4.1.1项目排水量计算</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lang w:eastAsia="zh-CN"/>
        </w:rPr>
        <w:t>拟建</w:t>
      </w:r>
      <w:r>
        <w:rPr>
          <w:rFonts w:hint="eastAsia"/>
          <w:spacing w:val="0"/>
          <w:position w:val="0"/>
          <w:sz w:val="24"/>
          <w:szCs w:val="24"/>
        </w:rPr>
        <w:t>项目</w:t>
      </w:r>
      <w:r>
        <w:rPr>
          <w:rFonts w:hint="eastAsia"/>
          <w:spacing w:val="0"/>
          <w:position w:val="0"/>
          <w:sz w:val="24"/>
          <w:szCs w:val="24"/>
          <w:lang w:eastAsia="zh-CN"/>
        </w:rPr>
        <w:t>废水主要</w:t>
      </w:r>
      <w:r>
        <w:rPr>
          <w:rFonts w:hint="eastAsia"/>
          <w:spacing w:val="0"/>
          <w:position w:val="0"/>
          <w:sz w:val="24"/>
          <w:szCs w:val="24"/>
        </w:rPr>
        <w:t>包括</w:t>
      </w:r>
      <w:r>
        <w:rPr>
          <w:rFonts w:hint="eastAsia"/>
          <w:spacing w:val="0"/>
          <w:position w:val="0"/>
          <w:sz w:val="24"/>
          <w:szCs w:val="24"/>
          <w:lang w:eastAsia="zh-CN"/>
        </w:rPr>
        <w:t>印染废水、软水站再生废水、循环冷却排水、车间</w:t>
      </w:r>
      <w:r>
        <w:rPr>
          <w:rFonts w:hint="eastAsia"/>
          <w:spacing w:val="0"/>
          <w:position w:val="0"/>
          <w:sz w:val="24"/>
          <w:szCs w:val="24"/>
          <w:lang w:val="en-US" w:eastAsia="zh-CN"/>
        </w:rPr>
        <w:t>冲洗</w:t>
      </w:r>
      <w:r>
        <w:rPr>
          <w:rFonts w:hint="eastAsia"/>
          <w:spacing w:val="0"/>
          <w:position w:val="0"/>
          <w:sz w:val="24"/>
          <w:szCs w:val="24"/>
          <w:lang w:eastAsia="zh-CN"/>
        </w:rPr>
        <w:t>废水</w:t>
      </w:r>
      <w:r>
        <w:rPr>
          <w:rFonts w:hint="eastAsia"/>
          <w:spacing w:val="0"/>
          <w:position w:val="0"/>
          <w:sz w:val="24"/>
          <w:szCs w:val="24"/>
          <w:lang w:val="en-US" w:eastAsia="zh-CN"/>
        </w:rPr>
        <w:t>及</w:t>
      </w:r>
      <w:r>
        <w:rPr>
          <w:rFonts w:hint="eastAsia"/>
          <w:spacing w:val="0"/>
          <w:position w:val="0"/>
          <w:sz w:val="24"/>
          <w:szCs w:val="24"/>
          <w:lang w:eastAsia="zh-CN"/>
        </w:rPr>
        <w:t>生活污水</w:t>
      </w:r>
      <w:r>
        <w:rPr>
          <w:rFonts w:hint="eastAsia"/>
          <w:spacing w:val="0"/>
          <w:position w:val="0"/>
          <w:sz w:val="24"/>
          <w:szCs w:val="24"/>
        </w:rPr>
        <w:t>。</w:t>
      </w:r>
      <w:r>
        <w:rPr>
          <w:rFonts w:hint="eastAsia"/>
          <w:spacing w:val="0"/>
          <w:position w:val="0"/>
          <w:sz w:val="24"/>
          <w:szCs w:val="24"/>
          <w:lang w:eastAsia="zh-CN"/>
        </w:rPr>
        <w:t>废水经分质收集后用泵输送至产业园污水处理厂统一处理。</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（1）</w:t>
      </w:r>
      <w:r>
        <w:rPr>
          <w:rFonts w:hint="eastAsia"/>
          <w:spacing w:val="0"/>
          <w:position w:val="0"/>
          <w:sz w:val="24"/>
          <w:szCs w:val="24"/>
          <w:lang w:eastAsia="zh-CN"/>
        </w:rPr>
        <w:t>印染废水</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项目主要从事涤纶、氨纶、锦纶针织布</w:t>
      </w:r>
      <w:r>
        <w:rPr>
          <w:rFonts w:hint="eastAsia"/>
          <w:spacing w:val="0"/>
          <w:position w:val="0"/>
          <w:sz w:val="24"/>
          <w:szCs w:val="24"/>
          <w:lang w:eastAsia="zh-CN"/>
        </w:rPr>
        <w:t>印染</w:t>
      </w:r>
      <w:r>
        <w:rPr>
          <w:rFonts w:hint="eastAsia"/>
          <w:spacing w:val="0"/>
          <w:position w:val="0"/>
          <w:sz w:val="24"/>
          <w:szCs w:val="24"/>
        </w:rPr>
        <w:t>加工，其常用染料为活性染料、分散染料。</w:t>
      </w:r>
      <w:r>
        <w:rPr>
          <w:rFonts w:hint="eastAsia"/>
          <w:spacing w:val="0"/>
          <w:position w:val="0"/>
          <w:sz w:val="24"/>
          <w:szCs w:val="24"/>
          <w:lang w:eastAsia="zh-CN"/>
        </w:rPr>
        <w:t>根据对现有针织布染整设备调查，高温染色机浴比可做到</w:t>
      </w:r>
      <w:r>
        <w:rPr>
          <w:rFonts w:hint="eastAsia"/>
          <w:spacing w:val="0"/>
          <w:position w:val="0"/>
          <w:sz w:val="24"/>
          <w:szCs w:val="24"/>
          <w:lang w:val="en-US" w:eastAsia="zh-CN"/>
        </w:rPr>
        <w:t>1:5~1:6，考虑染整工艺成熟性与稳定性，项目采用浴比1:6。印染</w:t>
      </w:r>
      <w:r>
        <w:rPr>
          <w:rFonts w:hint="eastAsia"/>
          <w:spacing w:val="0"/>
          <w:position w:val="0"/>
          <w:sz w:val="24"/>
          <w:szCs w:val="24"/>
        </w:rPr>
        <w:t>工艺给排水情况详见表3.</w:t>
      </w:r>
      <w:r>
        <w:rPr>
          <w:rFonts w:hint="eastAsia"/>
          <w:spacing w:val="0"/>
          <w:position w:val="0"/>
          <w:sz w:val="24"/>
          <w:szCs w:val="24"/>
          <w:lang w:val="en-US" w:eastAsia="zh-CN"/>
        </w:rPr>
        <w:t>3</w:t>
      </w:r>
      <w:r>
        <w:rPr>
          <w:rFonts w:hint="eastAsia"/>
          <w:spacing w:val="0"/>
          <w:position w:val="0"/>
          <w:sz w:val="24"/>
          <w:szCs w:val="24"/>
        </w:rPr>
        <w:t>-1，物料及给排水平衡见图3.3-</w:t>
      </w:r>
      <w:r>
        <w:rPr>
          <w:rFonts w:hint="eastAsia"/>
          <w:spacing w:val="0"/>
          <w:position w:val="0"/>
          <w:sz w:val="24"/>
          <w:szCs w:val="24"/>
          <w:lang w:val="en-US" w:eastAsia="zh-CN"/>
        </w:rPr>
        <w:t>4</w:t>
      </w:r>
      <w:r>
        <w:rPr>
          <w:rFonts w:hint="eastAsia"/>
          <w:spacing w:val="0"/>
          <w:position w:val="0"/>
          <w:sz w:val="24"/>
          <w:szCs w:val="24"/>
        </w:rPr>
        <w:t>。</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lang w:eastAsia="zh-CN"/>
        </w:rPr>
        <w:t>印染</w:t>
      </w:r>
      <w:r>
        <w:rPr>
          <w:rFonts w:hint="eastAsia"/>
          <w:spacing w:val="0"/>
          <w:position w:val="0"/>
          <w:sz w:val="24"/>
          <w:szCs w:val="24"/>
        </w:rPr>
        <w:t>工艺由于废水来源不同，污染物浓度、色度差别较大，主要是由于染色工艺中各工序废水污染物浓度不同，其中除油、预定型、染色、4次</w:t>
      </w:r>
      <w:r>
        <w:rPr>
          <w:rFonts w:hint="eastAsia"/>
          <w:spacing w:val="0"/>
          <w:position w:val="0"/>
          <w:sz w:val="24"/>
          <w:szCs w:val="24"/>
          <w:lang w:eastAsia="zh-CN"/>
        </w:rPr>
        <w:t>水洗</w:t>
      </w:r>
      <w:r>
        <w:rPr>
          <w:rFonts w:hint="eastAsia"/>
          <w:spacing w:val="0"/>
          <w:position w:val="0"/>
          <w:sz w:val="24"/>
          <w:szCs w:val="24"/>
        </w:rPr>
        <w:t>的前</w:t>
      </w:r>
      <w:r>
        <w:rPr>
          <w:rFonts w:hint="eastAsia"/>
          <w:spacing w:val="0"/>
          <w:position w:val="0"/>
          <w:sz w:val="24"/>
          <w:szCs w:val="24"/>
          <w:lang w:val="en-US" w:eastAsia="zh-CN"/>
        </w:rPr>
        <w:t>2</w:t>
      </w:r>
      <w:r>
        <w:rPr>
          <w:rFonts w:hint="eastAsia"/>
          <w:spacing w:val="0"/>
          <w:position w:val="0"/>
          <w:sz w:val="24"/>
          <w:szCs w:val="24"/>
        </w:rPr>
        <w:t>次</w:t>
      </w:r>
      <w:r>
        <w:rPr>
          <w:rFonts w:hint="eastAsia"/>
          <w:spacing w:val="0"/>
          <w:position w:val="0"/>
          <w:sz w:val="24"/>
          <w:szCs w:val="24"/>
          <w:lang w:eastAsia="zh-CN"/>
        </w:rPr>
        <w:t>水洗</w:t>
      </w:r>
      <w:r>
        <w:rPr>
          <w:rFonts w:hint="eastAsia"/>
          <w:spacing w:val="0"/>
          <w:position w:val="0"/>
          <w:sz w:val="24"/>
          <w:szCs w:val="24"/>
        </w:rPr>
        <w:t>、固色、3次水洗的第</w:t>
      </w:r>
      <w:r>
        <w:rPr>
          <w:rFonts w:hint="eastAsia"/>
          <w:spacing w:val="0"/>
          <w:position w:val="0"/>
          <w:sz w:val="24"/>
          <w:szCs w:val="24"/>
          <w:lang w:val="en-US" w:eastAsia="zh-CN"/>
        </w:rPr>
        <w:t>1</w:t>
      </w:r>
      <w:r>
        <w:rPr>
          <w:rFonts w:hint="eastAsia"/>
          <w:spacing w:val="0"/>
          <w:position w:val="0"/>
          <w:sz w:val="24"/>
          <w:szCs w:val="24"/>
        </w:rPr>
        <w:t>次水洗</w:t>
      </w:r>
      <w:r>
        <w:rPr>
          <w:rFonts w:hint="eastAsia"/>
          <w:spacing w:val="0"/>
          <w:position w:val="0"/>
          <w:sz w:val="24"/>
          <w:szCs w:val="24"/>
          <w:lang w:eastAsia="zh-CN"/>
        </w:rPr>
        <w:t>、印花水洗</w:t>
      </w:r>
      <w:r>
        <w:rPr>
          <w:rFonts w:hint="eastAsia"/>
          <w:spacing w:val="0"/>
          <w:position w:val="0"/>
          <w:sz w:val="24"/>
          <w:szCs w:val="24"/>
        </w:rPr>
        <w:t>、洗缸工序产生的废水为高浓度、深颜色的废水，其余</w:t>
      </w:r>
      <w:r>
        <w:rPr>
          <w:rFonts w:hint="eastAsia"/>
          <w:spacing w:val="0"/>
          <w:position w:val="0"/>
          <w:sz w:val="24"/>
          <w:szCs w:val="24"/>
          <w:lang w:eastAsia="zh-CN"/>
        </w:rPr>
        <w:t>后几次水洗、</w:t>
      </w:r>
      <w:r>
        <w:rPr>
          <w:rFonts w:hint="eastAsia"/>
          <w:spacing w:val="0"/>
          <w:position w:val="0"/>
          <w:sz w:val="24"/>
          <w:szCs w:val="24"/>
        </w:rPr>
        <w:t>脱水、烘干定型产生的废水为低浓度废水。</w:t>
      </w:r>
      <w:r>
        <w:rPr>
          <w:rFonts w:hint="eastAsia"/>
          <w:spacing w:val="0"/>
          <w:position w:val="0"/>
          <w:sz w:val="24"/>
          <w:szCs w:val="24"/>
          <w:lang w:eastAsia="zh-CN"/>
        </w:rPr>
        <w:t>印染</w:t>
      </w:r>
      <w:r>
        <w:rPr>
          <w:rFonts w:hint="eastAsia"/>
          <w:spacing w:val="0"/>
          <w:position w:val="0"/>
          <w:sz w:val="24"/>
          <w:szCs w:val="24"/>
        </w:rPr>
        <w:t>过程废水排放总量为</w:t>
      </w:r>
      <w:r>
        <w:rPr>
          <w:rFonts w:hint="eastAsia"/>
          <w:spacing w:val="0"/>
          <w:position w:val="0"/>
          <w:sz w:val="24"/>
          <w:szCs w:val="24"/>
          <w:lang w:val="en-US" w:eastAsia="zh-CN"/>
        </w:rPr>
        <w:t>3941.81</w:t>
      </w:r>
      <w:r>
        <w:rPr>
          <w:rFonts w:hint="eastAsia"/>
          <w:spacing w:val="0"/>
          <w:position w:val="0"/>
          <w:sz w:val="24"/>
          <w:szCs w:val="24"/>
        </w:rPr>
        <w:t>t/d，</w:t>
      </w:r>
      <w:r>
        <w:rPr>
          <w:rFonts w:hint="eastAsia"/>
          <w:spacing w:val="0"/>
          <w:position w:val="0"/>
          <w:sz w:val="24"/>
          <w:szCs w:val="24"/>
          <w:lang w:eastAsia="zh-CN"/>
        </w:rPr>
        <w:t>其中染整工艺高浓度废水量</w:t>
      </w:r>
      <w:r>
        <w:rPr>
          <w:rFonts w:hint="eastAsia"/>
          <w:spacing w:val="0"/>
          <w:position w:val="0"/>
          <w:sz w:val="24"/>
          <w:szCs w:val="24"/>
          <w:lang w:val="en-US" w:eastAsia="zh-CN"/>
        </w:rPr>
        <w:t>2308.09t/d，</w:t>
      </w:r>
      <w:r>
        <w:rPr>
          <w:rFonts w:hint="eastAsia"/>
          <w:spacing w:val="0"/>
          <w:position w:val="0"/>
          <w:sz w:val="24"/>
          <w:szCs w:val="24"/>
          <w:lang w:eastAsia="zh-CN"/>
        </w:rPr>
        <w:t>低浓度废水量</w:t>
      </w:r>
      <w:r>
        <w:rPr>
          <w:rFonts w:hint="eastAsia"/>
          <w:spacing w:val="0"/>
          <w:position w:val="0"/>
          <w:sz w:val="24"/>
          <w:szCs w:val="24"/>
          <w:lang w:val="en-US" w:eastAsia="zh-CN"/>
        </w:rPr>
        <w:t>1586.25t/d</w:t>
      </w:r>
      <w:r>
        <w:rPr>
          <w:rFonts w:hint="eastAsia"/>
          <w:spacing w:val="0"/>
          <w:position w:val="0"/>
          <w:sz w:val="24"/>
          <w:szCs w:val="24"/>
          <w:lang w:eastAsia="zh-CN"/>
        </w:rPr>
        <w:t>，数码印花低浓度废水量</w:t>
      </w:r>
      <w:r>
        <w:rPr>
          <w:rFonts w:hint="eastAsia"/>
          <w:spacing w:val="0"/>
          <w:position w:val="0"/>
          <w:sz w:val="24"/>
          <w:szCs w:val="24"/>
          <w:lang w:val="en-US" w:eastAsia="zh-CN"/>
        </w:rPr>
        <w:t>3.07t/d</w:t>
      </w:r>
      <w:r>
        <w:rPr>
          <w:rFonts w:hint="eastAsia"/>
          <w:spacing w:val="0"/>
          <w:position w:val="0"/>
          <w:sz w:val="24"/>
          <w:szCs w:val="24"/>
        </w:rPr>
        <w:t>，</w:t>
      </w:r>
      <w:r>
        <w:rPr>
          <w:rFonts w:hint="eastAsia"/>
          <w:spacing w:val="0"/>
          <w:position w:val="0"/>
          <w:sz w:val="24"/>
          <w:szCs w:val="24"/>
          <w:lang w:eastAsia="zh-CN"/>
        </w:rPr>
        <w:t>圆网印花高浓度废水量</w:t>
      </w:r>
      <w:r>
        <w:rPr>
          <w:rFonts w:hint="eastAsia"/>
          <w:spacing w:val="0"/>
          <w:position w:val="0"/>
          <w:sz w:val="24"/>
          <w:szCs w:val="24"/>
          <w:lang w:val="en-US" w:eastAsia="zh-CN"/>
        </w:rPr>
        <w:t>38.26t/d</w:t>
      </w:r>
      <w:r>
        <w:rPr>
          <w:rFonts w:hint="eastAsia"/>
          <w:spacing w:val="0"/>
          <w:position w:val="0"/>
          <w:sz w:val="24"/>
          <w:szCs w:val="24"/>
          <w:lang w:eastAsia="zh-CN"/>
        </w:rPr>
        <w:t>、低浓度废水量</w:t>
      </w:r>
      <w:r>
        <w:rPr>
          <w:rFonts w:hint="eastAsia"/>
          <w:spacing w:val="0"/>
          <w:position w:val="0"/>
          <w:sz w:val="24"/>
          <w:szCs w:val="24"/>
          <w:lang w:val="en-US" w:eastAsia="zh-CN"/>
        </w:rPr>
        <w:t>6.14t/d</w:t>
      </w:r>
      <w:r>
        <w:rPr>
          <w:rFonts w:hint="eastAsia"/>
          <w:spacing w:val="0"/>
          <w:position w:val="0"/>
          <w:sz w:val="24"/>
          <w:szCs w:val="24"/>
          <w:lang w:eastAsia="zh-CN"/>
        </w:rPr>
        <w:t>。</w:t>
      </w:r>
      <w:r>
        <w:rPr>
          <w:rFonts w:hint="eastAsia"/>
          <w:spacing w:val="0"/>
          <w:position w:val="0"/>
          <w:sz w:val="24"/>
          <w:szCs w:val="24"/>
        </w:rPr>
        <w:t>高浓度、低浓度废水分质分流收集。</w:t>
      </w:r>
    </w:p>
    <w:p>
      <w:pPr>
        <w:adjustRightInd w:val="0"/>
        <w:snapToGrid w:val="0"/>
        <w:spacing w:line="360" w:lineRule="auto"/>
        <w:ind w:firstLine="480" w:firstLineChars="200"/>
        <w:rPr>
          <w:rFonts w:hint="eastAsia"/>
          <w:spacing w:val="0"/>
          <w:position w:val="0"/>
          <w:sz w:val="24"/>
          <w:szCs w:val="24"/>
          <w:lang w:eastAsia="zh-CN"/>
        </w:rPr>
      </w:pPr>
      <w:r>
        <w:rPr>
          <w:rFonts w:hint="eastAsia"/>
          <w:spacing w:val="0"/>
          <w:position w:val="0"/>
          <w:sz w:val="24"/>
          <w:szCs w:val="24"/>
          <w:lang w:eastAsia="zh-CN"/>
        </w:rPr>
        <w:t>印染工艺废水中主要污染因子包括</w:t>
      </w:r>
      <w:r>
        <w:rPr>
          <w:rFonts w:hint="eastAsia"/>
          <w:spacing w:val="0"/>
          <w:position w:val="0"/>
          <w:sz w:val="24"/>
          <w:szCs w:val="24"/>
        </w:rPr>
        <w:t>pH值、COD、BOD</w:t>
      </w:r>
      <w:r>
        <w:rPr>
          <w:rFonts w:hint="eastAsia"/>
          <w:spacing w:val="0"/>
          <w:position w:val="0"/>
          <w:sz w:val="24"/>
          <w:szCs w:val="24"/>
          <w:vertAlign w:val="subscript"/>
        </w:rPr>
        <w:t>5</w:t>
      </w:r>
      <w:r>
        <w:rPr>
          <w:rFonts w:hint="eastAsia"/>
          <w:spacing w:val="0"/>
          <w:position w:val="0"/>
          <w:sz w:val="24"/>
          <w:szCs w:val="24"/>
        </w:rPr>
        <w:t>、SS、氨氮、总氮、总磷、</w:t>
      </w:r>
      <w:r>
        <w:rPr>
          <w:rFonts w:hint="eastAsia"/>
          <w:spacing w:val="0"/>
          <w:position w:val="0"/>
          <w:sz w:val="24"/>
          <w:szCs w:val="24"/>
          <w:lang w:eastAsia="zh-CN"/>
        </w:rPr>
        <w:t>总锑、</w:t>
      </w:r>
      <w:r>
        <w:rPr>
          <w:rFonts w:hint="eastAsia"/>
          <w:spacing w:val="0"/>
          <w:position w:val="0"/>
          <w:sz w:val="24"/>
          <w:szCs w:val="24"/>
        </w:rPr>
        <w:t>硫化物</w:t>
      </w:r>
      <w:r>
        <w:rPr>
          <w:rFonts w:hint="eastAsia"/>
          <w:spacing w:val="0"/>
          <w:position w:val="0"/>
          <w:sz w:val="24"/>
          <w:szCs w:val="24"/>
          <w:lang w:eastAsia="zh-CN"/>
        </w:rPr>
        <w:t>、色度</w:t>
      </w:r>
      <w:r>
        <w:rPr>
          <w:rFonts w:hint="eastAsia"/>
          <w:spacing w:val="0"/>
          <w:position w:val="0"/>
          <w:sz w:val="24"/>
          <w:szCs w:val="24"/>
        </w:rPr>
        <w:t>等污染</w:t>
      </w:r>
      <w:r>
        <w:rPr>
          <w:rFonts w:hint="eastAsia"/>
          <w:spacing w:val="0"/>
          <w:position w:val="0"/>
          <w:sz w:val="24"/>
          <w:szCs w:val="24"/>
          <w:lang w:eastAsia="zh-CN"/>
        </w:rPr>
        <w:t>因子，</w:t>
      </w:r>
      <w:r>
        <w:rPr>
          <w:rFonts w:hint="eastAsia"/>
          <w:spacing w:val="0"/>
          <w:position w:val="0"/>
          <w:sz w:val="24"/>
          <w:szCs w:val="24"/>
        </w:rPr>
        <w:t>根据《污染源源强核算技术指南纺织印染工业》（HJ990-2018）确定本项目特征因子</w:t>
      </w:r>
      <w:r>
        <w:rPr>
          <w:rFonts w:hint="eastAsia"/>
          <w:spacing w:val="0"/>
          <w:position w:val="0"/>
          <w:sz w:val="24"/>
          <w:szCs w:val="24"/>
          <w:lang w:eastAsia="zh-CN"/>
        </w:rPr>
        <w:t>，</w:t>
      </w:r>
      <w:r>
        <w:rPr>
          <w:rFonts w:hint="eastAsia"/>
          <w:spacing w:val="0"/>
          <w:position w:val="0"/>
          <w:sz w:val="24"/>
          <w:szCs w:val="24"/>
        </w:rPr>
        <w:t>纺织染整类废水源强核算因子见表3.4-</w:t>
      </w:r>
      <w:r>
        <w:rPr>
          <w:rFonts w:hint="eastAsia"/>
          <w:spacing w:val="0"/>
          <w:position w:val="0"/>
          <w:sz w:val="24"/>
          <w:szCs w:val="24"/>
          <w:lang w:val="en-US" w:eastAsia="zh-CN"/>
        </w:rPr>
        <w:t>1</w:t>
      </w:r>
      <w:r>
        <w:rPr>
          <w:rFonts w:hint="eastAsia"/>
          <w:spacing w:val="0"/>
          <w:position w:val="0"/>
          <w:sz w:val="24"/>
          <w:szCs w:val="24"/>
          <w:lang w:eastAsia="zh-CN"/>
        </w:rPr>
        <w:t>。</w:t>
      </w:r>
    </w:p>
    <w:p>
      <w:pPr>
        <w:pStyle w:val="10"/>
        <w:adjustRightInd w:val="0"/>
        <w:snapToGrid w:val="0"/>
        <w:ind w:firstLine="0"/>
        <w:jc w:val="center"/>
        <w:rPr>
          <w:rFonts w:ascii="Times New Roman" w:hAnsi="Times New Roman"/>
          <w:b/>
          <w:bCs/>
          <w:spacing w:val="0"/>
          <w:position w:val="0"/>
          <w:szCs w:val="24"/>
        </w:rPr>
      </w:pPr>
      <w:r>
        <w:rPr>
          <w:rFonts w:hint="eastAsia" w:ascii="Times New Roman" w:hAnsi="Times New Roman"/>
          <w:b/>
          <w:bCs/>
          <w:spacing w:val="0"/>
          <w:position w:val="0"/>
          <w:szCs w:val="24"/>
        </w:rPr>
        <w:t>表3.4-</w:t>
      </w:r>
      <w:r>
        <w:rPr>
          <w:rFonts w:hint="eastAsia" w:ascii="Times New Roman" w:hAnsi="Times New Roman"/>
          <w:b/>
          <w:bCs/>
          <w:spacing w:val="0"/>
          <w:position w:val="0"/>
          <w:szCs w:val="24"/>
          <w:lang w:val="en-US" w:eastAsia="zh-CN"/>
        </w:rPr>
        <w:t>1纺织印染</w:t>
      </w:r>
      <w:r>
        <w:rPr>
          <w:rFonts w:hint="eastAsia" w:ascii="Times New Roman" w:hAnsi="Times New Roman"/>
          <w:b/>
          <w:bCs/>
          <w:spacing w:val="0"/>
          <w:position w:val="0"/>
          <w:szCs w:val="24"/>
        </w:rPr>
        <w:t>项目废水源强因子选取表（摘录）</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4"/>
        <w:gridCol w:w="1277"/>
        <w:gridCol w:w="3052"/>
        <w:gridCol w:w="1414"/>
        <w:gridCol w:w="1229"/>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4"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环境要素</w:t>
            </w:r>
          </w:p>
        </w:tc>
        <w:tc>
          <w:tcPr>
            <w:tcW w:w="1277"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污染源</w:t>
            </w:r>
          </w:p>
        </w:tc>
        <w:tc>
          <w:tcPr>
            <w:tcW w:w="3052"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核算因子</w:t>
            </w:r>
          </w:p>
        </w:tc>
        <w:tc>
          <w:tcPr>
            <w:tcW w:w="1414"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核算方法及选取优先顺序</w:t>
            </w:r>
          </w:p>
        </w:tc>
        <w:tc>
          <w:tcPr>
            <w:tcW w:w="1229"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本项目核算因子</w:t>
            </w:r>
          </w:p>
        </w:tc>
        <w:tc>
          <w:tcPr>
            <w:tcW w:w="1123"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本项目核算方法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4" w:type="dxa"/>
            <w:vMerge w:val="restart"/>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废水</w:t>
            </w:r>
          </w:p>
        </w:tc>
        <w:tc>
          <w:tcPr>
            <w:tcW w:w="1277"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车间或生产设施废水排放口</w:t>
            </w:r>
          </w:p>
        </w:tc>
        <w:tc>
          <w:tcPr>
            <w:tcW w:w="3052"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六价铬（纺织染整</w:t>
            </w:r>
            <w:r>
              <w:rPr>
                <w:rFonts w:hint="eastAsia" w:ascii="Times New Roman" w:hAnsi="Times New Roman"/>
                <w:spacing w:val="0"/>
                <w:position w:val="0"/>
                <w:sz w:val="21"/>
                <w:szCs w:val="21"/>
                <w:vertAlign w:val="superscript"/>
              </w:rPr>
              <w:t>1</w:t>
            </w:r>
            <w:r>
              <w:rPr>
                <w:rFonts w:hint="eastAsia" w:ascii="Times New Roman" w:hAnsi="Times New Roman"/>
                <w:spacing w:val="0"/>
                <w:position w:val="0"/>
                <w:sz w:val="21"/>
                <w:szCs w:val="21"/>
              </w:rPr>
              <w:t>）</w:t>
            </w:r>
          </w:p>
        </w:tc>
        <w:tc>
          <w:tcPr>
            <w:tcW w:w="1414"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类比法</w:t>
            </w:r>
          </w:p>
        </w:tc>
        <w:tc>
          <w:tcPr>
            <w:tcW w:w="1229"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无此因子</w:t>
            </w:r>
          </w:p>
        </w:tc>
        <w:tc>
          <w:tcPr>
            <w:tcW w:w="1123"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94" w:type="dxa"/>
            <w:vMerge w:val="continue"/>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p>
        </w:tc>
        <w:tc>
          <w:tcPr>
            <w:tcW w:w="1277" w:type="dxa"/>
            <w:vMerge w:val="restart"/>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综合废水</w:t>
            </w:r>
          </w:p>
        </w:tc>
        <w:tc>
          <w:tcPr>
            <w:tcW w:w="3052" w:type="dxa"/>
            <w:vMerge w:val="restart"/>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废水量、锑（纺织染整</w:t>
            </w:r>
            <w:r>
              <w:rPr>
                <w:rFonts w:hint="eastAsia" w:ascii="Times New Roman" w:hAnsi="Times New Roman"/>
                <w:spacing w:val="0"/>
                <w:position w:val="0"/>
                <w:sz w:val="21"/>
                <w:szCs w:val="21"/>
                <w:vertAlign w:val="superscript"/>
              </w:rPr>
              <w:t>2</w:t>
            </w:r>
            <w:r>
              <w:rPr>
                <w:rFonts w:hint="eastAsia" w:ascii="Times New Roman" w:hAnsi="Times New Roman"/>
                <w:spacing w:val="0"/>
                <w:position w:val="0"/>
                <w:sz w:val="21"/>
                <w:szCs w:val="21"/>
              </w:rPr>
              <w:t>）</w:t>
            </w:r>
          </w:p>
        </w:tc>
        <w:tc>
          <w:tcPr>
            <w:tcW w:w="1414" w:type="dxa"/>
            <w:vMerge w:val="restart"/>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1.物料衡算法</w:t>
            </w:r>
          </w:p>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2.类比法</w:t>
            </w:r>
          </w:p>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3.产污系数法</w:t>
            </w:r>
          </w:p>
        </w:tc>
        <w:tc>
          <w:tcPr>
            <w:tcW w:w="1229" w:type="dxa"/>
            <w:tcBorders>
              <w:tl2br w:val="nil"/>
              <w:tr2bl w:val="nil"/>
            </w:tcBorders>
            <w:vAlign w:val="center"/>
          </w:tcPr>
          <w:p>
            <w:pPr>
              <w:pStyle w:val="10"/>
              <w:widowControl/>
              <w:adjustRightInd w:val="0"/>
              <w:snapToGrid w:val="0"/>
              <w:spacing w:line="240" w:lineRule="auto"/>
              <w:ind w:firstLine="0"/>
              <w:jc w:val="center"/>
              <w:rPr>
                <w:rFonts w:hint="eastAsia" w:ascii="Times New Roman" w:hAnsi="Times New Roman" w:eastAsia="宋体"/>
                <w:spacing w:val="0"/>
                <w:position w:val="0"/>
                <w:sz w:val="21"/>
                <w:szCs w:val="21"/>
                <w:lang w:eastAsia="zh-CN"/>
              </w:rPr>
            </w:pPr>
            <w:r>
              <w:rPr>
                <w:rFonts w:hint="eastAsia" w:ascii="Times New Roman" w:hAnsi="Times New Roman"/>
                <w:spacing w:val="0"/>
                <w:position w:val="0"/>
                <w:sz w:val="21"/>
                <w:szCs w:val="21"/>
              </w:rPr>
              <w:t>废水量</w:t>
            </w:r>
          </w:p>
        </w:tc>
        <w:tc>
          <w:tcPr>
            <w:tcW w:w="1123" w:type="dxa"/>
            <w:tcBorders>
              <w:tl2br w:val="nil"/>
              <w:tr2bl w:val="nil"/>
            </w:tcBorders>
            <w:vAlign w:val="center"/>
          </w:tcPr>
          <w:p>
            <w:pPr>
              <w:pStyle w:val="10"/>
              <w:widowControl/>
              <w:adjustRightInd w:val="0"/>
              <w:snapToGrid w:val="0"/>
              <w:spacing w:line="240" w:lineRule="auto"/>
              <w:ind w:firstLine="0"/>
              <w:jc w:val="center"/>
              <w:rPr>
                <w:rFonts w:hint="default" w:ascii="Times New Roman" w:hAnsi="Times New Roman"/>
                <w:spacing w:val="0"/>
                <w:position w:val="0"/>
                <w:sz w:val="21"/>
                <w:szCs w:val="21"/>
                <w:lang w:val="en-US"/>
              </w:rPr>
            </w:pPr>
            <w:r>
              <w:rPr>
                <w:rFonts w:hint="eastAsia" w:ascii="Times New Roman" w:hAnsi="Times New Roman"/>
                <w:spacing w:val="0"/>
                <w:position w:val="0"/>
                <w:sz w:val="21"/>
                <w:szCs w:val="21"/>
                <w:lang w:val="en-US" w:eastAsia="zh-CN"/>
              </w:rPr>
              <w:t>物料衡算法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594" w:type="dxa"/>
            <w:vMerge w:val="continue"/>
            <w:tcBorders>
              <w:tl2br w:val="nil"/>
              <w:tr2bl w:val="nil"/>
            </w:tcBorders>
            <w:vAlign w:val="center"/>
          </w:tcPr>
          <w:p>
            <w:pPr>
              <w:pStyle w:val="10"/>
              <w:widowControl/>
              <w:adjustRightInd w:val="0"/>
              <w:snapToGrid w:val="0"/>
              <w:spacing w:line="240" w:lineRule="auto"/>
              <w:ind w:firstLine="0"/>
              <w:jc w:val="center"/>
              <w:rPr>
                <w:spacing w:val="0"/>
                <w:position w:val="0"/>
              </w:rPr>
            </w:pPr>
          </w:p>
        </w:tc>
        <w:tc>
          <w:tcPr>
            <w:tcW w:w="1277" w:type="dxa"/>
            <w:vMerge w:val="continue"/>
            <w:tcBorders>
              <w:tl2br w:val="nil"/>
              <w:tr2bl w:val="nil"/>
            </w:tcBorders>
            <w:vAlign w:val="center"/>
          </w:tcPr>
          <w:p>
            <w:pPr>
              <w:pStyle w:val="10"/>
              <w:widowControl/>
              <w:adjustRightInd w:val="0"/>
              <w:snapToGrid w:val="0"/>
              <w:spacing w:line="240" w:lineRule="auto"/>
              <w:ind w:firstLine="0"/>
              <w:jc w:val="center"/>
              <w:rPr>
                <w:spacing w:val="0"/>
                <w:position w:val="0"/>
              </w:rPr>
            </w:pPr>
          </w:p>
        </w:tc>
        <w:tc>
          <w:tcPr>
            <w:tcW w:w="3052" w:type="dxa"/>
            <w:vMerge w:val="continue"/>
            <w:tcBorders>
              <w:tl2br w:val="nil"/>
              <w:tr2bl w:val="nil"/>
            </w:tcBorders>
            <w:vAlign w:val="center"/>
          </w:tcPr>
          <w:p>
            <w:pPr>
              <w:pStyle w:val="10"/>
              <w:widowControl/>
              <w:adjustRightInd w:val="0"/>
              <w:snapToGrid w:val="0"/>
              <w:spacing w:line="240" w:lineRule="auto"/>
              <w:ind w:firstLine="0"/>
              <w:jc w:val="center"/>
              <w:rPr>
                <w:spacing w:val="0"/>
                <w:position w:val="0"/>
              </w:rPr>
            </w:pPr>
          </w:p>
        </w:tc>
        <w:tc>
          <w:tcPr>
            <w:tcW w:w="1414" w:type="dxa"/>
            <w:vMerge w:val="continue"/>
            <w:tcBorders>
              <w:tl2br w:val="nil"/>
              <w:tr2bl w:val="nil"/>
            </w:tcBorders>
            <w:vAlign w:val="center"/>
          </w:tcPr>
          <w:p>
            <w:pPr>
              <w:pStyle w:val="10"/>
              <w:widowControl/>
              <w:adjustRightInd w:val="0"/>
              <w:snapToGrid w:val="0"/>
              <w:spacing w:line="240" w:lineRule="auto"/>
              <w:ind w:firstLine="0"/>
              <w:jc w:val="center"/>
              <w:rPr>
                <w:spacing w:val="0"/>
                <w:position w:val="0"/>
              </w:rPr>
            </w:pPr>
          </w:p>
        </w:tc>
        <w:tc>
          <w:tcPr>
            <w:tcW w:w="1229" w:type="dxa"/>
            <w:tcBorders>
              <w:tl2br w:val="nil"/>
              <w:tr2bl w:val="nil"/>
            </w:tcBorders>
            <w:vAlign w:val="center"/>
          </w:tcPr>
          <w:p>
            <w:pPr>
              <w:pStyle w:val="10"/>
              <w:widowControl/>
              <w:adjustRightInd w:val="0"/>
              <w:snapToGrid w:val="0"/>
              <w:spacing w:line="240" w:lineRule="auto"/>
              <w:ind w:firstLine="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lang w:eastAsia="zh-CN"/>
              </w:rPr>
              <w:t>锑</w:t>
            </w:r>
          </w:p>
        </w:tc>
        <w:tc>
          <w:tcPr>
            <w:tcW w:w="1123" w:type="dxa"/>
            <w:tcBorders>
              <w:tl2br w:val="nil"/>
              <w:tr2bl w:val="nil"/>
            </w:tcBorders>
            <w:vAlign w:val="center"/>
          </w:tcPr>
          <w:p>
            <w:pPr>
              <w:pStyle w:val="10"/>
              <w:widowControl/>
              <w:adjustRightInd w:val="0"/>
              <w:snapToGrid w:val="0"/>
              <w:spacing w:line="240" w:lineRule="auto"/>
              <w:ind w:firstLine="0"/>
              <w:jc w:val="center"/>
              <w:rPr>
                <w:rFonts w:hint="eastAsia" w:ascii="Times New Roman" w:hAnsi="Times New Roman" w:eastAsia="宋体"/>
                <w:spacing w:val="0"/>
                <w:position w:val="0"/>
                <w:sz w:val="21"/>
                <w:szCs w:val="21"/>
                <w:lang w:val="en-US" w:eastAsia="zh-CN"/>
              </w:rPr>
            </w:pPr>
            <w:r>
              <w:rPr>
                <w:rFonts w:hint="eastAsia" w:ascii="Times New Roman" w:hAnsi="Times New Roman"/>
                <w:spacing w:val="0"/>
                <w:position w:val="0"/>
                <w:sz w:val="21"/>
                <w:szCs w:val="21"/>
                <w:lang w:val="en-US" w:eastAsia="zh-CN"/>
              </w:rPr>
              <w:t>类比法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594" w:type="dxa"/>
            <w:vMerge w:val="continue"/>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p>
        </w:tc>
        <w:tc>
          <w:tcPr>
            <w:tcW w:w="1277" w:type="dxa"/>
            <w:vMerge w:val="continue"/>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p>
        </w:tc>
        <w:tc>
          <w:tcPr>
            <w:tcW w:w="3052" w:type="dxa"/>
            <w:vMerge w:val="restart"/>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废水量、COD、BOD</w:t>
            </w:r>
            <w:r>
              <w:rPr>
                <w:rFonts w:hint="eastAsia" w:ascii="Times New Roman" w:hAnsi="Times New Roman"/>
                <w:spacing w:val="0"/>
                <w:position w:val="0"/>
                <w:sz w:val="21"/>
                <w:szCs w:val="21"/>
                <w:vertAlign w:val="subscript"/>
              </w:rPr>
              <w:t>5</w:t>
            </w:r>
            <w:r>
              <w:rPr>
                <w:rFonts w:hint="eastAsia" w:ascii="Times New Roman" w:hAnsi="Times New Roman"/>
                <w:spacing w:val="0"/>
                <w:position w:val="0"/>
                <w:sz w:val="21"/>
                <w:szCs w:val="21"/>
              </w:rPr>
              <w:t>、SS、氨氮、总氮、总磷、二氧化氯（纺织染整</w:t>
            </w:r>
            <w:r>
              <w:rPr>
                <w:rFonts w:hint="eastAsia" w:ascii="Times New Roman" w:hAnsi="Times New Roman"/>
                <w:spacing w:val="0"/>
                <w:position w:val="0"/>
                <w:sz w:val="21"/>
                <w:szCs w:val="21"/>
                <w:vertAlign w:val="superscript"/>
              </w:rPr>
              <w:t>3</w:t>
            </w:r>
            <w:r>
              <w:rPr>
                <w:rFonts w:hint="eastAsia" w:ascii="Times New Roman" w:hAnsi="Times New Roman"/>
                <w:spacing w:val="0"/>
                <w:position w:val="0"/>
                <w:sz w:val="21"/>
                <w:szCs w:val="21"/>
              </w:rPr>
              <w:t>）、可吸附有机卤素</w:t>
            </w:r>
            <w:r>
              <w:rPr>
                <w:rFonts w:hint="eastAsia" w:ascii="Times New Roman" w:hAnsi="Times New Roman"/>
                <w:spacing w:val="0"/>
                <w:position w:val="0"/>
                <w:sz w:val="21"/>
                <w:szCs w:val="21"/>
                <w:lang w:eastAsia="zh-CN"/>
              </w:rPr>
              <w:t>（</w:t>
            </w:r>
            <w:r>
              <w:rPr>
                <w:rFonts w:hint="eastAsia" w:ascii="Times New Roman" w:hAnsi="Times New Roman"/>
                <w:spacing w:val="0"/>
                <w:position w:val="0"/>
                <w:sz w:val="21"/>
                <w:szCs w:val="21"/>
                <w:lang w:val="en-US" w:eastAsia="zh-CN"/>
              </w:rPr>
              <w:t>AOX</w:t>
            </w:r>
            <w:r>
              <w:rPr>
                <w:rFonts w:hint="eastAsia" w:ascii="Times New Roman" w:hAnsi="Times New Roman"/>
                <w:spacing w:val="0"/>
                <w:position w:val="0"/>
                <w:sz w:val="21"/>
                <w:szCs w:val="21"/>
                <w:lang w:eastAsia="zh-CN"/>
              </w:rPr>
              <w:t>）</w:t>
            </w:r>
            <w:r>
              <w:rPr>
                <w:rFonts w:hint="eastAsia" w:ascii="Times New Roman" w:hAnsi="Times New Roman"/>
                <w:spacing w:val="0"/>
                <w:position w:val="0"/>
                <w:sz w:val="21"/>
                <w:szCs w:val="21"/>
              </w:rPr>
              <w:t>（纺织染整</w:t>
            </w:r>
            <w:r>
              <w:rPr>
                <w:rFonts w:hint="eastAsia" w:ascii="Times New Roman" w:hAnsi="Times New Roman"/>
                <w:spacing w:val="0"/>
                <w:position w:val="0"/>
                <w:sz w:val="21"/>
                <w:szCs w:val="21"/>
                <w:vertAlign w:val="superscript"/>
              </w:rPr>
              <w:t>4</w:t>
            </w:r>
            <w:r>
              <w:rPr>
                <w:rFonts w:hint="eastAsia" w:ascii="Times New Roman" w:hAnsi="Times New Roman"/>
                <w:spacing w:val="0"/>
                <w:position w:val="0"/>
                <w:sz w:val="21"/>
                <w:szCs w:val="21"/>
              </w:rPr>
              <w:t>、麻纺）、硫化物（纺织染整）、苯胺类（纺织染整）、动植物油（毛纺、缫丝）</w:t>
            </w:r>
          </w:p>
        </w:tc>
        <w:tc>
          <w:tcPr>
            <w:tcW w:w="1414" w:type="dxa"/>
            <w:vMerge w:val="restart"/>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1.类比法</w:t>
            </w:r>
          </w:p>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2.产污系数法</w:t>
            </w:r>
          </w:p>
        </w:tc>
        <w:tc>
          <w:tcPr>
            <w:tcW w:w="1229"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废水量</w:t>
            </w:r>
          </w:p>
        </w:tc>
        <w:tc>
          <w:tcPr>
            <w:tcW w:w="1123" w:type="dxa"/>
            <w:tcBorders>
              <w:tl2br w:val="nil"/>
              <w:tr2bl w:val="nil"/>
            </w:tcBorders>
            <w:vAlign w:val="center"/>
          </w:tcPr>
          <w:p>
            <w:pPr>
              <w:pStyle w:val="10"/>
              <w:widowControl/>
              <w:adjustRightInd w:val="0"/>
              <w:snapToGrid w:val="0"/>
              <w:spacing w:line="240" w:lineRule="auto"/>
              <w:ind w:firstLine="0"/>
              <w:jc w:val="center"/>
              <w:rPr>
                <w:rFonts w:hint="default" w:ascii="Times New Roman" w:hAnsi="Times New Roman" w:eastAsia="宋体"/>
                <w:spacing w:val="0"/>
                <w:position w:val="0"/>
                <w:sz w:val="21"/>
                <w:szCs w:val="21"/>
                <w:lang w:val="en-US" w:eastAsia="zh-CN"/>
              </w:rPr>
            </w:pPr>
            <w:r>
              <w:rPr>
                <w:rFonts w:hint="eastAsia" w:ascii="Times New Roman" w:hAnsi="Times New Roman"/>
                <w:spacing w:val="0"/>
                <w:position w:val="0"/>
                <w:sz w:val="21"/>
                <w:szCs w:val="21"/>
                <w:lang w:val="en-US" w:eastAsia="zh-CN"/>
              </w:rPr>
              <w:t>物料衡算法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94" w:type="dxa"/>
            <w:vMerge w:val="continue"/>
            <w:tcBorders>
              <w:tl2br w:val="nil"/>
              <w:tr2bl w:val="nil"/>
            </w:tcBorders>
            <w:vAlign w:val="center"/>
          </w:tcPr>
          <w:p>
            <w:pPr>
              <w:pStyle w:val="10"/>
              <w:widowControl/>
              <w:adjustRightInd w:val="0"/>
              <w:snapToGrid w:val="0"/>
              <w:spacing w:line="240" w:lineRule="auto"/>
              <w:ind w:firstLine="0"/>
              <w:jc w:val="center"/>
            </w:pPr>
          </w:p>
        </w:tc>
        <w:tc>
          <w:tcPr>
            <w:tcW w:w="1277" w:type="dxa"/>
            <w:vMerge w:val="continue"/>
            <w:tcBorders>
              <w:tl2br w:val="nil"/>
              <w:tr2bl w:val="nil"/>
            </w:tcBorders>
            <w:vAlign w:val="center"/>
          </w:tcPr>
          <w:p>
            <w:pPr>
              <w:pStyle w:val="10"/>
              <w:widowControl/>
              <w:adjustRightInd w:val="0"/>
              <w:snapToGrid w:val="0"/>
              <w:spacing w:line="240" w:lineRule="auto"/>
              <w:ind w:firstLine="0"/>
              <w:jc w:val="center"/>
            </w:pPr>
          </w:p>
        </w:tc>
        <w:tc>
          <w:tcPr>
            <w:tcW w:w="3052" w:type="dxa"/>
            <w:vMerge w:val="continue"/>
            <w:tcBorders>
              <w:tl2br w:val="nil"/>
              <w:tr2bl w:val="nil"/>
            </w:tcBorders>
            <w:vAlign w:val="center"/>
          </w:tcPr>
          <w:p>
            <w:pPr>
              <w:pStyle w:val="10"/>
              <w:widowControl/>
              <w:adjustRightInd w:val="0"/>
              <w:snapToGrid w:val="0"/>
              <w:spacing w:line="240" w:lineRule="auto"/>
              <w:ind w:firstLine="0"/>
              <w:jc w:val="center"/>
            </w:pPr>
          </w:p>
        </w:tc>
        <w:tc>
          <w:tcPr>
            <w:tcW w:w="1414" w:type="dxa"/>
            <w:vMerge w:val="continue"/>
            <w:tcBorders>
              <w:tl2br w:val="nil"/>
              <w:tr2bl w:val="nil"/>
            </w:tcBorders>
            <w:vAlign w:val="center"/>
          </w:tcPr>
          <w:p>
            <w:pPr>
              <w:pStyle w:val="10"/>
              <w:widowControl/>
              <w:adjustRightInd w:val="0"/>
              <w:snapToGrid w:val="0"/>
              <w:spacing w:line="240" w:lineRule="auto"/>
              <w:ind w:firstLine="0"/>
              <w:jc w:val="center"/>
            </w:pPr>
          </w:p>
        </w:tc>
        <w:tc>
          <w:tcPr>
            <w:tcW w:w="1229" w:type="dxa"/>
            <w:tcBorders>
              <w:tl2br w:val="nil"/>
              <w:tr2bl w:val="nil"/>
            </w:tcBorders>
            <w:vAlign w:val="center"/>
          </w:tcPr>
          <w:p>
            <w:pPr>
              <w:pStyle w:val="10"/>
              <w:widowControl/>
              <w:adjustRightInd w:val="0"/>
              <w:snapToGrid w:val="0"/>
              <w:spacing w:line="240" w:lineRule="auto"/>
              <w:ind w:firstLine="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rPr>
              <w:t>COD、BOD</w:t>
            </w:r>
            <w:r>
              <w:rPr>
                <w:rFonts w:hint="eastAsia" w:ascii="Times New Roman" w:hAnsi="Times New Roman"/>
                <w:spacing w:val="0"/>
                <w:position w:val="0"/>
                <w:sz w:val="21"/>
                <w:szCs w:val="21"/>
                <w:vertAlign w:val="subscript"/>
              </w:rPr>
              <w:t>5</w:t>
            </w:r>
            <w:r>
              <w:rPr>
                <w:rFonts w:hint="eastAsia" w:ascii="Times New Roman" w:hAnsi="Times New Roman"/>
                <w:spacing w:val="0"/>
                <w:position w:val="0"/>
                <w:sz w:val="21"/>
                <w:szCs w:val="21"/>
              </w:rPr>
              <w:t>、SS、氨氮、总氮、总磷、硫化物</w:t>
            </w:r>
          </w:p>
        </w:tc>
        <w:tc>
          <w:tcPr>
            <w:tcW w:w="1123" w:type="dxa"/>
            <w:tcBorders>
              <w:tl2br w:val="nil"/>
              <w:tr2bl w:val="nil"/>
            </w:tcBorders>
            <w:vAlign w:val="center"/>
          </w:tcPr>
          <w:p>
            <w:pPr>
              <w:pStyle w:val="10"/>
              <w:widowControl/>
              <w:adjustRightInd w:val="0"/>
              <w:snapToGrid w:val="0"/>
              <w:spacing w:line="240" w:lineRule="auto"/>
              <w:ind w:firstLine="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rPr>
              <w:t>类比法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89" w:type="dxa"/>
            <w:gridSpan w:val="6"/>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1 使用含铬染化料的染色车间、使用含铬助剂制网车间废水应核算六价铬；</w:t>
            </w:r>
          </w:p>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2 以涤纶为主要原料的纺织印染企业废水应核算锑；</w:t>
            </w:r>
          </w:p>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3 生产工艺或废水处理含氯漂工艺的纺织印染企业废水应核算二氧化氯和AOX；</w:t>
            </w:r>
          </w:p>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4 涉及相关污染物的排放源需核算对应的排放量。</w:t>
            </w:r>
          </w:p>
        </w:tc>
      </w:tr>
    </w:tbl>
    <w:p>
      <w:pPr>
        <w:adjustRightInd w:val="0"/>
        <w:snapToGrid w:val="0"/>
        <w:spacing w:line="360" w:lineRule="auto"/>
        <w:ind w:firstLine="482" w:firstLineChars="200"/>
        <w:rPr>
          <w:rFonts w:hint="eastAsia" w:eastAsia="宋体"/>
          <w:b/>
          <w:bCs/>
          <w:spacing w:val="0"/>
          <w:position w:val="0"/>
          <w:sz w:val="24"/>
          <w:szCs w:val="24"/>
          <w:lang w:eastAsia="zh-CN"/>
        </w:rPr>
      </w:pPr>
      <w:r>
        <w:rPr>
          <w:rFonts w:hint="eastAsia"/>
          <w:b/>
          <w:bCs/>
          <w:spacing w:val="0"/>
          <w:position w:val="0"/>
          <w:sz w:val="24"/>
          <w:szCs w:val="24"/>
          <w:lang w:eastAsia="zh-CN"/>
        </w:rPr>
        <w:t>主要因子选取及分析如下：</w:t>
      </w:r>
    </w:p>
    <w:p>
      <w:pPr>
        <w:adjustRightInd w:val="0"/>
        <w:snapToGrid w:val="0"/>
        <w:spacing w:line="360" w:lineRule="auto"/>
        <w:ind w:firstLine="482" w:firstLineChars="200"/>
        <w:rPr>
          <w:rFonts w:hint="eastAsia" w:eastAsia="宋体"/>
          <w:b/>
          <w:bCs/>
          <w:spacing w:val="0"/>
          <w:position w:val="0"/>
          <w:sz w:val="24"/>
          <w:szCs w:val="24"/>
          <w:lang w:eastAsia="zh-CN"/>
        </w:rPr>
      </w:pPr>
      <w:r>
        <w:rPr>
          <w:rFonts w:hint="eastAsia"/>
          <w:b/>
          <w:bCs/>
          <w:spacing w:val="0"/>
          <w:position w:val="0"/>
          <w:sz w:val="24"/>
          <w:szCs w:val="24"/>
          <w:lang w:eastAsia="zh-CN"/>
        </w:rPr>
        <w:t>六价铬：</w:t>
      </w:r>
      <w:r>
        <w:rPr>
          <w:rFonts w:hint="eastAsia"/>
          <w:b w:val="0"/>
          <w:bCs w:val="0"/>
          <w:spacing w:val="0"/>
          <w:position w:val="0"/>
          <w:sz w:val="24"/>
          <w:szCs w:val="24"/>
        </w:rPr>
        <w:t>本项目工序及原辅料均不使用含铬染料、助剂，故源强分析不考虑六价铬因子。但是将六价铬作为监督性监测因子纳入自行监测和验收监测。</w:t>
      </w:r>
    </w:p>
    <w:p>
      <w:pPr>
        <w:adjustRightInd w:val="0"/>
        <w:snapToGrid w:val="0"/>
        <w:spacing w:line="360" w:lineRule="auto"/>
        <w:ind w:firstLine="482" w:firstLineChars="200"/>
        <w:rPr>
          <w:rFonts w:hint="default" w:eastAsia="宋体"/>
          <w:b w:val="0"/>
          <w:bCs w:val="0"/>
          <w:spacing w:val="0"/>
          <w:position w:val="0"/>
          <w:sz w:val="24"/>
          <w:szCs w:val="24"/>
          <w:lang w:val="en-US" w:eastAsia="zh-CN"/>
        </w:rPr>
      </w:pPr>
      <w:r>
        <w:rPr>
          <w:rFonts w:hint="eastAsia"/>
          <w:b/>
          <w:bCs/>
          <w:spacing w:val="0"/>
          <w:position w:val="0"/>
          <w:sz w:val="24"/>
          <w:szCs w:val="24"/>
          <w:lang w:eastAsia="zh-CN"/>
        </w:rPr>
        <w:t>二氧化氯和</w:t>
      </w:r>
      <w:r>
        <w:rPr>
          <w:rFonts w:hint="eastAsia"/>
          <w:b/>
          <w:bCs/>
          <w:spacing w:val="0"/>
          <w:position w:val="0"/>
          <w:sz w:val="24"/>
          <w:szCs w:val="24"/>
          <w:lang w:val="en-US" w:eastAsia="zh-CN"/>
        </w:rPr>
        <w:t>AOX：</w:t>
      </w:r>
      <w:r>
        <w:rPr>
          <w:rFonts w:hint="eastAsia"/>
          <w:b w:val="0"/>
          <w:bCs w:val="0"/>
          <w:spacing w:val="0"/>
          <w:position w:val="0"/>
          <w:sz w:val="24"/>
          <w:szCs w:val="24"/>
          <w:lang w:val="en-US" w:eastAsia="zh-CN"/>
        </w:rPr>
        <w:t>二氧化氯和AOX主要来自</w:t>
      </w:r>
      <w:r>
        <w:rPr>
          <w:rFonts w:hint="eastAsia"/>
          <w:spacing w:val="0"/>
          <w:position w:val="0"/>
          <w:sz w:val="24"/>
          <w:szCs w:val="24"/>
        </w:rPr>
        <w:t>纺织染整工序中漂白</w:t>
      </w:r>
      <w:r>
        <w:rPr>
          <w:rFonts w:hint="eastAsia"/>
          <w:spacing w:val="0"/>
          <w:position w:val="0"/>
          <w:sz w:val="24"/>
          <w:szCs w:val="24"/>
          <w:lang w:eastAsia="zh-CN"/>
        </w:rPr>
        <w:t>环节，如</w:t>
      </w:r>
      <w:r>
        <w:rPr>
          <w:rFonts w:hint="eastAsia"/>
          <w:spacing w:val="0"/>
          <w:position w:val="0"/>
          <w:sz w:val="24"/>
          <w:szCs w:val="24"/>
        </w:rPr>
        <w:t>采用</w:t>
      </w:r>
      <w:r>
        <w:rPr>
          <w:rFonts w:hint="eastAsia"/>
          <w:spacing w:val="0"/>
          <w:position w:val="0"/>
          <w:sz w:val="24"/>
          <w:szCs w:val="24"/>
          <w:lang w:eastAsia="zh-CN"/>
        </w:rPr>
        <w:t>亚漂、</w:t>
      </w:r>
      <w:r>
        <w:rPr>
          <w:rFonts w:hint="eastAsia"/>
          <w:spacing w:val="0"/>
          <w:position w:val="0"/>
          <w:sz w:val="24"/>
          <w:szCs w:val="24"/>
        </w:rPr>
        <w:t>氯漂工艺</w:t>
      </w:r>
      <w:r>
        <w:rPr>
          <w:rFonts w:hint="eastAsia"/>
          <w:spacing w:val="0"/>
          <w:position w:val="0"/>
          <w:sz w:val="24"/>
          <w:szCs w:val="24"/>
          <w:lang w:eastAsia="zh-CN"/>
        </w:rPr>
        <w:t>，则可能造成水中二氧化氯和</w:t>
      </w:r>
      <w:r>
        <w:rPr>
          <w:rFonts w:hint="eastAsia"/>
          <w:spacing w:val="0"/>
          <w:position w:val="0"/>
          <w:sz w:val="24"/>
          <w:szCs w:val="24"/>
          <w:lang w:val="en-US" w:eastAsia="zh-CN"/>
        </w:rPr>
        <w:t>AOX超标，二氧化氯指</w:t>
      </w:r>
      <w:r>
        <w:rPr>
          <w:rFonts w:hint="eastAsia"/>
          <w:spacing w:val="0"/>
          <w:position w:val="0"/>
          <w:sz w:val="24"/>
          <w:szCs w:val="24"/>
        </w:rPr>
        <w:t>标适用于使用亚漂、二氧化氯工艺的排污单元，</w:t>
      </w:r>
      <w:r>
        <w:rPr>
          <w:rFonts w:hint="eastAsia"/>
          <w:spacing w:val="0"/>
          <w:position w:val="0"/>
          <w:sz w:val="24"/>
          <w:szCs w:val="24"/>
          <w:lang w:val="en-US" w:eastAsia="zh-CN"/>
        </w:rPr>
        <w:t>AOX</w:t>
      </w:r>
      <w:r>
        <w:rPr>
          <w:rFonts w:hint="eastAsia"/>
          <w:spacing w:val="0"/>
          <w:position w:val="0"/>
          <w:sz w:val="24"/>
          <w:szCs w:val="24"/>
        </w:rPr>
        <w:t>适用于使用氯漂、次氯酸氧化工艺的排污单元</w:t>
      </w:r>
      <w:r>
        <w:rPr>
          <w:rFonts w:hint="eastAsia"/>
          <w:spacing w:val="0"/>
          <w:position w:val="0"/>
          <w:sz w:val="24"/>
          <w:szCs w:val="24"/>
          <w:lang w:eastAsia="zh-CN"/>
        </w:rPr>
        <w:t>。</w:t>
      </w:r>
      <w:r>
        <w:rPr>
          <w:rFonts w:hint="eastAsia"/>
          <w:spacing w:val="0"/>
          <w:position w:val="0"/>
          <w:sz w:val="24"/>
          <w:szCs w:val="24"/>
        </w:rPr>
        <w:t>本项目不涉及</w:t>
      </w:r>
      <w:r>
        <w:rPr>
          <w:rFonts w:hint="eastAsia"/>
          <w:spacing w:val="0"/>
          <w:position w:val="0"/>
          <w:sz w:val="24"/>
          <w:szCs w:val="24"/>
          <w:lang w:eastAsia="zh-CN"/>
        </w:rPr>
        <w:t>漂白</w:t>
      </w:r>
      <w:r>
        <w:rPr>
          <w:rFonts w:hint="eastAsia"/>
          <w:spacing w:val="0"/>
          <w:position w:val="0"/>
          <w:sz w:val="24"/>
          <w:szCs w:val="24"/>
        </w:rPr>
        <w:t>，故源强分析不考虑二氧化氯和AOX。</w:t>
      </w:r>
    </w:p>
    <w:p>
      <w:pPr>
        <w:widowControl w:val="0"/>
        <w:adjustRightInd w:val="0"/>
        <w:snapToGrid w:val="0"/>
        <w:spacing w:line="360" w:lineRule="auto"/>
        <w:ind w:firstLine="482" w:firstLineChars="200"/>
        <w:rPr>
          <w:rFonts w:hint="eastAsia" w:eastAsia="宋体"/>
          <w:spacing w:val="0"/>
          <w:position w:val="0"/>
          <w:sz w:val="24"/>
          <w:szCs w:val="24"/>
          <w:lang w:eastAsia="zh-CN"/>
        </w:rPr>
      </w:pPr>
      <w:r>
        <w:rPr>
          <w:rFonts w:hint="eastAsia"/>
          <w:b/>
          <w:bCs/>
          <w:spacing w:val="0"/>
          <w:position w:val="0"/>
          <w:sz w:val="24"/>
          <w:szCs w:val="24"/>
          <w:lang w:eastAsia="zh-CN"/>
        </w:rPr>
        <w:t>苯胺：</w:t>
      </w:r>
      <w:r>
        <w:rPr>
          <w:rFonts w:hint="eastAsia"/>
          <w:b w:val="0"/>
          <w:bCs w:val="0"/>
          <w:spacing w:val="0"/>
          <w:position w:val="0"/>
          <w:sz w:val="24"/>
          <w:szCs w:val="24"/>
        </w:rPr>
        <w:t>苯胺主要来源于联苯胺型偶氮染料，偶氮染料偶氮基两端连接烃基的一类有机化合物，是合成染料中品种最多的一类；偶氮基两端连接烃基为苯基，并且苯环和氨基、亚氨基、次氨基直接相连，则属于苯胺型。而本项目采用染料偶氮基团上没有苯胺基，不属于联苯胺型偶氮染料，同时参考</w:t>
      </w:r>
      <w:r>
        <w:rPr>
          <w:rFonts w:hint="eastAsia"/>
          <w:b w:val="0"/>
          <w:bCs w:val="0"/>
          <w:spacing w:val="0"/>
          <w:position w:val="0"/>
          <w:sz w:val="24"/>
          <w:szCs w:val="24"/>
          <w:lang w:eastAsia="zh-CN"/>
        </w:rPr>
        <w:t>周边</w:t>
      </w:r>
      <w:r>
        <w:rPr>
          <w:rFonts w:hint="eastAsia"/>
          <w:b w:val="0"/>
          <w:bCs w:val="0"/>
          <w:spacing w:val="0"/>
          <w:position w:val="0"/>
          <w:sz w:val="24"/>
          <w:szCs w:val="24"/>
        </w:rPr>
        <w:t>同类染整企业污水排放情况，苯胺类均为未检出，故源强分析不考虑苯胺。但是将苯胺作为监督性监测因子纳入自行监测和验收监测。</w:t>
      </w:r>
    </w:p>
    <w:p>
      <w:pPr>
        <w:adjustRightInd w:val="0"/>
        <w:snapToGrid w:val="0"/>
        <w:spacing w:line="360" w:lineRule="auto"/>
        <w:ind w:firstLine="482" w:firstLineChars="200"/>
        <w:rPr>
          <w:rFonts w:hint="eastAsia"/>
          <w:b w:val="0"/>
          <w:bCs w:val="0"/>
          <w:spacing w:val="0"/>
          <w:position w:val="0"/>
          <w:sz w:val="24"/>
          <w:szCs w:val="24"/>
        </w:rPr>
      </w:pPr>
      <w:r>
        <w:rPr>
          <w:rFonts w:hint="eastAsia"/>
          <w:b/>
          <w:bCs/>
          <w:spacing w:val="0"/>
          <w:position w:val="0"/>
          <w:sz w:val="24"/>
          <w:szCs w:val="24"/>
          <w:lang w:eastAsia="zh-CN"/>
        </w:rPr>
        <w:t>动植物油：</w:t>
      </w:r>
      <w:r>
        <w:rPr>
          <w:rFonts w:hint="eastAsia"/>
          <w:b w:val="0"/>
          <w:bCs w:val="0"/>
          <w:spacing w:val="0"/>
          <w:position w:val="0"/>
          <w:sz w:val="24"/>
          <w:szCs w:val="24"/>
        </w:rPr>
        <w:t>本项目不属于毛纺和缫丝项目，因此核算因子不考虑动植物油因子。</w:t>
      </w:r>
    </w:p>
    <w:p>
      <w:pPr>
        <w:adjustRightInd w:val="0"/>
        <w:snapToGrid w:val="0"/>
        <w:spacing w:line="360" w:lineRule="auto"/>
        <w:ind w:firstLine="482" w:firstLineChars="200"/>
        <w:rPr>
          <w:rFonts w:hint="eastAsia"/>
          <w:b w:val="0"/>
          <w:bCs w:val="0"/>
          <w:spacing w:val="0"/>
          <w:position w:val="0"/>
          <w:sz w:val="24"/>
          <w:szCs w:val="24"/>
        </w:rPr>
      </w:pPr>
      <w:r>
        <w:rPr>
          <w:rFonts w:hint="eastAsia"/>
          <w:b/>
          <w:bCs/>
          <w:spacing w:val="0"/>
          <w:position w:val="0"/>
          <w:sz w:val="24"/>
          <w:szCs w:val="24"/>
        </w:rPr>
        <w:t>硫化物：</w:t>
      </w:r>
      <w:r>
        <w:rPr>
          <w:rFonts w:hint="eastAsia"/>
          <w:spacing w:val="0"/>
          <w:position w:val="0"/>
          <w:sz w:val="24"/>
          <w:szCs w:val="24"/>
        </w:rPr>
        <w:t>硫化物主要来源于硫化染料，硫化物染料属于淘汰染料，已经禁止使用，因此不会因硫化染料使用带来高硫化物浓度废水。类比同行业排污情况，高浓度废水中硫化物源强取值1.0mg/L，低浓度废水中硫化物源强取值0.5mg/L。</w:t>
      </w:r>
    </w:p>
    <w:p>
      <w:pPr>
        <w:adjustRightInd w:val="0"/>
        <w:snapToGrid w:val="0"/>
        <w:spacing w:line="360" w:lineRule="auto"/>
        <w:ind w:firstLine="482" w:firstLineChars="200"/>
        <w:rPr>
          <w:rFonts w:hint="eastAsia"/>
          <w:b w:val="0"/>
          <w:bCs w:val="0"/>
          <w:spacing w:val="0"/>
          <w:position w:val="0"/>
          <w:sz w:val="24"/>
          <w:szCs w:val="24"/>
        </w:rPr>
      </w:pPr>
      <w:r>
        <w:rPr>
          <w:rFonts w:hint="eastAsia"/>
          <w:b/>
          <w:bCs/>
          <w:spacing w:val="0"/>
          <w:position w:val="0"/>
          <w:sz w:val="24"/>
          <w:szCs w:val="24"/>
        </w:rPr>
        <w:t>氨氮和总氮：</w:t>
      </w:r>
      <w:r>
        <w:rPr>
          <w:rFonts w:hint="eastAsia"/>
          <w:spacing w:val="0"/>
          <w:position w:val="0"/>
          <w:sz w:val="24"/>
          <w:szCs w:val="24"/>
        </w:rPr>
        <w:t>根据《纺织染整工业水污染物排放标准编制说明》，染整废水中氨氮和总氮主要来源于染料和原料，例如偶氮染料，一般染整废水中氨氮和总氮浓度并不高，在10mg/L 以下，只有蜡染工艺需要用尿素，氨氮和总氮浓度才相对较高，可达300mg/L，本项目不含蜡染工艺，因此本项目染整废水中氨氮和总氮源强浓度类比同行业企业及参考编制说明，氨氮、总氮取8-15mg/l。</w:t>
      </w:r>
    </w:p>
    <w:p>
      <w:pPr>
        <w:adjustRightInd w:val="0"/>
        <w:snapToGrid w:val="0"/>
        <w:spacing w:line="360" w:lineRule="auto"/>
        <w:ind w:firstLine="482" w:firstLineChars="200"/>
        <w:rPr>
          <w:rFonts w:hint="eastAsia" w:eastAsia="宋体"/>
          <w:b w:val="0"/>
          <w:bCs w:val="0"/>
          <w:spacing w:val="0"/>
          <w:position w:val="0"/>
          <w:sz w:val="24"/>
          <w:szCs w:val="24"/>
          <w:lang w:eastAsia="zh-CN"/>
        </w:rPr>
      </w:pPr>
      <w:r>
        <w:rPr>
          <w:rFonts w:hint="eastAsia"/>
          <w:b/>
          <w:bCs/>
          <w:spacing w:val="0"/>
          <w:position w:val="0"/>
          <w:sz w:val="24"/>
          <w:szCs w:val="24"/>
          <w:lang w:eastAsia="zh-CN"/>
        </w:rPr>
        <w:t>总锑：</w:t>
      </w:r>
      <w:r>
        <w:rPr>
          <w:rFonts w:hint="eastAsia"/>
          <w:b w:val="0"/>
          <w:bCs w:val="0"/>
          <w:spacing w:val="0"/>
          <w:position w:val="0"/>
          <w:sz w:val="24"/>
          <w:szCs w:val="24"/>
        </w:rPr>
        <w:t>纺织染整工业在化纤丝聚合过程中以乙二醇锑或三氧化二锑作为催化剂，催化剂成分进入纤维中，在涤纶染整碱减量工序中可能析出进入废水。根据《污染源源强核算技术指南纺织印染工业》表1注释d∶以涤纶为主要原料的纺</w:t>
      </w:r>
      <w:r>
        <w:rPr>
          <w:rFonts w:hint="eastAsia"/>
          <w:spacing w:val="0"/>
          <w:position w:val="0"/>
          <w:sz w:val="24"/>
          <w:szCs w:val="24"/>
        </w:rPr>
        <w:t>织印染企业废水应核算锑；根据《排污许可证申请与核发技术规范纺织印染工业》表3注释g∶总锑仅适用于含涤纶化纤碱减量工艺的排污单位。本项目</w:t>
      </w:r>
      <w:r>
        <w:rPr>
          <w:rFonts w:hint="eastAsia"/>
          <w:spacing w:val="0"/>
          <w:position w:val="0"/>
          <w:sz w:val="24"/>
          <w:szCs w:val="24"/>
          <w:lang w:val="en-US" w:eastAsia="zh-CN"/>
        </w:rPr>
        <w:t>以</w:t>
      </w:r>
      <w:r>
        <w:rPr>
          <w:rFonts w:hint="eastAsia"/>
          <w:spacing w:val="0"/>
          <w:position w:val="0"/>
          <w:sz w:val="24"/>
          <w:szCs w:val="24"/>
        </w:rPr>
        <w:t>锦纶、涤纶</w:t>
      </w:r>
      <w:r>
        <w:rPr>
          <w:rFonts w:hint="eastAsia"/>
          <w:spacing w:val="0"/>
          <w:position w:val="0"/>
          <w:sz w:val="24"/>
          <w:szCs w:val="24"/>
          <w:lang w:eastAsia="zh-CN"/>
        </w:rPr>
        <w:t>、氨纶</w:t>
      </w:r>
      <w:r>
        <w:rPr>
          <w:rFonts w:hint="eastAsia"/>
          <w:spacing w:val="0"/>
          <w:position w:val="0"/>
          <w:sz w:val="24"/>
          <w:szCs w:val="24"/>
          <w:lang w:val="en-US" w:eastAsia="zh-CN"/>
        </w:rPr>
        <w:t>为主要原料</w:t>
      </w:r>
      <w:r>
        <w:rPr>
          <w:rFonts w:hint="eastAsia"/>
          <w:spacing w:val="0"/>
          <w:position w:val="0"/>
          <w:sz w:val="24"/>
          <w:szCs w:val="24"/>
        </w:rPr>
        <w:t>，但无碱减量工艺，类比同行业企业，源强分析考虑总锑，取0.1-0.15mg/L。</w:t>
      </w:r>
    </w:p>
    <w:p>
      <w:pPr>
        <w:adjustRightInd w:val="0"/>
        <w:snapToGrid w:val="0"/>
        <w:spacing w:line="360" w:lineRule="auto"/>
        <w:ind w:firstLine="480" w:firstLineChars="200"/>
        <w:rPr>
          <w:rFonts w:hint="eastAsia"/>
          <w:spacing w:val="0"/>
          <w:position w:val="0"/>
          <w:sz w:val="24"/>
          <w:szCs w:val="24"/>
        </w:rPr>
      </w:pPr>
      <w:r>
        <w:rPr>
          <w:rFonts w:hint="eastAsia"/>
          <w:b w:val="0"/>
          <w:bCs w:val="0"/>
          <w:spacing w:val="0"/>
          <w:position w:val="0"/>
          <w:sz w:val="24"/>
          <w:szCs w:val="24"/>
          <w:lang w:val="en-US" w:eastAsia="zh-CN"/>
        </w:rPr>
        <w:t>pH值、COD、BOD</w:t>
      </w:r>
      <w:r>
        <w:rPr>
          <w:rFonts w:hint="eastAsia"/>
          <w:b w:val="0"/>
          <w:bCs w:val="0"/>
          <w:spacing w:val="0"/>
          <w:position w:val="0"/>
          <w:sz w:val="24"/>
          <w:szCs w:val="24"/>
          <w:vertAlign w:val="subscript"/>
          <w:lang w:val="en-US" w:eastAsia="zh-CN"/>
        </w:rPr>
        <w:t>5</w:t>
      </w:r>
      <w:r>
        <w:rPr>
          <w:rFonts w:hint="eastAsia"/>
          <w:b w:val="0"/>
          <w:bCs w:val="0"/>
          <w:spacing w:val="0"/>
          <w:position w:val="0"/>
          <w:sz w:val="24"/>
          <w:szCs w:val="24"/>
          <w:vertAlign w:val="baseline"/>
          <w:lang w:val="en-US" w:eastAsia="zh-CN"/>
        </w:rPr>
        <w:t>、SS、总磷、色度等污染物浓度参照《</w:t>
      </w:r>
      <w:r>
        <w:rPr>
          <w:rFonts w:hint="eastAsia"/>
          <w:spacing w:val="0"/>
          <w:position w:val="0"/>
          <w:sz w:val="24"/>
          <w:szCs w:val="24"/>
        </w:rPr>
        <w:t>纺织染整工业废水治理工程技术规范</w:t>
      </w:r>
      <w:r>
        <w:rPr>
          <w:rFonts w:hint="eastAsia"/>
          <w:b w:val="0"/>
          <w:bCs w:val="0"/>
          <w:spacing w:val="0"/>
          <w:position w:val="0"/>
          <w:sz w:val="24"/>
          <w:szCs w:val="24"/>
          <w:vertAlign w:val="baseline"/>
          <w:lang w:val="en-US" w:eastAsia="zh-CN"/>
        </w:rPr>
        <w:t>》</w:t>
      </w:r>
      <w:r>
        <w:rPr>
          <w:rFonts w:hint="eastAsia"/>
          <w:spacing w:val="0"/>
          <w:position w:val="0"/>
          <w:sz w:val="24"/>
          <w:szCs w:val="24"/>
        </w:rPr>
        <w:t>（HJ471-2020）</w:t>
      </w:r>
      <w:r>
        <w:rPr>
          <w:rFonts w:hint="eastAsia"/>
          <w:spacing w:val="0"/>
          <w:position w:val="0"/>
          <w:sz w:val="24"/>
          <w:szCs w:val="24"/>
          <w:lang w:eastAsia="zh-CN"/>
        </w:rPr>
        <w:t>附录</w:t>
      </w:r>
      <w:r>
        <w:rPr>
          <w:rFonts w:hint="eastAsia"/>
          <w:spacing w:val="0"/>
          <w:position w:val="0"/>
          <w:sz w:val="24"/>
          <w:szCs w:val="24"/>
          <w:lang w:val="en-US" w:eastAsia="zh-CN"/>
        </w:rPr>
        <w:t>A中表各类纺织染整废水水质参考表，</w:t>
      </w:r>
      <w:r>
        <w:rPr>
          <w:rFonts w:hint="eastAsia"/>
          <w:spacing w:val="0"/>
          <w:position w:val="0"/>
          <w:sz w:val="24"/>
          <w:szCs w:val="24"/>
        </w:rPr>
        <w:t>同时参考福州长乐地区化纤针织物染整企业（长乐东龙、力宏、佳联、厚东、东荣、福荣等企业）以及福清长福织染公司验收监测中废水处理设施进口浓度值进行类比分析。上述调查企业染整坯布类型为化纤针织物，染料类型主要是分散染料、酸性染料及匀染剂，主要工艺步骤为坯布→前处理（除油水洗）→染色→水洗→固色→水洗→脱水→烘干定型→成品布</w:t>
      </w:r>
      <w:r>
        <w:rPr>
          <w:rFonts w:hint="eastAsia"/>
          <w:spacing w:val="0"/>
          <w:position w:val="0"/>
          <w:sz w:val="24"/>
          <w:szCs w:val="24"/>
          <w:lang w:eastAsia="zh-CN"/>
        </w:rPr>
        <w:t>，</w:t>
      </w:r>
      <w:r>
        <w:rPr>
          <w:rFonts w:hint="eastAsia"/>
          <w:spacing w:val="0"/>
          <w:position w:val="0"/>
          <w:sz w:val="24"/>
          <w:szCs w:val="24"/>
        </w:rPr>
        <w:t>和本项目类似，故类比这些企业废水浓度，确定本项目废水污染物浓度。</w:t>
      </w:r>
    </w:p>
    <w:p>
      <w:pPr>
        <w:pStyle w:val="10"/>
        <w:adjustRightInd w:val="0"/>
        <w:snapToGrid w:val="0"/>
        <w:ind w:firstLine="480" w:firstLineChars="200"/>
        <w:rPr>
          <w:rFonts w:ascii="Times New Roman" w:hAnsi="Times New Roman"/>
          <w:spacing w:val="0"/>
          <w:position w:val="0"/>
          <w:szCs w:val="24"/>
        </w:rPr>
      </w:pPr>
      <w:r>
        <w:rPr>
          <w:rFonts w:hint="eastAsia" w:ascii="Times New Roman" w:hAnsi="Times New Roman"/>
          <w:spacing w:val="0"/>
          <w:position w:val="0"/>
          <w:szCs w:val="24"/>
          <w:lang w:eastAsia="zh-CN"/>
        </w:rPr>
        <w:t>综上所述，项目印染过程中高浓度废水污染物产生浓度分别为</w:t>
      </w:r>
      <w:r>
        <w:rPr>
          <w:rFonts w:hint="eastAsia" w:ascii="Times New Roman" w:hAnsi="Times New Roman"/>
          <w:spacing w:val="0"/>
          <w:position w:val="0"/>
          <w:szCs w:val="24"/>
        </w:rPr>
        <w:t>pH 6-9、色度 150-300倍、COD 1500-1800mg/L、BOD</w:t>
      </w:r>
      <w:r>
        <w:rPr>
          <w:rFonts w:hint="eastAsia" w:ascii="Times New Roman" w:hAnsi="Times New Roman"/>
          <w:spacing w:val="0"/>
          <w:position w:val="0"/>
          <w:szCs w:val="24"/>
          <w:vertAlign w:val="subscript"/>
        </w:rPr>
        <w:t>5</w:t>
      </w:r>
      <w:r>
        <w:rPr>
          <w:rFonts w:hint="eastAsia" w:ascii="Times New Roman" w:hAnsi="Times New Roman"/>
          <w:spacing w:val="0"/>
          <w:position w:val="0"/>
          <w:szCs w:val="24"/>
        </w:rPr>
        <w:t xml:space="preserve"> 300-500mg/L、SS 350-400mg/L、氨氮 8-15mg/L、总氮 8-15mg/L、总磷 1-3mg/L、</w:t>
      </w:r>
      <w:r>
        <w:rPr>
          <w:rFonts w:hint="eastAsia" w:ascii="Times New Roman" w:hAnsi="Times New Roman"/>
          <w:spacing w:val="0"/>
          <w:position w:val="0"/>
          <w:szCs w:val="24"/>
          <w:lang w:eastAsia="zh-CN"/>
        </w:rPr>
        <w:t>总锑</w:t>
      </w:r>
      <w:r>
        <w:rPr>
          <w:rFonts w:hint="eastAsia" w:ascii="Times New Roman" w:hAnsi="Times New Roman"/>
          <w:spacing w:val="0"/>
          <w:position w:val="0"/>
          <w:szCs w:val="24"/>
          <w:lang w:val="en-US" w:eastAsia="zh-CN"/>
        </w:rPr>
        <w:t xml:space="preserve"> 0.1-0.15mg/L、</w:t>
      </w:r>
      <w:r>
        <w:rPr>
          <w:rFonts w:hint="eastAsia" w:ascii="Times New Roman" w:hAnsi="Times New Roman"/>
          <w:spacing w:val="0"/>
          <w:position w:val="0"/>
          <w:szCs w:val="24"/>
        </w:rPr>
        <w:t>硫化物 0.5mg/L。</w:t>
      </w:r>
    </w:p>
    <w:p>
      <w:pPr>
        <w:pStyle w:val="10"/>
        <w:adjustRightInd w:val="0"/>
        <w:snapToGrid w:val="0"/>
        <w:ind w:firstLine="480" w:firstLineChars="200"/>
        <w:rPr>
          <w:rFonts w:ascii="Times New Roman" w:hAnsi="Times New Roman"/>
          <w:spacing w:val="0"/>
          <w:position w:val="0"/>
          <w:szCs w:val="24"/>
        </w:rPr>
      </w:pPr>
      <w:r>
        <w:rPr>
          <w:rFonts w:hint="eastAsia" w:ascii="Times New Roman" w:hAnsi="Times New Roman"/>
          <w:spacing w:val="0"/>
          <w:position w:val="0"/>
          <w:szCs w:val="24"/>
        </w:rPr>
        <w:t>低浓度废水</w:t>
      </w:r>
      <w:r>
        <w:rPr>
          <w:rFonts w:hint="eastAsia" w:ascii="Times New Roman" w:hAnsi="Times New Roman"/>
          <w:spacing w:val="0"/>
          <w:position w:val="0"/>
          <w:szCs w:val="24"/>
          <w:lang w:eastAsia="zh-CN"/>
        </w:rPr>
        <w:t>污染物产生浓度为别为</w:t>
      </w:r>
      <w:r>
        <w:rPr>
          <w:rFonts w:hint="eastAsia" w:ascii="Times New Roman" w:hAnsi="Times New Roman"/>
          <w:spacing w:val="0"/>
          <w:position w:val="0"/>
          <w:szCs w:val="24"/>
        </w:rPr>
        <w:t>pH 6-9、色度 100-200倍、COD 500-800mg/L、BOD</w:t>
      </w:r>
      <w:r>
        <w:rPr>
          <w:rFonts w:hint="eastAsia" w:ascii="Times New Roman" w:hAnsi="Times New Roman"/>
          <w:spacing w:val="0"/>
          <w:position w:val="0"/>
          <w:szCs w:val="24"/>
          <w:vertAlign w:val="subscript"/>
        </w:rPr>
        <w:t>5</w:t>
      </w:r>
      <w:r>
        <w:rPr>
          <w:rFonts w:hint="eastAsia" w:ascii="Times New Roman" w:hAnsi="Times New Roman"/>
          <w:spacing w:val="0"/>
          <w:position w:val="0"/>
          <w:szCs w:val="24"/>
        </w:rPr>
        <w:t xml:space="preserve"> 100-150mg/L、SS 50-250mg/L、氨氮 </w:t>
      </w:r>
      <w:r>
        <w:rPr>
          <w:rFonts w:hint="eastAsia" w:ascii="Times New Roman" w:hAnsi="Times New Roman"/>
          <w:spacing w:val="0"/>
          <w:position w:val="0"/>
          <w:szCs w:val="24"/>
          <w:lang w:val="en-US" w:eastAsia="zh-CN"/>
        </w:rPr>
        <w:t>8</w:t>
      </w:r>
      <w:r>
        <w:rPr>
          <w:rFonts w:hint="eastAsia" w:ascii="Times New Roman" w:hAnsi="Times New Roman"/>
          <w:spacing w:val="0"/>
          <w:position w:val="0"/>
          <w:szCs w:val="24"/>
        </w:rPr>
        <w:t>-1</w:t>
      </w:r>
      <w:r>
        <w:rPr>
          <w:rFonts w:hint="eastAsia" w:ascii="Times New Roman" w:hAnsi="Times New Roman"/>
          <w:spacing w:val="0"/>
          <w:position w:val="0"/>
          <w:szCs w:val="24"/>
          <w:lang w:val="en-US" w:eastAsia="zh-CN"/>
        </w:rPr>
        <w:t>5</w:t>
      </w:r>
      <w:r>
        <w:rPr>
          <w:rFonts w:hint="eastAsia" w:ascii="Times New Roman" w:hAnsi="Times New Roman"/>
          <w:spacing w:val="0"/>
          <w:position w:val="0"/>
          <w:szCs w:val="24"/>
        </w:rPr>
        <w:t xml:space="preserve">mg/L、总氮 </w:t>
      </w:r>
      <w:r>
        <w:rPr>
          <w:rFonts w:hint="eastAsia" w:ascii="Times New Roman" w:hAnsi="Times New Roman"/>
          <w:spacing w:val="0"/>
          <w:position w:val="0"/>
          <w:szCs w:val="24"/>
          <w:lang w:val="en-US" w:eastAsia="zh-CN"/>
        </w:rPr>
        <w:t>8</w:t>
      </w:r>
      <w:r>
        <w:rPr>
          <w:rFonts w:hint="eastAsia" w:ascii="Times New Roman" w:hAnsi="Times New Roman"/>
          <w:spacing w:val="0"/>
          <w:position w:val="0"/>
          <w:szCs w:val="24"/>
        </w:rPr>
        <w:t>-1</w:t>
      </w:r>
      <w:r>
        <w:rPr>
          <w:rFonts w:hint="eastAsia" w:ascii="Times New Roman" w:hAnsi="Times New Roman"/>
          <w:spacing w:val="0"/>
          <w:position w:val="0"/>
          <w:szCs w:val="24"/>
          <w:lang w:val="en-US" w:eastAsia="zh-CN"/>
        </w:rPr>
        <w:t>5</w:t>
      </w:r>
      <w:r>
        <w:rPr>
          <w:rFonts w:hint="eastAsia" w:ascii="Times New Roman" w:hAnsi="Times New Roman"/>
          <w:spacing w:val="0"/>
          <w:position w:val="0"/>
          <w:szCs w:val="24"/>
        </w:rPr>
        <w:t xml:space="preserve">mg/L、总磷 </w:t>
      </w:r>
      <w:r>
        <w:rPr>
          <w:rFonts w:hint="eastAsia" w:ascii="Times New Roman" w:hAnsi="Times New Roman"/>
          <w:spacing w:val="0"/>
          <w:position w:val="0"/>
          <w:szCs w:val="24"/>
          <w:lang w:val="en-US" w:eastAsia="zh-CN"/>
        </w:rPr>
        <w:t>1-2.5</w:t>
      </w:r>
      <w:r>
        <w:rPr>
          <w:rFonts w:hint="eastAsia" w:ascii="Times New Roman" w:hAnsi="Times New Roman"/>
          <w:spacing w:val="0"/>
          <w:position w:val="0"/>
          <w:szCs w:val="24"/>
        </w:rPr>
        <w:t>mg/L、</w:t>
      </w:r>
      <w:r>
        <w:rPr>
          <w:rFonts w:hint="eastAsia" w:ascii="Times New Roman" w:hAnsi="Times New Roman"/>
          <w:spacing w:val="0"/>
          <w:position w:val="0"/>
          <w:szCs w:val="24"/>
          <w:lang w:eastAsia="zh-CN"/>
        </w:rPr>
        <w:t>总锑</w:t>
      </w:r>
      <w:r>
        <w:rPr>
          <w:rFonts w:hint="eastAsia" w:ascii="Times New Roman" w:hAnsi="Times New Roman"/>
          <w:spacing w:val="0"/>
          <w:position w:val="0"/>
          <w:szCs w:val="24"/>
          <w:lang w:val="en-US" w:eastAsia="zh-CN"/>
        </w:rPr>
        <w:t>0.05-0.1mg/L、</w:t>
      </w:r>
      <w:r>
        <w:rPr>
          <w:rFonts w:hint="eastAsia" w:ascii="Times New Roman" w:hAnsi="Times New Roman"/>
          <w:spacing w:val="0"/>
          <w:position w:val="0"/>
          <w:szCs w:val="24"/>
        </w:rPr>
        <w:t>硫化物 0.2mg/L。</w:t>
      </w:r>
    </w:p>
    <w:p>
      <w:pPr>
        <w:pStyle w:val="10"/>
        <w:adjustRightInd w:val="0"/>
        <w:snapToGrid w:val="0"/>
        <w:ind w:firstLine="480" w:firstLineChars="200"/>
        <w:rPr>
          <w:rFonts w:ascii="Times New Roman" w:hAnsi="Times New Roman"/>
          <w:spacing w:val="0"/>
          <w:position w:val="0"/>
          <w:szCs w:val="24"/>
        </w:rPr>
      </w:pPr>
      <w:r>
        <w:rPr>
          <w:rFonts w:hint="eastAsia" w:ascii="Times New Roman" w:hAnsi="Times New Roman"/>
          <w:spacing w:val="0"/>
          <w:position w:val="0"/>
          <w:szCs w:val="24"/>
        </w:rPr>
        <w:t>（</w:t>
      </w:r>
      <w:r>
        <w:rPr>
          <w:rFonts w:hint="eastAsia" w:ascii="Times New Roman" w:hAnsi="Times New Roman"/>
          <w:spacing w:val="0"/>
          <w:position w:val="0"/>
          <w:szCs w:val="24"/>
          <w:lang w:val="en-US" w:eastAsia="zh-CN"/>
        </w:rPr>
        <w:t>2</w:t>
      </w:r>
      <w:r>
        <w:rPr>
          <w:rFonts w:hint="eastAsia" w:ascii="Times New Roman" w:hAnsi="Times New Roman"/>
          <w:spacing w:val="0"/>
          <w:position w:val="0"/>
          <w:szCs w:val="24"/>
        </w:rPr>
        <w:t>）软水站再生废水</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染整工序用水均需经离子交换软化处理后再用于生产，</w:t>
      </w:r>
      <w:r>
        <w:rPr>
          <w:rFonts w:hint="eastAsia"/>
          <w:spacing w:val="0"/>
          <w:position w:val="0"/>
          <w:sz w:val="24"/>
          <w:szCs w:val="24"/>
          <w:lang w:eastAsia="zh-CN"/>
        </w:rPr>
        <w:t>根据全厂水平衡分析</w:t>
      </w:r>
      <w:r>
        <w:rPr>
          <w:rFonts w:hint="eastAsia"/>
          <w:spacing w:val="0"/>
          <w:position w:val="0"/>
          <w:sz w:val="24"/>
          <w:szCs w:val="24"/>
        </w:rPr>
        <w:t>软水用量为</w:t>
      </w:r>
      <w:r>
        <w:rPr>
          <w:rFonts w:hint="eastAsia"/>
          <w:spacing w:val="0"/>
          <w:position w:val="0"/>
          <w:sz w:val="24"/>
          <w:szCs w:val="24"/>
          <w:lang w:val="en-US" w:eastAsia="zh-CN"/>
        </w:rPr>
        <w:t>3608.42</w:t>
      </w:r>
      <w:r>
        <w:rPr>
          <w:rFonts w:hint="eastAsia"/>
          <w:spacing w:val="0"/>
          <w:position w:val="0"/>
          <w:sz w:val="24"/>
          <w:szCs w:val="24"/>
        </w:rPr>
        <w:t>t/d。本项目软水制备采用离子交换工艺</w:t>
      </w:r>
      <w:r>
        <w:rPr>
          <w:rFonts w:hint="eastAsia"/>
          <w:spacing w:val="0"/>
          <w:position w:val="0"/>
          <w:sz w:val="24"/>
          <w:szCs w:val="24"/>
          <w:lang w:eastAsia="zh-CN"/>
        </w:rPr>
        <w:t>，主要是通过离子交换树脂去除水中的钙、镁离子</w:t>
      </w:r>
      <w:r>
        <w:rPr>
          <w:rFonts w:hint="eastAsia"/>
          <w:spacing w:val="0"/>
          <w:position w:val="0"/>
          <w:sz w:val="24"/>
          <w:szCs w:val="24"/>
        </w:rPr>
        <w:t>，离子交换采用氯化钠定期再生</w:t>
      </w:r>
      <w:r>
        <w:rPr>
          <w:rFonts w:hint="eastAsia"/>
          <w:spacing w:val="0"/>
          <w:position w:val="0"/>
          <w:sz w:val="24"/>
          <w:szCs w:val="24"/>
          <w:lang w:eastAsia="zh-CN"/>
        </w:rPr>
        <w:t>，离子交换树脂在使用一段时间后，会饱和并失去交换能力，此时需要用氯化钠溶液进行再生</w:t>
      </w:r>
      <w:r>
        <w:rPr>
          <w:rFonts w:hint="eastAsia"/>
          <w:spacing w:val="0"/>
          <w:position w:val="0"/>
          <w:sz w:val="24"/>
          <w:szCs w:val="24"/>
        </w:rPr>
        <w:t>，再生时会排放一部分废水，</w:t>
      </w:r>
      <w:r>
        <w:rPr>
          <w:rFonts w:hint="eastAsia"/>
          <w:spacing w:val="0"/>
          <w:position w:val="0"/>
          <w:sz w:val="24"/>
          <w:szCs w:val="24"/>
          <w:lang w:eastAsia="zh-CN"/>
        </w:rPr>
        <w:t>废水</w:t>
      </w:r>
      <w:r>
        <w:rPr>
          <w:rFonts w:hint="eastAsia"/>
          <w:spacing w:val="0"/>
          <w:position w:val="0"/>
          <w:sz w:val="24"/>
          <w:szCs w:val="24"/>
        </w:rPr>
        <w:t>主要</w:t>
      </w:r>
      <w:r>
        <w:rPr>
          <w:rFonts w:hint="eastAsia"/>
          <w:spacing w:val="0"/>
          <w:position w:val="0"/>
          <w:sz w:val="24"/>
          <w:szCs w:val="24"/>
          <w:lang w:eastAsia="zh-CN"/>
        </w:rPr>
        <w:t>含有</w:t>
      </w:r>
      <w:r>
        <w:rPr>
          <w:rFonts w:hint="eastAsia"/>
          <w:spacing w:val="0"/>
          <w:position w:val="0"/>
          <w:sz w:val="24"/>
          <w:szCs w:val="24"/>
          <w:lang w:val="en-US" w:eastAsia="zh-CN"/>
        </w:rPr>
        <w:t>SS、</w:t>
      </w:r>
      <w:r>
        <w:rPr>
          <w:rFonts w:hint="eastAsia"/>
          <w:spacing w:val="0"/>
          <w:position w:val="0"/>
          <w:sz w:val="24"/>
          <w:szCs w:val="24"/>
          <w:lang w:eastAsia="zh-CN"/>
        </w:rPr>
        <w:t>钙、镁离子及过量的氯化钠</w:t>
      </w:r>
      <w:r>
        <w:rPr>
          <w:rFonts w:hint="eastAsia"/>
          <w:spacing w:val="0"/>
          <w:position w:val="0"/>
          <w:sz w:val="24"/>
          <w:szCs w:val="24"/>
        </w:rPr>
        <w:t>。根据</w:t>
      </w:r>
      <w:r>
        <w:rPr>
          <w:rFonts w:hint="eastAsia"/>
          <w:spacing w:val="0"/>
          <w:position w:val="0"/>
          <w:sz w:val="24"/>
          <w:szCs w:val="24"/>
          <w:lang w:eastAsia="zh-CN"/>
        </w:rPr>
        <w:t>软水制备工艺及</w:t>
      </w:r>
      <w:r>
        <w:rPr>
          <w:rFonts w:hint="eastAsia"/>
          <w:spacing w:val="0"/>
          <w:position w:val="0"/>
          <w:sz w:val="24"/>
          <w:szCs w:val="24"/>
        </w:rPr>
        <w:t>企业以往生产经验，再生废水产生量约为</w:t>
      </w:r>
      <w:r>
        <w:rPr>
          <w:rFonts w:hint="eastAsia"/>
          <w:spacing w:val="0"/>
          <w:position w:val="0"/>
          <w:sz w:val="24"/>
          <w:szCs w:val="24"/>
          <w:lang w:eastAsia="zh-CN"/>
        </w:rPr>
        <w:t>软水</w:t>
      </w:r>
      <w:r>
        <w:rPr>
          <w:rFonts w:hint="eastAsia"/>
          <w:spacing w:val="0"/>
          <w:position w:val="0"/>
          <w:sz w:val="24"/>
          <w:szCs w:val="24"/>
        </w:rPr>
        <w:t>的5%</w:t>
      </w:r>
      <w:r>
        <w:rPr>
          <w:rFonts w:hint="eastAsia"/>
          <w:spacing w:val="0"/>
          <w:position w:val="0"/>
          <w:sz w:val="24"/>
          <w:szCs w:val="24"/>
          <w:lang w:val="en-US" w:eastAsia="zh-CN"/>
        </w:rPr>
        <w:t>，因此再生废水为180.42</w:t>
      </w:r>
      <w:r>
        <w:rPr>
          <w:rFonts w:hint="eastAsia"/>
          <w:spacing w:val="0"/>
          <w:position w:val="0"/>
          <w:sz w:val="24"/>
          <w:szCs w:val="24"/>
        </w:rPr>
        <w:t>t/d，与高浓度废水一起排入园区污水处理厂高浓度污水系统处理。</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eastAsia"/>
          <w:spacing w:val="0"/>
          <w:position w:val="0"/>
          <w:sz w:val="24"/>
          <w:szCs w:val="24"/>
        </w:rPr>
        <w:t>（</w:t>
      </w:r>
      <w:r>
        <w:rPr>
          <w:rFonts w:hint="eastAsia"/>
          <w:spacing w:val="0"/>
          <w:position w:val="0"/>
          <w:sz w:val="24"/>
          <w:szCs w:val="24"/>
          <w:lang w:val="en-US" w:eastAsia="zh-CN"/>
        </w:rPr>
        <w:t>3</w:t>
      </w:r>
      <w:r>
        <w:rPr>
          <w:rFonts w:hint="eastAsia"/>
          <w:spacing w:val="0"/>
          <w:position w:val="0"/>
          <w:sz w:val="24"/>
          <w:szCs w:val="24"/>
        </w:rPr>
        <w:t>）</w:t>
      </w:r>
      <w:r>
        <w:rPr>
          <w:rFonts w:hint="eastAsia"/>
          <w:spacing w:val="0"/>
          <w:position w:val="0"/>
          <w:sz w:val="24"/>
          <w:szCs w:val="24"/>
          <w:lang w:val="en-US" w:eastAsia="zh-CN"/>
        </w:rPr>
        <w:t>循环冷却排水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lang w:eastAsia="zh-CN"/>
        </w:rPr>
        <w:t>印染</w:t>
      </w:r>
      <w:r>
        <w:rPr>
          <w:rFonts w:hint="eastAsia"/>
          <w:spacing w:val="0"/>
          <w:position w:val="0"/>
          <w:sz w:val="24"/>
          <w:szCs w:val="24"/>
        </w:rPr>
        <w:t>加工过程中，染色机、定型机等机台设备运行时需使用冷却水，采用间接冷却方式，根据企业提供资料，冷却水用量约为25-35m</w:t>
      </w:r>
      <w:r>
        <w:rPr>
          <w:rFonts w:hint="eastAsia"/>
          <w:spacing w:val="0"/>
          <w:position w:val="0"/>
          <w:sz w:val="24"/>
          <w:szCs w:val="24"/>
          <w:vertAlign w:val="superscript"/>
        </w:rPr>
        <w:t>3</w:t>
      </w:r>
      <w:r>
        <w:rPr>
          <w:rFonts w:hint="eastAsia"/>
          <w:spacing w:val="0"/>
          <w:position w:val="0"/>
          <w:sz w:val="24"/>
          <w:szCs w:val="24"/>
        </w:rPr>
        <w:t>/t布，本项目取30m</w:t>
      </w:r>
      <w:r>
        <w:rPr>
          <w:rFonts w:hint="eastAsia"/>
          <w:spacing w:val="0"/>
          <w:position w:val="0"/>
          <w:sz w:val="24"/>
          <w:szCs w:val="24"/>
          <w:vertAlign w:val="superscript"/>
        </w:rPr>
        <w:t>3</w:t>
      </w:r>
      <w:r>
        <w:rPr>
          <w:rFonts w:hint="eastAsia"/>
          <w:spacing w:val="0"/>
          <w:position w:val="0"/>
          <w:sz w:val="24"/>
          <w:szCs w:val="24"/>
        </w:rPr>
        <w:t>/t布，</w:t>
      </w:r>
      <w:r>
        <w:rPr>
          <w:rFonts w:hint="eastAsia"/>
          <w:spacing w:val="0"/>
          <w:position w:val="0"/>
          <w:sz w:val="24"/>
          <w:szCs w:val="24"/>
          <w:lang w:eastAsia="zh-CN"/>
        </w:rPr>
        <w:t>项目染整工艺产能</w:t>
      </w:r>
      <w:r>
        <w:rPr>
          <w:rFonts w:hint="eastAsia"/>
          <w:spacing w:val="0"/>
          <w:position w:val="0"/>
          <w:sz w:val="24"/>
          <w:szCs w:val="24"/>
          <w:lang w:val="en-US" w:eastAsia="zh-CN"/>
        </w:rPr>
        <w:t>19500t/a，印花产能4500t/a，</w:t>
      </w:r>
      <w:r>
        <w:rPr>
          <w:rFonts w:hint="eastAsia"/>
          <w:spacing w:val="0"/>
          <w:position w:val="0"/>
          <w:sz w:val="24"/>
          <w:szCs w:val="24"/>
        </w:rPr>
        <w:t>则本项目冷却水用量为</w:t>
      </w:r>
      <w:r>
        <w:rPr>
          <w:rFonts w:hint="eastAsia"/>
          <w:spacing w:val="0"/>
          <w:position w:val="0"/>
          <w:sz w:val="24"/>
          <w:szCs w:val="24"/>
          <w:lang w:val="en-US" w:eastAsia="zh-CN"/>
        </w:rPr>
        <w:t>2181.82</w:t>
      </w:r>
      <w:r>
        <w:rPr>
          <w:rFonts w:hint="eastAsia"/>
          <w:spacing w:val="0"/>
          <w:position w:val="0"/>
          <w:sz w:val="24"/>
          <w:szCs w:val="24"/>
        </w:rPr>
        <w:t>m</w:t>
      </w:r>
      <w:r>
        <w:rPr>
          <w:rFonts w:hint="eastAsia"/>
          <w:spacing w:val="0"/>
          <w:position w:val="0"/>
          <w:sz w:val="24"/>
          <w:szCs w:val="24"/>
          <w:vertAlign w:val="superscript"/>
        </w:rPr>
        <w:t>3</w:t>
      </w:r>
      <w:r>
        <w:rPr>
          <w:rFonts w:hint="eastAsia"/>
          <w:spacing w:val="0"/>
          <w:position w:val="0"/>
          <w:sz w:val="24"/>
          <w:szCs w:val="24"/>
        </w:rPr>
        <w:t>/d，</w:t>
      </w:r>
      <w:r>
        <w:rPr>
          <w:rFonts w:hint="eastAsia"/>
          <w:spacing w:val="0"/>
          <w:position w:val="0"/>
          <w:sz w:val="24"/>
          <w:szCs w:val="24"/>
          <w:lang w:eastAsia="zh-CN"/>
        </w:rPr>
        <w:t>本</w:t>
      </w:r>
      <w:r>
        <w:rPr>
          <w:rFonts w:hint="eastAsia"/>
          <w:spacing w:val="0"/>
          <w:position w:val="0"/>
          <w:sz w:val="24"/>
          <w:szCs w:val="24"/>
        </w:rPr>
        <w:t>冷却水除部分蒸发损耗外，其中98%均循环使用，定期补充，补充新鲜水量为</w:t>
      </w:r>
      <w:r>
        <w:rPr>
          <w:rFonts w:hint="eastAsia"/>
          <w:spacing w:val="0"/>
          <w:position w:val="0"/>
          <w:sz w:val="24"/>
          <w:szCs w:val="24"/>
          <w:lang w:val="en-US" w:eastAsia="zh-CN"/>
        </w:rPr>
        <w:t>43.64</w:t>
      </w:r>
      <w:r>
        <w:rPr>
          <w:rFonts w:hint="eastAsia"/>
          <w:spacing w:val="0"/>
          <w:position w:val="0"/>
          <w:sz w:val="24"/>
          <w:szCs w:val="24"/>
        </w:rPr>
        <w:t>m</w:t>
      </w:r>
      <w:r>
        <w:rPr>
          <w:rFonts w:hint="eastAsia"/>
          <w:spacing w:val="0"/>
          <w:position w:val="0"/>
          <w:sz w:val="24"/>
          <w:szCs w:val="24"/>
          <w:vertAlign w:val="superscript"/>
        </w:rPr>
        <w:t>3</w:t>
      </w:r>
      <w:r>
        <w:rPr>
          <w:rFonts w:hint="eastAsia"/>
          <w:spacing w:val="0"/>
          <w:position w:val="0"/>
          <w:sz w:val="24"/>
          <w:szCs w:val="24"/>
        </w:rPr>
        <w:t>/d</w:t>
      </w:r>
      <w:r>
        <w:rPr>
          <w:rFonts w:hint="eastAsia"/>
          <w:spacing w:val="0"/>
          <w:position w:val="0"/>
          <w:sz w:val="24"/>
          <w:szCs w:val="24"/>
          <w:lang w:eastAsia="zh-CN"/>
        </w:rPr>
        <w:t>。冷却水在使用后，温度会升高形成温排水，为保证循环水温差和质量，溢流率设定</w:t>
      </w:r>
      <w:r>
        <w:rPr>
          <w:rFonts w:hint="eastAsia"/>
          <w:spacing w:val="0"/>
          <w:position w:val="0"/>
          <w:sz w:val="24"/>
          <w:szCs w:val="24"/>
          <w:lang w:val="en-US" w:eastAsia="zh-CN"/>
        </w:rPr>
        <w:t>10%，则溢流排放4.36</w:t>
      </w:r>
      <w:r>
        <w:rPr>
          <w:rFonts w:hint="eastAsia"/>
          <w:spacing w:val="0"/>
          <w:position w:val="0"/>
          <w:sz w:val="24"/>
          <w:szCs w:val="24"/>
        </w:rPr>
        <w:t>m</w:t>
      </w:r>
      <w:r>
        <w:rPr>
          <w:rFonts w:hint="eastAsia"/>
          <w:spacing w:val="0"/>
          <w:position w:val="0"/>
          <w:sz w:val="24"/>
          <w:szCs w:val="24"/>
          <w:vertAlign w:val="superscript"/>
        </w:rPr>
        <w:t>3</w:t>
      </w:r>
      <w:r>
        <w:rPr>
          <w:rFonts w:hint="eastAsia"/>
          <w:spacing w:val="0"/>
          <w:position w:val="0"/>
          <w:sz w:val="24"/>
          <w:szCs w:val="24"/>
        </w:rPr>
        <w:t>/d</w:t>
      </w:r>
      <w:r>
        <w:rPr>
          <w:rFonts w:hint="eastAsia"/>
          <w:spacing w:val="0"/>
          <w:position w:val="0"/>
          <w:sz w:val="24"/>
          <w:szCs w:val="24"/>
          <w:lang w:eastAsia="zh-CN"/>
        </w:rPr>
        <w:t>，</w:t>
      </w:r>
      <w:r>
        <w:rPr>
          <w:rFonts w:hint="eastAsia"/>
          <w:spacing w:val="0"/>
          <w:position w:val="0"/>
          <w:sz w:val="24"/>
          <w:szCs w:val="24"/>
          <w:lang w:val="en-US" w:eastAsia="zh-CN"/>
        </w:rPr>
        <w:t>排水水质为COD 50mg/L、SS 50mg/L，属于低浓度废水</w:t>
      </w:r>
      <w:r>
        <w:rPr>
          <w:rFonts w:hint="eastAsia"/>
          <w:spacing w:val="0"/>
          <w:position w:val="0"/>
          <w:sz w:val="24"/>
          <w:szCs w:val="24"/>
        </w:rPr>
        <w:t>。</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4</w:t>
      </w:r>
      <w:r>
        <w:rPr>
          <w:rFonts w:hint="eastAsia"/>
          <w:spacing w:val="0"/>
          <w:position w:val="0"/>
          <w:sz w:val="24"/>
          <w:szCs w:val="24"/>
        </w:rPr>
        <w:t>）车间冲洗</w:t>
      </w:r>
      <w:r>
        <w:rPr>
          <w:rFonts w:hint="eastAsia"/>
          <w:spacing w:val="0"/>
          <w:position w:val="0"/>
          <w:sz w:val="24"/>
          <w:szCs w:val="24"/>
          <w:lang w:val="en-US" w:eastAsia="zh-CN"/>
        </w:rPr>
        <w:t>废</w:t>
      </w:r>
      <w:r>
        <w:rPr>
          <w:rFonts w:hint="eastAsia"/>
          <w:spacing w:val="0"/>
          <w:position w:val="0"/>
          <w:sz w:val="24"/>
          <w:szCs w:val="24"/>
        </w:rPr>
        <w:t>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lang w:val="en-US" w:eastAsia="zh-CN"/>
        </w:rPr>
        <w:t>项目需要清洗的生产车间面积约为2500m</w:t>
      </w:r>
      <w:r>
        <w:rPr>
          <w:rFonts w:hint="eastAsia"/>
          <w:spacing w:val="0"/>
          <w:position w:val="0"/>
          <w:sz w:val="24"/>
          <w:szCs w:val="24"/>
          <w:vertAlign w:val="superscript"/>
          <w:lang w:val="en-US" w:eastAsia="zh-CN"/>
        </w:rPr>
        <w:t>2</w:t>
      </w:r>
      <w:r>
        <w:rPr>
          <w:rFonts w:hint="eastAsia"/>
          <w:spacing w:val="0"/>
          <w:position w:val="0"/>
          <w:sz w:val="24"/>
          <w:szCs w:val="24"/>
          <w:vertAlign w:val="baseline"/>
          <w:lang w:val="en-US" w:eastAsia="zh-CN"/>
        </w:rPr>
        <w:t>（印染车间部分区域），参照《建筑给水排水设计规范》</w:t>
      </w:r>
      <w:r>
        <w:rPr>
          <w:rFonts w:hint="eastAsia"/>
          <w:spacing w:val="0"/>
          <w:position w:val="0"/>
          <w:sz w:val="24"/>
          <w:szCs w:val="24"/>
        </w:rPr>
        <w:t>（GB50015-2019）</w:t>
      </w:r>
      <w:r>
        <w:rPr>
          <w:rFonts w:hint="eastAsia"/>
          <w:spacing w:val="0"/>
          <w:position w:val="0"/>
          <w:sz w:val="24"/>
          <w:szCs w:val="24"/>
          <w:lang w:eastAsia="zh-CN"/>
        </w:rPr>
        <w:t>，</w:t>
      </w:r>
      <w:r>
        <w:rPr>
          <w:rFonts w:hint="eastAsia"/>
          <w:spacing w:val="0"/>
          <w:position w:val="0"/>
          <w:sz w:val="24"/>
          <w:szCs w:val="24"/>
          <w:lang w:val="en-US" w:eastAsia="zh-CN"/>
        </w:rPr>
        <w:t>地面冲洗用水系数为2~3L/m</w:t>
      </w:r>
      <w:r>
        <w:rPr>
          <w:rFonts w:hint="eastAsia"/>
          <w:spacing w:val="0"/>
          <w:position w:val="0"/>
          <w:sz w:val="24"/>
          <w:szCs w:val="24"/>
          <w:vertAlign w:val="superscript"/>
          <w:lang w:val="en-US" w:eastAsia="zh-CN"/>
        </w:rPr>
        <w:t>2</w:t>
      </w:r>
      <w:r>
        <w:rPr>
          <w:rFonts w:hint="eastAsia"/>
          <w:spacing w:val="0"/>
          <w:position w:val="0"/>
          <w:sz w:val="24"/>
          <w:szCs w:val="24"/>
          <w:vertAlign w:val="baseline"/>
          <w:lang w:val="en-US" w:eastAsia="zh-CN"/>
        </w:rPr>
        <w:t>，本次评价取2</w:t>
      </w:r>
      <w:r>
        <w:rPr>
          <w:rFonts w:hint="eastAsia"/>
          <w:spacing w:val="0"/>
          <w:position w:val="0"/>
          <w:sz w:val="24"/>
          <w:szCs w:val="24"/>
          <w:lang w:val="en-US" w:eastAsia="zh-CN"/>
        </w:rPr>
        <w:t>L/m</w:t>
      </w:r>
      <w:r>
        <w:rPr>
          <w:rFonts w:hint="eastAsia"/>
          <w:spacing w:val="0"/>
          <w:position w:val="0"/>
          <w:sz w:val="24"/>
          <w:szCs w:val="24"/>
          <w:vertAlign w:val="superscript"/>
          <w:lang w:val="en-US" w:eastAsia="zh-CN"/>
        </w:rPr>
        <w:t>2</w:t>
      </w:r>
      <w:r>
        <w:rPr>
          <w:rFonts w:hint="eastAsia"/>
          <w:spacing w:val="0"/>
          <w:position w:val="0"/>
          <w:sz w:val="24"/>
          <w:szCs w:val="24"/>
          <w:vertAlign w:val="baseline"/>
          <w:lang w:val="en-US" w:eastAsia="zh-CN"/>
        </w:rPr>
        <w:t>，按照每天清洗一次，</w:t>
      </w:r>
      <w:r>
        <w:rPr>
          <w:rFonts w:hint="eastAsia"/>
          <w:spacing w:val="0"/>
          <w:position w:val="0"/>
          <w:sz w:val="24"/>
          <w:szCs w:val="24"/>
          <w:lang w:val="en-US" w:eastAsia="zh-CN"/>
        </w:rPr>
        <w:t>产污系数为80%计算，</w:t>
      </w:r>
      <w:r>
        <w:rPr>
          <w:rFonts w:hint="eastAsia"/>
          <w:spacing w:val="0"/>
          <w:position w:val="0"/>
          <w:sz w:val="24"/>
          <w:szCs w:val="24"/>
          <w:vertAlign w:val="baseline"/>
          <w:lang w:val="en-US" w:eastAsia="zh-CN"/>
        </w:rPr>
        <w:t>则车</w:t>
      </w:r>
      <w:r>
        <w:rPr>
          <w:rFonts w:hint="eastAsia"/>
          <w:spacing w:val="0"/>
          <w:position w:val="0"/>
          <w:sz w:val="24"/>
          <w:szCs w:val="24"/>
        </w:rPr>
        <w:t>间冲洗日用水量约为5.0t/d，日排水量为4.0t/d。</w:t>
      </w:r>
      <w:r>
        <w:rPr>
          <w:rFonts w:hint="eastAsia"/>
          <w:spacing w:val="0"/>
          <w:position w:val="0"/>
          <w:sz w:val="24"/>
          <w:szCs w:val="24"/>
          <w:lang w:val="en-US" w:eastAsia="zh-CN"/>
        </w:rPr>
        <w:t>类比同类企业，</w:t>
      </w:r>
      <w:r>
        <w:rPr>
          <w:rFonts w:hint="eastAsia"/>
          <w:spacing w:val="0"/>
          <w:position w:val="0"/>
          <w:sz w:val="24"/>
          <w:szCs w:val="24"/>
        </w:rPr>
        <w:t>车间冲洗水</w:t>
      </w:r>
      <w:r>
        <w:rPr>
          <w:rFonts w:hint="eastAsia"/>
          <w:spacing w:val="0"/>
          <w:position w:val="0"/>
          <w:sz w:val="24"/>
          <w:szCs w:val="24"/>
          <w:lang w:val="en-US" w:eastAsia="zh-CN"/>
        </w:rPr>
        <w:t>废水水质为：COD</w:t>
      </w:r>
      <w:r>
        <w:rPr>
          <w:rFonts w:hint="eastAsia"/>
          <w:spacing w:val="0"/>
          <w:position w:val="0"/>
          <w:sz w:val="24"/>
          <w:szCs w:val="24"/>
          <w:vertAlign w:val="subscript"/>
          <w:lang w:val="en-US" w:eastAsia="zh-CN"/>
        </w:rPr>
        <w:t>Cr</w:t>
      </w:r>
      <w:r>
        <w:rPr>
          <w:rFonts w:hint="eastAsia"/>
          <w:spacing w:val="0"/>
          <w:position w:val="0"/>
          <w:sz w:val="24"/>
          <w:szCs w:val="24"/>
          <w:lang w:val="en-US" w:eastAsia="zh-CN"/>
        </w:rPr>
        <w:t>约400-600mg/L，SS约200-300mg/L</w:t>
      </w:r>
      <w:r>
        <w:rPr>
          <w:rFonts w:hint="eastAsia"/>
          <w:spacing w:val="0"/>
          <w:position w:val="0"/>
          <w:sz w:val="24"/>
          <w:szCs w:val="24"/>
        </w:rPr>
        <w:t>，纳入低浓度废水管道排放。</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5</w:t>
      </w:r>
      <w:r>
        <w:rPr>
          <w:rFonts w:hint="eastAsia"/>
          <w:spacing w:val="0"/>
          <w:position w:val="0"/>
          <w:sz w:val="24"/>
          <w:szCs w:val="24"/>
        </w:rPr>
        <w:t>）生活用水</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项目职工定员259人，</w:t>
      </w:r>
      <w:r>
        <w:rPr>
          <w:rFonts w:hint="eastAsia"/>
          <w:spacing w:val="0"/>
          <w:position w:val="0"/>
          <w:sz w:val="24"/>
          <w:szCs w:val="24"/>
          <w:lang w:eastAsia="zh-CN"/>
        </w:rPr>
        <w:t>根据</w:t>
      </w:r>
      <w:r>
        <w:rPr>
          <w:rFonts w:hint="eastAsia"/>
          <w:spacing w:val="0"/>
          <w:position w:val="0"/>
          <w:sz w:val="24"/>
          <w:szCs w:val="24"/>
        </w:rPr>
        <w:t>《建筑给水排水设计标准》（GB50015-2019），不住厂人员生活用水按50L/d·人，则生活用水量为</w:t>
      </w:r>
      <w:r>
        <w:rPr>
          <w:rFonts w:hint="eastAsia"/>
          <w:spacing w:val="0"/>
          <w:position w:val="0"/>
          <w:sz w:val="24"/>
          <w:szCs w:val="24"/>
          <w:lang w:val="en-US" w:eastAsia="zh-CN"/>
        </w:rPr>
        <w:t>12</w:t>
      </w:r>
      <w:r>
        <w:rPr>
          <w:rFonts w:hint="eastAsia"/>
          <w:spacing w:val="0"/>
          <w:position w:val="0"/>
          <w:sz w:val="24"/>
          <w:szCs w:val="24"/>
        </w:rPr>
        <w:t>.95t/d，排放系数取0.85，则生活污水产生量为</w:t>
      </w:r>
      <w:r>
        <w:rPr>
          <w:rFonts w:hint="eastAsia"/>
          <w:spacing w:val="0"/>
          <w:position w:val="0"/>
          <w:sz w:val="24"/>
          <w:szCs w:val="24"/>
          <w:lang w:val="en-US" w:eastAsia="zh-CN"/>
        </w:rPr>
        <w:t>11.01</w:t>
      </w:r>
      <w:r>
        <w:rPr>
          <w:rFonts w:hint="eastAsia"/>
          <w:spacing w:val="0"/>
          <w:position w:val="0"/>
          <w:sz w:val="24"/>
          <w:szCs w:val="24"/>
        </w:rPr>
        <w:t>t/d（</w:t>
      </w:r>
      <w:r>
        <w:rPr>
          <w:rFonts w:hint="eastAsia"/>
          <w:spacing w:val="0"/>
          <w:position w:val="0"/>
          <w:sz w:val="24"/>
          <w:szCs w:val="24"/>
          <w:lang w:val="en-US" w:eastAsia="zh-CN"/>
        </w:rPr>
        <w:t>3632.48</w:t>
      </w:r>
      <w:r>
        <w:rPr>
          <w:rFonts w:hint="eastAsia"/>
          <w:spacing w:val="0"/>
          <w:position w:val="0"/>
          <w:sz w:val="24"/>
          <w:szCs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rPr>
        <w:t>类比其他生活污水，生活污水污染物产生浓度为CODcr 400mg/L、BOD</w:t>
      </w:r>
      <w:r>
        <w:rPr>
          <w:rFonts w:hint="eastAsia"/>
          <w:spacing w:val="0"/>
          <w:position w:val="0"/>
          <w:sz w:val="24"/>
          <w:szCs w:val="24"/>
          <w:vertAlign w:val="subscript"/>
        </w:rPr>
        <w:t>5</w:t>
      </w:r>
      <w:r>
        <w:rPr>
          <w:rFonts w:hint="eastAsia"/>
          <w:spacing w:val="0"/>
          <w:position w:val="0"/>
          <w:sz w:val="24"/>
          <w:szCs w:val="24"/>
        </w:rPr>
        <w:t xml:space="preserve"> 250mg/L、SS 220mg/L、氨氮 35mg/L、总氮 50mg/L、总磷 5mg/L，采用化粪池处理后与低浓度废水一起排入园区污水处理厂低浓度污水系统处理，化粪池处理后浓度为CODcr 200mg/L、BOD</w:t>
      </w:r>
      <w:r>
        <w:rPr>
          <w:rFonts w:hint="eastAsia"/>
          <w:spacing w:val="0"/>
          <w:position w:val="0"/>
          <w:sz w:val="24"/>
          <w:szCs w:val="24"/>
          <w:vertAlign w:val="subscript"/>
        </w:rPr>
        <w:t>5</w:t>
      </w:r>
      <w:r>
        <w:rPr>
          <w:rFonts w:hint="eastAsia"/>
          <w:spacing w:val="0"/>
          <w:position w:val="0"/>
          <w:sz w:val="24"/>
          <w:szCs w:val="24"/>
        </w:rPr>
        <w:t xml:space="preserve"> 125mg/L、SS 77mg/L、氨氮 35mg/L、总氮 50mg/L、总磷 5mg/L。</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w:t>
      </w:r>
      <w:r>
        <w:rPr>
          <w:rFonts w:hint="eastAsia"/>
          <w:spacing w:val="0"/>
          <w:position w:val="0"/>
          <w:sz w:val="24"/>
          <w:szCs w:val="24"/>
          <w:lang w:val="en-US" w:eastAsia="zh-CN"/>
        </w:rPr>
        <w:t>6</w:t>
      </w:r>
      <w:r>
        <w:rPr>
          <w:rFonts w:hint="eastAsia"/>
          <w:spacing w:val="0"/>
          <w:position w:val="0"/>
          <w:sz w:val="24"/>
          <w:szCs w:val="24"/>
        </w:rPr>
        <w:t>）厂区初期污染雨水</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根据《纺织染整工业废水治理工程技术规范》（HJ471-2020）要求：“新（改、扩）建企业初期雨水收集量宜按照环境影响评价审批文件的相关要求或以不少于被污染区域面积上的15mm降水量确定”，同时参照《石油化工污水处理设计规范》（GB50747-2012），污染雨水储存容积可按下式计算：</w:t>
      </w:r>
    </w:p>
    <w:p>
      <w:pPr>
        <w:adjustRightInd w:val="0"/>
        <w:snapToGrid w:val="0"/>
        <w:spacing w:line="360" w:lineRule="auto"/>
        <w:jc w:val="center"/>
        <w:rPr>
          <w:spacing w:val="0"/>
          <w:position w:val="0"/>
          <w:sz w:val="24"/>
          <w:szCs w:val="24"/>
        </w:rPr>
      </w:pPr>
      <w:r>
        <w:rPr>
          <w:rFonts w:hint="eastAsia"/>
          <w:spacing w:val="0"/>
          <w:position w:val="0"/>
          <w:sz w:val="24"/>
          <w:szCs w:val="24"/>
        </w:rPr>
        <w:t>V=F×h/1000</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式中：V——污染雨水储存容积（m</w:t>
      </w:r>
      <w:r>
        <w:rPr>
          <w:rFonts w:hint="eastAsia"/>
          <w:spacing w:val="0"/>
          <w:position w:val="0"/>
          <w:sz w:val="24"/>
          <w:szCs w:val="24"/>
          <w:vertAlign w:val="superscript"/>
        </w:rPr>
        <w:t>3</w:t>
      </w:r>
      <w:r>
        <w:rPr>
          <w:rFonts w:hint="eastAsia"/>
          <w:spacing w:val="0"/>
          <w:position w:val="0"/>
          <w:sz w:val="24"/>
          <w:szCs w:val="24"/>
        </w:rPr>
        <w:t>）；</w:t>
      </w:r>
    </w:p>
    <w:p>
      <w:pPr>
        <w:adjustRightInd w:val="0"/>
        <w:snapToGrid w:val="0"/>
        <w:spacing w:line="360" w:lineRule="auto"/>
        <w:ind w:firstLine="1200" w:firstLineChars="500"/>
        <w:rPr>
          <w:spacing w:val="0"/>
          <w:position w:val="0"/>
          <w:sz w:val="24"/>
          <w:szCs w:val="24"/>
        </w:rPr>
      </w:pPr>
      <w:r>
        <w:rPr>
          <w:rFonts w:hint="eastAsia"/>
          <w:spacing w:val="0"/>
          <w:position w:val="0"/>
          <w:sz w:val="24"/>
          <w:szCs w:val="24"/>
        </w:rPr>
        <w:t>h——为降雨深度（取15mm）；</w:t>
      </w:r>
    </w:p>
    <w:p>
      <w:pPr>
        <w:adjustRightInd w:val="0"/>
        <w:snapToGrid w:val="0"/>
        <w:spacing w:line="360" w:lineRule="auto"/>
        <w:ind w:firstLine="1200" w:firstLineChars="500"/>
        <w:rPr>
          <w:spacing w:val="0"/>
          <w:position w:val="0"/>
          <w:sz w:val="24"/>
          <w:szCs w:val="24"/>
        </w:rPr>
      </w:pPr>
      <w:r>
        <w:rPr>
          <w:rFonts w:hint="eastAsia"/>
          <w:spacing w:val="0"/>
          <w:position w:val="0"/>
          <w:sz w:val="24"/>
          <w:szCs w:val="24"/>
        </w:rPr>
        <w:t>F——污染区面积（m</w:t>
      </w:r>
      <w:r>
        <w:rPr>
          <w:rFonts w:hint="eastAsia"/>
          <w:spacing w:val="0"/>
          <w:position w:val="0"/>
          <w:sz w:val="24"/>
          <w:szCs w:val="24"/>
          <w:vertAlign w:val="superscript"/>
        </w:rPr>
        <w:t>2</w:t>
      </w:r>
      <w:r>
        <w:rPr>
          <w:rFonts w:hint="eastAsia"/>
          <w:spacing w:val="0"/>
          <w:position w:val="0"/>
          <w:sz w:val="24"/>
          <w:szCs w:val="24"/>
        </w:rPr>
        <w:t>），本项目占地面积40000m</w:t>
      </w:r>
      <w:r>
        <w:rPr>
          <w:rFonts w:hint="eastAsia"/>
          <w:spacing w:val="0"/>
          <w:position w:val="0"/>
          <w:sz w:val="24"/>
          <w:szCs w:val="24"/>
          <w:vertAlign w:val="superscript"/>
        </w:rPr>
        <w:t>2</w:t>
      </w:r>
      <w:r>
        <w:rPr>
          <w:rFonts w:hint="eastAsia"/>
          <w:spacing w:val="0"/>
          <w:position w:val="0"/>
          <w:sz w:val="24"/>
          <w:szCs w:val="24"/>
        </w:rPr>
        <w:t>，建筑占地面积24910.93m</w:t>
      </w:r>
      <w:r>
        <w:rPr>
          <w:rFonts w:hint="eastAsia"/>
          <w:spacing w:val="0"/>
          <w:position w:val="0"/>
          <w:sz w:val="24"/>
          <w:szCs w:val="24"/>
          <w:vertAlign w:val="superscript"/>
        </w:rPr>
        <w:t>2</w:t>
      </w:r>
      <w:r>
        <w:rPr>
          <w:rFonts w:hint="eastAsia"/>
          <w:spacing w:val="0"/>
          <w:position w:val="0"/>
          <w:sz w:val="24"/>
          <w:szCs w:val="24"/>
        </w:rPr>
        <w:t>，绿化面积6002.0m</w:t>
      </w:r>
      <w:r>
        <w:rPr>
          <w:rFonts w:hint="eastAsia"/>
          <w:spacing w:val="0"/>
          <w:position w:val="0"/>
          <w:sz w:val="24"/>
          <w:szCs w:val="24"/>
          <w:vertAlign w:val="superscript"/>
        </w:rPr>
        <w:t>2</w:t>
      </w:r>
      <w:r>
        <w:rPr>
          <w:rFonts w:hint="eastAsia"/>
          <w:spacing w:val="0"/>
          <w:position w:val="0"/>
          <w:sz w:val="24"/>
          <w:szCs w:val="24"/>
        </w:rPr>
        <w:t>，建构筑物均采用屋顶雨水导排系统，与路面雨水分开收集，因此，污染区面积为建筑占地、绿化用地之外的硬化地面，为9087.07m</w:t>
      </w:r>
      <w:r>
        <w:rPr>
          <w:rFonts w:hint="eastAsia"/>
          <w:spacing w:val="0"/>
          <w:position w:val="0"/>
          <w:sz w:val="24"/>
          <w:szCs w:val="24"/>
          <w:vertAlign w:val="superscript"/>
        </w:rPr>
        <w:t>2</w:t>
      </w:r>
      <w:r>
        <w:rPr>
          <w:rFonts w:hint="eastAsia"/>
          <w:spacing w:val="0"/>
          <w:position w:val="0"/>
          <w:sz w:val="24"/>
          <w:szCs w:val="24"/>
        </w:rPr>
        <w:t>。</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通过计算，初期污染雨水池为136m</w:t>
      </w:r>
      <w:r>
        <w:rPr>
          <w:rFonts w:hint="eastAsia"/>
          <w:spacing w:val="0"/>
          <w:position w:val="0"/>
          <w:sz w:val="24"/>
          <w:szCs w:val="24"/>
          <w:vertAlign w:val="superscript"/>
        </w:rPr>
        <w:t>3</w:t>
      </w:r>
      <w:r>
        <w:rPr>
          <w:rFonts w:hint="eastAsia"/>
          <w:spacing w:val="0"/>
          <w:position w:val="0"/>
          <w:sz w:val="24"/>
          <w:szCs w:val="24"/>
        </w:rPr>
        <w:t>，取200m</w:t>
      </w:r>
      <w:r>
        <w:rPr>
          <w:rFonts w:hint="eastAsia"/>
          <w:spacing w:val="0"/>
          <w:position w:val="0"/>
          <w:sz w:val="24"/>
          <w:szCs w:val="24"/>
          <w:vertAlign w:val="superscript"/>
        </w:rPr>
        <w:t>3</w:t>
      </w:r>
      <w:r>
        <w:rPr>
          <w:rFonts w:hint="eastAsia"/>
          <w:spacing w:val="0"/>
          <w:position w:val="0"/>
          <w:sz w:val="24"/>
          <w:szCs w:val="24"/>
        </w:rPr>
        <w:t>。项目应设置不低于200m</w:t>
      </w:r>
      <w:r>
        <w:rPr>
          <w:rFonts w:hint="eastAsia"/>
          <w:spacing w:val="0"/>
          <w:position w:val="0"/>
          <w:sz w:val="24"/>
          <w:szCs w:val="24"/>
          <w:vertAlign w:val="superscript"/>
        </w:rPr>
        <w:t>3</w:t>
      </w:r>
      <w:r>
        <w:rPr>
          <w:rFonts w:hint="eastAsia"/>
          <w:spacing w:val="0"/>
          <w:position w:val="0"/>
          <w:sz w:val="24"/>
          <w:szCs w:val="24"/>
        </w:rPr>
        <w:t>的初期雨水池，初期雨水收集后，通过低浓度污水管道排入园区污水处理厂低浓度污水系统集中处理，根据总平设计，初期雨水池位于生产厂房地下一层，</w:t>
      </w:r>
      <w:r>
        <w:rPr>
          <w:rFonts w:hint="eastAsia"/>
          <w:spacing w:val="0"/>
          <w:position w:val="0"/>
          <w:sz w:val="24"/>
          <w:szCs w:val="24"/>
          <w:lang w:val="en-US" w:eastAsia="zh-CN"/>
        </w:rPr>
        <w:t>设计</w:t>
      </w:r>
      <w:r>
        <w:rPr>
          <w:rFonts w:hint="eastAsia"/>
          <w:spacing w:val="0"/>
          <w:position w:val="0"/>
          <w:sz w:val="24"/>
          <w:szCs w:val="24"/>
        </w:rPr>
        <w:t>容积为352m</w:t>
      </w:r>
      <w:r>
        <w:rPr>
          <w:rFonts w:hint="eastAsia"/>
          <w:spacing w:val="0"/>
          <w:position w:val="0"/>
          <w:sz w:val="24"/>
          <w:szCs w:val="24"/>
          <w:vertAlign w:val="superscript"/>
        </w:rPr>
        <w:t>3</w:t>
      </w:r>
      <w:r>
        <w:rPr>
          <w:rFonts w:hint="eastAsia"/>
          <w:spacing w:val="0"/>
          <w:position w:val="0"/>
          <w:sz w:val="24"/>
          <w:szCs w:val="24"/>
        </w:rPr>
        <w:t>，可满足本项目初期雨水收集的需求</w:t>
      </w:r>
      <w:r>
        <w:rPr>
          <w:rFonts w:hint="eastAsia"/>
          <w:spacing w:val="0"/>
          <w:position w:val="0"/>
          <w:sz w:val="24"/>
          <w:szCs w:val="24"/>
          <w:lang w:eastAsia="zh-CN"/>
        </w:rPr>
        <w:t>。</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3.4.2.3水污染物排放量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eastAsia="zh-CN"/>
        </w:rPr>
      </w:pPr>
      <w:r>
        <w:rPr>
          <w:rFonts w:hint="eastAsia"/>
          <w:spacing w:val="0"/>
          <w:position w:val="0"/>
          <w:sz w:val="24"/>
          <w:szCs w:val="24"/>
          <w:lang w:val="en-US" w:eastAsia="zh-CN"/>
        </w:rPr>
        <w:t>项目废水收集方案：项目将高浓度废水和低浓度废水分开收集至各废水收集池再统一泵送产业园污水处理厂处理。如上述产物环节分析及废水源分析，项目高浓度废水及低浓度废水收集方案如下表3.4-2所示。</w:t>
      </w:r>
      <w:r>
        <w:rPr>
          <w:rFonts w:hint="eastAsia"/>
          <w:spacing w:val="0"/>
          <w:position w:val="0"/>
          <w:sz w:val="24"/>
          <w:szCs w:val="24"/>
        </w:rPr>
        <w:t>本项目生产废水及生活污水污染物产生和排放情况见表3.4-</w:t>
      </w:r>
      <w:r>
        <w:rPr>
          <w:rFonts w:hint="eastAsia"/>
          <w:spacing w:val="0"/>
          <w:position w:val="0"/>
          <w:sz w:val="24"/>
          <w:szCs w:val="24"/>
          <w:lang w:val="en-US" w:eastAsia="zh-CN"/>
        </w:rPr>
        <w:t>3</w:t>
      </w:r>
      <w:r>
        <w:rPr>
          <w:rFonts w:hint="eastAsia"/>
          <w:spacing w:val="0"/>
          <w:position w:val="0"/>
          <w:sz w:val="24"/>
          <w:szCs w:val="24"/>
          <w:lang w:eastAsia="zh-CN"/>
        </w:rPr>
        <w:t>。</w:t>
      </w:r>
    </w:p>
    <w:p>
      <w:pPr>
        <w:adjustRightInd w:val="0"/>
        <w:snapToGrid w:val="0"/>
        <w:spacing w:line="360" w:lineRule="auto"/>
        <w:ind w:firstLine="482" w:firstLineChars="200"/>
        <w:jc w:val="center"/>
        <w:rPr>
          <w:rFonts w:hint="default"/>
          <w:b/>
          <w:bCs/>
          <w:spacing w:val="0"/>
          <w:position w:val="0"/>
          <w:sz w:val="24"/>
          <w:szCs w:val="24"/>
          <w:vertAlign w:val="baseline"/>
          <w:lang w:val="en-US" w:eastAsia="zh-CN"/>
        </w:rPr>
      </w:pPr>
      <w:r>
        <w:rPr>
          <w:rFonts w:hint="eastAsia"/>
          <w:b/>
          <w:bCs/>
          <w:spacing w:val="0"/>
          <w:position w:val="0"/>
          <w:sz w:val="24"/>
          <w:szCs w:val="24"/>
          <w:vertAlign w:val="baseline"/>
          <w:lang w:val="en-US" w:eastAsia="zh-CN"/>
        </w:rPr>
        <w:t>表3.4-2废水收集方案</w:t>
      </w:r>
    </w:p>
    <w:tbl>
      <w:tblPr>
        <w:tblStyle w:val="17"/>
        <w:tblW w:w="89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04"/>
        <w:gridCol w:w="1551"/>
        <w:gridCol w:w="1976"/>
        <w:gridCol w:w="721"/>
        <w:gridCol w:w="1726"/>
        <w:gridCol w:w="1635"/>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195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废水</w:t>
            </w:r>
          </w:p>
        </w:tc>
        <w:tc>
          <w:tcPr>
            <w:tcW w:w="19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源强</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种类</w:t>
            </w:r>
          </w:p>
        </w:tc>
        <w:tc>
          <w:tcPr>
            <w:tcW w:w="17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处理方法</w:t>
            </w:r>
          </w:p>
        </w:tc>
        <w:tc>
          <w:tcPr>
            <w:tcW w:w="1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标准限值</w:t>
            </w:r>
          </w:p>
        </w:tc>
        <w:tc>
          <w:tcPr>
            <w:tcW w:w="8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染整工艺</w:t>
            </w: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W2-1除油废水</w:t>
            </w:r>
          </w:p>
        </w:tc>
        <w:tc>
          <w:tcPr>
            <w:tcW w:w="197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pH：6-9</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色度：150-300倍</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COD：1500-1800mg/L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BOD</w:t>
            </w:r>
            <w:r>
              <w:rPr>
                <w:rFonts w:hint="eastAsia"/>
                <w:spacing w:val="0"/>
                <w:position w:val="0"/>
                <w:sz w:val="21"/>
                <w:szCs w:val="21"/>
                <w:vertAlign w:val="subscript"/>
                <w:lang w:eastAsia="zh-CN"/>
              </w:rPr>
              <w:t>5</w:t>
            </w:r>
            <w:r>
              <w:rPr>
                <w:rFonts w:hint="eastAsia"/>
                <w:spacing w:val="0"/>
                <w:position w:val="0"/>
                <w:sz w:val="21"/>
                <w:szCs w:val="21"/>
                <w:vertAlign w:val="baseline"/>
                <w:lang w:eastAsia="zh-CN"/>
              </w:rPr>
              <w:t>：300-500mg/L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SS：350-400mg/L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氨氮：8-15mg/L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总氮：8-15mg/L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总磷：1-3mg/L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总锑：0.1-0.15mg/L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硫化物：0.5mg/L</w:t>
            </w:r>
          </w:p>
        </w:tc>
        <w:tc>
          <w:tcPr>
            <w:tcW w:w="7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高浓度废水</w:t>
            </w:r>
          </w:p>
        </w:tc>
        <w:tc>
          <w:tcPr>
            <w:tcW w:w="172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项目将高浓度废水收集至生产厂房地下1层的高浓度废水收集池再统一泵送产业园污水处理厂处理</w:t>
            </w:r>
          </w:p>
        </w:tc>
        <w:tc>
          <w:tcPr>
            <w:tcW w:w="16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园区污水厂高浓度废水接管要求：</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pH：6-11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COD≤2000mg/L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BOD</w:t>
            </w:r>
            <w:r>
              <w:rPr>
                <w:rFonts w:hint="eastAsia"/>
                <w:spacing w:val="0"/>
                <w:position w:val="0"/>
                <w:sz w:val="21"/>
                <w:szCs w:val="21"/>
                <w:vertAlign w:val="subscript"/>
                <w:lang w:val="en-US" w:eastAsia="zh-CN"/>
              </w:rPr>
              <w:t>5</w:t>
            </w:r>
            <w:r>
              <w:rPr>
                <w:rFonts w:hint="eastAsia"/>
                <w:spacing w:val="0"/>
                <w:position w:val="0"/>
                <w:sz w:val="21"/>
                <w:szCs w:val="21"/>
                <w:vertAlign w:val="baseline"/>
                <w:lang w:val="en-US" w:eastAsia="zh-CN"/>
              </w:rPr>
              <w:t>≤500mg/L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SS≤800mg/L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氨氮≤50mg/L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总氮≤80mg/L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总磷≤4mg/L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总锑≤0.15mg/L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硫化物≤2mg/L</w:t>
            </w:r>
          </w:p>
        </w:tc>
        <w:tc>
          <w:tcPr>
            <w:tcW w:w="89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高浓度废水排入园区高浓污水处理装置集中处理、集中排放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W2-2洗槽废水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W2-3染色废水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W2-4水洗废水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W2-6固色废水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W2-7水洗废水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W2-9洗缸废水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W2-11洗槽废水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40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印花工艺</w:t>
            </w: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W3-1洗槽废水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W4-1清洗废水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W4-2水洗废水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软水制备</w:t>
            </w: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再生废水</w:t>
            </w:r>
          </w:p>
        </w:tc>
        <w:tc>
          <w:tcPr>
            <w:tcW w:w="19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spacing w:val="0"/>
                <w:position w:val="0"/>
                <w:sz w:val="21"/>
                <w:szCs w:val="21"/>
                <w:vertAlign w:val="baseline"/>
                <w:lang w:val="en-US" w:eastAsia="zh-CN"/>
              </w:rPr>
              <w:t>COD：100</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BOD</w:t>
            </w:r>
            <w:r>
              <w:rPr>
                <w:rFonts w:hint="eastAsia" w:ascii="Times New Roman" w:hAnsi="Times New Roman"/>
                <w:spacing w:val="0"/>
                <w:position w:val="0"/>
                <w:szCs w:val="24"/>
                <w:vertAlign w:val="subscript"/>
              </w:rPr>
              <w:t>5</w:t>
            </w:r>
            <w:r>
              <w:rPr>
                <w:rFonts w:hint="eastAsia"/>
                <w:spacing w:val="0"/>
                <w:position w:val="0"/>
                <w:szCs w:val="24"/>
                <w:lang w:eastAsia="zh-CN"/>
              </w:rPr>
              <w:t>：</w:t>
            </w:r>
            <w:r>
              <w:rPr>
                <w:rFonts w:hint="eastAsia"/>
                <w:spacing w:val="0"/>
                <w:position w:val="0"/>
                <w:szCs w:val="24"/>
                <w:lang w:val="en-US" w:eastAsia="zh-CN"/>
              </w:rPr>
              <w:t>50</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SS</w:t>
            </w:r>
            <w:r>
              <w:rPr>
                <w:rFonts w:hint="eastAsia"/>
                <w:spacing w:val="0"/>
                <w:position w:val="0"/>
                <w:szCs w:val="24"/>
                <w:lang w:eastAsia="zh-CN"/>
              </w:rPr>
              <w:t>：</w:t>
            </w:r>
            <w:r>
              <w:rPr>
                <w:rFonts w:hint="eastAsia"/>
                <w:spacing w:val="0"/>
                <w:position w:val="0"/>
                <w:szCs w:val="24"/>
                <w:lang w:val="en-US" w:eastAsia="zh-CN"/>
              </w:rPr>
              <w:t>400</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氨氮</w:t>
            </w:r>
            <w:r>
              <w:rPr>
                <w:rFonts w:hint="eastAsia"/>
                <w:spacing w:val="0"/>
                <w:position w:val="0"/>
                <w:szCs w:val="24"/>
                <w:lang w:eastAsia="zh-CN"/>
              </w:rPr>
              <w:t>：</w:t>
            </w:r>
            <w:r>
              <w:rPr>
                <w:rFonts w:hint="eastAsia" w:ascii="Times New Roman" w:hAnsi="Times New Roman"/>
                <w:spacing w:val="0"/>
                <w:position w:val="0"/>
                <w:szCs w:val="24"/>
                <w:lang w:val="en-US" w:eastAsia="zh-CN"/>
              </w:rPr>
              <w:t>5</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总氮</w:t>
            </w:r>
            <w:r>
              <w:rPr>
                <w:rFonts w:hint="eastAsia"/>
                <w:spacing w:val="0"/>
                <w:position w:val="0"/>
                <w:szCs w:val="24"/>
                <w:lang w:eastAsia="zh-CN"/>
              </w:rPr>
              <w:t>：</w:t>
            </w:r>
            <w:r>
              <w:rPr>
                <w:rFonts w:hint="eastAsia" w:ascii="Times New Roman" w:hAnsi="Times New Roman"/>
                <w:spacing w:val="0"/>
                <w:position w:val="0"/>
                <w:szCs w:val="24"/>
                <w:lang w:val="en-US" w:eastAsia="zh-CN"/>
              </w:rPr>
              <w:t>5</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ascii="Times New Roman" w:hAnsi="Times New Roman"/>
                <w:spacing w:val="0"/>
                <w:position w:val="0"/>
                <w:szCs w:val="24"/>
              </w:rPr>
              <w:t>总磷</w:t>
            </w:r>
            <w:r>
              <w:rPr>
                <w:rFonts w:hint="eastAsia"/>
                <w:spacing w:val="0"/>
                <w:position w:val="0"/>
                <w:szCs w:val="24"/>
                <w:lang w:eastAsia="zh-CN"/>
              </w:rPr>
              <w:t>：</w:t>
            </w:r>
            <w:r>
              <w:rPr>
                <w:rFonts w:hint="eastAsia" w:ascii="Times New Roman" w:hAnsi="Times New Roman"/>
                <w:spacing w:val="0"/>
                <w:position w:val="0"/>
                <w:szCs w:val="24"/>
                <w:lang w:val="en-US" w:eastAsia="zh-CN"/>
              </w:rPr>
              <w:t>1</w:t>
            </w:r>
            <w:r>
              <w:rPr>
                <w:rFonts w:hint="eastAsia" w:ascii="Times New Roman" w:hAnsi="Times New Roman"/>
                <w:spacing w:val="0"/>
                <w:position w:val="0"/>
                <w:szCs w:val="24"/>
              </w:rPr>
              <w:t>mg/L</w:t>
            </w: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0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染整工艺</w:t>
            </w: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W2-5水洗废水</w:t>
            </w:r>
          </w:p>
        </w:tc>
        <w:tc>
          <w:tcPr>
            <w:tcW w:w="197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Cs w:val="24"/>
                <w:lang w:eastAsia="zh-CN"/>
              </w:rPr>
            </w:pPr>
            <w:r>
              <w:rPr>
                <w:rFonts w:hint="eastAsia" w:ascii="Times New Roman" w:hAnsi="Times New Roman"/>
                <w:spacing w:val="0"/>
                <w:position w:val="0"/>
                <w:szCs w:val="24"/>
              </w:rPr>
              <w:t>pH</w:t>
            </w:r>
            <w:r>
              <w:rPr>
                <w:rFonts w:hint="eastAsia"/>
                <w:spacing w:val="0"/>
                <w:position w:val="0"/>
                <w:szCs w:val="24"/>
                <w:lang w:eastAsia="zh-CN"/>
              </w:rPr>
              <w:t>：</w:t>
            </w:r>
            <w:r>
              <w:rPr>
                <w:rFonts w:hint="eastAsia" w:ascii="Times New Roman" w:hAnsi="Times New Roman"/>
                <w:spacing w:val="0"/>
                <w:position w:val="0"/>
                <w:szCs w:val="24"/>
              </w:rPr>
              <w:t>6-9</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色度</w:t>
            </w:r>
            <w:r>
              <w:rPr>
                <w:rFonts w:hint="eastAsia"/>
                <w:spacing w:val="0"/>
                <w:position w:val="0"/>
                <w:szCs w:val="24"/>
                <w:lang w:eastAsia="zh-CN"/>
              </w:rPr>
              <w:t>：</w:t>
            </w:r>
            <w:r>
              <w:rPr>
                <w:rFonts w:hint="eastAsia" w:ascii="Times New Roman" w:hAnsi="Times New Roman"/>
                <w:spacing w:val="0"/>
                <w:position w:val="0"/>
                <w:szCs w:val="24"/>
              </w:rPr>
              <w:t>100-200倍</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COD</w:t>
            </w:r>
            <w:r>
              <w:rPr>
                <w:rFonts w:hint="eastAsia"/>
                <w:spacing w:val="0"/>
                <w:position w:val="0"/>
                <w:szCs w:val="24"/>
                <w:lang w:eastAsia="zh-CN"/>
              </w:rPr>
              <w:t>：</w:t>
            </w:r>
            <w:r>
              <w:rPr>
                <w:rFonts w:hint="eastAsia" w:ascii="Times New Roman" w:hAnsi="Times New Roman"/>
                <w:spacing w:val="0"/>
                <w:position w:val="0"/>
                <w:szCs w:val="24"/>
              </w:rPr>
              <w:t>500-800mg/L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BOD</w:t>
            </w:r>
            <w:r>
              <w:rPr>
                <w:rFonts w:hint="eastAsia" w:ascii="Times New Roman" w:hAnsi="Times New Roman"/>
                <w:spacing w:val="0"/>
                <w:position w:val="0"/>
                <w:szCs w:val="24"/>
                <w:vertAlign w:val="subscript"/>
              </w:rPr>
              <w:t>5</w:t>
            </w:r>
            <w:r>
              <w:rPr>
                <w:rFonts w:hint="eastAsia"/>
                <w:spacing w:val="0"/>
                <w:position w:val="0"/>
                <w:szCs w:val="24"/>
                <w:lang w:eastAsia="zh-CN"/>
              </w:rPr>
              <w:t>：</w:t>
            </w:r>
            <w:r>
              <w:rPr>
                <w:rFonts w:hint="eastAsia" w:ascii="Times New Roman" w:hAnsi="Times New Roman"/>
                <w:spacing w:val="0"/>
                <w:position w:val="0"/>
                <w:szCs w:val="24"/>
              </w:rPr>
              <w:t>100-150mg/L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SS</w:t>
            </w:r>
            <w:r>
              <w:rPr>
                <w:rFonts w:hint="eastAsia"/>
                <w:spacing w:val="0"/>
                <w:position w:val="0"/>
                <w:szCs w:val="24"/>
                <w:lang w:eastAsia="zh-CN"/>
              </w:rPr>
              <w:t>：</w:t>
            </w:r>
            <w:r>
              <w:rPr>
                <w:rFonts w:hint="eastAsia" w:ascii="Times New Roman" w:hAnsi="Times New Roman"/>
                <w:spacing w:val="0"/>
                <w:position w:val="0"/>
                <w:szCs w:val="24"/>
              </w:rPr>
              <w:t>50-250mg/L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氨氮</w:t>
            </w:r>
            <w:r>
              <w:rPr>
                <w:rFonts w:hint="eastAsia"/>
                <w:spacing w:val="0"/>
                <w:position w:val="0"/>
                <w:szCs w:val="24"/>
                <w:lang w:eastAsia="zh-CN"/>
              </w:rPr>
              <w:t>：</w:t>
            </w:r>
            <w:r>
              <w:rPr>
                <w:rFonts w:hint="eastAsia" w:ascii="Times New Roman" w:hAnsi="Times New Roman"/>
                <w:spacing w:val="0"/>
                <w:position w:val="0"/>
                <w:szCs w:val="24"/>
                <w:lang w:val="en-US" w:eastAsia="zh-CN"/>
              </w:rPr>
              <w:t>8</w:t>
            </w:r>
            <w:r>
              <w:rPr>
                <w:rFonts w:hint="eastAsia" w:ascii="Times New Roman" w:hAnsi="Times New Roman"/>
                <w:spacing w:val="0"/>
                <w:position w:val="0"/>
                <w:szCs w:val="24"/>
              </w:rPr>
              <w:t>-1</w:t>
            </w:r>
            <w:r>
              <w:rPr>
                <w:rFonts w:hint="eastAsia" w:ascii="Times New Roman" w:hAnsi="Times New Roman"/>
                <w:spacing w:val="0"/>
                <w:position w:val="0"/>
                <w:szCs w:val="24"/>
                <w:lang w:val="en-US" w:eastAsia="zh-CN"/>
              </w:rPr>
              <w:t>5</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总氮</w:t>
            </w:r>
            <w:r>
              <w:rPr>
                <w:rFonts w:hint="eastAsia"/>
                <w:spacing w:val="0"/>
                <w:position w:val="0"/>
                <w:szCs w:val="24"/>
                <w:lang w:eastAsia="zh-CN"/>
              </w:rPr>
              <w:t>：</w:t>
            </w:r>
            <w:r>
              <w:rPr>
                <w:rFonts w:hint="eastAsia" w:ascii="Times New Roman" w:hAnsi="Times New Roman"/>
                <w:spacing w:val="0"/>
                <w:position w:val="0"/>
                <w:szCs w:val="24"/>
                <w:lang w:val="en-US" w:eastAsia="zh-CN"/>
              </w:rPr>
              <w:t>8</w:t>
            </w:r>
            <w:r>
              <w:rPr>
                <w:rFonts w:hint="eastAsia" w:ascii="Times New Roman" w:hAnsi="Times New Roman"/>
                <w:spacing w:val="0"/>
                <w:position w:val="0"/>
                <w:szCs w:val="24"/>
              </w:rPr>
              <w:t>-1</w:t>
            </w:r>
            <w:r>
              <w:rPr>
                <w:rFonts w:hint="eastAsia" w:ascii="Times New Roman" w:hAnsi="Times New Roman"/>
                <w:spacing w:val="0"/>
                <w:position w:val="0"/>
                <w:szCs w:val="24"/>
                <w:lang w:val="en-US" w:eastAsia="zh-CN"/>
              </w:rPr>
              <w:t>5</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rPr>
            </w:pPr>
            <w:r>
              <w:rPr>
                <w:rFonts w:hint="eastAsia" w:ascii="Times New Roman" w:hAnsi="Times New Roman"/>
                <w:spacing w:val="0"/>
                <w:position w:val="0"/>
                <w:szCs w:val="24"/>
              </w:rPr>
              <w:t>总磷</w:t>
            </w:r>
            <w:r>
              <w:rPr>
                <w:rFonts w:hint="eastAsia"/>
                <w:spacing w:val="0"/>
                <w:position w:val="0"/>
                <w:szCs w:val="24"/>
                <w:lang w:eastAsia="zh-CN"/>
              </w:rPr>
              <w:t>：</w:t>
            </w:r>
            <w:r>
              <w:rPr>
                <w:rFonts w:hint="eastAsia"/>
                <w:spacing w:val="0"/>
                <w:position w:val="0"/>
                <w:szCs w:val="24"/>
                <w:lang w:val="en-US" w:eastAsia="zh-CN"/>
              </w:rPr>
              <w:t>1-2.5</w:t>
            </w:r>
            <w:r>
              <w:rPr>
                <w:rFonts w:hint="eastAsia" w:ascii="Times New Roman" w:hAnsi="Times New Roman"/>
                <w:spacing w:val="0"/>
                <w:position w:val="0"/>
                <w:szCs w:val="24"/>
              </w:rPr>
              <w:t>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spacing w:val="0"/>
                <w:position w:val="0"/>
                <w:szCs w:val="24"/>
                <w:lang w:val="en-US" w:eastAsia="zh-CN"/>
              </w:rPr>
            </w:pPr>
            <w:r>
              <w:rPr>
                <w:rFonts w:hint="eastAsia" w:ascii="Times New Roman" w:hAnsi="Times New Roman"/>
                <w:spacing w:val="0"/>
                <w:position w:val="0"/>
                <w:szCs w:val="24"/>
                <w:lang w:eastAsia="zh-CN"/>
              </w:rPr>
              <w:t>总锑</w:t>
            </w:r>
            <w:r>
              <w:rPr>
                <w:rFonts w:hint="eastAsia" w:ascii="Times New Roman" w:hAnsi="Times New Roman"/>
                <w:spacing w:val="0"/>
                <w:position w:val="0"/>
                <w:szCs w:val="24"/>
                <w:lang w:val="en-US" w:eastAsia="zh-CN"/>
              </w:rPr>
              <w:t>0.05-0.1mg/L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ascii="Times New Roman" w:hAnsi="Times New Roman"/>
                <w:spacing w:val="0"/>
                <w:position w:val="0"/>
                <w:szCs w:val="24"/>
              </w:rPr>
              <w:t>硫化物</w:t>
            </w:r>
            <w:r>
              <w:rPr>
                <w:rFonts w:hint="eastAsia"/>
                <w:spacing w:val="0"/>
                <w:position w:val="0"/>
                <w:szCs w:val="24"/>
                <w:lang w:eastAsia="zh-CN"/>
              </w:rPr>
              <w:t>：</w:t>
            </w:r>
            <w:r>
              <w:rPr>
                <w:rFonts w:hint="eastAsia" w:ascii="Times New Roman" w:hAnsi="Times New Roman"/>
                <w:spacing w:val="0"/>
                <w:position w:val="0"/>
                <w:szCs w:val="24"/>
              </w:rPr>
              <w:t>0.2mg/L</w:t>
            </w:r>
          </w:p>
        </w:tc>
        <w:tc>
          <w:tcPr>
            <w:tcW w:w="7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低浓度废水</w:t>
            </w:r>
          </w:p>
        </w:tc>
        <w:tc>
          <w:tcPr>
            <w:tcW w:w="172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项目将低浓度废水收集至生产厂房地下1层的低浓度废水收集池再统一泵送产业园污水处理厂处理</w:t>
            </w:r>
          </w:p>
        </w:tc>
        <w:tc>
          <w:tcPr>
            <w:tcW w:w="16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园区污水厂</w:t>
            </w:r>
            <w:r>
              <w:rPr>
                <w:rFonts w:hint="eastAsia"/>
                <w:spacing w:val="0"/>
                <w:position w:val="0"/>
                <w:sz w:val="21"/>
                <w:szCs w:val="21"/>
                <w:vertAlign w:val="baseline"/>
                <w:lang w:val="en-US" w:eastAsia="zh-CN"/>
              </w:rPr>
              <w:t>低</w:t>
            </w:r>
            <w:r>
              <w:rPr>
                <w:rFonts w:hint="eastAsia"/>
                <w:spacing w:val="0"/>
                <w:position w:val="0"/>
                <w:sz w:val="21"/>
                <w:szCs w:val="21"/>
                <w:vertAlign w:val="baseline"/>
                <w:lang w:eastAsia="zh-CN"/>
              </w:rPr>
              <w:t>浓度废水接管要求：</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pH：6-11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COD≤800mg/L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BOD</w:t>
            </w:r>
            <w:r>
              <w:rPr>
                <w:rFonts w:hint="eastAsia"/>
                <w:spacing w:val="0"/>
                <w:position w:val="0"/>
                <w:sz w:val="21"/>
                <w:szCs w:val="21"/>
                <w:vertAlign w:val="subscript"/>
                <w:lang w:val="en-US" w:eastAsia="zh-CN"/>
              </w:rPr>
              <w:t>5</w:t>
            </w:r>
            <w:r>
              <w:rPr>
                <w:rFonts w:hint="eastAsia"/>
                <w:spacing w:val="0"/>
                <w:position w:val="0"/>
                <w:sz w:val="21"/>
                <w:szCs w:val="21"/>
                <w:vertAlign w:val="baseline"/>
                <w:lang w:val="en-US" w:eastAsia="zh-CN"/>
              </w:rPr>
              <w:t>≤150mg/L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SS≤300mg/L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氨氮≤15mg/L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总氮≤20mg/L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总磷≤3mg/L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总锑≤0.1mg/L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val="en-US" w:eastAsia="zh-CN"/>
              </w:rPr>
              <w:t>硫化物≤1.0mg/L</w:t>
            </w:r>
          </w:p>
        </w:tc>
        <w:tc>
          <w:tcPr>
            <w:tcW w:w="89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低浓度废水排入园区低浓污水处理装置集中处理处理后返回各企业回用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W2-8水洗废水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W2-10脱水废水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0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印花工艺</w:t>
            </w: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W4-3脱水废水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0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W4-4洗槽废水</w:t>
            </w:r>
          </w:p>
        </w:tc>
        <w:tc>
          <w:tcPr>
            <w:tcW w:w="197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5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循环冷却排水</w:t>
            </w:r>
          </w:p>
        </w:tc>
        <w:tc>
          <w:tcPr>
            <w:tcW w:w="19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COD：50mg/L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lang w:val="en-US" w:eastAsia="zh-CN"/>
              </w:rPr>
              <w:t>SS：50mg/L</w:t>
            </w: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5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车间冲洗水</w:t>
            </w:r>
          </w:p>
        </w:tc>
        <w:tc>
          <w:tcPr>
            <w:tcW w:w="19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r>
              <w:rPr>
                <w:rFonts w:hint="eastAsia"/>
                <w:spacing w:val="0"/>
                <w:position w:val="0"/>
                <w:sz w:val="21"/>
                <w:szCs w:val="21"/>
                <w:vertAlign w:val="baseline"/>
                <w:lang w:eastAsia="zh-CN"/>
              </w:rPr>
              <w:t>COD</w:t>
            </w:r>
            <w:r>
              <w:rPr>
                <w:rFonts w:hint="eastAsia"/>
                <w:spacing w:val="0"/>
                <w:position w:val="0"/>
                <w:sz w:val="21"/>
                <w:szCs w:val="21"/>
                <w:vertAlign w:val="subscript"/>
                <w:lang w:eastAsia="zh-CN"/>
              </w:rPr>
              <w:t>Cr</w:t>
            </w:r>
            <w:r>
              <w:rPr>
                <w:rFonts w:hint="eastAsia"/>
                <w:spacing w:val="0"/>
                <w:position w:val="0"/>
                <w:sz w:val="21"/>
                <w:szCs w:val="21"/>
                <w:vertAlign w:val="baseline"/>
                <w:lang w:eastAsia="zh-CN"/>
              </w:rPr>
              <w:t>：600mg/L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BOD</w:t>
            </w:r>
            <w:r>
              <w:rPr>
                <w:rFonts w:hint="eastAsia"/>
                <w:spacing w:val="0"/>
                <w:position w:val="0"/>
                <w:sz w:val="21"/>
                <w:szCs w:val="21"/>
                <w:vertAlign w:val="subscript"/>
                <w:lang w:val="en-US" w:eastAsia="zh-CN"/>
              </w:rPr>
              <w:t>5</w:t>
            </w:r>
            <w:r>
              <w:rPr>
                <w:rFonts w:hint="eastAsia"/>
                <w:spacing w:val="0"/>
                <w:position w:val="0"/>
                <w:sz w:val="21"/>
                <w:szCs w:val="21"/>
                <w:vertAlign w:val="baseline"/>
                <w:lang w:val="en-US" w:eastAsia="zh-CN"/>
              </w:rPr>
              <w:t>：100mg/L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eastAsia="zh-CN"/>
              </w:rPr>
              <w:t>SS：300mg/L</w:t>
            </w: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95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生活污水</w:t>
            </w:r>
          </w:p>
        </w:tc>
        <w:tc>
          <w:tcPr>
            <w:tcW w:w="19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COD</w:t>
            </w:r>
            <w:r>
              <w:rPr>
                <w:rFonts w:hint="eastAsia"/>
                <w:spacing w:val="0"/>
                <w:position w:val="0"/>
                <w:sz w:val="21"/>
                <w:szCs w:val="21"/>
                <w:vertAlign w:val="subscript"/>
                <w:lang w:val="en-US" w:eastAsia="zh-CN"/>
              </w:rPr>
              <w:t>Cr</w:t>
            </w:r>
            <w:r>
              <w:rPr>
                <w:rFonts w:hint="eastAsia"/>
                <w:spacing w:val="0"/>
                <w:position w:val="0"/>
                <w:sz w:val="21"/>
                <w:szCs w:val="21"/>
                <w:vertAlign w:val="baseline"/>
                <w:lang w:val="en-US" w:eastAsia="zh-CN"/>
              </w:rPr>
              <w:t>：400mg/L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BOD</w:t>
            </w:r>
            <w:r>
              <w:rPr>
                <w:rFonts w:hint="eastAsia"/>
                <w:spacing w:val="0"/>
                <w:position w:val="0"/>
                <w:sz w:val="21"/>
                <w:szCs w:val="21"/>
                <w:vertAlign w:val="subscript"/>
                <w:lang w:val="en-US" w:eastAsia="zh-CN"/>
              </w:rPr>
              <w:t>5</w:t>
            </w:r>
            <w:r>
              <w:rPr>
                <w:rFonts w:hint="eastAsia"/>
                <w:spacing w:val="0"/>
                <w:position w:val="0"/>
                <w:sz w:val="21"/>
                <w:szCs w:val="21"/>
                <w:vertAlign w:val="baseline"/>
                <w:lang w:val="en-US" w:eastAsia="zh-CN"/>
              </w:rPr>
              <w:t>：250mg/L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SS：220mg/L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氨氮：35mg/L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总氮：50mg/L</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总磷 5mg/L</w:t>
            </w: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17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生活污水经化粪池处理后接入园区低浓度污水管网</w:t>
            </w: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c>
          <w:tcPr>
            <w:tcW w:w="8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eastAsia="zh-CN"/>
              </w:rPr>
            </w:pPr>
          </w:p>
        </w:tc>
      </w:tr>
    </w:tbl>
    <w:p>
      <w:pPr>
        <w:adjustRightInd w:val="0"/>
        <w:snapToGrid w:val="0"/>
        <w:spacing w:line="360" w:lineRule="auto"/>
        <w:ind w:firstLine="480" w:firstLineChars="200"/>
        <w:rPr>
          <w:rFonts w:hint="eastAsia"/>
          <w:spacing w:val="0"/>
          <w:position w:val="0"/>
          <w:sz w:val="24"/>
          <w:szCs w:val="24"/>
          <w:lang w:eastAsia="zh-CN"/>
        </w:rPr>
      </w:pPr>
    </w:p>
    <w:p>
      <w:pPr>
        <w:adjustRightInd w:val="0"/>
        <w:snapToGrid w:val="0"/>
        <w:spacing w:line="360" w:lineRule="auto"/>
        <w:rPr>
          <w:spacing w:val="0"/>
          <w:position w:val="0"/>
          <w:sz w:val="24"/>
          <w:szCs w:val="24"/>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jc w:val="center"/>
        <w:rPr>
          <w:b/>
          <w:bCs/>
          <w:spacing w:val="0"/>
          <w:position w:val="0"/>
          <w:sz w:val="24"/>
          <w:szCs w:val="24"/>
        </w:rPr>
      </w:pPr>
      <w:r>
        <w:rPr>
          <w:rFonts w:hint="eastAsia"/>
          <w:b/>
          <w:bCs/>
          <w:spacing w:val="0"/>
          <w:position w:val="0"/>
          <w:sz w:val="24"/>
          <w:szCs w:val="24"/>
        </w:rPr>
        <w:t>表3.4-5水污染物产生及排放量计算表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327"/>
        <w:gridCol w:w="952"/>
        <w:gridCol w:w="857"/>
        <w:gridCol w:w="1089"/>
        <w:gridCol w:w="714"/>
        <w:gridCol w:w="1052"/>
        <w:gridCol w:w="1052"/>
        <w:gridCol w:w="1052"/>
        <w:gridCol w:w="1052"/>
        <w:gridCol w:w="1052"/>
        <w:gridCol w:w="1052"/>
        <w:gridCol w:w="1052"/>
        <w:gridCol w:w="10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9" w:type="pct"/>
            <w:gridSpan w:val="2"/>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废水</w:t>
            </w:r>
          </w:p>
        </w:tc>
        <w:tc>
          <w:tcPr>
            <w:tcW w:w="636" w:type="pct"/>
            <w:gridSpan w:val="2"/>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废水量</w:t>
            </w:r>
          </w:p>
        </w:tc>
        <w:tc>
          <w:tcPr>
            <w:tcW w:w="3594" w:type="pct"/>
            <w:gridSpan w:val="10"/>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水污染物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9" w:type="pct"/>
            <w:gridSpan w:val="2"/>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p>
        </w:tc>
        <w:tc>
          <w:tcPr>
            <w:tcW w:w="334"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t/d</w:t>
            </w:r>
          </w:p>
        </w:tc>
        <w:tc>
          <w:tcPr>
            <w:tcW w:w="30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万t/a</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项目</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单位</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vertAlign w:val="subscript"/>
              </w:rPr>
            </w:pPr>
            <w:r>
              <w:rPr>
                <w:rFonts w:hint="eastAsia" w:ascii="Times New Roman" w:hAnsi="Times New Roman"/>
                <w:b/>
                <w:bCs/>
                <w:spacing w:val="0"/>
                <w:position w:val="0"/>
                <w:sz w:val="21"/>
                <w:szCs w:val="21"/>
              </w:rPr>
              <w:t>COD</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BOD</w:t>
            </w:r>
            <w:r>
              <w:rPr>
                <w:rFonts w:hint="eastAsia" w:ascii="Times New Roman" w:hAnsi="Times New Roman"/>
                <w:b/>
                <w:bCs/>
                <w:spacing w:val="0"/>
                <w:position w:val="0"/>
                <w:sz w:val="21"/>
                <w:szCs w:val="21"/>
                <w:vertAlign w:val="subscript"/>
              </w:rPr>
              <w:t>5</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SS</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氨氮</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总氮</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总磷</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硫化物</w:t>
            </w:r>
          </w:p>
        </w:tc>
        <w:tc>
          <w:tcPr>
            <w:tcW w:w="37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
                <w:bCs/>
                <w:spacing w:val="0"/>
                <w:position w:val="0"/>
                <w:sz w:val="21"/>
                <w:szCs w:val="21"/>
                <w:lang w:val="en-US" w:eastAsia="zh-CN"/>
              </w:rPr>
            </w:pPr>
            <w:r>
              <w:rPr>
                <w:rFonts w:hint="eastAsia" w:ascii="Times New Roman" w:hAnsi="Times New Roman"/>
                <w:b/>
                <w:bCs/>
                <w:spacing w:val="0"/>
                <w:position w:val="0"/>
                <w:sz w:val="21"/>
                <w:szCs w:val="21"/>
                <w:lang w:val="en-US" w:eastAsia="zh-CN"/>
              </w:rPr>
              <w:t>总锑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高浓度废水</w:t>
            </w: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lang w:val="en-US" w:eastAsia="zh-CN"/>
              </w:rPr>
              <w:t>染整</w:t>
            </w:r>
            <w:r>
              <w:rPr>
                <w:rFonts w:hint="eastAsia" w:ascii="Times New Roman" w:hAnsi="Times New Roman"/>
                <w:spacing w:val="0"/>
                <w:position w:val="0"/>
                <w:sz w:val="21"/>
                <w:szCs w:val="21"/>
              </w:rPr>
              <w:t>工艺高浓度废水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2308.09</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76.17</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0.5</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1371.01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380.83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304.67</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11.43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11.43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2.29</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0.38</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spacing w:val="0"/>
                <w:position w:val="0"/>
                <w:sz w:val="21"/>
                <w:szCs w:val="21"/>
                <w:lang w:val="en-US" w:eastAsia="zh-CN"/>
              </w:rPr>
            </w:pPr>
            <w:r>
              <w:rPr>
                <w:rFonts w:hint="eastAsia" w:ascii="Times New Roman" w:hAnsi="Times New Roman"/>
                <w:spacing w:val="0"/>
                <w:position w:val="0"/>
                <w:sz w:val="21"/>
                <w:szCs w:val="21"/>
                <w:lang w:val="en-US" w:eastAsia="zh-CN"/>
              </w:rPr>
              <w:t>印花工艺高浓度废水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38.26</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1.26</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0.5</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spacing w:val="0"/>
                <w:position w:val="0"/>
              </w:rPr>
            </w:pPr>
          </w:p>
        </w:tc>
        <w:tc>
          <w:tcPr>
            <w:tcW w:w="466"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spacing w:val="0"/>
                <w:position w:val="0"/>
              </w:rPr>
            </w:pPr>
          </w:p>
        </w:tc>
        <w:tc>
          <w:tcPr>
            <w:tcW w:w="33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spacing w:val="0"/>
                <w:position w:val="0"/>
              </w:rPr>
            </w:pPr>
          </w:p>
        </w:tc>
        <w:tc>
          <w:tcPr>
            <w:tcW w:w="30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spacing w:val="0"/>
                <w:position w:val="0"/>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22.73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6.31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0.19</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0.19</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0.04</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0.01</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pacing w:val="0"/>
                <w:position w:val="0"/>
                <w:sz w:val="21"/>
                <w:szCs w:val="21"/>
                <w:lang w:val="en-US"/>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w:t>
            </w:r>
            <w:r>
              <w:rPr>
                <w:rFonts w:hint="eastAsia" w:ascii="Times New Roman" w:hAnsi="Times New Roman" w:cs="Times New Roman"/>
                <w:i w:val="0"/>
                <w:iCs w:val="0"/>
                <w:color w:val="000000"/>
                <w:spacing w:val="0"/>
                <w:kern w:val="0"/>
                <w:position w:val="0"/>
                <w:sz w:val="21"/>
                <w:szCs w:val="21"/>
                <w:u w:val="none"/>
                <w:lang w:val="en-US" w:eastAsia="zh-CN" w:bidi="ar"/>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软水站再生废水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180.42</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5.95</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spacing w:val="0"/>
                <w:position w:val="0"/>
                <w:sz w:val="21"/>
                <w:szCs w:val="21"/>
                <w:lang w:val="en-US" w:eastAsia="zh-CN"/>
              </w:rPr>
            </w:pPr>
            <w:r>
              <w:rPr>
                <w:rFonts w:hint="eastAsia" w:ascii="Times New Roman" w:hAnsi="Times New Roman" w:cs="Times New Roman"/>
                <w:spacing w:val="0"/>
                <w:position w:val="0"/>
                <w:sz w:val="21"/>
                <w:szCs w:val="21"/>
                <w:lang w:val="en-US" w:eastAsia="zh-CN"/>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5.95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2.98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23.82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spacing w:val="0"/>
                <w:position w:val="0"/>
                <w:sz w:val="21"/>
                <w:szCs w:val="21"/>
                <w:lang w:val="en-US" w:eastAsia="zh-CN"/>
              </w:rPr>
            </w:pPr>
            <w:r>
              <w:rPr>
                <w:rFonts w:hint="eastAsia" w:ascii="Times New Roman" w:hAnsi="Times New Roman" w:cs="Times New Roman"/>
                <w:spacing w:val="0"/>
                <w:position w:val="0"/>
                <w:sz w:val="21"/>
                <w:szCs w:val="21"/>
                <w:lang w:val="en-US" w:eastAsia="zh-CN"/>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spacing w:val="0"/>
                <w:position w:val="0"/>
                <w:sz w:val="21"/>
                <w:szCs w:val="21"/>
                <w:lang w:val="en-US" w:eastAsia="zh-CN"/>
              </w:rPr>
            </w:pPr>
            <w:r>
              <w:rPr>
                <w:rFonts w:hint="eastAsia" w:ascii="Times New Roman" w:hAnsi="Times New Roman" w:cs="Times New Roman"/>
                <w:spacing w:val="0"/>
                <w:positio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小计</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2526.77</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83.38</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1678.62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467.86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400.01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14.30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14.30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2.87</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0.47</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1399.69</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390.12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333.54</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11.92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11.92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2.39</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0.39</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接管标准</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2000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500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800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80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4</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2</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低浓度废水</w:t>
            </w: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染整工艺低浓度废水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1586.25</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52.35</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0.20</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418.77</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78.52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130.87</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7.85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7.85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印花工艺低浓度废水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9.21</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0.30</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0.20</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2.43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0.46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0.76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循环冷却排水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3.64</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0.12</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车间冲洗水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4.00</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0.13</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0.79</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0.04</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生活污水</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11.01</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0.36</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产生量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0.91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77</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w:t>
            </w:r>
          </w:p>
        </w:tc>
        <w:tc>
          <w:tcPr>
            <w:tcW w:w="10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0.73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0.45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0.28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0.02</w:t>
            </w:r>
          </w:p>
        </w:tc>
        <w:tc>
          <w:tcPr>
            <w:tcW w:w="10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c>
          <w:tcPr>
            <w:tcW w:w="1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小计</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1614.11</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53.26</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793.72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149.36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247.83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15.08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15.17</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2.52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0.19</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422.78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79.56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132.01</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8.03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8.08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1.34</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466"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接管标准</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800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300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20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3</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1</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spacing w:val="0"/>
                <w:position w:val="0"/>
                <w:sz w:val="21"/>
                <w:szCs w:val="21"/>
              </w:rPr>
            </w:pPr>
            <w:r>
              <w:rPr>
                <w:rFonts w:hint="eastAsia" w:ascii="Times New Roman" w:hAnsi="Times New Roman" w:eastAsia="宋体" w:cs="Times New Roman"/>
                <w:i w:val="0"/>
                <w:iCs w:val="0"/>
                <w:color w:val="000000"/>
                <w:spacing w:val="0"/>
                <w:kern w:val="0"/>
                <w:position w:val="0"/>
                <w:sz w:val="21"/>
                <w:szCs w:val="21"/>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9" w:type="pct"/>
            <w:gridSpan w:val="2"/>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排入园区污水厂废水量</w:t>
            </w:r>
          </w:p>
        </w:tc>
        <w:tc>
          <w:tcPr>
            <w:tcW w:w="3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4141.60</w:t>
            </w:r>
          </w:p>
        </w:tc>
        <w:tc>
          <w:tcPr>
            <w:tcW w:w="3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136.67</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spacing w:val="0"/>
                <w:position w:val="0"/>
                <w:sz w:val="21"/>
                <w:szCs w:val="21"/>
                <w:lang w:val="en-US" w:eastAsia="zh-CN"/>
              </w:rPr>
            </w:pPr>
            <w:r>
              <w:rPr>
                <w:rFonts w:hint="eastAsia" w:ascii="Times New Roman" w:hAnsi="Times New Roman"/>
                <w:spacing w:val="0"/>
                <w:position w:val="0"/>
                <w:sz w:val="21"/>
                <w:szCs w:val="21"/>
                <w:lang w:val="en-US" w:eastAsia="zh-CN"/>
              </w:rPr>
              <w:t>/</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imes New Roman" w:hAnsi="Times New Roman"/>
                <w:spacing w:val="0"/>
                <w:position w:val="0"/>
                <w:sz w:val="21"/>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7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9" w:type="pct"/>
            <w:gridSpan w:val="2"/>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园区污水厂中水回用量</w:t>
            </w:r>
          </w:p>
        </w:tc>
        <w:tc>
          <w:tcPr>
            <w:tcW w:w="3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1863.72</w:t>
            </w:r>
          </w:p>
        </w:tc>
        <w:tc>
          <w:tcPr>
            <w:tcW w:w="3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61.50</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spacing w:val="0"/>
                <w:position w:val="0"/>
                <w:sz w:val="21"/>
                <w:szCs w:val="21"/>
                <w:lang w:val="en-US" w:eastAsia="zh-CN"/>
              </w:rPr>
            </w:pPr>
            <w:r>
              <w:rPr>
                <w:rFonts w:hint="eastAsia" w:ascii="Times New Roman" w:hAnsi="Times New Roman"/>
                <w:spacing w:val="0"/>
                <w:position w:val="0"/>
                <w:sz w:val="21"/>
                <w:szCs w:val="21"/>
                <w:lang w:val="en-US" w:eastAsia="zh-CN"/>
              </w:rPr>
              <w:t>/</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imes New Roman" w:hAnsi="Times New Roman"/>
                <w:spacing w:val="0"/>
                <w:position w:val="0"/>
                <w:sz w:val="21"/>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69"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pacing w:val="0"/>
                <w:position w:val="0"/>
                <w:szCs w:val="21"/>
              </w:rPr>
            </w:pPr>
            <w:r>
              <w:rPr>
                <w:rFonts w:hint="eastAsia" w:ascii="Times New Roman" w:hAnsi="Times New Roman"/>
                <w:spacing w:val="0"/>
                <w:position w:val="0"/>
                <w:sz w:val="21"/>
                <w:szCs w:val="21"/>
                <w:lang w:val="en-US" w:eastAsia="zh-CN"/>
              </w:rPr>
              <w:t>/</w:t>
            </w:r>
          </w:p>
        </w:tc>
        <w:tc>
          <w:tcPr>
            <w:tcW w:w="37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spacing w:val="0"/>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69" w:type="pct"/>
            <w:gridSpan w:val="2"/>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排入环境的废水量（排入园区污水厂废水量-中水回用量）</w:t>
            </w:r>
          </w:p>
        </w:tc>
        <w:tc>
          <w:tcPr>
            <w:tcW w:w="3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2277.88</w:t>
            </w:r>
          </w:p>
        </w:tc>
        <w:tc>
          <w:tcPr>
            <w:tcW w:w="30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75.17</w:t>
            </w: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排放浓度</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mg/L</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0.5</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0.5</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spacing w:val="0"/>
                <w:position w:val="0"/>
                <w:szCs w:val="21"/>
                <w:lang w:val="en-US" w:eastAsia="zh-CN"/>
              </w:rPr>
            </w:pPr>
            <w:r>
              <w:rPr>
                <w:rFonts w:hint="eastAsia"/>
                <w:spacing w:val="0"/>
                <w:position w:val="0"/>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9" w:type="pct"/>
            <w:gridSpan w:val="2"/>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34"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01" w:type="pct"/>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p>
        </w:tc>
        <w:tc>
          <w:tcPr>
            <w:tcW w:w="382"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排放量</w:t>
            </w:r>
          </w:p>
        </w:tc>
        <w:tc>
          <w:tcPr>
            <w:tcW w:w="251" w:type="pc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t/a</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37.59</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7.52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7.52</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3.76</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11.28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0.38</w:t>
            </w:r>
          </w:p>
        </w:tc>
        <w:tc>
          <w:tcPr>
            <w:tcW w:w="10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0.38</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0.08</w:t>
            </w:r>
          </w:p>
        </w:tc>
      </w:tr>
    </w:tbl>
    <w:p>
      <w:pPr>
        <w:pStyle w:val="10"/>
        <w:adjustRightInd w:val="0"/>
        <w:snapToGrid w:val="0"/>
        <w:ind w:firstLine="0"/>
        <w:rPr>
          <w:spacing w:val="0"/>
          <w:position w:val="0"/>
        </w:rPr>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3.4.3废气污染源</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本项目产生的废气主要包括：</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（1）织造</w:t>
      </w:r>
      <w:r>
        <w:rPr>
          <w:rFonts w:hint="eastAsia"/>
          <w:spacing w:val="0"/>
          <w:position w:val="0"/>
          <w:sz w:val="24"/>
          <w:szCs w:val="24"/>
          <w:lang w:eastAsia="zh-CN"/>
        </w:rPr>
        <w:t>工艺</w:t>
      </w:r>
      <w:r>
        <w:rPr>
          <w:rFonts w:hint="eastAsia"/>
          <w:spacing w:val="0"/>
          <w:position w:val="0"/>
          <w:sz w:val="24"/>
          <w:szCs w:val="24"/>
        </w:rPr>
        <w:t>：G1</w:t>
      </w:r>
      <w:r>
        <w:rPr>
          <w:rFonts w:hint="eastAsia"/>
          <w:spacing w:val="0"/>
          <w:position w:val="0"/>
          <w:sz w:val="24"/>
          <w:szCs w:val="24"/>
          <w:lang w:val="en-US" w:eastAsia="zh-CN"/>
        </w:rPr>
        <w:t>-1纤维粉尘</w:t>
      </w:r>
      <w:r>
        <w:rPr>
          <w:rFonts w:hint="eastAsia"/>
          <w:spacing w:val="0"/>
          <w:position w:val="0"/>
          <w:sz w:val="24"/>
          <w:szCs w:val="24"/>
        </w:rPr>
        <w:t>；</w:t>
      </w:r>
    </w:p>
    <w:p>
      <w:pPr>
        <w:pStyle w:val="10"/>
        <w:adjustRightInd w:val="0"/>
        <w:snapToGrid w:val="0"/>
        <w:ind w:firstLine="480" w:firstLineChars="200"/>
        <w:rPr>
          <w:rFonts w:ascii="Times New Roman" w:hAnsi="Times New Roman"/>
          <w:spacing w:val="0"/>
          <w:position w:val="0"/>
          <w:szCs w:val="24"/>
        </w:rPr>
      </w:pPr>
      <w:r>
        <w:rPr>
          <w:rFonts w:hint="eastAsia" w:ascii="Times New Roman" w:hAnsi="Times New Roman"/>
          <w:spacing w:val="0"/>
          <w:position w:val="0"/>
          <w:szCs w:val="24"/>
        </w:rPr>
        <w:t>（2）染整</w:t>
      </w:r>
      <w:r>
        <w:rPr>
          <w:rFonts w:hint="eastAsia" w:ascii="Times New Roman" w:hAnsi="Times New Roman"/>
          <w:spacing w:val="0"/>
          <w:position w:val="0"/>
          <w:szCs w:val="24"/>
          <w:lang w:eastAsia="zh-CN"/>
        </w:rPr>
        <w:t>工艺</w:t>
      </w:r>
      <w:r>
        <w:rPr>
          <w:rFonts w:hint="eastAsia" w:ascii="Times New Roman" w:hAnsi="Times New Roman"/>
          <w:spacing w:val="0"/>
          <w:position w:val="0"/>
          <w:szCs w:val="24"/>
        </w:rPr>
        <w:t>：G2</w:t>
      </w:r>
      <w:r>
        <w:rPr>
          <w:rFonts w:hint="eastAsia" w:ascii="Times New Roman" w:hAnsi="Times New Roman"/>
          <w:spacing w:val="0"/>
          <w:position w:val="0"/>
          <w:szCs w:val="24"/>
          <w:lang w:val="en-US" w:eastAsia="zh-CN"/>
        </w:rPr>
        <w:t>-1</w:t>
      </w:r>
      <w:r>
        <w:rPr>
          <w:rFonts w:hint="eastAsia" w:ascii="Times New Roman" w:hAnsi="Times New Roman"/>
          <w:spacing w:val="0"/>
          <w:position w:val="0"/>
          <w:szCs w:val="24"/>
        </w:rPr>
        <w:t>定型废气</w:t>
      </w:r>
      <w:r>
        <w:rPr>
          <w:rFonts w:hint="eastAsia" w:ascii="Times New Roman" w:hAnsi="Times New Roman"/>
          <w:spacing w:val="0"/>
          <w:position w:val="0"/>
          <w:szCs w:val="24"/>
          <w:lang w:eastAsia="zh-CN"/>
        </w:rPr>
        <w:t>，</w:t>
      </w:r>
      <w:r>
        <w:rPr>
          <w:rFonts w:hint="eastAsia" w:ascii="Times New Roman" w:hAnsi="Times New Roman"/>
          <w:spacing w:val="0"/>
          <w:position w:val="0"/>
          <w:szCs w:val="24"/>
          <w:lang w:val="en-US" w:eastAsia="zh-CN"/>
        </w:rPr>
        <w:t>G2-2定型废气，G2-3磨毛废气</w:t>
      </w:r>
      <w:r>
        <w:rPr>
          <w:rFonts w:hint="eastAsia" w:ascii="Times New Roman" w:hAnsi="Times New Roman"/>
          <w:spacing w:val="0"/>
          <w:position w:val="0"/>
          <w:szCs w:val="24"/>
        </w:rPr>
        <w:t>；</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（3）</w:t>
      </w:r>
      <w:r>
        <w:rPr>
          <w:rFonts w:hint="eastAsia"/>
          <w:spacing w:val="0"/>
          <w:position w:val="0"/>
          <w:sz w:val="24"/>
          <w:szCs w:val="24"/>
          <w:lang w:eastAsia="zh-CN"/>
        </w:rPr>
        <w:t>数码</w:t>
      </w:r>
      <w:r>
        <w:rPr>
          <w:rFonts w:hint="eastAsia"/>
          <w:spacing w:val="0"/>
          <w:position w:val="0"/>
          <w:sz w:val="24"/>
          <w:szCs w:val="24"/>
        </w:rPr>
        <w:t>印花</w:t>
      </w:r>
      <w:r>
        <w:rPr>
          <w:rFonts w:hint="eastAsia"/>
          <w:spacing w:val="0"/>
          <w:position w:val="0"/>
          <w:sz w:val="24"/>
          <w:szCs w:val="24"/>
          <w:lang w:eastAsia="zh-CN"/>
        </w:rPr>
        <w:t>工艺</w:t>
      </w:r>
      <w:r>
        <w:rPr>
          <w:rFonts w:hint="eastAsia"/>
          <w:spacing w:val="0"/>
          <w:position w:val="0"/>
          <w:sz w:val="24"/>
          <w:szCs w:val="24"/>
        </w:rPr>
        <w:t>：G3</w:t>
      </w:r>
      <w:r>
        <w:rPr>
          <w:rFonts w:hint="eastAsia"/>
          <w:spacing w:val="0"/>
          <w:position w:val="0"/>
          <w:sz w:val="24"/>
          <w:szCs w:val="24"/>
          <w:lang w:val="en-US" w:eastAsia="zh-CN"/>
        </w:rPr>
        <w:t>-1</w:t>
      </w:r>
      <w:r>
        <w:rPr>
          <w:rFonts w:hint="eastAsia"/>
          <w:spacing w:val="0"/>
          <w:position w:val="0"/>
          <w:sz w:val="24"/>
          <w:szCs w:val="24"/>
        </w:rPr>
        <w:t>印花废气</w:t>
      </w:r>
      <w:r>
        <w:rPr>
          <w:rFonts w:hint="eastAsia"/>
          <w:spacing w:val="0"/>
          <w:position w:val="0"/>
          <w:sz w:val="24"/>
          <w:szCs w:val="24"/>
          <w:lang w:eastAsia="zh-CN"/>
        </w:rPr>
        <w:t>，</w:t>
      </w:r>
      <w:r>
        <w:rPr>
          <w:rFonts w:hint="eastAsia"/>
          <w:spacing w:val="0"/>
          <w:position w:val="0"/>
          <w:sz w:val="24"/>
          <w:szCs w:val="24"/>
        </w:rPr>
        <w:t>G</w:t>
      </w:r>
      <w:r>
        <w:rPr>
          <w:rFonts w:hint="eastAsia"/>
          <w:spacing w:val="0"/>
          <w:position w:val="0"/>
          <w:sz w:val="24"/>
          <w:szCs w:val="24"/>
          <w:lang w:val="en-US" w:eastAsia="zh-CN"/>
        </w:rPr>
        <w:t>3-2定型</w:t>
      </w:r>
      <w:r>
        <w:rPr>
          <w:rFonts w:hint="eastAsia"/>
          <w:spacing w:val="0"/>
          <w:position w:val="0"/>
          <w:sz w:val="24"/>
          <w:szCs w:val="24"/>
        </w:rPr>
        <w:t>废气；</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eastAsia"/>
          <w:spacing w:val="0"/>
          <w:position w:val="0"/>
          <w:sz w:val="24"/>
          <w:szCs w:val="24"/>
          <w:lang w:eastAsia="zh-CN"/>
        </w:rPr>
        <w:t>（</w:t>
      </w:r>
      <w:r>
        <w:rPr>
          <w:rFonts w:hint="eastAsia"/>
          <w:spacing w:val="0"/>
          <w:position w:val="0"/>
          <w:sz w:val="24"/>
          <w:szCs w:val="24"/>
          <w:lang w:val="en-US" w:eastAsia="zh-CN"/>
        </w:rPr>
        <w:t>4</w:t>
      </w:r>
      <w:r>
        <w:rPr>
          <w:rFonts w:hint="eastAsia"/>
          <w:spacing w:val="0"/>
          <w:position w:val="0"/>
          <w:sz w:val="24"/>
          <w:szCs w:val="24"/>
          <w:lang w:eastAsia="zh-CN"/>
        </w:rPr>
        <w:t>）圆网印花工艺：</w:t>
      </w:r>
      <w:r>
        <w:rPr>
          <w:rFonts w:hint="eastAsia"/>
          <w:spacing w:val="0"/>
          <w:position w:val="0"/>
          <w:sz w:val="24"/>
          <w:szCs w:val="24"/>
          <w:lang w:val="en-US" w:eastAsia="zh-CN"/>
        </w:rPr>
        <w:t>G4-1印花废气，G4-2蒸化废气，G4-3定型废气。</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其中定型废气、印花废气、蒸化废气属于印染废气。</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由于原料</w:t>
      </w:r>
      <w:r>
        <w:rPr>
          <w:rFonts w:hint="eastAsia"/>
          <w:spacing w:val="0"/>
          <w:position w:val="0"/>
          <w:sz w:val="24"/>
          <w:szCs w:val="24"/>
          <w:lang w:eastAsia="zh-CN"/>
        </w:rPr>
        <w:t>长丝</w:t>
      </w:r>
      <w:r>
        <w:rPr>
          <w:rFonts w:hint="eastAsia"/>
          <w:spacing w:val="0"/>
          <w:position w:val="0"/>
          <w:sz w:val="24"/>
          <w:szCs w:val="24"/>
        </w:rPr>
        <w:t>中含有纤维，在织造过程中会产生</w:t>
      </w:r>
      <w:r>
        <w:rPr>
          <w:rFonts w:hint="eastAsia"/>
          <w:spacing w:val="0"/>
          <w:position w:val="0"/>
          <w:sz w:val="24"/>
          <w:szCs w:val="24"/>
          <w:lang w:val="en-US" w:eastAsia="zh-CN"/>
        </w:rPr>
        <w:t>G1-1</w:t>
      </w:r>
      <w:r>
        <w:rPr>
          <w:rFonts w:hint="eastAsia"/>
          <w:spacing w:val="0"/>
          <w:position w:val="0"/>
          <w:sz w:val="24"/>
          <w:szCs w:val="24"/>
          <w:lang w:eastAsia="zh-CN"/>
        </w:rPr>
        <w:t>纤维</w:t>
      </w:r>
      <w:r>
        <w:rPr>
          <w:rFonts w:hint="eastAsia"/>
          <w:spacing w:val="0"/>
          <w:position w:val="0"/>
          <w:sz w:val="24"/>
          <w:szCs w:val="24"/>
        </w:rPr>
        <w:t>粉尘</w:t>
      </w:r>
      <w:r>
        <w:rPr>
          <w:rFonts w:hint="eastAsia"/>
          <w:spacing w:val="0"/>
          <w:position w:val="0"/>
          <w:sz w:val="24"/>
          <w:szCs w:val="24"/>
          <w:lang w:eastAsia="zh-CN"/>
        </w:rPr>
        <w:t>，</w:t>
      </w:r>
      <w:r>
        <w:rPr>
          <w:rFonts w:hint="eastAsia"/>
          <w:spacing w:val="0"/>
          <w:position w:val="0"/>
          <w:sz w:val="24"/>
          <w:szCs w:val="24"/>
        </w:rPr>
        <w:t>其主要污染因子为颗粒物，其产生量极少，主要影响车间内空气，企业在采取换气扇对车间定期通风换气，并且为职工配备劳保用品（口罩等），对车间内空气影响不大，因此不对其定量分析</w:t>
      </w:r>
      <w:r>
        <w:rPr>
          <w:rFonts w:hint="eastAsia"/>
          <w:spacing w:val="0"/>
          <w:position w:val="0"/>
          <w:sz w:val="24"/>
          <w:szCs w:val="24"/>
          <w:lang w:eastAsia="zh-CN"/>
        </w:rPr>
        <w:t>，其余</w:t>
      </w:r>
      <w:r>
        <w:rPr>
          <w:rFonts w:hint="eastAsia"/>
          <w:spacing w:val="0"/>
          <w:position w:val="0"/>
          <w:sz w:val="24"/>
          <w:szCs w:val="24"/>
        </w:rPr>
        <w:t>废气均以有组织形式排放。</w:t>
      </w:r>
    </w:p>
    <w:p>
      <w:pPr>
        <w:adjustRightInd w:val="0"/>
        <w:snapToGrid w:val="0"/>
        <w:spacing w:line="360" w:lineRule="auto"/>
        <w:outlineLvl w:val="3"/>
        <w:rPr>
          <w:rFonts w:hint="eastAsia" w:eastAsia="宋体"/>
          <w:b/>
          <w:bCs/>
          <w:spacing w:val="0"/>
          <w:position w:val="0"/>
          <w:sz w:val="24"/>
          <w:szCs w:val="24"/>
          <w:lang w:eastAsia="zh-CN"/>
        </w:rPr>
      </w:pPr>
      <w:r>
        <w:rPr>
          <w:rFonts w:hint="eastAsia"/>
          <w:b/>
          <w:bCs/>
          <w:spacing w:val="0"/>
          <w:position w:val="0"/>
          <w:sz w:val="24"/>
          <w:szCs w:val="24"/>
        </w:rPr>
        <w:t>3.4.3.1</w:t>
      </w:r>
      <w:r>
        <w:rPr>
          <w:rFonts w:hint="eastAsia"/>
          <w:b/>
          <w:bCs/>
          <w:spacing w:val="0"/>
          <w:position w:val="0"/>
          <w:sz w:val="24"/>
          <w:szCs w:val="24"/>
          <w:lang w:eastAsia="zh-CN"/>
        </w:rPr>
        <w:t>定型废气</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本项目定型过程中主要产生G2</w:t>
      </w:r>
      <w:r>
        <w:rPr>
          <w:rFonts w:hint="eastAsia"/>
          <w:spacing w:val="0"/>
          <w:position w:val="0"/>
          <w:sz w:val="24"/>
          <w:szCs w:val="24"/>
          <w:lang w:val="en-US" w:eastAsia="zh-CN"/>
        </w:rPr>
        <w:t>-1</w:t>
      </w:r>
      <w:r>
        <w:rPr>
          <w:rFonts w:hint="eastAsia"/>
          <w:spacing w:val="0"/>
          <w:position w:val="0"/>
          <w:sz w:val="24"/>
          <w:szCs w:val="24"/>
        </w:rPr>
        <w:t>定型废气</w:t>
      </w:r>
      <w:r>
        <w:rPr>
          <w:rFonts w:hint="eastAsia"/>
          <w:spacing w:val="0"/>
          <w:position w:val="0"/>
          <w:sz w:val="24"/>
          <w:szCs w:val="24"/>
          <w:lang w:eastAsia="zh-CN"/>
        </w:rPr>
        <w:t>、</w:t>
      </w:r>
      <w:r>
        <w:rPr>
          <w:rFonts w:hint="eastAsia"/>
          <w:spacing w:val="0"/>
          <w:position w:val="0"/>
          <w:sz w:val="24"/>
          <w:szCs w:val="24"/>
          <w:lang w:val="en-US" w:eastAsia="zh-CN"/>
        </w:rPr>
        <w:t>G2-2定型废气、G3-2定型废气、G4-4定型废气</w:t>
      </w:r>
      <w:r>
        <w:rPr>
          <w:rFonts w:hint="eastAsia"/>
          <w:spacing w:val="0"/>
          <w:position w:val="0"/>
          <w:sz w:val="24"/>
          <w:szCs w:val="24"/>
          <w:lang w:eastAsia="zh-CN"/>
        </w:rPr>
        <w:t>。定型整理需使用一定量的助剂（抗黄剂、柔软剂），在高温过程中，助剂中的挥发性成分逸散以及织物表面的各种染料受热挥发，产生了油脂、有机质等有机废气。</w:t>
      </w:r>
      <w:r>
        <w:rPr>
          <w:rFonts w:hint="eastAsia"/>
          <w:spacing w:val="0"/>
          <w:position w:val="0"/>
          <w:sz w:val="24"/>
          <w:szCs w:val="24"/>
        </w:rPr>
        <w:t>项目</w:t>
      </w:r>
      <w:r>
        <w:rPr>
          <w:rFonts w:hint="eastAsia"/>
          <w:spacing w:val="0"/>
          <w:position w:val="0"/>
          <w:sz w:val="24"/>
          <w:szCs w:val="24"/>
          <w:lang w:eastAsia="zh-CN"/>
        </w:rPr>
        <w:t>配备</w:t>
      </w:r>
      <w:r>
        <w:rPr>
          <w:rFonts w:hint="eastAsia"/>
          <w:spacing w:val="0"/>
          <w:position w:val="0"/>
          <w:sz w:val="24"/>
          <w:szCs w:val="24"/>
          <w:lang w:val="en-US" w:eastAsia="zh-CN"/>
        </w:rPr>
        <w:t>28台定型机，</w:t>
      </w:r>
      <w:r>
        <w:rPr>
          <w:rFonts w:hint="eastAsia"/>
          <w:spacing w:val="0"/>
          <w:position w:val="0"/>
          <w:sz w:val="24"/>
          <w:szCs w:val="24"/>
        </w:rPr>
        <w:t>拟采用热能回收高压电子净化装置，</w:t>
      </w:r>
      <w:r>
        <w:rPr>
          <w:rFonts w:hint="eastAsia"/>
          <w:spacing w:val="0"/>
          <w:position w:val="0"/>
          <w:sz w:val="24"/>
          <w:szCs w:val="24"/>
          <w:lang w:eastAsia="zh-CN"/>
        </w:rPr>
        <w:t>每</w:t>
      </w:r>
      <w:r>
        <w:rPr>
          <w:rFonts w:hint="eastAsia"/>
          <w:spacing w:val="0"/>
          <w:position w:val="0"/>
          <w:sz w:val="24"/>
          <w:szCs w:val="24"/>
          <w:lang w:val="en-US" w:eastAsia="zh-CN"/>
        </w:rPr>
        <w:t>3台或4台定型机设置1套定型废气处理装置，共计8套定型废气处理装置。</w:t>
      </w:r>
      <w:r>
        <w:rPr>
          <w:rFonts w:hint="eastAsia"/>
          <w:spacing w:val="0"/>
          <w:position w:val="0"/>
          <w:sz w:val="24"/>
          <w:szCs w:val="24"/>
        </w:rPr>
        <w:t>采用“热能回收+冷却+静电”的工艺对定型废气进行封闭处理，将各台定型机的头、中、尾三处集气管道收集的废气处理后通过排气筒引至厂房屋顶排放。</w:t>
      </w:r>
    </w:p>
    <w:p>
      <w:pPr>
        <w:adjustRightInd w:val="0"/>
        <w:snapToGrid w:val="0"/>
        <w:spacing w:line="360" w:lineRule="auto"/>
        <w:ind w:firstLine="480" w:firstLineChars="200"/>
        <w:rPr>
          <w:rFonts w:hint="default" w:eastAsia="宋体"/>
          <w:spacing w:val="0"/>
          <w:position w:val="0"/>
          <w:sz w:val="24"/>
          <w:szCs w:val="24"/>
          <w:vertAlign w:val="baseline"/>
          <w:lang w:val="en-US" w:eastAsia="zh-CN"/>
        </w:rPr>
      </w:pPr>
      <w:r>
        <w:rPr>
          <w:rFonts w:hint="eastAsia"/>
          <w:spacing w:val="0"/>
          <w:position w:val="0"/>
          <w:sz w:val="24"/>
          <w:szCs w:val="24"/>
          <w:lang w:eastAsia="zh-CN"/>
        </w:rPr>
        <w:t>根据企业生产经验，定型机废气量按每台定型机</w:t>
      </w:r>
      <w:r>
        <w:rPr>
          <w:rFonts w:hint="eastAsia"/>
          <w:spacing w:val="0"/>
          <w:position w:val="0"/>
          <w:sz w:val="24"/>
          <w:szCs w:val="24"/>
          <w:lang w:val="en-US" w:eastAsia="zh-CN"/>
        </w:rPr>
        <w:t>20000m</w:t>
      </w:r>
      <w:r>
        <w:rPr>
          <w:rFonts w:hint="eastAsia"/>
          <w:spacing w:val="0"/>
          <w:position w:val="0"/>
          <w:sz w:val="24"/>
          <w:szCs w:val="24"/>
          <w:vertAlign w:val="superscript"/>
          <w:lang w:val="en-US" w:eastAsia="zh-CN"/>
        </w:rPr>
        <w:t>3</w:t>
      </w:r>
      <w:r>
        <w:rPr>
          <w:rFonts w:hint="eastAsia"/>
          <w:spacing w:val="0"/>
          <w:position w:val="0"/>
          <w:sz w:val="24"/>
          <w:szCs w:val="24"/>
          <w:vertAlign w:val="baseline"/>
          <w:lang w:val="en-US" w:eastAsia="zh-CN"/>
        </w:rPr>
        <w:t>/h计。根据《污染源源强核算技术指南 纺织印染工业》（HJ990-2018），拟建工程污染源废气污染物中的油烟、颗粒物、非甲烷总烃优先采用类比法，其次采用产污系数法。由于各企业的废气治理方式差异较大，因此本评价的主要污染物的排放情况参照同类企业的产生浓度，并结合本项目拟上废气治理设施的去除效率估算。</w:t>
      </w:r>
    </w:p>
    <w:p>
      <w:pPr>
        <w:adjustRightInd w:val="0"/>
        <w:snapToGrid w:val="0"/>
        <w:spacing w:line="360" w:lineRule="auto"/>
        <w:ind w:firstLine="482" w:firstLineChars="200"/>
        <w:rPr>
          <w:rFonts w:hint="eastAsia"/>
          <w:b/>
          <w:bCs/>
          <w:spacing w:val="0"/>
          <w:position w:val="0"/>
          <w:sz w:val="24"/>
          <w:szCs w:val="24"/>
        </w:rPr>
      </w:pPr>
      <w:r>
        <w:rPr>
          <w:rFonts w:hint="eastAsia"/>
          <w:b/>
          <w:bCs/>
          <w:spacing w:val="0"/>
          <w:position w:val="0"/>
          <w:sz w:val="24"/>
          <w:szCs w:val="24"/>
          <w:lang w:eastAsia="zh-CN"/>
        </w:rPr>
        <w:t>①</w:t>
      </w:r>
      <w:r>
        <w:rPr>
          <w:rFonts w:hint="eastAsia"/>
          <w:b/>
          <w:bCs/>
          <w:spacing w:val="0"/>
          <w:position w:val="0"/>
          <w:sz w:val="24"/>
          <w:szCs w:val="24"/>
        </w:rPr>
        <w:t>颗粒物：</w:t>
      </w:r>
    </w:p>
    <w:p>
      <w:pPr>
        <w:adjustRightInd w:val="0"/>
        <w:snapToGrid w:val="0"/>
        <w:spacing w:line="360" w:lineRule="auto"/>
        <w:ind w:firstLine="480" w:firstLineChars="200"/>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根据《浙江省纺织染整工业大气污染物排放标准编制说明》，颗粒物产生浓度在5.41~2821.4mg/m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，平均浓度202.85mg/m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，同时类比同类企业颗粒物产生情况19.8~67.6，本项目颗粒物产生浓度按200mg/m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计算，采用静电处理，颗粒物去除率取95%，则排放浓度为10mg/m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w:t>
      </w:r>
    </w:p>
    <w:p>
      <w:pPr>
        <w:adjustRightInd w:val="0"/>
        <w:snapToGrid w:val="0"/>
        <w:spacing w:line="360" w:lineRule="auto"/>
        <w:ind w:firstLine="480" w:firstLineChars="200"/>
        <w:rPr>
          <w:rFonts w:hint="default"/>
          <w:b w:val="0"/>
          <w:bCs w:val="0"/>
          <w:spacing w:val="0"/>
          <w:position w:val="0"/>
          <w:sz w:val="24"/>
          <w:szCs w:val="24"/>
          <w:lang w:val="en-US" w:eastAsia="zh-CN"/>
        </w:rPr>
      </w:pPr>
    </w:p>
    <w:p>
      <w:pPr>
        <w:adjustRightInd w:val="0"/>
        <w:snapToGrid w:val="0"/>
        <w:spacing w:line="360" w:lineRule="auto"/>
        <w:ind w:firstLine="482" w:firstLineChars="200"/>
        <w:rPr>
          <w:rFonts w:hint="eastAsia" w:eastAsia="宋体"/>
          <w:b/>
          <w:bCs/>
          <w:spacing w:val="0"/>
          <w:position w:val="0"/>
          <w:sz w:val="24"/>
          <w:szCs w:val="24"/>
          <w:lang w:eastAsia="zh-CN"/>
        </w:rPr>
      </w:pPr>
      <w:r>
        <w:rPr>
          <w:rFonts w:hint="eastAsia"/>
          <w:b/>
          <w:bCs/>
          <w:spacing w:val="0"/>
          <w:position w:val="0"/>
          <w:sz w:val="24"/>
          <w:szCs w:val="24"/>
          <w:lang w:eastAsia="zh-CN"/>
        </w:rPr>
        <w:t>②油烟：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因本项目坯布均经除油处理，因此定型产生的油雾主要为定型时柔软剂内硅油的升温挥发及定型机定型机润滑的链条油，</w:t>
      </w:r>
      <w:r>
        <w:rPr>
          <w:rFonts w:hint="eastAsia" w:ascii="Times New Roman" w:hAnsi="Times New Roman" w:eastAsia="宋体" w:cs="Times New Roman"/>
          <w:spacing w:val="0"/>
          <w:kern w:val="2"/>
          <w:position w:val="0"/>
          <w:sz w:val="24"/>
          <w:szCs w:val="24"/>
          <w:lang w:val="en-US" w:eastAsia="zh-CN" w:bidi="ar-SA"/>
        </w:rPr>
        <w:t>根据浙江省《纺织染整工业大气污染物排放标准编制说明》，染整定型油烟产生浓度在5.6</w:t>
      </w:r>
      <w:r>
        <w:rPr>
          <w:rFonts w:hint="eastAsia" w:cs="Times New Roman"/>
          <w:spacing w:val="0"/>
          <w:kern w:val="2"/>
          <w:position w:val="0"/>
          <w:sz w:val="24"/>
          <w:szCs w:val="24"/>
          <w:lang w:val="en-US" w:eastAsia="zh-CN" w:bidi="ar-SA"/>
        </w:rPr>
        <w:t>~</w:t>
      </w:r>
      <w:r>
        <w:rPr>
          <w:rFonts w:hint="eastAsia" w:ascii="Times New Roman" w:hAnsi="Times New Roman" w:eastAsia="宋体" w:cs="Times New Roman"/>
          <w:spacing w:val="0"/>
          <w:kern w:val="2"/>
          <w:position w:val="0"/>
          <w:sz w:val="24"/>
          <w:szCs w:val="24"/>
          <w:lang w:val="en-US" w:eastAsia="zh-CN" w:bidi="ar-SA"/>
        </w:rPr>
        <w:t>6244.8mg/m</w:t>
      </w:r>
      <w:r>
        <w:rPr>
          <w:rFonts w:hint="eastAsia" w:ascii="Times New Roman" w:hAnsi="Times New Roman" w:eastAsia="宋体" w:cs="Times New Roman"/>
          <w:spacing w:val="0"/>
          <w:kern w:val="2"/>
          <w:position w:val="0"/>
          <w:sz w:val="24"/>
          <w:szCs w:val="24"/>
          <w:vertAlign w:val="superscript"/>
          <w:lang w:val="en-US" w:eastAsia="zh-CN" w:bidi="ar-SA"/>
        </w:rPr>
        <w:t>3</w:t>
      </w:r>
      <w:r>
        <w:rPr>
          <w:rFonts w:hint="eastAsia" w:ascii="Times New Roman" w:hAnsi="Times New Roman" w:eastAsia="宋体" w:cs="Times New Roman"/>
          <w:spacing w:val="0"/>
          <w:kern w:val="2"/>
          <w:position w:val="0"/>
          <w:sz w:val="24"/>
          <w:szCs w:val="24"/>
          <w:lang w:val="en-US" w:eastAsia="zh-CN" w:bidi="ar-SA"/>
        </w:rPr>
        <w:t>，</w:t>
      </w:r>
      <w:r>
        <w:rPr>
          <w:rFonts w:hint="eastAsia" w:cs="Times New Roman"/>
          <w:spacing w:val="0"/>
          <w:kern w:val="2"/>
          <w:position w:val="0"/>
          <w:sz w:val="24"/>
          <w:szCs w:val="24"/>
          <w:lang w:val="en-US" w:eastAsia="zh-CN" w:bidi="ar-SA"/>
        </w:rPr>
        <w:t>平均浓度在430</w:t>
      </w:r>
      <w:r>
        <w:rPr>
          <w:rFonts w:hint="eastAsia" w:ascii="Times New Roman" w:hAnsi="Times New Roman" w:eastAsia="宋体" w:cs="Times New Roman"/>
          <w:spacing w:val="0"/>
          <w:kern w:val="2"/>
          <w:position w:val="0"/>
          <w:sz w:val="24"/>
          <w:szCs w:val="24"/>
          <w:lang w:val="en-US" w:eastAsia="zh-CN" w:bidi="ar-SA"/>
        </w:rPr>
        <w:t>mg/m</w:t>
      </w:r>
      <w:r>
        <w:rPr>
          <w:rFonts w:hint="eastAsia" w:ascii="Times New Roman" w:hAnsi="Times New Roman" w:eastAsia="宋体" w:cs="Times New Roman"/>
          <w:spacing w:val="0"/>
          <w:kern w:val="2"/>
          <w:position w:val="0"/>
          <w:sz w:val="24"/>
          <w:szCs w:val="24"/>
          <w:vertAlign w:val="superscript"/>
          <w:lang w:val="en-US" w:eastAsia="zh-CN" w:bidi="ar-SA"/>
        </w:rPr>
        <w:t>3</w:t>
      </w:r>
      <w:r>
        <w:rPr>
          <w:rFonts w:hint="eastAsia" w:cs="Times New Roman"/>
          <w:spacing w:val="0"/>
          <w:kern w:val="2"/>
          <w:position w:val="0"/>
          <w:sz w:val="24"/>
          <w:szCs w:val="24"/>
          <w:vertAlign w:val="baseline"/>
          <w:lang w:val="en-US" w:eastAsia="zh-CN" w:bidi="ar-SA"/>
        </w:rPr>
        <w:t>，</w:t>
      </w:r>
      <w:r>
        <w:rPr>
          <w:rFonts w:hint="eastAsia" w:ascii="Times New Roman" w:hAnsi="Times New Roman" w:eastAsia="宋体" w:cs="Times New Roman"/>
          <w:spacing w:val="0"/>
          <w:kern w:val="2"/>
          <w:position w:val="0"/>
          <w:sz w:val="24"/>
          <w:szCs w:val="24"/>
          <w:lang w:val="en-US" w:eastAsia="zh-CN" w:bidi="ar-SA"/>
        </w:rPr>
        <w:t>同时类比调查相关企业</w:t>
      </w:r>
      <w:r>
        <w:rPr>
          <w:rFonts w:hint="eastAsia" w:cs="Times New Roman"/>
          <w:spacing w:val="0"/>
          <w:kern w:val="2"/>
          <w:position w:val="0"/>
          <w:sz w:val="24"/>
          <w:szCs w:val="24"/>
          <w:lang w:val="en-US" w:eastAsia="zh-CN" w:bidi="ar-SA"/>
        </w:rPr>
        <w:t>产生浓度为26.9~72.1mg/m</w:t>
      </w:r>
      <w:r>
        <w:rPr>
          <w:rFonts w:hint="eastAsia" w:cs="Times New Roman"/>
          <w:spacing w:val="0"/>
          <w:kern w:val="2"/>
          <w:position w:val="0"/>
          <w:sz w:val="24"/>
          <w:szCs w:val="24"/>
          <w:vertAlign w:val="superscript"/>
          <w:lang w:val="en-US" w:eastAsia="zh-CN" w:bidi="ar-SA"/>
        </w:rPr>
        <w:t>3</w:t>
      </w:r>
      <w:r>
        <w:rPr>
          <w:rFonts w:hint="eastAsia" w:cs="Times New Roman"/>
          <w:spacing w:val="0"/>
          <w:kern w:val="2"/>
          <w:position w:val="0"/>
          <w:sz w:val="24"/>
          <w:szCs w:val="24"/>
          <w:vertAlign w:val="baseline"/>
          <w:lang w:val="en-US" w:eastAsia="zh-CN" w:bidi="ar-SA"/>
        </w:rPr>
        <w:t>，结合其废气处理风量</w:t>
      </w:r>
      <w:r>
        <w:rPr>
          <w:rFonts w:hint="eastAsia" w:cs="Times New Roman"/>
          <w:spacing w:val="0"/>
          <w:kern w:val="2"/>
          <w:position w:val="0"/>
          <w:sz w:val="24"/>
          <w:szCs w:val="24"/>
          <w:lang w:val="en-US" w:eastAsia="zh-CN" w:bidi="ar-SA"/>
        </w:rPr>
        <w:t>，详见表3.4-7</w:t>
      </w:r>
      <w:r>
        <w:rPr>
          <w:rFonts w:hint="eastAsia" w:ascii="Times New Roman" w:hAnsi="Times New Roman" w:eastAsia="宋体" w:cs="Times New Roman"/>
          <w:spacing w:val="0"/>
          <w:kern w:val="2"/>
          <w:position w:val="0"/>
          <w:sz w:val="24"/>
          <w:szCs w:val="24"/>
          <w:lang w:val="en-US" w:eastAsia="zh-CN" w:bidi="ar-SA"/>
        </w:rPr>
        <w:t>，</w:t>
      </w:r>
      <w:r>
        <w:rPr>
          <w:rFonts w:hint="eastAsia" w:cs="Times New Roman"/>
          <w:spacing w:val="0"/>
          <w:kern w:val="2"/>
          <w:position w:val="0"/>
          <w:sz w:val="24"/>
          <w:szCs w:val="24"/>
          <w:lang w:val="en-US" w:eastAsia="zh-CN" w:bidi="ar-SA"/>
        </w:rPr>
        <w:t>以及本项目</w:t>
      </w:r>
      <w:r>
        <w:rPr>
          <w:rFonts w:hint="eastAsia" w:ascii="Times New Roman" w:hAnsi="Times New Roman" w:eastAsia="宋体" w:cs="Times New Roman"/>
          <w:spacing w:val="0"/>
          <w:kern w:val="2"/>
          <w:position w:val="0"/>
          <w:sz w:val="24"/>
          <w:szCs w:val="24"/>
          <w:lang w:val="en-US" w:eastAsia="zh-CN" w:bidi="ar-SA"/>
        </w:rPr>
        <w:t>采用的定型设备属于先进设备，因此</w:t>
      </w:r>
      <w:r>
        <w:rPr>
          <w:rFonts w:hint="eastAsia" w:cs="Times New Roman"/>
          <w:spacing w:val="0"/>
          <w:kern w:val="2"/>
          <w:position w:val="0"/>
          <w:sz w:val="24"/>
          <w:szCs w:val="24"/>
          <w:lang w:val="en-US" w:eastAsia="zh-CN" w:bidi="ar-SA"/>
        </w:rPr>
        <w:t>本次评价油烟</w:t>
      </w:r>
      <w:r>
        <w:rPr>
          <w:rFonts w:hint="eastAsia" w:ascii="Times New Roman" w:hAnsi="Times New Roman" w:eastAsia="宋体" w:cs="Times New Roman"/>
          <w:spacing w:val="0"/>
          <w:kern w:val="2"/>
          <w:position w:val="0"/>
          <w:sz w:val="24"/>
          <w:szCs w:val="24"/>
          <w:lang w:val="en-US" w:eastAsia="zh-CN" w:bidi="ar-SA"/>
        </w:rPr>
        <w:t>取产生浓度为</w:t>
      </w:r>
      <w:r>
        <w:rPr>
          <w:rFonts w:hint="eastAsia" w:cs="Times New Roman"/>
          <w:spacing w:val="0"/>
          <w:kern w:val="2"/>
          <w:position w:val="0"/>
          <w:sz w:val="24"/>
          <w:szCs w:val="24"/>
          <w:lang w:val="en-US" w:eastAsia="zh-CN" w:bidi="ar-SA"/>
        </w:rPr>
        <w:t>150</w:t>
      </w:r>
      <w:r>
        <w:rPr>
          <w:rFonts w:hint="eastAsia" w:ascii="Times New Roman" w:hAnsi="Times New Roman" w:eastAsia="宋体" w:cs="Times New Roman"/>
          <w:spacing w:val="0"/>
          <w:kern w:val="2"/>
          <w:position w:val="0"/>
          <w:sz w:val="24"/>
          <w:szCs w:val="24"/>
          <w:lang w:val="en-US" w:eastAsia="zh-CN" w:bidi="ar-SA"/>
        </w:rPr>
        <w:t>mg/m</w:t>
      </w:r>
      <w:r>
        <w:rPr>
          <w:rFonts w:hint="eastAsia" w:ascii="Times New Roman" w:hAnsi="Times New Roman" w:eastAsia="宋体" w:cs="Times New Roman"/>
          <w:spacing w:val="0"/>
          <w:kern w:val="2"/>
          <w:position w:val="0"/>
          <w:sz w:val="24"/>
          <w:szCs w:val="24"/>
          <w:vertAlign w:val="superscript"/>
          <w:lang w:val="en-US" w:eastAsia="zh-CN" w:bidi="ar-SA"/>
        </w:rPr>
        <w:t>3</w:t>
      </w:r>
      <w:r>
        <w:rPr>
          <w:rFonts w:hint="eastAsia" w:ascii="Times New Roman" w:hAnsi="Times New Roman" w:eastAsia="宋体" w:cs="Times New Roman"/>
          <w:spacing w:val="0"/>
          <w:kern w:val="2"/>
          <w:position w:val="0"/>
          <w:sz w:val="24"/>
          <w:szCs w:val="24"/>
          <w:lang w:val="en-US" w:eastAsia="zh-CN" w:bidi="ar-SA"/>
        </w:rPr>
        <w:t>进行计算</w:t>
      </w:r>
      <w:r>
        <w:rPr>
          <w:rFonts w:hint="eastAsia" w:cs="Times New Roman"/>
          <w:spacing w:val="0"/>
          <w:kern w:val="2"/>
          <w:position w:val="0"/>
          <w:sz w:val="24"/>
          <w:szCs w:val="24"/>
          <w:lang w:val="en-US" w:eastAsia="zh-CN" w:bidi="ar-SA"/>
        </w:rPr>
        <w:t>，油烟去除率去90%，则排放浓度为15mg/m</w:t>
      </w:r>
      <w:r>
        <w:rPr>
          <w:rFonts w:hint="eastAsia" w:cs="Times New Roman"/>
          <w:spacing w:val="0"/>
          <w:kern w:val="2"/>
          <w:position w:val="0"/>
          <w:sz w:val="24"/>
          <w:szCs w:val="24"/>
          <w:vertAlign w:val="superscript"/>
          <w:lang w:val="en-US" w:eastAsia="zh-CN" w:bidi="ar-SA"/>
        </w:rPr>
        <w:t>3</w:t>
      </w:r>
      <w:r>
        <w:rPr>
          <w:rFonts w:hint="eastAsia" w:cs="Times New Roman"/>
          <w:spacing w:val="0"/>
          <w:kern w:val="2"/>
          <w:position w:val="0"/>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b/>
          <w:bCs/>
          <w:spacing w:val="0"/>
          <w:position w:val="0"/>
          <w:sz w:val="24"/>
          <w:szCs w:val="24"/>
          <w:lang w:val="en-US" w:eastAsia="zh-CN"/>
        </w:rPr>
      </w:pPr>
      <w:r>
        <w:rPr>
          <w:rFonts w:hint="eastAsia" w:cs="Times New Roman"/>
          <w:b/>
          <w:bCs/>
          <w:spacing w:val="0"/>
          <w:kern w:val="2"/>
          <w:position w:val="0"/>
          <w:sz w:val="24"/>
          <w:szCs w:val="24"/>
          <w:lang w:val="en-US" w:eastAsia="zh-CN" w:bidi="ar-SA"/>
        </w:rPr>
        <w:t>③</w:t>
      </w:r>
      <w:r>
        <w:rPr>
          <w:rFonts w:hint="eastAsia"/>
          <w:b/>
          <w:bCs/>
          <w:spacing w:val="0"/>
          <w:position w:val="0"/>
          <w:sz w:val="24"/>
          <w:szCs w:val="24"/>
          <w:lang w:val="en-US" w:eastAsia="zh-CN"/>
        </w:rPr>
        <w:t>非甲烷总烃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vertAlign w:val="baseline"/>
          <w:lang w:val="en-US" w:eastAsia="zh-CN"/>
        </w:rPr>
      </w:pPr>
      <w:r>
        <w:rPr>
          <w:rFonts w:hint="eastAsia"/>
          <w:spacing w:val="0"/>
          <w:position w:val="0"/>
          <w:sz w:val="24"/>
          <w:szCs w:val="24"/>
          <w:lang w:eastAsia="zh-CN"/>
        </w:rPr>
        <w:t>非甲烷总烃产生浓度根据类比调查的相关企业及长乐地区染整企业验收监测结果，定型机挥发性有机物（以非甲烷总烃计）处理设施进口浓度值在</w:t>
      </w:r>
      <w:r>
        <w:rPr>
          <w:rFonts w:hint="eastAsia"/>
          <w:spacing w:val="0"/>
          <w:position w:val="0"/>
          <w:sz w:val="24"/>
          <w:szCs w:val="24"/>
          <w:lang w:val="en-US" w:eastAsia="zh-CN"/>
        </w:rPr>
        <w:t>0.82~38.1mg/m</w:t>
      </w:r>
      <w:r>
        <w:rPr>
          <w:rFonts w:hint="eastAsia"/>
          <w:spacing w:val="0"/>
          <w:position w:val="0"/>
          <w:sz w:val="24"/>
          <w:szCs w:val="24"/>
          <w:vertAlign w:val="superscript"/>
          <w:lang w:val="en-US" w:eastAsia="zh-CN"/>
        </w:rPr>
        <w:t>3</w:t>
      </w:r>
      <w:r>
        <w:rPr>
          <w:rFonts w:hint="eastAsia"/>
          <w:spacing w:val="0"/>
          <w:position w:val="0"/>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vertAlign w:val="baseline"/>
          <w:lang w:val="en-US" w:eastAsia="zh-CN"/>
        </w:rPr>
      </w:pPr>
      <w:r>
        <w:rPr>
          <w:rFonts w:hint="eastAsia"/>
          <w:spacing w:val="0"/>
          <w:position w:val="0"/>
          <w:sz w:val="24"/>
          <w:szCs w:val="24"/>
          <w:lang w:eastAsia="zh-CN"/>
        </w:rPr>
        <w:t>根据本项目定型机使用情况，定型机温度在</w:t>
      </w:r>
      <w:r>
        <w:rPr>
          <w:rFonts w:hint="eastAsia"/>
          <w:spacing w:val="0"/>
          <w:position w:val="0"/>
          <w:sz w:val="24"/>
          <w:szCs w:val="24"/>
          <w:lang w:val="en-US" w:eastAsia="zh-CN"/>
        </w:rPr>
        <w:t>180-200</w:t>
      </w:r>
      <w:r>
        <w:rPr>
          <w:rFonts w:hint="default" w:ascii="Times New Roman" w:hAnsi="Times New Roman" w:cs="Times New Roman"/>
          <w:spacing w:val="0"/>
          <w:position w:val="0"/>
          <w:sz w:val="24"/>
          <w:szCs w:val="24"/>
          <w:lang w:val="en-US" w:eastAsia="zh-CN"/>
        </w:rPr>
        <w:t>℃</w:t>
      </w:r>
      <w:r>
        <w:rPr>
          <w:rFonts w:hint="eastAsia"/>
          <w:spacing w:val="0"/>
          <w:position w:val="0"/>
          <w:sz w:val="24"/>
          <w:szCs w:val="24"/>
          <w:lang w:val="en-US" w:eastAsia="zh-CN"/>
        </w:rPr>
        <w:t>左右（属中温定型），通过类比调查同行业企业的验收监测结果，类比企业定型温度在160-180℃（属中温定型），本项目定型温度稍高于调查企业，因此非甲烷总烃产生浓度较高，故本评价按长乐地区染整企业监测值适当提高选取，产生浓度取30mg/m</w:t>
      </w:r>
      <w:r>
        <w:rPr>
          <w:rFonts w:hint="eastAsia"/>
          <w:spacing w:val="0"/>
          <w:position w:val="0"/>
          <w:sz w:val="24"/>
          <w:szCs w:val="24"/>
          <w:vertAlign w:val="superscript"/>
          <w:lang w:val="en-US" w:eastAsia="zh-CN"/>
        </w:rPr>
        <w:t>3</w:t>
      </w:r>
      <w:r>
        <w:rPr>
          <w:rFonts w:hint="eastAsia"/>
          <w:spacing w:val="0"/>
          <w:position w:val="0"/>
          <w:sz w:val="24"/>
          <w:szCs w:val="24"/>
          <w:lang w:val="en-US" w:eastAsia="zh-CN"/>
        </w:rPr>
        <w:t>，定型废气采用“热能回收+冷却+静电”进行处理，非甲烷总烃的去除率取80%，则排放浓度为6mg/m</w:t>
      </w:r>
      <w:r>
        <w:rPr>
          <w:rFonts w:hint="eastAsia"/>
          <w:spacing w:val="0"/>
          <w:position w:val="0"/>
          <w:sz w:val="24"/>
          <w:szCs w:val="24"/>
          <w:vertAlign w:val="superscript"/>
          <w:lang w:val="en-US" w:eastAsia="zh-CN"/>
        </w:rPr>
        <w:t>3</w:t>
      </w:r>
      <w:r>
        <w:rPr>
          <w:rFonts w:hint="eastAsia"/>
          <w:spacing w:val="0"/>
          <w:position w:val="0"/>
          <w:sz w:val="24"/>
          <w:szCs w:val="24"/>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表3.4-</w:t>
      </w:r>
      <w:r>
        <w:rPr>
          <w:rFonts w:hint="eastAsia"/>
          <w:b/>
          <w:bCs/>
          <w:spacing w:val="0"/>
          <w:position w:val="0"/>
          <w:sz w:val="24"/>
          <w:szCs w:val="24"/>
          <w:lang w:val="en-US" w:eastAsia="zh-CN"/>
        </w:rPr>
        <w:t>6长乐地区</w:t>
      </w:r>
      <w:r>
        <w:rPr>
          <w:rFonts w:hint="eastAsia"/>
          <w:b/>
          <w:bCs/>
          <w:spacing w:val="0"/>
          <w:position w:val="0"/>
          <w:sz w:val="24"/>
          <w:szCs w:val="24"/>
        </w:rPr>
        <w:t>同类企业大气污染物产生情况</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4"/>
        <w:gridCol w:w="1609"/>
        <w:gridCol w:w="1984"/>
        <w:gridCol w:w="2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企业名称</w:t>
            </w:r>
          </w:p>
        </w:tc>
        <w:tc>
          <w:tcPr>
            <w:tcW w:w="1609"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采样点位</w:t>
            </w:r>
          </w:p>
        </w:tc>
        <w:tc>
          <w:tcPr>
            <w:tcW w:w="4212" w:type="dxa"/>
            <w:gridSpan w:val="2"/>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非甲烷总烃（mg/m</w:t>
            </w:r>
            <w:r>
              <w:rPr>
                <w:rFonts w:hint="eastAsia"/>
                <w:b/>
                <w:bCs/>
                <w:spacing w:val="0"/>
                <w:position w:val="0"/>
                <w:szCs w:val="21"/>
                <w:vertAlign w:val="superscript"/>
              </w:rPr>
              <w:t>3</w:t>
            </w:r>
            <w:r>
              <w:rPr>
                <w:rFonts w:hint="eastAsia"/>
                <w:b/>
                <w:bCs/>
                <w:spacing w:val="0"/>
                <w:positio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vMerge w:val="continue"/>
            <w:tcBorders>
              <w:tl2br w:val="nil"/>
              <w:tr2bl w:val="nil"/>
            </w:tcBorders>
            <w:vAlign w:val="center"/>
          </w:tcPr>
          <w:p>
            <w:pPr>
              <w:widowControl/>
              <w:adjustRightInd w:val="0"/>
              <w:snapToGrid w:val="0"/>
              <w:jc w:val="center"/>
              <w:rPr>
                <w:b/>
                <w:bCs/>
                <w:spacing w:val="0"/>
                <w:position w:val="0"/>
                <w:szCs w:val="21"/>
              </w:rPr>
            </w:pPr>
          </w:p>
        </w:tc>
        <w:tc>
          <w:tcPr>
            <w:tcW w:w="1609" w:type="dxa"/>
            <w:vMerge w:val="continue"/>
            <w:tcBorders>
              <w:tl2br w:val="nil"/>
              <w:tr2bl w:val="nil"/>
            </w:tcBorders>
            <w:vAlign w:val="center"/>
          </w:tcPr>
          <w:p>
            <w:pPr>
              <w:widowControl/>
              <w:adjustRightInd w:val="0"/>
              <w:snapToGrid w:val="0"/>
              <w:jc w:val="center"/>
              <w:rPr>
                <w:b/>
                <w:bCs/>
                <w:spacing w:val="0"/>
                <w:position w:val="0"/>
                <w:szCs w:val="21"/>
              </w:rPr>
            </w:pPr>
          </w:p>
        </w:tc>
        <w:tc>
          <w:tcPr>
            <w:tcW w:w="1984"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监测浓度</w:t>
            </w:r>
          </w:p>
        </w:tc>
        <w:tc>
          <w:tcPr>
            <w:tcW w:w="222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平均浓度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福建东龙针纺有限公司</w:t>
            </w:r>
          </w:p>
        </w:tc>
        <w:tc>
          <w:tcPr>
            <w:tcW w:w="160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治理设施进口</w:t>
            </w:r>
          </w:p>
        </w:tc>
        <w:tc>
          <w:tcPr>
            <w:tcW w:w="19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0.82~3.84</w:t>
            </w:r>
          </w:p>
        </w:tc>
        <w:tc>
          <w:tcPr>
            <w:tcW w:w="222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长乐力宏染整有限公司</w:t>
            </w:r>
          </w:p>
        </w:tc>
        <w:tc>
          <w:tcPr>
            <w:tcW w:w="160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治理设施进口</w:t>
            </w:r>
          </w:p>
        </w:tc>
        <w:tc>
          <w:tcPr>
            <w:tcW w:w="19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6.01~7.05</w:t>
            </w:r>
          </w:p>
        </w:tc>
        <w:tc>
          <w:tcPr>
            <w:tcW w:w="222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福建福荣针织有限公司</w:t>
            </w:r>
          </w:p>
        </w:tc>
        <w:tc>
          <w:tcPr>
            <w:tcW w:w="160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治理设施进口</w:t>
            </w:r>
          </w:p>
        </w:tc>
        <w:tc>
          <w:tcPr>
            <w:tcW w:w="19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28.1~31.2</w:t>
            </w:r>
          </w:p>
        </w:tc>
        <w:tc>
          <w:tcPr>
            <w:tcW w:w="222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长乐东荣针织有限公司</w:t>
            </w:r>
          </w:p>
        </w:tc>
        <w:tc>
          <w:tcPr>
            <w:tcW w:w="160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治理设施进口</w:t>
            </w:r>
          </w:p>
        </w:tc>
        <w:tc>
          <w:tcPr>
            <w:tcW w:w="19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31.8~38.1</w:t>
            </w:r>
          </w:p>
        </w:tc>
        <w:tc>
          <w:tcPr>
            <w:tcW w:w="222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34.25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福州市厚东针织染整有限公司</w:t>
            </w:r>
          </w:p>
        </w:tc>
        <w:tc>
          <w:tcPr>
            <w:tcW w:w="160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治理设施进口</w:t>
            </w:r>
          </w:p>
        </w:tc>
        <w:tc>
          <w:tcPr>
            <w:tcW w:w="19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7.53~10.4</w:t>
            </w:r>
          </w:p>
        </w:tc>
        <w:tc>
          <w:tcPr>
            <w:tcW w:w="222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长乐市佳联纺织印染有限公司</w:t>
            </w:r>
          </w:p>
        </w:tc>
        <w:tc>
          <w:tcPr>
            <w:tcW w:w="160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治理设施进口</w:t>
            </w:r>
          </w:p>
        </w:tc>
        <w:tc>
          <w:tcPr>
            <w:tcW w:w="198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28.1~31.3</w:t>
            </w:r>
          </w:p>
        </w:tc>
        <w:tc>
          <w:tcPr>
            <w:tcW w:w="222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29.4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p>
    <w:p>
      <w:pPr>
        <w:rPr>
          <w:rFonts w:hint="eastAsia"/>
          <w:spacing w:val="0"/>
          <w:position w:val="0"/>
          <w:sz w:val="24"/>
          <w:szCs w:val="24"/>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pacing w:val="0"/>
          <w:position w:val="0"/>
          <w:sz w:val="24"/>
          <w:szCs w:val="24"/>
          <w:lang w:val="en-US" w:eastAsia="zh-CN"/>
        </w:rPr>
      </w:pPr>
      <w:r>
        <w:rPr>
          <w:rFonts w:hint="eastAsia"/>
          <w:b/>
          <w:bCs/>
          <w:spacing w:val="0"/>
          <w:position w:val="0"/>
          <w:sz w:val="24"/>
          <w:szCs w:val="24"/>
          <w:lang w:val="en-US" w:eastAsia="zh-CN"/>
        </w:rPr>
        <w:t>表3.4-7类比企业废气产生情况一览表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51"/>
        <w:gridCol w:w="1647"/>
        <w:gridCol w:w="1710"/>
        <w:gridCol w:w="1864"/>
        <w:gridCol w:w="1779"/>
        <w:gridCol w:w="1941"/>
        <w:gridCol w:w="2199"/>
        <w:gridCol w:w="16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类比项目名称</w:t>
            </w:r>
          </w:p>
        </w:tc>
        <w:tc>
          <w:tcPr>
            <w:tcW w:w="1647" w:type="dxa"/>
            <w:tcBorders>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福建永丰针纺有限公司染整扩建项目</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(违规备案)</w:t>
            </w:r>
          </w:p>
        </w:tc>
        <w:tc>
          <w:tcPr>
            <w:tcW w:w="1710" w:type="dxa"/>
            <w:tcBorders>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福建省长乐市同源染织有限公司(违规备案)</w:t>
            </w:r>
          </w:p>
        </w:tc>
        <w:tc>
          <w:tcPr>
            <w:tcW w:w="1864" w:type="dxa"/>
            <w:tcBorders>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长乐市佳联纺织印染有限公司染整扩建项目(违规备案)</w:t>
            </w:r>
          </w:p>
        </w:tc>
        <w:tc>
          <w:tcPr>
            <w:tcW w:w="1779" w:type="dxa"/>
            <w:tcBorders>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福建凤竹纺织科技股份有限公司年染整纱线9300吨、针织布66000吨改扩建项目(违规备案)</w:t>
            </w:r>
          </w:p>
        </w:tc>
        <w:tc>
          <w:tcPr>
            <w:tcW w:w="1941" w:type="dxa"/>
            <w:tcBorders>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浙江新益印染有限公司年产针织印染面料26220吨、机织印染面料11100万米集聚升级迁建项目先行竣工环保验收监测报告</w:t>
            </w:r>
          </w:p>
        </w:tc>
        <w:tc>
          <w:tcPr>
            <w:tcW w:w="2199" w:type="dxa"/>
            <w:tcBorders>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长乐力宏染整有限公司染整高档织物面料（长乐市第二染整厂异地改造）项目二期工程(1万吨/年)环保验收监测报告</w:t>
            </w:r>
          </w:p>
        </w:tc>
        <w:tc>
          <w:tcPr>
            <w:tcW w:w="1613" w:type="dxa"/>
            <w:tcBorders>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福州华冠针纺织品有限公司染整扩建项目环保备案申报材料和备案条件表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产能</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化纤布等0.8万t/a</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鞋材服装面料2.5万t/a</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高档面料2.2万</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纱线9300吨、针织</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布66000吨</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针织涤纶染色布</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12757t/a</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高档织物面料1万t/a</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年染整化纤布、纯棉布等28000吨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原辅料</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化纤布（涤纶、锦纶）、分散染料、尼龙明红、匀染剂、助剂</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涤纶、尼龙，分散染料、酸性染料、除油剂、双氧水、烧碱、纯碱、醋酸、匀染剂、保险粉等</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坯布（涤纶、锦纶、氨纶）、染料</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（分散染料和酸性染料）、助剂</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针织坯布、分散染料、活性染料、匀染剂、ACT、保险粉、冰醋酸、片碱、双氧水等助剂</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分散染料、冰醋酸、匀染剂等</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坯布（涤纶、锦纶）、染料（分散、酸性、阳离子）、助剂等</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分散染料、液碱、冰醋酸、保险粉、元明粉、柔色剂、双氧水、助剂等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染整工艺</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坯布-前处理-预定型-染色-水洗-定型</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坯布-前处理-染色-水洗-开</w:t>
            </w:r>
            <w:r>
              <w:rPr>
                <w:rFonts w:hint="eastAsia" w:ascii="Times New Roman" w:hAnsi="Times New Roman"/>
                <w:b w:val="0"/>
                <w:spacing w:val="0"/>
                <w:position w:val="0"/>
                <w:sz w:val="21"/>
                <w:szCs w:val="21"/>
                <w:lang w:val="en-US" w:eastAsia="zh-CN"/>
              </w:rPr>
              <w:t>幅</w:t>
            </w:r>
            <w:r>
              <w:rPr>
                <w:rFonts w:ascii="Times New Roman" w:hAnsi="Times New Roman" w:eastAsia="宋体"/>
                <w:b w:val="0"/>
                <w:spacing w:val="0"/>
                <w:position w:val="0"/>
                <w:sz w:val="21"/>
                <w:szCs w:val="21"/>
              </w:rPr>
              <w:t>-定型</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坯布-除油水洗-染色-水洗-定型</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坯布-除油水洗-染色-水洗3次-烘干-定型</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坯布-染色-水洗3次-定型-拉毛/剪毛-定型</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坯布→前处理→染色→脱水→烘干定型</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坯布-前处理-染色-水洗-理布-定型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定型温度</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中温定型</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中温定型</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中温定型</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中温定型</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中温定型</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中温定型</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中温定型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定型废气源强来源</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实测（1#~6#定型机）</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实测</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实测</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实测</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竣工环保验收监测报告（16~21#定型机——针织涤纶布）</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竣工环保验收监测报告</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（13~18#定型机）</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违规备案实测</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（1#~7#针织化纤定型机）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b w:val="0"/>
                <w:spacing w:val="0"/>
                <w:position w:val="0"/>
                <w:sz w:val="21"/>
                <w:szCs w:val="21"/>
                <w:vertAlign w:val="superscript"/>
                <w:lang w:val="en-US" w:eastAsia="zh-CN"/>
              </w:rPr>
            </w:pPr>
            <w:r>
              <w:rPr>
                <w:rFonts w:ascii="Times New Roman" w:hAnsi="Times New Roman" w:eastAsia="宋体"/>
                <w:b w:val="0"/>
                <w:spacing w:val="0"/>
                <w:position w:val="0"/>
                <w:sz w:val="21"/>
                <w:szCs w:val="21"/>
              </w:rPr>
              <w:t>颗粒物进口浓度mg/m</w:t>
            </w:r>
            <w:r>
              <w:rPr>
                <w:rFonts w:hint="eastAsia" w:ascii="Times New Roman" w:hAnsi="Times New Roman" w:eastAsia="宋体"/>
                <w:b w:val="0"/>
                <w:spacing w:val="0"/>
                <w:position w:val="0"/>
                <w:sz w:val="21"/>
                <w:szCs w:val="21"/>
                <w:vertAlign w:val="superscript"/>
                <w:lang w:val="en-US" w:eastAsia="zh-CN"/>
              </w:rPr>
              <w:t>3</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26.2~34.5</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43.4~62.9</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53.1~67.6</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36.8~53.2</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21.8~29.5</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19.8~23.6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b w:val="0"/>
                <w:spacing w:val="0"/>
                <w:position w:val="0"/>
                <w:sz w:val="21"/>
                <w:szCs w:val="21"/>
                <w:vertAlign w:val="superscript"/>
                <w:lang w:val="en-US" w:eastAsia="zh-CN"/>
              </w:rPr>
            </w:pPr>
            <w:r>
              <w:rPr>
                <w:rFonts w:ascii="Times New Roman" w:hAnsi="Times New Roman" w:eastAsia="宋体"/>
                <w:b w:val="0"/>
                <w:spacing w:val="0"/>
                <w:position w:val="0"/>
                <w:sz w:val="21"/>
                <w:szCs w:val="21"/>
              </w:rPr>
              <w:t>定型油烟进口浓度mg/m</w:t>
            </w:r>
            <w:r>
              <w:rPr>
                <w:rFonts w:hint="eastAsia" w:ascii="Times New Roman" w:hAnsi="Times New Roman" w:eastAsia="宋体"/>
                <w:b w:val="0"/>
                <w:spacing w:val="0"/>
                <w:position w:val="0"/>
                <w:sz w:val="21"/>
                <w:szCs w:val="21"/>
                <w:vertAlign w:val="superscript"/>
                <w:lang w:val="en-US" w:eastAsia="zh-CN"/>
              </w:rPr>
              <w:t>3</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26.9~34.6</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29.4~62.7</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50.9~72.1</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30.2~44.0</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44.1~62.2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b w:val="0"/>
                <w:spacing w:val="0"/>
                <w:position w:val="0"/>
                <w:sz w:val="21"/>
                <w:szCs w:val="21"/>
                <w:vertAlign w:val="superscript"/>
                <w:lang w:val="en-US" w:eastAsia="zh-CN"/>
              </w:rPr>
            </w:pPr>
            <w:r>
              <w:rPr>
                <w:rFonts w:ascii="Times New Roman" w:hAnsi="Times New Roman" w:eastAsia="宋体"/>
                <w:b w:val="0"/>
                <w:spacing w:val="0"/>
                <w:position w:val="0"/>
                <w:sz w:val="21"/>
                <w:szCs w:val="21"/>
              </w:rPr>
              <w:t>非甲烷总烃进口浓度mg/m</w:t>
            </w:r>
            <w:r>
              <w:rPr>
                <w:rFonts w:hint="eastAsia" w:ascii="Times New Roman" w:hAnsi="Times New Roman" w:eastAsia="宋体"/>
                <w:b w:val="0"/>
                <w:spacing w:val="0"/>
                <w:position w:val="0"/>
                <w:sz w:val="21"/>
                <w:szCs w:val="21"/>
                <w:vertAlign w:val="superscript"/>
                <w:lang w:val="en-US" w:eastAsia="zh-CN"/>
              </w:rPr>
              <w:t>3</w:t>
            </w:r>
          </w:p>
        </w:tc>
        <w:tc>
          <w:tcPr>
            <w:tcW w:w="1647"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c>
          <w:tcPr>
            <w:tcW w:w="1710"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c>
          <w:tcPr>
            <w:tcW w:w="1864"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c>
          <w:tcPr>
            <w:tcW w:w="177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7.10~9.63</w:t>
            </w:r>
          </w:p>
        </w:tc>
        <w:tc>
          <w:tcPr>
            <w:tcW w:w="1941"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2.44~3.00</w:t>
            </w:r>
          </w:p>
        </w:tc>
        <w:tc>
          <w:tcPr>
            <w:tcW w:w="2199" w:type="dxa"/>
            <w:tcBorders>
              <w:top w:val="single" w:color="000000" w:sz="6" w:space="0"/>
              <w:left w:val="single" w:color="000000" w:sz="6" w:space="0"/>
              <w:bottom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5.18~9.02</w:t>
            </w:r>
          </w:p>
        </w:tc>
        <w:tc>
          <w:tcPr>
            <w:tcW w:w="1613" w:type="dxa"/>
            <w:tcBorders>
              <w:top w:val="single" w:color="000000" w:sz="6" w:space="0"/>
              <w:left w:val="single" w:color="000000" w:sz="6" w:space="0"/>
              <w:bottom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251" w:type="dxa"/>
            <w:tcBorders>
              <w:top w:val="single" w:color="000000" w:sz="6" w:space="0"/>
              <w:left w:val="nil"/>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风量Nm</w:t>
            </w:r>
            <w:r>
              <w:rPr>
                <w:rFonts w:hint="eastAsia" w:ascii="Times New Roman" w:hAnsi="Times New Roman" w:eastAsia="宋体"/>
                <w:b w:val="0"/>
                <w:spacing w:val="0"/>
                <w:position w:val="0"/>
                <w:sz w:val="21"/>
                <w:szCs w:val="21"/>
                <w:vertAlign w:val="superscript"/>
                <w:lang w:val="en-US" w:eastAsia="zh-CN"/>
              </w:rPr>
              <w:t>3</w:t>
            </w:r>
            <w:r>
              <w:rPr>
                <w:rFonts w:ascii="Times New Roman" w:hAnsi="Times New Roman" w:eastAsia="宋体"/>
                <w:b w:val="0"/>
                <w:spacing w:val="0"/>
                <w:position w:val="0"/>
                <w:sz w:val="21"/>
                <w:szCs w:val="21"/>
              </w:rPr>
              <w:t>/h</w:t>
            </w:r>
          </w:p>
        </w:tc>
        <w:tc>
          <w:tcPr>
            <w:tcW w:w="1647" w:type="dxa"/>
            <w:tcBorders>
              <w:top w:val="single" w:color="000000" w:sz="6" w:space="0"/>
              <w:left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单台1375~1824</w:t>
            </w:r>
          </w:p>
        </w:tc>
        <w:tc>
          <w:tcPr>
            <w:tcW w:w="1710" w:type="dxa"/>
            <w:tcBorders>
              <w:top w:val="single" w:color="000000" w:sz="6" w:space="0"/>
              <w:left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w:t>
            </w:r>
          </w:p>
        </w:tc>
        <w:tc>
          <w:tcPr>
            <w:tcW w:w="1864" w:type="dxa"/>
            <w:tcBorders>
              <w:top w:val="single" w:color="000000" w:sz="6" w:space="0"/>
              <w:left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一拖四</w:t>
            </w:r>
            <w:r>
              <w:rPr>
                <w:rFonts w:ascii="Times New Roman" w:hAnsi="Times New Roman" w:eastAsia="宋体"/>
                <w:b w:val="0"/>
                <w:spacing w:val="0"/>
                <w:w w:val="100"/>
                <w:position w:val="0"/>
                <w:sz w:val="21"/>
                <w:szCs w:val="21"/>
              </w:rPr>
              <w:t>（24800~31100），</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一拖五（26400~30000）</w:t>
            </w:r>
          </w:p>
        </w:tc>
        <w:tc>
          <w:tcPr>
            <w:tcW w:w="1779" w:type="dxa"/>
            <w:tcBorders>
              <w:top w:val="single" w:color="000000" w:sz="6" w:space="0"/>
              <w:left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单台（4933~7250）</w:t>
            </w:r>
          </w:p>
        </w:tc>
        <w:tc>
          <w:tcPr>
            <w:tcW w:w="1941" w:type="dxa"/>
            <w:tcBorders>
              <w:top w:val="single" w:color="000000" w:sz="6" w:space="0"/>
              <w:left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一拖六</w:t>
            </w:r>
          </w:p>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（59567~63576）</w:t>
            </w:r>
          </w:p>
        </w:tc>
        <w:tc>
          <w:tcPr>
            <w:tcW w:w="2199" w:type="dxa"/>
            <w:tcBorders>
              <w:top w:val="single" w:color="000000" w:sz="6" w:space="0"/>
              <w:left w:val="single" w:color="000000" w:sz="6" w:space="0"/>
              <w:right w:val="single" w:color="000000" w:sz="6" w:space="0"/>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单台8850~93389</w:t>
            </w:r>
          </w:p>
        </w:tc>
        <w:tc>
          <w:tcPr>
            <w:tcW w:w="1613" w:type="dxa"/>
            <w:tcBorders>
              <w:top w:val="single" w:color="000000" w:sz="6" w:space="0"/>
              <w:left w:val="single" w:color="000000" w:sz="6" w:space="0"/>
              <w:right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b w:val="0"/>
                <w:spacing w:val="0"/>
                <w:position w:val="0"/>
                <w:sz w:val="21"/>
                <w:szCs w:val="21"/>
              </w:rPr>
            </w:pPr>
            <w:r>
              <w:rPr>
                <w:rFonts w:ascii="Times New Roman" w:hAnsi="Times New Roman" w:eastAsia="宋体"/>
                <w:b w:val="0"/>
                <w:spacing w:val="0"/>
                <w:position w:val="0"/>
                <w:sz w:val="21"/>
                <w:szCs w:val="21"/>
              </w:rPr>
              <w:t>单台2880~9907</w:t>
            </w:r>
          </w:p>
        </w:tc>
      </w:tr>
    </w:tbl>
    <w:p>
      <w:pPr>
        <w:rPr>
          <w:rFonts w:hint="eastAsia"/>
          <w:spacing w:val="0"/>
          <w:position w:val="0"/>
          <w:sz w:val="24"/>
          <w:szCs w:val="24"/>
        </w:rPr>
        <w:sectPr>
          <w:pgSz w:w="16838" w:h="11906" w:orient="landscape"/>
          <w:pgMar w:top="1417"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本项目共配套28台定型机。</w:t>
      </w:r>
      <w:r>
        <w:rPr>
          <w:rFonts w:hint="eastAsia"/>
          <w:spacing w:val="0"/>
          <w:position w:val="0"/>
          <w:sz w:val="24"/>
          <w:szCs w:val="24"/>
          <w:lang w:val="en-US" w:eastAsia="zh-CN"/>
        </w:rPr>
        <w:t>定型废气通过管道引至DA001及DA002</w:t>
      </w:r>
      <w:r>
        <w:rPr>
          <w:rFonts w:hint="eastAsia"/>
          <w:spacing w:val="0"/>
          <w:position w:val="0"/>
          <w:sz w:val="24"/>
          <w:szCs w:val="24"/>
        </w:rPr>
        <w:t>排气筒，总共配备8套废气处理设备</w:t>
      </w:r>
      <w:r>
        <w:rPr>
          <w:rFonts w:hint="eastAsia"/>
          <w:spacing w:val="0"/>
          <w:position w:val="0"/>
          <w:sz w:val="24"/>
          <w:szCs w:val="24"/>
          <w:lang w:eastAsia="zh-CN"/>
        </w:rPr>
        <w:t>，</w:t>
      </w:r>
      <w:r>
        <w:rPr>
          <w:rFonts w:hint="eastAsia"/>
          <w:spacing w:val="0"/>
          <w:position w:val="0"/>
          <w:sz w:val="24"/>
          <w:szCs w:val="24"/>
          <w:lang w:val="en-US" w:eastAsia="zh-CN"/>
        </w:rPr>
        <w:t>废气设备采用一拖三台或一拖四台定型机的方式对废气进行处理</w:t>
      </w:r>
      <w:r>
        <w:rPr>
          <w:rFonts w:hint="eastAsia"/>
          <w:spacing w:val="0"/>
          <w:position w:val="0"/>
          <w:sz w:val="24"/>
          <w:szCs w:val="24"/>
        </w:rPr>
        <w:t>。定型废气排放情况见表3.4-</w:t>
      </w:r>
      <w:r>
        <w:rPr>
          <w:rFonts w:hint="eastAsia"/>
          <w:spacing w:val="0"/>
          <w:position w:val="0"/>
          <w:sz w:val="24"/>
          <w:szCs w:val="24"/>
          <w:lang w:val="en-US" w:eastAsia="zh-CN"/>
        </w:rPr>
        <w:t>10</w:t>
      </w:r>
      <w:r>
        <w:rPr>
          <w:rFonts w:hint="eastAsia"/>
          <w:spacing w:val="0"/>
          <w:position w:val="0"/>
          <w:sz w:val="24"/>
          <w:szCs w:val="24"/>
        </w:rPr>
        <w:t>。</w:t>
      </w:r>
    </w:p>
    <w:p>
      <w:pPr>
        <w:adjustRightInd w:val="0"/>
        <w:snapToGrid w:val="0"/>
        <w:spacing w:line="360" w:lineRule="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3.4.3.2 G2-3磨毛废气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在染色的后整理工段，拉毛、剪毛过程会产生纤维尘，以颗粒物表征。根据对同类型企业比《江苏东冠纺织科技有限公司年产10000万米印染整理及家纺产品生产项目验收监测报告》的实测数据：磨毛废气产生量约为坯布量的0.05%，本项目进行拉毛、剪毛环节的最终产品仅为运动休闲功能服饰面料，其加工最大量为7500t/a，由此核算G2-3磨毛废气产生量约3.75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本项目与《江苏东冠纺织科技有限公司年产10000万米印染整理及家纺产品生产项目验收监测报告》的对比：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①类比项目进行起绒工艺（拉毛、剪毛、磨毛）的坯布为化纤布，本项目涉及起绒工艺的坯布也为化纤布，且均使用分散染料，定型整理主要使用柔软剂等环保型整理剂。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②类比项目产品为磨绒化纤印染布，本项目产品为经过起绒工艺的化纤印染布。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③类比项目生产工艺主要包括前处理、染色、定型等主体工艺，其生产设备主要为溢流染色机、卷染机和定型机。本项目生产工艺与类比项目几乎相同，设备类型相同。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b w:val="0"/>
          <w:bCs w:val="0"/>
          <w:spacing w:val="0"/>
          <w:position w:val="0"/>
          <w:sz w:val="24"/>
          <w:szCs w:val="24"/>
          <w:lang w:val="en-US" w:eastAsia="zh-CN"/>
        </w:rPr>
      </w:pPr>
      <w:r>
        <w:rPr>
          <w:rFonts w:hint="eastAsia"/>
          <w:b w:val="0"/>
          <w:bCs w:val="0"/>
          <w:spacing w:val="0"/>
          <w:position w:val="0"/>
          <w:sz w:val="24"/>
          <w:szCs w:val="24"/>
          <w:lang w:val="en-US" w:eastAsia="zh-CN"/>
        </w:rPr>
        <w:t>本项目使用的原辅材料与加工工艺、主要设备均与类比项目相似，因此具有类比性。生产时后整理车间全密闭，G2-3磨毛废气经布袋除尘器处理，于车间内排放。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eastAsia="宋体"/>
          <w:b/>
          <w:bCs/>
          <w:spacing w:val="0"/>
          <w:position w:val="0"/>
          <w:sz w:val="24"/>
          <w:szCs w:val="24"/>
          <w:lang w:eastAsia="zh-CN"/>
        </w:rPr>
      </w:pPr>
      <w:r>
        <w:rPr>
          <w:rFonts w:hint="eastAsia"/>
          <w:b/>
          <w:bCs/>
          <w:spacing w:val="0"/>
          <w:position w:val="0"/>
          <w:sz w:val="24"/>
          <w:szCs w:val="24"/>
        </w:rPr>
        <w:t>3.4.3.</w:t>
      </w:r>
      <w:r>
        <w:rPr>
          <w:rFonts w:hint="eastAsia"/>
          <w:b/>
          <w:bCs/>
          <w:spacing w:val="0"/>
          <w:position w:val="0"/>
          <w:sz w:val="24"/>
          <w:szCs w:val="24"/>
          <w:lang w:val="en-US" w:eastAsia="zh-CN"/>
        </w:rPr>
        <w:t>3 G3-1印花废气</w:t>
      </w:r>
    </w:p>
    <w:p>
      <w:pPr>
        <w:widowControl w:val="0"/>
        <w:adjustRightInd w:val="0"/>
        <w:snapToGrid w:val="0"/>
        <w:spacing w:line="360" w:lineRule="auto"/>
        <w:ind w:firstLine="480" w:firstLineChars="200"/>
        <w:rPr>
          <w:rFonts w:hint="default" w:eastAsia="宋体"/>
          <w:spacing w:val="0"/>
          <w:position w:val="0"/>
          <w:sz w:val="24"/>
          <w:szCs w:val="24"/>
          <w:lang w:val="en-US" w:eastAsia="zh-CN"/>
        </w:rPr>
      </w:pPr>
      <w:r>
        <w:rPr>
          <w:rFonts w:hint="eastAsia"/>
          <w:spacing w:val="0"/>
          <w:position w:val="0"/>
          <w:sz w:val="24"/>
          <w:szCs w:val="24"/>
          <w:lang w:eastAsia="zh-CN"/>
        </w:rPr>
        <w:t>项目涉及</w:t>
      </w:r>
      <w:r>
        <w:rPr>
          <w:rFonts w:hint="eastAsia"/>
          <w:spacing w:val="0"/>
          <w:position w:val="0"/>
          <w:sz w:val="24"/>
          <w:szCs w:val="24"/>
          <w:lang w:val="en-US" w:eastAsia="zh-CN"/>
        </w:rPr>
        <w:t>G3-1印花废气的生产车间为印花车间，生产工艺为数码印花工艺，</w:t>
      </w:r>
      <w:r>
        <w:rPr>
          <w:rFonts w:hint="eastAsia"/>
          <w:b w:val="0"/>
          <w:bCs w:val="0"/>
          <w:spacing w:val="0"/>
          <w:position w:val="0"/>
          <w:sz w:val="24"/>
          <w:szCs w:val="24"/>
          <w:lang w:val="en-US" w:eastAsia="zh-CN"/>
        </w:rPr>
        <w:t>根据《排放源统计调查产排污核算方法和系数手册》“1752 化纤织物染整精加工行业系数手册”中“印花工段-印染化纤布类-数码印花工艺”的挥发性有机物产污系数79.60g/吨-产品进行核算，本项目数码印花年产量2250t，因此挥发性有机物</w:t>
      </w:r>
      <w:r>
        <w:rPr>
          <w:rFonts w:hint="eastAsia"/>
          <w:spacing w:val="0"/>
          <w:position w:val="0"/>
          <w:sz w:val="24"/>
          <w:szCs w:val="24"/>
          <w:lang w:val="en-US" w:eastAsia="zh-CN"/>
        </w:rPr>
        <w:t>（以非甲烷总烃计）</w:t>
      </w:r>
      <w:r>
        <w:rPr>
          <w:rFonts w:hint="eastAsia"/>
          <w:b w:val="0"/>
          <w:bCs w:val="0"/>
          <w:spacing w:val="0"/>
          <w:position w:val="0"/>
          <w:sz w:val="24"/>
          <w:szCs w:val="24"/>
          <w:lang w:val="en-US" w:eastAsia="zh-CN"/>
        </w:rPr>
        <w:t>产生量为0.179t/a。G3-1印花废气采用集气罩收集，使用引风机接入定型废气处理装置一并处理，生产时车间密闭，其收集效率按80%计，治理效率按80%计，则G3-1印花废气排放量约为0.064t/a。</w:t>
      </w:r>
    </w:p>
    <w:p>
      <w:pPr>
        <w:adjustRightInd w:val="0"/>
        <w:snapToGrid w:val="0"/>
        <w:spacing w:line="360" w:lineRule="auto"/>
        <w:outlineLvl w:val="3"/>
        <w:rPr>
          <w:rFonts w:hint="eastAsia" w:eastAsia="宋体"/>
          <w:b/>
          <w:bCs/>
          <w:spacing w:val="0"/>
          <w:position w:val="0"/>
          <w:sz w:val="24"/>
          <w:szCs w:val="24"/>
          <w:lang w:eastAsia="zh-CN"/>
        </w:rPr>
      </w:pPr>
      <w:r>
        <w:rPr>
          <w:rFonts w:hint="eastAsia"/>
          <w:b/>
          <w:bCs/>
          <w:spacing w:val="0"/>
          <w:position w:val="0"/>
          <w:sz w:val="24"/>
          <w:szCs w:val="24"/>
        </w:rPr>
        <w:t>3.4.3.</w:t>
      </w:r>
      <w:r>
        <w:rPr>
          <w:rFonts w:hint="eastAsia"/>
          <w:b/>
          <w:bCs/>
          <w:spacing w:val="0"/>
          <w:position w:val="0"/>
          <w:sz w:val="24"/>
          <w:szCs w:val="24"/>
          <w:lang w:val="en-US" w:eastAsia="zh-CN"/>
        </w:rPr>
        <w:t>4 G4-1印花废气、G4-3蒸化废气</w:t>
      </w:r>
    </w:p>
    <w:p>
      <w:pPr>
        <w:widowControl w:val="0"/>
        <w:adjustRightInd w:val="0"/>
        <w:snapToGrid w:val="0"/>
        <w:spacing w:line="360" w:lineRule="auto"/>
        <w:ind w:firstLine="480" w:firstLineChars="200"/>
        <w:rPr>
          <w:rFonts w:hint="default"/>
          <w:spacing w:val="0"/>
          <w:position w:val="0"/>
          <w:sz w:val="24"/>
          <w:szCs w:val="24"/>
          <w:lang w:val="en-US" w:eastAsia="zh-CN"/>
        </w:rPr>
      </w:pPr>
      <w:r>
        <w:rPr>
          <w:rFonts w:hint="eastAsia"/>
          <w:spacing w:val="0"/>
          <w:position w:val="0"/>
          <w:sz w:val="24"/>
          <w:szCs w:val="24"/>
        </w:rPr>
        <w:t>项目</w:t>
      </w:r>
      <w:r>
        <w:rPr>
          <w:rFonts w:hint="eastAsia"/>
          <w:spacing w:val="0"/>
          <w:position w:val="0"/>
          <w:sz w:val="24"/>
          <w:szCs w:val="24"/>
          <w:lang w:eastAsia="zh-CN"/>
        </w:rPr>
        <w:t>涉及</w:t>
      </w:r>
      <w:r>
        <w:rPr>
          <w:rFonts w:hint="eastAsia"/>
          <w:spacing w:val="0"/>
          <w:position w:val="0"/>
          <w:sz w:val="24"/>
          <w:szCs w:val="24"/>
          <w:lang w:val="en-US" w:eastAsia="zh-CN"/>
        </w:rPr>
        <w:t>G4-1印花废气、G4-3蒸化废气的生产车间为印花及蒸化车间</w:t>
      </w:r>
      <w:r>
        <w:rPr>
          <w:rFonts w:hint="eastAsia"/>
          <w:spacing w:val="0"/>
          <w:position w:val="0"/>
          <w:sz w:val="24"/>
          <w:szCs w:val="24"/>
        </w:rPr>
        <w:t>，</w:t>
      </w:r>
      <w:r>
        <w:rPr>
          <w:rFonts w:hint="eastAsia"/>
          <w:spacing w:val="0"/>
          <w:position w:val="0"/>
          <w:sz w:val="24"/>
          <w:szCs w:val="24"/>
          <w:lang w:eastAsia="zh-CN"/>
        </w:rPr>
        <w:t>生产工艺为圆网印花工艺，圆网印花在常温下进行，印花用的染料浆和增稠剂为环保水性胶浆，印花、蒸化过程存在有机物的挥发，类比《泗阳红亿纺织科技有限公司年产</w:t>
      </w:r>
      <w:r>
        <w:rPr>
          <w:rFonts w:hint="eastAsia"/>
          <w:spacing w:val="0"/>
          <w:position w:val="0"/>
          <w:sz w:val="24"/>
          <w:szCs w:val="24"/>
          <w:lang w:val="en-US" w:eastAsia="zh-CN"/>
        </w:rPr>
        <w:t>3400万米高档印染家纺面料竣工环境保护验收报告</w:t>
      </w:r>
      <w:r>
        <w:rPr>
          <w:rFonts w:hint="eastAsia"/>
          <w:spacing w:val="0"/>
          <w:position w:val="0"/>
          <w:sz w:val="24"/>
          <w:szCs w:val="24"/>
          <w:lang w:eastAsia="zh-CN"/>
        </w:rPr>
        <w:t>》（印花生产工艺为前处理坯布→圆网印花→蒸化→水洗→整理定型→检验→成品，原料为化纤布、染料浆、柔顺剂、水等，设备为圆网印花机、蒸化机、印花水洗机，生产工艺、原料、设备基本与本项目相似），核算该项目的印花、蒸化工段</w:t>
      </w:r>
      <w:r>
        <w:rPr>
          <w:rFonts w:hint="eastAsia"/>
          <w:spacing w:val="0"/>
          <w:position w:val="0"/>
          <w:sz w:val="24"/>
          <w:szCs w:val="24"/>
          <w:lang w:val="en-US" w:eastAsia="zh-CN"/>
        </w:rPr>
        <w:t>非甲烷总烃产生系数为0.276kg/t-产品，考虑到监测的偶然性、治理装置运行工况的不稳定等因素，本次环评VOCs产生系数取0.5kg/t-产品。本项目圆网印花能力为2250t/a，则挥发性有机物（以非甲烷总烃计）产生量为1.125t/a。G4-1印花废气、G4-3蒸化废气均采用集气罩收集，使用引风机接入定型废气处理装置一并处理，生产时车间密闭，其收集效率按80%计，治理效率按80%计，则G4-1印花废气、G4-3蒸化废气共计排放0.405t/a。</w:t>
      </w:r>
    </w:p>
    <w:p>
      <w:pPr>
        <w:widowControl w:val="0"/>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综上，印花工艺废气产生量合计如下表3.4-9。</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pacing w:val="0"/>
          <w:position w:val="0"/>
          <w:sz w:val="24"/>
          <w:szCs w:val="24"/>
          <w:vertAlign w:val="baseline"/>
          <w:lang w:val="en-US" w:eastAsia="zh-CN"/>
        </w:rPr>
      </w:pPr>
      <w:r>
        <w:rPr>
          <w:rFonts w:hint="eastAsia"/>
          <w:b/>
          <w:bCs/>
          <w:spacing w:val="0"/>
          <w:position w:val="0"/>
          <w:sz w:val="24"/>
          <w:szCs w:val="24"/>
          <w:lang w:val="en-US" w:eastAsia="zh-CN"/>
        </w:rPr>
        <w:t>表3.4-9印花工艺废气污染物产生情况一览表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9"/>
        <w:gridCol w:w="1080"/>
        <w:gridCol w:w="845"/>
        <w:gridCol w:w="1162"/>
        <w:gridCol w:w="746"/>
        <w:gridCol w:w="1109"/>
        <w:gridCol w:w="1110"/>
        <w:gridCol w:w="12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污染源</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污染物</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产生量（t/a）</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处理设施</w:t>
            </w:r>
          </w:p>
        </w:tc>
        <w:tc>
          <w:tcPr>
            <w:tcW w:w="7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收集率（%）</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有组织产生量（t/a）</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有组织产生速率（kg/h）</w:t>
            </w:r>
          </w:p>
        </w:tc>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无组织产生量（t/a）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G3-1印花废气</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非甲烷总烃</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0.179</w:t>
            </w:r>
          </w:p>
        </w:tc>
        <w:tc>
          <w:tcPr>
            <w:tcW w:w="11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spacing w:val="0"/>
                <w:position w:val="0"/>
                <w:szCs w:val="21"/>
                <w:lang w:val="en-US" w:eastAsia="zh-CN"/>
              </w:rPr>
              <w:t>热回收+</w:t>
            </w:r>
            <w:r>
              <w:rPr>
                <w:rFonts w:hint="eastAsia"/>
                <w:spacing w:val="0"/>
                <w:position w:val="0"/>
                <w:szCs w:val="21"/>
              </w:rPr>
              <w:t>冷却+静电一体化设备</w:t>
            </w:r>
          </w:p>
        </w:tc>
        <w:tc>
          <w:tcPr>
            <w:tcW w:w="7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80</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0.143</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0.018</w:t>
            </w:r>
          </w:p>
        </w:tc>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G4-1印花废气G4-</w:t>
            </w:r>
            <w:r>
              <w:rPr>
                <w:rFonts w:hint="eastAsia"/>
                <w:b w:val="0"/>
                <w:bCs w:val="0"/>
                <w:spacing w:val="0"/>
                <w:position w:val="0"/>
                <w:sz w:val="21"/>
                <w:szCs w:val="24"/>
                <w:vertAlign w:val="baseline"/>
                <w:lang w:val="en-US" w:eastAsia="zh-CN"/>
              </w:rPr>
              <w:t>2</w:t>
            </w:r>
            <w:r>
              <w:rPr>
                <w:rFonts w:hint="eastAsia" w:ascii="Times New Roman" w:hAnsi="Times New Roman" w:eastAsia="宋体"/>
                <w:b w:val="0"/>
                <w:bCs w:val="0"/>
                <w:spacing w:val="0"/>
                <w:position w:val="0"/>
                <w:sz w:val="21"/>
                <w:szCs w:val="24"/>
                <w:vertAlign w:val="baseline"/>
                <w:lang w:val="en-US" w:eastAsia="zh-CN"/>
              </w:rPr>
              <w:t>蒸化废气</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非甲烷总烃</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1.125</w:t>
            </w:r>
          </w:p>
        </w:tc>
        <w:tc>
          <w:tcPr>
            <w:tcW w:w="11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p>
        </w:tc>
        <w:tc>
          <w:tcPr>
            <w:tcW w:w="7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80</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0.90</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0.114</w:t>
            </w:r>
          </w:p>
        </w:tc>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3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合计</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非甲烷总烃</w:t>
            </w:r>
          </w:p>
        </w:tc>
        <w:tc>
          <w:tcPr>
            <w:tcW w:w="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1.304</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pacing w:val="0"/>
                <w:position w:val="0"/>
                <w:szCs w:val="21"/>
                <w:lang w:val="en-US" w:eastAsia="zh-CN"/>
              </w:rPr>
            </w:pPr>
            <w:r>
              <w:rPr>
                <w:rFonts w:hint="eastAsia"/>
                <w:spacing w:val="0"/>
                <w:position w:val="0"/>
                <w:szCs w:val="21"/>
                <w:lang w:val="en-US" w:eastAsia="zh-CN"/>
              </w:rPr>
              <w:t>/</w:t>
            </w:r>
          </w:p>
        </w:tc>
        <w:tc>
          <w:tcPr>
            <w:tcW w:w="7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1.043</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0.261</w:t>
            </w:r>
          </w:p>
        </w:tc>
      </w:tr>
    </w:tbl>
    <w:p>
      <w:pPr>
        <w:adjustRightInd w:val="0"/>
        <w:snapToGrid w:val="0"/>
        <w:spacing w:line="360" w:lineRule="auto"/>
        <w:outlineLvl w:val="3"/>
        <w:rPr>
          <w:rFonts w:hint="eastAsia"/>
          <w:b/>
          <w:bCs/>
          <w:spacing w:val="0"/>
          <w:position w:val="0"/>
          <w:sz w:val="24"/>
          <w:szCs w:val="24"/>
          <w:lang w:val="en-US" w:eastAsia="zh-CN"/>
        </w:rPr>
      </w:pPr>
      <w:r>
        <w:rPr>
          <w:rFonts w:hint="eastAsia"/>
          <w:b/>
          <w:bCs/>
          <w:spacing w:val="0"/>
          <w:position w:val="0"/>
          <w:sz w:val="24"/>
          <w:szCs w:val="24"/>
        </w:rPr>
        <w:t>3.4.3.</w:t>
      </w:r>
      <w:r>
        <w:rPr>
          <w:rFonts w:hint="eastAsia"/>
          <w:b/>
          <w:bCs/>
          <w:spacing w:val="0"/>
          <w:position w:val="0"/>
          <w:sz w:val="24"/>
          <w:szCs w:val="24"/>
          <w:lang w:val="en-US" w:eastAsia="zh-CN"/>
        </w:rPr>
        <w:t>5 恶臭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不设污水处理站，高、低浓度废水分别收集后进入园区污水处理厂集中处理。污水在厂内暂存时间很短，边进边出，正常情况下水温降至50℃以下且经在线监控装置监测满足接管标准后即可通过排污管道送至园区污水处理厂。此外，污水收集池设置在地下一层，池体采取加盖封闭，废气基本不外溢。因此，评价不考虑氨、硫化氢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b w:val="0"/>
          <w:bCs w:val="0"/>
          <w:spacing w:val="0"/>
          <w:position w:val="0"/>
          <w:sz w:val="24"/>
          <w:szCs w:val="24"/>
          <w:lang w:val="en-US" w:eastAsia="zh-CN"/>
        </w:rPr>
      </w:pPr>
      <w:r>
        <w:rPr>
          <w:rFonts w:hint="eastAsia"/>
          <w:b w:val="0"/>
          <w:bCs w:val="0"/>
          <w:spacing w:val="0"/>
          <w:position w:val="0"/>
          <w:sz w:val="24"/>
          <w:szCs w:val="24"/>
          <w:lang w:val="en-US" w:eastAsia="zh-CN"/>
        </w:rPr>
        <w:t>综上，本项目有组织废气排放情况见表3.4-10，无组织废气排放情况见表3.4-11，排气筒情况详见表3.4-12。</w:t>
      </w:r>
    </w:p>
    <w:p>
      <w:pPr>
        <w:adjustRightInd w:val="0"/>
        <w:snapToGrid w:val="0"/>
        <w:spacing w:line="360" w:lineRule="auto"/>
        <w:ind w:firstLine="480" w:firstLineChars="200"/>
        <w:rPr>
          <w:spacing w:val="0"/>
          <w:position w:val="0"/>
          <w:sz w:val="24"/>
          <w:szCs w:val="24"/>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FF0000"/>
          <w:spacing w:val="0"/>
          <w:position w:val="0"/>
          <w:sz w:val="24"/>
          <w:szCs w:val="24"/>
        </w:rPr>
      </w:pPr>
      <w:r>
        <w:rPr>
          <w:rFonts w:hint="eastAsia"/>
          <w:b/>
          <w:bCs/>
          <w:spacing w:val="0"/>
          <w:position w:val="0"/>
          <w:sz w:val="24"/>
          <w:szCs w:val="24"/>
        </w:rPr>
        <w:t>表3.4-</w:t>
      </w:r>
      <w:r>
        <w:rPr>
          <w:rFonts w:hint="eastAsia"/>
          <w:b/>
          <w:bCs/>
          <w:spacing w:val="0"/>
          <w:position w:val="0"/>
          <w:sz w:val="24"/>
          <w:szCs w:val="24"/>
          <w:lang w:val="en-US" w:eastAsia="zh-CN"/>
        </w:rPr>
        <w:t>10</w:t>
      </w:r>
      <w:r>
        <w:rPr>
          <w:rFonts w:hint="eastAsia"/>
          <w:b/>
          <w:bCs/>
          <w:spacing w:val="0"/>
          <w:position w:val="0"/>
          <w:sz w:val="24"/>
          <w:szCs w:val="24"/>
        </w:rPr>
        <w:t xml:space="preserve">  项目</w:t>
      </w:r>
      <w:r>
        <w:rPr>
          <w:rFonts w:hint="eastAsia"/>
          <w:b/>
          <w:bCs/>
          <w:spacing w:val="0"/>
          <w:position w:val="0"/>
          <w:sz w:val="24"/>
          <w:szCs w:val="24"/>
          <w:lang w:eastAsia="zh-CN"/>
        </w:rPr>
        <w:t>有组织废气排放</w:t>
      </w:r>
      <w:r>
        <w:rPr>
          <w:rFonts w:hint="eastAsia"/>
          <w:b/>
          <w:bCs/>
          <w:spacing w:val="0"/>
          <w:position w:val="0"/>
          <w:sz w:val="24"/>
          <w:szCs w:val="24"/>
        </w:rPr>
        <w:t>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8"/>
        <w:gridCol w:w="550"/>
        <w:gridCol w:w="1113"/>
        <w:gridCol w:w="621"/>
        <w:gridCol w:w="883"/>
        <w:gridCol w:w="738"/>
        <w:gridCol w:w="936"/>
        <w:gridCol w:w="837"/>
        <w:gridCol w:w="794"/>
        <w:gridCol w:w="781"/>
        <w:gridCol w:w="678"/>
        <w:gridCol w:w="702"/>
        <w:gridCol w:w="1052"/>
        <w:gridCol w:w="892"/>
        <w:gridCol w:w="849"/>
        <w:gridCol w:w="362"/>
        <w:gridCol w:w="482"/>
        <w:gridCol w:w="553"/>
        <w:gridCol w:w="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车间</w:t>
            </w:r>
          </w:p>
        </w:tc>
        <w:tc>
          <w:tcPr>
            <w:tcW w:w="5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废气编号</w:t>
            </w:r>
          </w:p>
        </w:tc>
        <w:tc>
          <w:tcPr>
            <w:tcW w:w="11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废气污染源</w:t>
            </w:r>
          </w:p>
        </w:tc>
        <w:tc>
          <w:tcPr>
            <w:tcW w:w="6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运行时间(h/a)</w:t>
            </w:r>
          </w:p>
        </w:tc>
        <w:tc>
          <w:tcPr>
            <w:tcW w:w="8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总设计风量(m</w:t>
            </w:r>
            <w:r>
              <w:rPr>
                <w:rFonts w:hint="eastAsia"/>
                <w:b/>
                <w:bCs/>
                <w:spacing w:val="0"/>
                <w:position w:val="0"/>
                <w:szCs w:val="21"/>
                <w:vertAlign w:val="superscript"/>
              </w:rPr>
              <w:t>3</w:t>
            </w:r>
            <w:r>
              <w:rPr>
                <w:rFonts w:hint="eastAsia"/>
                <w:b/>
                <w:bCs/>
                <w:spacing w:val="0"/>
                <w:position w:val="0"/>
                <w:szCs w:val="21"/>
              </w:rPr>
              <w:t>/h)</w:t>
            </w:r>
          </w:p>
        </w:tc>
        <w:tc>
          <w:tcPr>
            <w:tcW w:w="7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污染物</w:t>
            </w:r>
          </w:p>
        </w:tc>
        <w:tc>
          <w:tcPr>
            <w:tcW w:w="2567"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废气</w:t>
            </w:r>
            <w:r>
              <w:rPr>
                <w:rFonts w:hint="eastAsia"/>
                <w:b/>
                <w:bCs/>
                <w:spacing w:val="0"/>
                <w:position w:val="0"/>
                <w:szCs w:val="21"/>
                <w:lang w:eastAsia="zh-CN"/>
              </w:rPr>
              <w:t>有组织</w:t>
            </w:r>
            <w:r>
              <w:rPr>
                <w:rFonts w:hint="eastAsia"/>
                <w:b/>
                <w:bCs/>
                <w:spacing w:val="0"/>
                <w:position w:val="0"/>
                <w:szCs w:val="21"/>
              </w:rPr>
              <w:t>产生情况</w:t>
            </w:r>
          </w:p>
        </w:tc>
        <w:tc>
          <w:tcPr>
            <w:tcW w:w="2161"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废气处理措施</w:t>
            </w:r>
          </w:p>
        </w:tc>
        <w:tc>
          <w:tcPr>
            <w:tcW w:w="2793"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废气</w:t>
            </w:r>
            <w:r>
              <w:rPr>
                <w:rFonts w:hint="eastAsia"/>
                <w:b/>
                <w:bCs/>
                <w:spacing w:val="0"/>
                <w:position w:val="0"/>
                <w:szCs w:val="21"/>
                <w:lang w:eastAsia="zh-CN"/>
              </w:rPr>
              <w:t>有组织</w:t>
            </w:r>
            <w:r>
              <w:rPr>
                <w:rFonts w:hint="eastAsia"/>
                <w:b/>
                <w:bCs/>
                <w:spacing w:val="0"/>
                <w:position w:val="0"/>
                <w:szCs w:val="21"/>
              </w:rPr>
              <w:t>排放情况</w:t>
            </w:r>
          </w:p>
        </w:tc>
        <w:tc>
          <w:tcPr>
            <w:tcW w:w="1940"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排气筒参数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p>
        </w:tc>
        <w:tc>
          <w:tcPr>
            <w:tcW w:w="7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p>
        </w:tc>
        <w:tc>
          <w:tcPr>
            <w:tcW w:w="9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产生浓度(mg/m</w:t>
            </w:r>
            <w:r>
              <w:rPr>
                <w:rFonts w:hint="eastAsia"/>
                <w:b/>
                <w:bCs/>
                <w:spacing w:val="0"/>
                <w:position w:val="0"/>
                <w:szCs w:val="21"/>
                <w:vertAlign w:val="superscript"/>
              </w:rPr>
              <w:t>3</w:t>
            </w:r>
            <w:r>
              <w:rPr>
                <w:rFonts w:hint="eastAsia"/>
                <w:b/>
                <w:bCs/>
                <w:spacing w:val="0"/>
                <w:position w:val="0"/>
                <w:szCs w:val="21"/>
              </w:rPr>
              <w:t>)</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产生速率(kg/h)</w:t>
            </w:r>
          </w:p>
        </w:tc>
        <w:tc>
          <w:tcPr>
            <w:tcW w:w="7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产生量（t/a）</w:t>
            </w:r>
          </w:p>
        </w:tc>
        <w:tc>
          <w:tcPr>
            <w:tcW w:w="7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治理设备</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设备数量</w:t>
            </w: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处理效率</w:t>
            </w:r>
          </w:p>
        </w:tc>
        <w:tc>
          <w:tcPr>
            <w:tcW w:w="10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排放浓度(mg/m</w:t>
            </w:r>
            <w:r>
              <w:rPr>
                <w:rFonts w:hint="eastAsia"/>
                <w:b/>
                <w:bCs/>
                <w:spacing w:val="0"/>
                <w:position w:val="0"/>
                <w:szCs w:val="21"/>
                <w:vertAlign w:val="superscript"/>
              </w:rPr>
              <w:t>3</w:t>
            </w:r>
            <w:r>
              <w:rPr>
                <w:rFonts w:hint="eastAsia"/>
                <w:b/>
                <w:bCs/>
                <w:spacing w:val="0"/>
                <w:position w:val="0"/>
                <w:szCs w:val="21"/>
              </w:rPr>
              <w:t>)</w:t>
            </w:r>
          </w:p>
        </w:tc>
        <w:tc>
          <w:tcPr>
            <w:tcW w:w="8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排放速率(kg/h)</w:t>
            </w:r>
          </w:p>
        </w:tc>
        <w:tc>
          <w:tcPr>
            <w:tcW w:w="84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排放量（t/a）</w:t>
            </w:r>
          </w:p>
        </w:tc>
        <w:tc>
          <w:tcPr>
            <w:tcW w:w="36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b/>
                <w:bCs/>
                <w:spacing w:val="0"/>
                <w:position w:val="0"/>
                <w:szCs w:val="21"/>
                <w:lang w:val="en-US" w:eastAsia="zh-CN"/>
              </w:rPr>
            </w:pPr>
            <w:r>
              <w:rPr>
                <w:rFonts w:hint="eastAsia"/>
                <w:b/>
                <w:bCs/>
                <w:spacing w:val="0"/>
                <w:position w:val="0"/>
                <w:szCs w:val="21"/>
                <w:lang w:val="en-US" w:eastAsia="zh-CN"/>
              </w:rPr>
              <w:t>编号</w:t>
            </w:r>
          </w:p>
        </w:tc>
        <w:tc>
          <w:tcPr>
            <w:tcW w:w="4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b/>
                <w:bCs/>
                <w:spacing w:val="0"/>
                <w:position w:val="0"/>
                <w:szCs w:val="21"/>
              </w:rPr>
            </w:pPr>
            <w:r>
              <w:rPr>
                <w:rFonts w:hint="eastAsia"/>
                <w:b/>
                <w:bCs/>
                <w:spacing w:val="0"/>
                <w:position w:val="0"/>
                <w:szCs w:val="21"/>
              </w:rPr>
              <w:t>高度(m)</w:t>
            </w:r>
          </w:p>
        </w:tc>
        <w:tc>
          <w:tcPr>
            <w:tcW w:w="5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内径(m)</w:t>
            </w:r>
          </w:p>
        </w:tc>
        <w:tc>
          <w:tcPr>
            <w:tcW w:w="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38" w:type="dxa"/>
            <w:vMerge w:val="restart"/>
            <w:tcBorders>
              <w:tl2br w:val="nil"/>
              <w:tr2bl w:val="nil"/>
            </w:tcBorders>
            <w:vAlign w:val="center"/>
          </w:tcPr>
          <w:p>
            <w:pPr>
              <w:keepNext w:val="0"/>
              <w:keepLines w:val="0"/>
              <w:widowControl/>
              <w:suppressLineNumbers w:val="0"/>
              <w:jc w:val="center"/>
              <w:textAlignment w:val="center"/>
              <w:rPr>
                <w:spacing w:val="0"/>
                <w:position w:val="0"/>
              </w:rPr>
            </w:pPr>
            <w:r>
              <w:rPr>
                <w:rFonts w:hint="eastAsia"/>
                <w:spacing w:val="0"/>
                <w:position w:val="0"/>
                <w:szCs w:val="21"/>
                <w:lang w:val="en-US" w:eastAsia="zh-CN"/>
              </w:rPr>
              <w:t>后整理车间</w:t>
            </w:r>
          </w:p>
        </w:tc>
        <w:tc>
          <w:tcPr>
            <w:tcW w:w="5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G2-1</w:t>
            </w:r>
          </w:p>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spacing w:val="0"/>
                <w:position w:val="0"/>
                <w:szCs w:val="24"/>
              </w:rPr>
            </w:pPr>
            <w:r>
              <w:rPr>
                <w:rFonts w:hint="eastAsia" w:ascii="Times New Roman" w:hAnsi="Times New Roman"/>
                <w:spacing w:val="0"/>
                <w:position w:val="0"/>
                <w:szCs w:val="24"/>
              </w:rPr>
              <w:t>G2</w:t>
            </w:r>
            <w:r>
              <w:rPr>
                <w:rFonts w:hint="eastAsia" w:ascii="Times New Roman" w:hAnsi="Times New Roman"/>
                <w:spacing w:val="0"/>
                <w:position w:val="0"/>
                <w:szCs w:val="24"/>
                <w:lang w:val="en-US" w:eastAsia="zh-CN"/>
              </w:rPr>
              <w:t>-</w:t>
            </w:r>
            <w:r>
              <w:rPr>
                <w:rFonts w:hint="eastAsia"/>
                <w:spacing w:val="0"/>
                <w:position w:val="0"/>
                <w:szCs w:val="24"/>
                <w:lang w:val="en-US" w:eastAsia="zh-CN"/>
              </w:rPr>
              <w:t>2</w:t>
            </w:r>
          </w:p>
        </w:tc>
        <w:tc>
          <w:tcPr>
            <w:tcW w:w="11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1台定型机</w:t>
            </w:r>
          </w:p>
        </w:tc>
        <w:tc>
          <w:tcPr>
            <w:tcW w:w="6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7920</w:t>
            </w:r>
          </w:p>
        </w:tc>
        <w:tc>
          <w:tcPr>
            <w:tcW w:w="8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20000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颗粒物</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31.68</w:t>
            </w:r>
          </w:p>
        </w:tc>
        <w:tc>
          <w:tcPr>
            <w:tcW w:w="7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热回收+</w:t>
            </w:r>
            <w:r>
              <w:rPr>
                <w:rFonts w:hint="eastAsia"/>
                <w:spacing w:val="0"/>
                <w:position w:val="0"/>
                <w:szCs w:val="21"/>
              </w:rPr>
              <w:t>冷却+静电一体化设备</w:t>
            </w: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2</w:t>
            </w:r>
            <w:r>
              <w:rPr>
                <w:rFonts w:hint="eastAsia"/>
                <w:spacing w:val="0"/>
                <w:position w:val="0"/>
                <w:szCs w:val="21"/>
              </w:rPr>
              <w:t>台</w:t>
            </w: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95%</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0.2</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1.584</w:t>
            </w:r>
          </w:p>
        </w:tc>
        <w:tc>
          <w:tcPr>
            <w:tcW w:w="36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DA001</w:t>
            </w:r>
          </w:p>
        </w:tc>
        <w:tc>
          <w:tcPr>
            <w:tcW w:w="4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30</w:t>
            </w:r>
          </w:p>
        </w:tc>
        <w:tc>
          <w:tcPr>
            <w:tcW w:w="55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1.8</w:t>
            </w:r>
          </w:p>
        </w:tc>
        <w:tc>
          <w:tcPr>
            <w:tcW w:w="54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638" w:type="dxa"/>
            <w:vMerge w:val="continue"/>
            <w:tcBorders>
              <w:tl2br w:val="nil"/>
              <w:tr2bl w:val="nil"/>
            </w:tcBorders>
            <w:vAlign w:val="center"/>
          </w:tcPr>
          <w:p>
            <w:pPr>
              <w:keepNext w:val="0"/>
              <w:keepLines w:val="0"/>
              <w:widowControl/>
              <w:suppressLineNumbers w:val="0"/>
              <w:jc w:val="center"/>
              <w:textAlignment w:val="center"/>
              <w:rPr>
                <w:spacing w:val="0"/>
                <w:position w:val="0"/>
              </w:rPr>
            </w:pPr>
          </w:p>
        </w:tc>
        <w:tc>
          <w:tcPr>
            <w:tcW w:w="550" w:type="dxa"/>
            <w:vMerge w:val="continue"/>
            <w:tcBorders>
              <w:tl2br w:val="nil"/>
              <w:tr2bl w:val="nil"/>
            </w:tcBorders>
            <w:vAlign w:val="center"/>
          </w:tcPr>
          <w:p>
            <w:pPr>
              <w:keepNext w:val="0"/>
              <w:keepLines w:val="0"/>
              <w:widowControl/>
              <w:suppressLineNumbers w:val="0"/>
              <w:jc w:val="center"/>
              <w:textAlignment w:val="center"/>
              <w:rPr>
                <w:spacing w:val="0"/>
                <w:position w:val="0"/>
              </w:rPr>
            </w:pPr>
          </w:p>
        </w:tc>
        <w:tc>
          <w:tcPr>
            <w:tcW w:w="1113" w:type="dxa"/>
            <w:vMerge w:val="continue"/>
            <w:tcBorders>
              <w:tl2br w:val="nil"/>
              <w:tr2bl w:val="nil"/>
            </w:tcBorders>
            <w:vAlign w:val="center"/>
          </w:tcPr>
          <w:p>
            <w:pPr>
              <w:keepNext w:val="0"/>
              <w:keepLines w:val="0"/>
              <w:widowControl/>
              <w:suppressLineNumbers w:val="0"/>
              <w:jc w:val="center"/>
              <w:textAlignment w:val="center"/>
              <w:rPr>
                <w:spacing w:val="0"/>
                <w:position w:val="0"/>
              </w:rPr>
            </w:pPr>
          </w:p>
        </w:tc>
        <w:tc>
          <w:tcPr>
            <w:tcW w:w="621" w:type="dxa"/>
            <w:vMerge w:val="continue"/>
            <w:tcBorders>
              <w:tl2br w:val="nil"/>
              <w:tr2bl w:val="nil"/>
            </w:tcBorders>
            <w:vAlign w:val="center"/>
          </w:tcPr>
          <w:p>
            <w:pPr>
              <w:keepNext w:val="0"/>
              <w:keepLines w:val="0"/>
              <w:widowControl/>
              <w:suppressLineNumbers w:val="0"/>
              <w:jc w:val="center"/>
              <w:textAlignment w:val="center"/>
              <w:rPr>
                <w:spacing w:val="0"/>
                <w:position w:val="0"/>
              </w:rPr>
            </w:pPr>
          </w:p>
        </w:tc>
        <w:tc>
          <w:tcPr>
            <w:tcW w:w="883" w:type="dxa"/>
            <w:vMerge w:val="continue"/>
            <w:tcBorders>
              <w:tl2br w:val="nil"/>
              <w:tr2bl w:val="nil"/>
            </w:tcBorders>
            <w:vAlign w:val="center"/>
          </w:tcPr>
          <w:p>
            <w:pPr>
              <w:keepNext w:val="0"/>
              <w:keepLines w:val="0"/>
              <w:widowControl/>
              <w:suppressLineNumbers w:val="0"/>
              <w:jc w:val="center"/>
              <w:textAlignment w:val="center"/>
              <w:rPr>
                <w:spacing w:val="0"/>
                <w:position w:val="0"/>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油烟</w:t>
            </w:r>
          </w:p>
        </w:tc>
        <w:tc>
          <w:tcPr>
            <w:tcW w:w="936"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837"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w:t>
            </w:r>
          </w:p>
        </w:tc>
        <w:tc>
          <w:tcPr>
            <w:tcW w:w="794"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23.76</w:t>
            </w:r>
          </w:p>
        </w:tc>
        <w:tc>
          <w:tcPr>
            <w:tcW w:w="781"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678"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90%</w:t>
            </w:r>
          </w:p>
        </w:tc>
        <w:tc>
          <w:tcPr>
            <w:tcW w:w="1052"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892"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w:t>
            </w:r>
          </w:p>
        </w:tc>
        <w:tc>
          <w:tcPr>
            <w:tcW w:w="849"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2.376</w:t>
            </w:r>
          </w:p>
        </w:tc>
        <w:tc>
          <w:tcPr>
            <w:tcW w:w="362"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482"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553"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543"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638"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550"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1113"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621"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883"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w:t>
            </w:r>
          </w:p>
        </w:tc>
        <w:tc>
          <w:tcPr>
            <w:tcW w:w="837"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0.6</w:t>
            </w:r>
          </w:p>
        </w:tc>
        <w:tc>
          <w:tcPr>
            <w:tcW w:w="794"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4.752</w:t>
            </w:r>
          </w:p>
        </w:tc>
        <w:tc>
          <w:tcPr>
            <w:tcW w:w="781"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678"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80%</w:t>
            </w:r>
          </w:p>
        </w:tc>
        <w:tc>
          <w:tcPr>
            <w:tcW w:w="1052"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892"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0.12</w:t>
            </w:r>
          </w:p>
        </w:tc>
        <w:tc>
          <w:tcPr>
            <w:tcW w:w="849" w:type="dxa"/>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0.950</w:t>
            </w:r>
          </w:p>
        </w:tc>
        <w:tc>
          <w:tcPr>
            <w:tcW w:w="362"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482"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553"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c>
          <w:tcPr>
            <w:tcW w:w="543" w:type="dxa"/>
            <w:vMerge w:val="continue"/>
            <w:tcBorders>
              <w:tl2br w:val="nil"/>
              <w:tr2bl w:val="nil"/>
            </w:tcBorders>
            <w:vAlign w:val="center"/>
          </w:tcPr>
          <w:p>
            <w:pPr>
              <w:keepNext w:val="0"/>
              <w:keepLines w:val="0"/>
              <w:widowControl/>
              <w:suppressLineNumbers w:val="0"/>
              <w:jc w:val="center"/>
              <w:textAlignment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1#定型车间</w:t>
            </w:r>
          </w:p>
        </w:tc>
        <w:tc>
          <w:tcPr>
            <w:tcW w:w="5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G2-1</w:t>
            </w:r>
          </w:p>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ascii="Times New Roman" w:hAnsi="Times New Roman"/>
                <w:spacing w:val="0"/>
                <w:position w:val="0"/>
                <w:szCs w:val="24"/>
              </w:rPr>
              <w:t>G2</w:t>
            </w:r>
            <w:r>
              <w:rPr>
                <w:rFonts w:hint="eastAsia" w:ascii="Times New Roman" w:hAnsi="Times New Roman"/>
                <w:spacing w:val="0"/>
                <w:position w:val="0"/>
                <w:szCs w:val="24"/>
                <w:lang w:val="en-US" w:eastAsia="zh-CN"/>
              </w:rPr>
              <w:t>-</w:t>
            </w:r>
            <w:r>
              <w:rPr>
                <w:rFonts w:hint="eastAsia"/>
                <w:spacing w:val="0"/>
                <w:position w:val="0"/>
                <w:szCs w:val="24"/>
                <w:lang w:val="en-US" w:eastAsia="zh-CN"/>
              </w:rPr>
              <w:t>2</w:t>
            </w:r>
          </w:p>
        </w:tc>
        <w:tc>
          <w:tcPr>
            <w:tcW w:w="11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7</w:t>
            </w:r>
            <w:r>
              <w:rPr>
                <w:rFonts w:hint="eastAsia"/>
                <w:spacing w:val="0"/>
                <w:position w:val="0"/>
                <w:szCs w:val="21"/>
              </w:rPr>
              <w:t>台定型机</w:t>
            </w:r>
          </w:p>
        </w:tc>
        <w:tc>
          <w:tcPr>
            <w:tcW w:w="6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7920</w:t>
            </w:r>
          </w:p>
        </w:tc>
        <w:tc>
          <w:tcPr>
            <w:tcW w:w="8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140000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颗粒物</w:t>
            </w:r>
          </w:p>
        </w:tc>
        <w:tc>
          <w:tcPr>
            <w:tcW w:w="936"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200</w:t>
            </w:r>
          </w:p>
        </w:tc>
        <w:tc>
          <w:tcPr>
            <w:tcW w:w="837"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28</w:t>
            </w:r>
          </w:p>
        </w:tc>
        <w:tc>
          <w:tcPr>
            <w:tcW w:w="794"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221.76</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95%</w:t>
            </w:r>
          </w:p>
        </w:tc>
        <w:tc>
          <w:tcPr>
            <w:tcW w:w="105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89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w:t>
            </w:r>
          </w:p>
        </w:tc>
        <w:tc>
          <w:tcPr>
            <w:tcW w:w="849"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11.088</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油烟</w:t>
            </w:r>
          </w:p>
        </w:tc>
        <w:tc>
          <w:tcPr>
            <w:tcW w:w="936"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837"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w:t>
            </w:r>
          </w:p>
        </w:tc>
        <w:tc>
          <w:tcPr>
            <w:tcW w:w="794"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166.32</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90%</w:t>
            </w:r>
          </w:p>
        </w:tc>
        <w:tc>
          <w:tcPr>
            <w:tcW w:w="105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89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w:t>
            </w:r>
          </w:p>
        </w:tc>
        <w:tc>
          <w:tcPr>
            <w:tcW w:w="849"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16.632</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default" w:eastAsia="宋体"/>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w:t>
            </w:r>
          </w:p>
        </w:tc>
        <w:tc>
          <w:tcPr>
            <w:tcW w:w="837" w:type="dxa"/>
            <w:tcBorders>
              <w:tl2br w:val="nil"/>
              <w:tr2bl w:val="nil"/>
            </w:tcBorders>
            <w:vAlign w:val="center"/>
          </w:tcPr>
          <w:p>
            <w:pPr>
              <w:keepNext w:val="0"/>
              <w:keepLines w:val="0"/>
              <w:widowControl/>
              <w:suppressLineNumbers w:val="0"/>
              <w:jc w:val="center"/>
              <w:textAlignment w:val="center"/>
              <w:rPr>
                <w:rFonts w:hint="eastAsia" w:eastAsia="宋体"/>
                <w:spacing w:val="0"/>
                <w:position w:val="0"/>
                <w:szCs w:val="21"/>
                <w:lang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4.2</w:t>
            </w:r>
          </w:p>
        </w:tc>
        <w:tc>
          <w:tcPr>
            <w:tcW w:w="794" w:type="dxa"/>
            <w:tcBorders>
              <w:tl2br w:val="nil"/>
              <w:tr2bl w:val="nil"/>
            </w:tcBorders>
            <w:vAlign w:val="center"/>
          </w:tcPr>
          <w:p>
            <w:pPr>
              <w:keepNext w:val="0"/>
              <w:keepLines w:val="0"/>
              <w:widowControl/>
              <w:suppressLineNumbers w:val="0"/>
              <w:jc w:val="center"/>
              <w:textAlignment w:val="center"/>
              <w:rPr>
                <w:rFonts w:hint="eastAsia" w:eastAsia="宋体"/>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33.264</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80%</w:t>
            </w:r>
          </w:p>
        </w:tc>
        <w:tc>
          <w:tcPr>
            <w:tcW w:w="1052" w:type="dxa"/>
            <w:tcBorders>
              <w:tl2br w:val="nil"/>
              <w:tr2bl w:val="nil"/>
            </w:tcBorders>
            <w:vAlign w:val="center"/>
          </w:tcPr>
          <w:p>
            <w:pPr>
              <w:keepNext w:val="0"/>
              <w:keepLines w:val="0"/>
              <w:widowControl/>
              <w:suppressLineNumbers w:val="0"/>
              <w:jc w:val="center"/>
              <w:textAlignment w:val="center"/>
              <w:rPr>
                <w:rFonts w:hint="eastAsia" w:eastAsia="宋体"/>
                <w:spacing w:val="0"/>
                <w:position w:val="0"/>
                <w:szCs w:val="21"/>
                <w:lang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89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0.84</w:t>
            </w:r>
          </w:p>
        </w:tc>
        <w:tc>
          <w:tcPr>
            <w:tcW w:w="849"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6.653</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印花及蒸化车间</w:t>
            </w:r>
          </w:p>
        </w:tc>
        <w:tc>
          <w:tcPr>
            <w:tcW w:w="5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4"/>
                <w:lang w:val="en-US" w:eastAsia="zh-CN"/>
              </w:rPr>
            </w:pPr>
            <w:r>
              <w:rPr>
                <w:rFonts w:hint="eastAsia"/>
                <w:spacing w:val="0"/>
                <w:position w:val="0"/>
                <w:sz w:val="21"/>
                <w:szCs w:val="21"/>
              </w:rPr>
              <w:t>G3</w:t>
            </w:r>
            <w:r>
              <w:rPr>
                <w:rFonts w:hint="eastAsia"/>
                <w:spacing w:val="0"/>
                <w:position w:val="0"/>
                <w:sz w:val="21"/>
                <w:szCs w:val="21"/>
                <w:lang w:val="en-US" w:eastAsia="zh-CN"/>
              </w:rPr>
              <w:t>-1</w:t>
            </w:r>
          </w:p>
        </w:tc>
        <w:tc>
          <w:tcPr>
            <w:tcW w:w="11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5台数码印花机</w:t>
            </w:r>
          </w:p>
        </w:tc>
        <w:tc>
          <w:tcPr>
            <w:tcW w:w="6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lang w:val="en-US" w:eastAsia="zh-CN"/>
              </w:rPr>
              <w:t>7920</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2000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9.05</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0.018</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0.143</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lang w:val="en-US" w:eastAsia="zh-CN"/>
              </w:rPr>
              <w:t>80%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1.81</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0.004</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0.029</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5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rPr>
              <w:t>G</w:t>
            </w:r>
            <w:r>
              <w:rPr>
                <w:rFonts w:hint="eastAsia"/>
                <w:spacing w:val="0"/>
                <w:position w:val="0"/>
                <w:szCs w:val="21"/>
                <w:lang w:val="en-US" w:eastAsia="zh-CN"/>
              </w:rPr>
              <w:t>4-1</w:t>
            </w:r>
          </w:p>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4"/>
                <w:lang w:val="en-US" w:eastAsia="zh-CN"/>
              </w:rPr>
            </w:pPr>
            <w:r>
              <w:rPr>
                <w:rFonts w:hint="eastAsia"/>
                <w:spacing w:val="0"/>
                <w:position w:val="0"/>
                <w:szCs w:val="21"/>
                <w:lang w:val="en-US" w:eastAsia="zh-CN"/>
              </w:rPr>
              <w:t>G4-2</w:t>
            </w:r>
          </w:p>
        </w:tc>
        <w:tc>
          <w:tcPr>
            <w:tcW w:w="11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5</w:t>
            </w:r>
            <w:r>
              <w:rPr>
                <w:rFonts w:hint="eastAsia"/>
                <w:spacing w:val="0"/>
                <w:position w:val="0"/>
                <w:szCs w:val="21"/>
              </w:rPr>
              <w:t>台</w:t>
            </w:r>
            <w:r>
              <w:rPr>
                <w:rFonts w:hint="eastAsia"/>
                <w:spacing w:val="0"/>
                <w:position w:val="0"/>
                <w:szCs w:val="21"/>
                <w:lang w:eastAsia="zh-CN"/>
              </w:rPr>
              <w:t>圆网</w:t>
            </w:r>
            <w:r>
              <w:rPr>
                <w:rFonts w:hint="eastAsia"/>
                <w:spacing w:val="0"/>
                <w:position w:val="0"/>
                <w:szCs w:val="21"/>
              </w:rPr>
              <w:t>印花</w:t>
            </w:r>
            <w:r>
              <w:rPr>
                <w:rFonts w:hint="eastAsia"/>
                <w:spacing w:val="0"/>
                <w:position w:val="0"/>
                <w:szCs w:val="21"/>
                <w:lang w:eastAsia="zh-CN"/>
              </w:rPr>
              <w:t>机、</w:t>
            </w:r>
            <w:r>
              <w:rPr>
                <w:rFonts w:hint="eastAsia"/>
                <w:spacing w:val="0"/>
                <w:position w:val="0"/>
                <w:szCs w:val="21"/>
                <w:lang w:val="en-US" w:eastAsia="zh-CN"/>
              </w:rPr>
              <w:t>3台蒸化机</w:t>
            </w:r>
          </w:p>
        </w:tc>
        <w:tc>
          <w:tcPr>
            <w:tcW w:w="6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lang w:val="en-US" w:eastAsia="zh-CN"/>
              </w:rPr>
              <w:t>7920</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4000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28.41</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0.114</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0.9</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80%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5.68</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0.023</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0.18</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2#</w:t>
            </w:r>
            <w:r>
              <w:rPr>
                <w:rFonts w:hint="eastAsia"/>
                <w:spacing w:val="0"/>
                <w:position w:val="0"/>
                <w:szCs w:val="21"/>
              </w:rPr>
              <w:t>定型车间</w:t>
            </w:r>
          </w:p>
        </w:tc>
        <w:tc>
          <w:tcPr>
            <w:tcW w:w="5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4"/>
                <w:lang w:val="en-US" w:eastAsia="zh-CN"/>
              </w:rPr>
            </w:pPr>
            <w:r>
              <w:rPr>
                <w:rFonts w:hint="eastAsia" w:ascii="Times New Roman" w:hAnsi="Times New Roman"/>
                <w:spacing w:val="0"/>
                <w:position w:val="0"/>
                <w:szCs w:val="24"/>
              </w:rPr>
              <w:t>G</w:t>
            </w:r>
            <w:r>
              <w:rPr>
                <w:rFonts w:hint="eastAsia"/>
                <w:spacing w:val="0"/>
                <w:position w:val="0"/>
                <w:szCs w:val="24"/>
                <w:lang w:val="en-US" w:eastAsia="zh-CN"/>
              </w:rPr>
              <w:t>3</w:t>
            </w:r>
            <w:r>
              <w:rPr>
                <w:rFonts w:hint="eastAsia" w:ascii="Times New Roman" w:hAnsi="Times New Roman"/>
                <w:spacing w:val="0"/>
                <w:position w:val="0"/>
                <w:szCs w:val="24"/>
                <w:lang w:val="en-US" w:eastAsia="zh-CN"/>
              </w:rPr>
              <w:t>-</w:t>
            </w:r>
            <w:r>
              <w:rPr>
                <w:rFonts w:hint="eastAsia"/>
                <w:spacing w:val="0"/>
                <w:position w:val="0"/>
                <w:szCs w:val="24"/>
                <w:lang w:val="en-US" w:eastAsia="zh-CN"/>
              </w:rPr>
              <w:t>2</w:t>
            </w:r>
          </w:p>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rPr>
            </w:pPr>
            <w:r>
              <w:rPr>
                <w:rFonts w:hint="eastAsia"/>
                <w:spacing w:val="0"/>
                <w:position w:val="0"/>
                <w:szCs w:val="24"/>
                <w:lang w:val="en-US" w:eastAsia="zh-CN"/>
              </w:rPr>
              <w:t>G4-3</w:t>
            </w:r>
          </w:p>
        </w:tc>
        <w:tc>
          <w:tcPr>
            <w:tcW w:w="11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3</w:t>
            </w:r>
            <w:r>
              <w:rPr>
                <w:rFonts w:hint="eastAsia"/>
                <w:spacing w:val="0"/>
                <w:position w:val="0"/>
                <w:szCs w:val="21"/>
              </w:rPr>
              <w:t>台定型机</w:t>
            </w:r>
          </w:p>
        </w:tc>
        <w:tc>
          <w:tcPr>
            <w:tcW w:w="6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7920</w:t>
            </w:r>
          </w:p>
        </w:tc>
        <w:tc>
          <w:tcPr>
            <w:tcW w:w="8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6</w:t>
            </w:r>
            <w:r>
              <w:rPr>
                <w:rFonts w:hint="eastAsia"/>
                <w:spacing w:val="0"/>
                <w:position w:val="0"/>
                <w:szCs w:val="21"/>
              </w:rPr>
              <w:t>0000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颗粒物</w:t>
            </w:r>
          </w:p>
        </w:tc>
        <w:tc>
          <w:tcPr>
            <w:tcW w:w="936"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200</w:t>
            </w:r>
          </w:p>
        </w:tc>
        <w:tc>
          <w:tcPr>
            <w:tcW w:w="837"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794"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95.04</w:t>
            </w:r>
          </w:p>
        </w:tc>
        <w:tc>
          <w:tcPr>
            <w:tcW w:w="7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热回收+</w:t>
            </w:r>
            <w:r>
              <w:rPr>
                <w:rFonts w:hint="eastAsia"/>
                <w:spacing w:val="0"/>
                <w:position w:val="0"/>
                <w:szCs w:val="21"/>
              </w:rPr>
              <w:t>冷却+静电一体化设备</w:t>
            </w: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1</w:t>
            </w:r>
            <w:r>
              <w:rPr>
                <w:rFonts w:hint="eastAsia"/>
                <w:spacing w:val="0"/>
                <w:position w:val="0"/>
                <w:szCs w:val="21"/>
              </w:rPr>
              <w:t>台</w:t>
            </w: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95%</w:t>
            </w:r>
          </w:p>
        </w:tc>
        <w:tc>
          <w:tcPr>
            <w:tcW w:w="105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89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0.6</w:t>
            </w:r>
          </w:p>
        </w:tc>
        <w:tc>
          <w:tcPr>
            <w:tcW w:w="849"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4.752</w:t>
            </w:r>
          </w:p>
        </w:tc>
        <w:tc>
          <w:tcPr>
            <w:tcW w:w="36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DA002</w:t>
            </w:r>
          </w:p>
        </w:tc>
        <w:tc>
          <w:tcPr>
            <w:tcW w:w="4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30</w:t>
            </w:r>
          </w:p>
        </w:tc>
        <w:tc>
          <w:tcPr>
            <w:tcW w:w="55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1.8</w:t>
            </w:r>
          </w:p>
        </w:tc>
        <w:tc>
          <w:tcPr>
            <w:tcW w:w="54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油烟</w:t>
            </w:r>
          </w:p>
        </w:tc>
        <w:tc>
          <w:tcPr>
            <w:tcW w:w="936"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837"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w:t>
            </w:r>
          </w:p>
        </w:tc>
        <w:tc>
          <w:tcPr>
            <w:tcW w:w="794"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71.28</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90%</w:t>
            </w:r>
          </w:p>
        </w:tc>
        <w:tc>
          <w:tcPr>
            <w:tcW w:w="105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89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0.9</w:t>
            </w:r>
          </w:p>
        </w:tc>
        <w:tc>
          <w:tcPr>
            <w:tcW w:w="849"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7.128</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default" w:eastAsia="宋体"/>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w:t>
            </w:r>
          </w:p>
        </w:tc>
        <w:tc>
          <w:tcPr>
            <w:tcW w:w="837" w:type="dxa"/>
            <w:tcBorders>
              <w:tl2br w:val="nil"/>
              <w:tr2bl w:val="nil"/>
            </w:tcBorders>
            <w:vAlign w:val="center"/>
          </w:tcPr>
          <w:p>
            <w:pPr>
              <w:keepNext w:val="0"/>
              <w:keepLines w:val="0"/>
              <w:widowControl/>
              <w:suppressLineNumbers w:val="0"/>
              <w:jc w:val="center"/>
              <w:textAlignment w:val="center"/>
              <w:rPr>
                <w:rFonts w:hint="eastAsia" w:eastAsia="宋体"/>
                <w:spacing w:val="0"/>
                <w:position w:val="0"/>
                <w:szCs w:val="21"/>
                <w:lang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w:t>
            </w:r>
          </w:p>
        </w:tc>
        <w:tc>
          <w:tcPr>
            <w:tcW w:w="794" w:type="dxa"/>
            <w:tcBorders>
              <w:tl2br w:val="nil"/>
              <w:tr2bl w:val="nil"/>
            </w:tcBorders>
            <w:vAlign w:val="center"/>
          </w:tcPr>
          <w:p>
            <w:pPr>
              <w:keepNext w:val="0"/>
              <w:keepLines w:val="0"/>
              <w:widowControl/>
              <w:suppressLineNumbers w:val="0"/>
              <w:jc w:val="center"/>
              <w:textAlignment w:val="center"/>
              <w:rPr>
                <w:rFonts w:hint="eastAsia" w:eastAsia="宋体"/>
                <w:spacing w:val="0"/>
                <w:position w:val="0"/>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14.256</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80%</w:t>
            </w:r>
          </w:p>
        </w:tc>
        <w:tc>
          <w:tcPr>
            <w:tcW w:w="1052" w:type="dxa"/>
            <w:tcBorders>
              <w:tl2br w:val="nil"/>
              <w:tr2bl w:val="nil"/>
            </w:tcBorders>
            <w:vAlign w:val="center"/>
          </w:tcPr>
          <w:p>
            <w:pPr>
              <w:keepNext w:val="0"/>
              <w:keepLines w:val="0"/>
              <w:widowControl/>
              <w:suppressLineNumbers w:val="0"/>
              <w:jc w:val="center"/>
              <w:textAlignment w:val="center"/>
              <w:rPr>
                <w:rFonts w:hint="eastAsia" w:eastAsia="宋体"/>
                <w:spacing w:val="0"/>
                <w:position w:val="0"/>
                <w:szCs w:val="21"/>
                <w:lang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892"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0.36</w:t>
            </w:r>
          </w:p>
        </w:tc>
        <w:tc>
          <w:tcPr>
            <w:tcW w:w="849" w:type="dxa"/>
            <w:tcBorders>
              <w:tl2br w:val="nil"/>
              <w:tr2bl w:val="nil"/>
            </w:tcBorders>
            <w:vAlign w:val="center"/>
          </w:tcPr>
          <w:p>
            <w:pPr>
              <w:keepNext w:val="0"/>
              <w:keepLines w:val="0"/>
              <w:widowControl/>
              <w:suppressLineNumbers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2.851</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3#定型车间</w:t>
            </w:r>
          </w:p>
        </w:tc>
        <w:tc>
          <w:tcPr>
            <w:tcW w:w="5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G2-1</w:t>
            </w:r>
          </w:p>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ascii="Times New Roman" w:hAnsi="Times New Roman"/>
                <w:spacing w:val="0"/>
                <w:position w:val="0"/>
                <w:szCs w:val="24"/>
              </w:rPr>
              <w:t>G2</w:t>
            </w:r>
            <w:r>
              <w:rPr>
                <w:rFonts w:hint="eastAsia" w:ascii="Times New Roman" w:hAnsi="Times New Roman"/>
                <w:spacing w:val="0"/>
                <w:position w:val="0"/>
                <w:szCs w:val="24"/>
                <w:lang w:val="en-US" w:eastAsia="zh-CN"/>
              </w:rPr>
              <w:t>-</w:t>
            </w:r>
            <w:r>
              <w:rPr>
                <w:rFonts w:hint="eastAsia"/>
                <w:spacing w:val="0"/>
                <w:position w:val="0"/>
                <w:szCs w:val="24"/>
                <w:lang w:val="en-US" w:eastAsia="zh-CN"/>
              </w:rPr>
              <w:t>2</w:t>
            </w:r>
          </w:p>
        </w:tc>
        <w:tc>
          <w:tcPr>
            <w:tcW w:w="11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3台定型机</w:t>
            </w:r>
          </w:p>
        </w:tc>
        <w:tc>
          <w:tcPr>
            <w:tcW w:w="6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7920</w:t>
            </w:r>
          </w:p>
        </w:tc>
        <w:tc>
          <w:tcPr>
            <w:tcW w:w="8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60000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颗粒物</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95.04</w:t>
            </w:r>
          </w:p>
        </w:tc>
        <w:tc>
          <w:tcPr>
            <w:tcW w:w="7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热回收+</w:t>
            </w:r>
            <w:r>
              <w:rPr>
                <w:rFonts w:hint="eastAsia"/>
                <w:spacing w:val="0"/>
                <w:position w:val="0"/>
                <w:szCs w:val="21"/>
              </w:rPr>
              <w:t>冷却+静电一体化设备</w:t>
            </w: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1台</w:t>
            </w: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95%</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0.6</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4.752</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油烟</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71.28</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0.9</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7.128</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14.256</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80%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0.36</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2.851</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4#定型车间</w:t>
            </w:r>
          </w:p>
        </w:tc>
        <w:tc>
          <w:tcPr>
            <w:tcW w:w="5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G2-1</w:t>
            </w:r>
          </w:p>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ascii="Times New Roman" w:hAnsi="Times New Roman"/>
                <w:spacing w:val="0"/>
                <w:position w:val="0"/>
                <w:szCs w:val="24"/>
              </w:rPr>
              <w:t>G2</w:t>
            </w:r>
            <w:r>
              <w:rPr>
                <w:rFonts w:hint="eastAsia" w:ascii="Times New Roman" w:hAnsi="Times New Roman"/>
                <w:spacing w:val="0"/>
                <w:position w:val="0"/>
                <w:szCs w:val="24"/>
                <w:lang w:val="en-US" w:eastAsia="zh-CN"/>
              </w:rPr>
              <w:t>-</w:t>
            </w:r>
            <w:r>
              <w:rPr>
                <w:rFonts w:hint="eastAsia"/>
                <w:spacing w:val="0"/>
                <w:position w:val="0"/>
                <w:szCs w:val="24"/>
                <w:lang w:val="en-US" w:eastAsia="zh-CN"/>
              </w:rPr>
              <w:t>2</w:t>
            </w:r>
          </w:p>
        </w:tc>
        <w:tc>
          <w:tcPr>
            <w:tcW w:w="11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7台定型机</w:t>
            </w:r>
          </w:p>
        </w:tc>
        <w:tc>
          <w:tcPr>
            <w:tcW w:w="6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7920</w:t>
            </w:r>
          </w:p>
        </w:tc>
        <w:tc>
          <w:tcPr>
            <w:tcW w:w="8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14</w:t>
            </w:r>
            <w:r>
              <w:rPr>
                <w:rFonts w:hint="eastAsia"/>
                <w:spacing w:val="0"/>
                <w:position w:val="0"/>
                <w:szCs w:val="21"/>
              </w:rPr>
              <w:t>0000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颗粒物</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28</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221.76</w:t>
            </w:r>
          </w:p>
        </w:tc>
        <w:tc>
          <w:tcPr>
            <w:tcW w:w="7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热回收+</w:t>
            </w:r>
            <w:r>
              <w:rPr>
                <w:rFonts w:hint="eastAsia"/>
                <w:spacing w:val="0"/>
                <w:position w:val="0"/>
                <w:szCs w:val="21"/>
              </w:rPr>
              <w:t>冷却+静电一体化设备</w:t>
            </w: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2台</w:t>
            </w: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95%</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11.088</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油烟</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166.32</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16.632</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4.2</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33.264</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80%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0.84</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6.653</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5#定型车间</w:t>
            </w:r>
          </w:p>
        </w:tc>
        <w:tc>
          <w:tcPr>
            <w:tcW w:w="5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G2-1</w:t>
            </w:r>
          </w:p>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ascii="Times New Roman" w:hAnsi="Times New Roman"/>
                <w:spacing w:val="0"/>
                <w:position w:val="0"/>
                <w:szCs w:val="24"/>
              </w:rPr>
              <w:t>G2</w:t>
            </w:r>
            <w:r>
              <w:rPr>
                <w:rFonts w:hint="eastAsia" w:ascii="Times New Roman" w:hAnsi="Times New Roman"/>
                <w:spacing w:val="0"/>
                <w:position w:val="0"/>
                <w:szCs w:val="24"/>
                <w:lang w:val="en-US" w:eastAsia="zh-CN"/>
              </w:rPr>
              <w:t>-</w:t>
            </w:r>
            <w:r>
              <w:rPr>
                <w:rFonts w:hint="eastAsia"/>
                <w:spacing w:val="0"/>
                <w:position w:val="0"/>
                <w:szCs w:val="24"/>
                <w:lang w:val="en-US" w:eastAsia="zh-CN"/>
              </w:rPr>
              <w:t>2</w:t>
            </w:r>
          </w:p>
        </w:tc>
        <w:tc>
          <w:tcPr>
            <w:tcW w:w="11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7台定型机</w:t>
            </w:r>
          </w:p>
        </w:tc>
        <w:tc>
          <w:tcPr>
            <w:tcW w:w="6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7920</w:t>
            </w:r>
          </w:p>
        </w:tc>
        <w:tc>
          <w:tcPr>
            <w:tcW w:w="8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14</w:t>
            </w:r>
            <w:r>
              <w:rPr>
                <w:rFonts w:hint="eastAsia"/>
                <w:spacing w:val="0"/>
                <w:position w:val="0"/>
                <w:szCs w:val="21"/>
              </w:rPr>
              <w:t>0000</w:t>
            </w: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颗粒物</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28</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221.76</w:t>
            </w:r>
          </w:p>
        </w:tc>
        <w:tc>
          <w:tcPr>
            <w:tcW w:w="7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热回收+</w:t>
            </w:r>
            <w:r>
              <w:rPr>
                <w:rFonts w:hint="eastAsia"/>
                <w:spacing w:val="0"/>
                <w:position w:val="0"/>
                <w:szCs w:val="21"/>
              </w:rPr>
              <w:t>冷却+静电一体化设备</w:t>
            </w: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2台</w:t>
            </w: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95%</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11.088</w:t>
            </w:r>
          </w:p>
        </w:tc>
        <w:tc>
          <w:tcPr>
            <w:tcW w:w="36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DA001</w:t>
            </w:r>
          </w:p>
        </w:tc>
        <w:tc>
          <w:tcPr>
            <w:tcW w:w="4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30</w:t>
            </w:r>
          </w:p>
        </w:tc>
        <w:tc>
          <w:tcPr>
            <w:tcW w:w="55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1.8</w:t>
            </w:r>
          </w:p>
        </w:tc>
        <w:tc>
          <w:tcPr>
            <w:tcW w:w="54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油烟</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166.32</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90%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16.632</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非甲烷总烃</w:t>
            </w:r>
          </w:p>
        </w:tc>
        <w:tc>
          <w:tcPr>
            <w:tcW w:w="93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w:t>
            </w:r>
          </w:p>
        </w:tc>
        <w:tc>
          <w:tcPr>
            <w:tcW w:w="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4.2</w:t>
            </w:r>
          </w:p>
        </w:tc>
        <w:tc>
          <w:tcPr>
            <w:tcW w:w="7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33.264</w:t>
            </w:r>
          </w:p>
        </w:tc>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70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80%</w:t>
            </w:r>
          </w:p>
        </w:tc>
        <w:tc>
          <w:tcPr>
            <w:tcW w:w="10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8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0.84</w:t>
            </w:r>
          </w:p>
        </w:tc>
        <w:tc>
          <w:tcPr>
            <w:tcW w:w="8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6.653</w:t>
            </w:r>
          </w:p>
        </w:tc>
        <w:tc>
          <w:tcPr>
            <w:tcW w:w="3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48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88"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jc w:val="center"/>
              <w:rPr>
                <w:rFonts w:hint="eastAsia" w:eastAsia="宋体"/>
                <w:spacing w:val="0"/>
                <w:position w:val="0"/>
                <w:szCs w:val="21"/>
                <w:lang w:eastAsia="zh-CN"/>
              </w:rPr>
            </w:pPr>
            <w:r>
              <w:rPr>
                <w:rFonts w:hint="eastAsia"/>
                <w:spacing w:val="0"/>
                <w:position w:val="0"/>
                <w:szCs w:val="21"/>
                <w:lang w:eastAsia="zh-CN"/>
              </w:rPr>
              <w:t>有组织排放污染物合计</w:t>
            </w:r>
          </w:p>
        </w:tc>
        <w:tc>
          <w:tcPr>
            <w:tcW w:w="1113"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621"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883"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738" w:type="dxa"/>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颗粒物</w:t>
            </w:r>
          </w:p>
        </w:tc>
        <w:tc>
          <w:tcPr>
            <w:tcW w:w="936"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37"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79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2"/>
                <w:position w:val="0"/>
                <w:sz w:val="21"/>
                <w:szCs w:val="21"/>
                <w:u w:val="none"/>
                <w:lang w:val="en-US" w:eastAsia="zh-CN" w:bidi="ar-SA"/>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887.</w:t>
            </w:r>
            <w:r>
              <w:rPr>
                <w:rFonts w:hint="eastAsia" w:cs="Times New Roman"/>
                <w:i w:val="0"/>
                <w:iCs w:val="0"/>
                <w:color w:val="000000"/>
                <w:spacing w:val="0"/>
                <w:kern w:val="0"/>
                <w:position w:val="0"/>
                <w:sz w:val="21"/>
                <w:szCs w:val="21"/>
                <w:u w:val="none"/>
                <w:lang w:val="en-US" w:eastAsia="zh-CN" w:bidi="ar"/>
              </w:rPr>
              <w:t>04</w:t>
            </w:r>
          </w:p>
        </w:tc>
        <w:tc>
          <w:tcPr>
            <w:tcW w:w="781"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678"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702" w:type="dxa"/>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lang w:val="en-US" w:eastAsia="zh-CN"/>
              </w:rPr>
              <w:t>/</w:t>
            </w:r>
          </w:p>
        </w:tc>
        <w:tc>
          <w:tcPr>
            <w:tcW w:w="1052"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92"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44.</w:t>
            </w:r>
            <w:r>
              <w:rPr>
                <w:rFonts w:hint="eastAsia" w:cs="Times New Roman"/>
                <w:i w:val="0"/>
                <w:iCs w:val="0"/>
                <w:color w:val="000000"/>
                <w:spacing w:val="0"/>
                <w:kern w:val="0"/>
                <w:position w:val="0"/>
                <w:sz w:val="21"/>
                <w:szCs w:val="21"/>
                <w:u w:val="none"/>
                <w:lang w:val="en-US" w:eastAsia="zh-CN" w:bidi="ar"/>
              </w:rPr>
              <w:t>35</w:t>
            </w: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844" w:type="dxa"/>
            <w:gridSpan w:val="2"/>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553"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543"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88"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p>
        </w:tc>
        <w:tc>
          <w:tcPr>
            <w:tcW w:w="1113"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621"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883"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738" w:type="dxa"/>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油烟</w:t>
            </w:r>
          </w:p>
        </w:tc>
        <w:tc>
          <w:tcPr>
            <w:tcW w:w="936"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37"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794" w:type="dxa"/>
            <w:vAlign w:val="center"/>
          </w:tcPr>
          <w:p>
            <w:pPr>
              <w:keepNext w:val="0"/>
              <w:keepLines w:val="0"/>
              <w:widowControl/>
              <w:suppressLineNumbers w:val="0"/>
              <w:jc w:val="center"/>
              <w:textAlignment w:val="center"/>
              <w:rPr>
                <w:rFonts w:hint="default" w:ascii="Times New Roman" w:hAnsi="Times New Roman" w:eastAsia="宋体" w:cs="宋体"/>
                <w:i w:val="0"/>
                <w:iCs w:val="0"/>
                <w:color w:val="000000"/>
                <w:spacing w:val="0"/>
                <w:kern w:val="2"/>
                <w:position w:val="0"/>
                <w:sz w:val="21"/>
                <w:szCs w:val="22"/>
                <w:u w:val="none"/>
                <w:lang w:val="en-US" w:eastAsia="zh-CN" w:bidi="ar-SA"/>
              </w:rPr>
            </w:pPr>
            <w:r>
              <w:rPr>
                <w:rFonts w:hint="eastAsia" w:ascii="Times New Roman" w:hAnsi="Times New Roman" w:eastAsia="宋体" w:cs="宋体"/>
                <w:i w:val="0"/>
                <w:iCs w:val="0"/>
                <w:color w:val="000000"/>
                <w:spacing w:val="0"/>
                <w:kern w:val="0"/>
                <w:position w:val="0"/>
                <w:sz w:val="21"/>
                <w:szCs w:val="22"/>
                <w:u w:val="none"/>
                <w:lang w:val="en-US" w:eastAsia="zh-CN" w:bidi="ar"/>
              </w:rPr>
              <w:t>665.28</w:t>
            </w:r>
          </w:p>
        </w:tc>
        <w:tc>
          <w:tcPr>
            <w:tcW w:w="781"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678"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702" w:type="dxa"/>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lang w:val="en-US" w:eastAsia="zh-CN"/>
              </w:rPr>
              <w:t>/</w:t>
            </w:r>
          </w:p>
        </w:tc>
        <w:tc>
          <w:tcPr>
            <w:tcW w:w="1052"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92"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66.528</w:t>
            </w:r>
          </w:p>
        </w:tc>
        <w:tc>
          <w:tcPr>
            <w:tcW w:w="844" w:type="dxa"/>
            <w:gridSpan w:val="2"/>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553"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543"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88"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p>
        </w:tc>
        <w:tc>
          <w:tcPr>
            <w:tcW w:w="1113"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621"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883"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738" w:type="dxa"/>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非甲烷总烃</w:t>
            </w:r>
          </w:p>
        </w:tc>
        <w:tc>
          <w:tcPr>
            <w:tcW w:w="936"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37"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79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2"/>
                <w:position w:val="0"/>
                <w:sz w:val="21"/>
                <w:szCs w:val="21"/>
                <w:u w:val="none"/>
                <w:lang w:val="en-US" w:eastAsia="zh-CN" w:bidi="ar-SA"/>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134.099</w:t>
            </w:r>
          </w:p>
        </w:tc>
        <w:tc>
          <w:tcPr>
            <w:tcW w:w="781"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678"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702" w:type="dxa"/>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lang w:val="en-US" w:eastAsia="zh-CN"/>
              </w:rPr>
              <w:t>/</w:t>
            </w:r>
          </w:p>
        </w:tc>
        <w:tc>
          <w:tcPr>
            <w:tcW w:w="1052"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92" w:type="dxa"/>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84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26.82</w:t>
            </w:r>
          </w:p>
        </w:tc>
        <w:tc>
          <w:tcPr>
            <w:tcW w:w="844" w:type="dxa"/>
            <w:gridSpan w:val="2"/>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553"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c>
          <w:tcPr>
            <w:tcW w:w="543" w:type="dxa"/>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004" w:type="dxa"/>
            <w:gridSpan w:val="19"/>
            <w:vAlign w:val="center"/>
          </w:tcPr>
          <w:p>
            <w:pPr>
              <w:keepNext w:val="0"/>
              <w:keepLines w:val="0"/>
              <w:pageBreakBefore w:val="0"/>
              <w:widowControl/>
              <w:kinsoku/>
              <w:wordWrap/>
              <w:overflowPunct/>
              <w:topLinePunct w:val="0"/>
              <w:autoSpaceDE/>
              <w:autoSpaceDN/>
              <w:bidi w:val="0"/>
              <w:adjustRightInd w:val="0"/>
              <w:snapToGrid w:val="0"/>
              <w:rPr>
                <w:spacing w:val="0"/>
                <w:position w:val="0"/>
                <w:szCs w:val="21"/>
              </w:rPr>
            </w:pPr>
            <w:r>
              <w:rPr>
                <w:rFonts w:hint="eastAsia"/>
                <w:spacing w:val="0"/>
                <w:position w:val="0"/>
                <w:szCs w:val="21"/>
              </w:rPr>
              <w:t>注：其中G3</w:t>
            </w:r>
            <w:r>
              <w:rPr>
                <w:rFonts w:hint="eastAsia"/>
                <w:spacing w:val="0"/>
                <w:position w:val="0"/>
                <w:szCs w:val="21"/>
                <w:lang w:val="en-US" w:eastAsia="zh-CN"/>
              </w:rPr>
              <w:t>-1</w:t>
            </w:r>
            <w:r>
              <w:rPr>
                <w:rFonts w:hint="eastAsia"/>
                <w:spacing w:val="0"/>
                <w:position w:val="0"/>
                <w:szCs w:val="21"/>
              </w:rPr>
              <w:t>、G4</w:t>
            </w:r>
            <w:r>
              <w:rPr>
                <w:rFonts w:hint="eastAsia"/>
                <w:spacing w:val="0"/>
                <w:position w:val="0"/>
                <w:szCs w:val="21"/>
                <w:lang w:val="en-US" w:eastAsia="zh-CN"/>
              </w:rPr>
              <w:t>-1、G4-2</w:t>
            </w:r>
            <w:r>
              <w:rPr>
                <w:rFonts w:hint="eastAsia"/>
                <w:spacing w:val="0"/>
                <w:position w:val="0"/>
                <w:szCs w:val="21"/>
              </w:rPr>
              <w:t>废气通过集气罩收集，收集率按</w:t>
            </w:r>
            <w:r>
              <w:rPr>
                <w:rFonts w:hint="eastAsia"/>
                <w:spacing w:val="0"/>
                <w:position w:val="0"/>
                <w:szCs w:val="21"/>
                <w:lang w:val="en-US" w:eastAsia="zh-CN"/>
              </w:rPr>
              <w:t>80</w:t>
            </w:r>
            <w:r>
              <w:rPr>
                <w:rFonts w:hint="eastAsia"/>
                <w:spacing w:val="0"/>
                <w:position w:val="0"/>
                <w:szCs w:val="21"/>
              </w:rPr>
              <w:t>%计算，</w:t>
            </w:r>
            <w:r>
              <w:rPr>
                <w:rFonts w:hint="eastAsia"/>
                <w:spacing w:val="0"/>
                <w:position w:val="0"/>
                <w:szCs w:val="21"/>
                <w:lang w:val="en-US" w:eastAsia="zh-CN"/>
              </w:rPr>
              <w:t>其</w:t>
            </w:r>
            <w:r>
              <w:rPr>
                <w:rFonts w:hint="eastAsia"/>
                <w:spacing w:val="0"/>
                <w:position w:val="0"/>
                <w:szCs w:val="21"/>
              </w:rPr>
              <w:t>余</w:t>
            </w:r>
            <w:r>
              <w:rPr>
                <w:rFonts w:hint="eastAsia"/>
                <w:spacing w:val="0"/>
                <w:position w:val="0"/>
                <w:szCs w:val="21"/>
                <w:lang w:val="en-US" w:eastAsia="zh-CN"/>
              </w:rPr>
              <w:t>20%</w:t>
            </w:r>
            <w:r>
              <w:rPr>
                <w:rFonts w:hint="eastAsia"/>
                <w:spacing w:val="0"/>
                <w:position w:val="0"/>
                <w:szCs w:val="21"/>
              </w:rPr>
              <w:t>以无组织形式排放；</w:t>
            </w:r>
          </w:p>
        </w:tc>
      </w:tr>
    </w:tbl>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FF0000"/>
          <w:spacing w:val="0"/>
          <w:position w:val="0"/>
          <w:sz w:val="24"/>
          <w:szCs w:val="24"/>
        </w:rPr>
      </w:pPr>
      <w:r>
        <w:rPr>
          <w:rFonts w:hint="eastAsia"/>
          <w:b/>
          <w:bCs/>
          <w:spacing w:val="0"/>
          <w:position w:val="0"/>
          <w:sz w:val="24"/>
          <w:szCs w:val="24"/>
        </w:rPr>
        <w:t>表3.4-</w:t>
      </w:r>
      <w:r>
        <w:rPr>
          <w:rFonts w:hint="eastAsia"/>
          <w:b/>
          <w:bCs/>
          <w:spacing w:val="0"/>
          <w:position w:val="0"/>
          <w:sz w:val="24"/>
          <w:szCs w:val="24"/>
          <w:lang w:val="en-US" w:eastAsia="zh-CN"/>
        </w:rPr>
        <w:t>11</w:t>
      </w:r>
      <w:r>
        <w:rPr>
          <w:rFonts w:hint="eastAsia"/>
          <w:b/>
          <w:bCs/>
          <w:spacing w:val="0"/>
          <w:position w:val="0"/>
          <w:sz w:val="24"/>
          <w:szCs w:val="24"/>
        </w:rPr>
        <w:t xml:space="preserve">  项目</w:t>
      </w:r>
      <w:r>
        <w:rPr>
          <w:rFonts w:hint="eastAsia"/>
          <w:b/>
          <w:bCs/>
          <w:spacing w:val="0"/>
          <w:position w:val="0"/>
          <w:sz w:val="24"/>
          <w:szCs w:val="24"/>
          <w:lang w:val="en-US" w:eastAsia="zh-CN"/>
        </w:rPr>
        <w:t>无</w:t>
      </w:r>
      <w:r>
        <w:rPr>
          <w:rFonts w:hint="eastAsia"/>
          <w:b/>
          <w:bCs/>
          <w:spacing w:val="0"/>
          <w:position w:val="0"/>
          <w:sz w:val="24"/>
          <w:szCs w:val="24"/>
          <w:lang w:eastAsia="zh-CN"/>
        </w:rPr>
        <w:t>组织废气排放</w:t>
      </w:r>
      <w:r>
        <w:rPr>
          <w:rFonts w:hint="eastAsia"/>
          <w:b/>
          <w:bCs/>
          <w:spacing w:val="0"/>
          <w:position w:val="0"/>
          <w:sz w:val="24"/>
          <w:szCs w:val="24"/>
        </w:rPr>
        <w:t>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56"/>
        <w:gridCol w:w="1556"/>
        <w:gridCol w:w="1556"/>
        <w:gridCol w:w="1556"/>
        <w:gridCol w:w="1084"/>
        <w:gridCol w:w="1240"/>
        <w:gridCol w:w="1454"/>
        <w:gridCol w:w="1691"/>
        <w:gridCol w:w="1298"/>
        <w:gridCol w:w="1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55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4"/>
                <w:lang w:val="en-US" w:eastAsia="zh-CN"/>
              </w:rPr>
            </w:pPr>
            <w:r>
              <w:rPr>
                <w:rFonts w:hint="eastAsia"/>
                <w:b/>
                <w:bCs/>
                <w:spacing w:val="0"/>
                <w:position w:val="0"/>
                <w:szCs w:val="24"/>
                <w:lang w:val="en-US" w:eastAsia="zh-CN"/>
              </w:rPr>
              <w:t>车间</w:t>
            </w:r>
          </w:p>
        </w:tc>
        <w:tc>
          <w:tcPr>
            <w:tcW w:w="155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4"/>
                <w:lang w:val="en-US" w:eastAsia="zh-CN"/>
              </w:rPr>
            </w:pPr>
            <w:r>
              <w:rPr>
                <w:rFonts w:hint="eastAsia"/>
                <w:b/>
                <w:bCs/>
                <w:spacing w:val="0"/>
                <w:position w:val="0"/>
                <w:szCs w:val="24"/>
                <w:lang w:val="en-US" w:eastAsia="zh-CN"/>
              </w:rPr>
              <w:t>废气编号</w:t>
            </w:r>
          </w:p>
        </w:tc>
        <w:tc>
          <w:tcPr>
            <w:tcW w:w="155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spacing w:val="0"/>
                <w:kern w:val="2"/>
                <w:position w:val="0"/>
                <w:sz w:val="21"/>
                <w:szCs w:val="21"/>
                <w:lang w:val="en-US" w:eastAsia="zh-CN" w:bidi="ar-SA"/>
              </w:rPr>
            </w:pPr>
            <w:r>
              <w:rPr>
                <w:rFonts w:hint="eastAsia"/>
                <w:b/>
                <w:bCs/>
                <w:spacing w:val="0"/>
                <w:position w:val="0"/>
                <w:szCs w:val="21"/>
              </w:rPr>
              <w:t>废气污染源</w:t>
            </w:r>
          </w:p>
        </w:tc>
        <w:tc>
          <w:tcPr>
            <w:tcW w:w="155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污染物</w:t>
            </w:r>
          </w:p>
        </w:tc>
        <w:tc>
          <w:tcPr>
            <w:tcW w:w="778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b/>
                <w:bCs/>
                <w:spacing w:val="0"/>
                <w:position w:val="0"/>
                <w:szCs w:val="21"/>
                <w:lang w:val="en-US" w:eastAsia="zh-CN"/>
              </w:rPr>
            </w:pPr>
            <w:r>
              <w:rPr>
                <w:rFonts w:hint="eastAsia"/>
                <w:b/>
                <w:bCs/>
                <w:spacing w:val="0"/>
                <w:position w:val="0"/>
                <w:szCs w:val="21"/>
                <w:lang w:val="en-US" w:eastAsia="zh-CN"/>
              </w:rPr>
              <w:t>主要污染物产排情况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5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p>
        </w:tc>
        <w:tc>
          <w:tcPr>
            <w:tcW w:w="15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p>
        </w:tc>
        <w:tc>
          <w:tcPr>
            <w:tcW w:w="15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p>
        </w:tc>
        <w:tc>
          <w:tcPr>
            <w:tcW w:w="15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rPr>
            </w:pPr>
          </w:p>
        </w:tc>
        <w:tc>
          <w:tcPr>
            <w:tcW w:w="10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污染物总产生量（t/a）</w:t>
            </w:r>
          </w:p>
        </w:tc>
        <w:tc>
          <w:tcPr>
            <w:tcW w:w="12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排放方式</w:t>
            </w:r>
          </w:p>
        </w:tc>
        <w:tc>
          <w:tcPr>
            <w:tcW w:w="14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治理措施</w:t>
            </w:r>
          </w:p>
        </w:tc>
        <w:tc>
          <w:tcPr>
            <w:tcW w:w="16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收集效率</w:t>
            </w:r>
          </w:p>
        </w:tc>
        <w:tc>
          <w:tcPr>
            <w:tcW w:w="129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处理效率</w:t>
            </w:r>
          </w:p>
        </w:tc>
        <w:tc>
          <w:tcPr>
            <w:tcW w:w="10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无组织产生量（t/a）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spacing w:val="0"/>
                <w:position w:val="0"/>
                <w:szCs w:val="24"/>
                <w:lang w:val="en-US" w:eastAsia="zh-CN"/>
              </w:rPr>
            </w:pPr>
            <w:r>
              <w:rPr>
                <w:rFonts w:hint="eastAsia"/>
                <w:spacing w:val="0"/>
                <w:position w:val="0"/>
                <w:szCs w:val="24"/>
                <w:lang w:val="en-US" w:eastAsia="zh-CN"/>
              </w:rPr>
              <w:t>后整理车间</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4"/>
                <w:lang w:val="en-US" w:eastAsia="zh-CN"/>
              </w:rPr>
            </w:pPr>
            <w:r>
              <w:rPr>
                <w:rFonts w:hint="eastAsia"/>
                <w:spacing w:val="0"/>
                <w:position w:val="0"/>
                <w:szCs w:val="24"/>
                <w:lang w:val="en-US" w:eastAsia="zh-CN"/>
              </w:rPr>
              <w:t>G2-3</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拉/剪毛机共40台</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颗粒物</w:t>
            </w:r>
          </w:p>
        </w:tc>
        <w:tc>
          <w:tcPr>
            <w:tcW w:w="10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3.75</w:t>
            </w:r>
          </w:p>
        </w:tc>
        <w:tc>
          <w:tcPr>
            <w:tcW w:w="12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无组织排放</w:t>
            </w:r>
          </w:p>
        </w:tc>
        <w:tc>
          <w:tcPr>
            <w:tcW w:w="14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布袋除尘器</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cs="Times New Roman"/>
                <w:i w:val="0"/>
                <w:iCs w:val="0"/>
                <w:color w:val="000000"/>
                <w:spacing w:val="0"/>
                <w:kern w:val="0"/>
                <w:position w:val="0"/>
                <w:sz w:val="21"/>
                <w:szCs w:val="21"/>
                <w:u w:val="none"/>
                <w:lang w:val="en-US" w:eastAsia="zh-CN" w:bidi="ar"/>
              </w:rPr>
              <w:t>90%</w:t>
            </w:r>
          </w:p>
        </w:tc>
        <w:tc>
          <w:tcPr>
            <w:tcW w:w="12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cs="Times New Roman"/>
                <w:i w:val="0"/>
                <w:iCs w:val="0"/>
                <w:color w:val="000000"/>
                <w:spacing w:val="0"/>
                <w:kern w:val="0"/>
                <w:position w:val="0"/>
                <w:sz w:val="21"/>
                <w:szCs w:val="21"/>
                <w:u w:val="none"/>
                <w:lang w:val="en-US" w:eastAsia="zh-CN" w:bidi="ar"/>
              </w:rPr>
              <w:t>99%</w:t>
            </w:r>
          </w:p>
        </w:tc>
        <w:tc>
          <w:tcPr>
            <w:tcW w:w="10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0.409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155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4"/>
                <w:lang w:val="en-US" w:eastAsia="zh-CN"/>
              </w:rPr>
            </w:pPr>
            <w:r>
              <w:rPr>
                <w:rFonts w:hint="eastAsia"/>
                <w:spacing w:val="0"/>
                <w:position w:val="0"/>
                <w:szCs w:val="21"/>
                <w:lang w:val="en-US" w:eastAsia="zh-CN"/>
              </w:rPr>
              <w:t>印花及蒸化车间</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4"/>
                <w:lang w:val="en-US" w:eastAsia="zh-CN"/>
              </w:rPr>
            </w:pPr>
            <w:r>
              <w:rPr>
                <w:rFonts w:hint="eastAsia"/>
                <w:spacing w:val="0"/>
                <w:position w:val="0"/>
                <w:szCs w:val="24"/>
                <w:lang w:val="en-US" w:eastAsia="zh-CN"/>
              </w:rPr>
              <w:t>G3-1</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5台数码印花机</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非甲烷总烃</w:t>
            </w:r>
          </w:p>
        </w:tc>
        <w:tc>
          <w:tcPr>
            <w:tcW w:w="10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0.179</w:t>
            </w:r>
          </w:p>
        </w:tc>
        <w:tc>
          <w:tcPr>
            <w:tcW w:w="12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无组织排放</w:t>
            </w:r>
          </w:p>
        </w:tc>
        <w:tc>
          <w:tcPr>
            <w:tcW w:w="14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生产时车间密闭</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cs="Times New Roman"/>
                <w:i w:val="0"/>
                <w:iCs w:val="0"/>
                <w:color w:val="000000"/>
                <w:spacing w:val="0"/>
                <w:kern w:val="0"/>
                <w:position w:val="0"/>
                <w:sz w:val="21"/>
                <w:szCs w:val="21"/>
                <w:u w:val="none"/>
                <w:lang w:val="en-US" w:eastAsia="zh-CN" w:bidi="ar"/>
              </w:rPr>
              <w:t>有组织按80</w:t>
            </w:r>
            <w:r>
              <w:rPr>
                <w:rFonts w:hint="default" w:ascii="Times New Roman" w:hAnsi="Times New Roman" w:eastAsia="宋体" w:cs="Times New Roman"/>
                <w:i w:val="0"/>
                <w:iCs w:val="0"/>
                <w:color w:val="000000"/>
                <w:spacing w:val="0"/>
                <w:kern w:val="0"/>
                <w:position w:val="0"/>
                <w:sz w:val="21"/>
                <w:szCs w:val="21"/>
                <w:u w:val="none"/>
                <w:lang w:val="en-US" w:eastAsia="zh-CN" w:bidi="ar"/>
              </w:rPr>
              <w:t>%</w:t>
            </w:r>
            <w:r>
              <w:rPr>
                <w:rFonts w:hint="eastAsia" w:cs="Times New Roman"/>
                <w:i w:val="0"/>
                <w:iCs w:val="0"/>
                <w:color w:val="000000"/>
                <w:spacing w:val="0"/>
                <w:kern w:val="0"/>
                <w:position w:val="0"/>
                <w:sz w:val="21"/>
                <w:szCs w:val="21"/>
                <w:u w:val="none"/>
                <w:lang w:val="en-US" w:eastAsia="zh-CN" w:bidi="ar"/>
              </w:rPr>
              <w:t>效率收集</w:t>
            </w:r>
            <w:r>
              <w:rPr>
                <w:rFonts w:hint="default" w:ascii="Times New Roman" w:hAnsi="Times New Roman" w:eastAsia="宋体" w:cs="Times New Roman"/>
                <w:i w:val="0"/>
                <w:iCs w:val="0"/>
                <w:color w:val="000000"/>
                <w:spacing w:val="0"/>
                <w:kern w:val="0"/>
                <w:position w:val="0"/>
                <w:sz w:val="21"/>
                <w:szCs w:val="21"/>
                <w:u w:val="none"/>
                <w:lang w:val="en-US" w:eastAsia="zh-CN" w:bidi="ar"/>
              </w:rPr>
              <w:t>，其余</w:t>
            </w:r>
            <w:r>
              <w:rPr>
                <w:rFonts w:hint="eastAsia" w:cs="Times New Roman"/>
                <w:i w:val="0"/>
                <w:iCs w:val="0"/>
                <w:color w:val="000000"/>
                <w:spacing w:val="0"/>
                <w:kern w:val="0"/>
                <w:position w:val="0"/>
                <w:sz w:val="21"/>
                <w:szCs w:val="21"/>
                <w:u w:val="none"/>
                <w:lang w:val="en-US" w:eastAsia="zh-CN" w:bidi="ar"/>
              </w:rPr>
              <w:t>20%</w:t>
            </w:r>
            <w:r>
              <w:rPr>
                <w:rFonts w:hint="default" w:ascii="Times New Roman" w:hAnsi="Times New Roman" w:eastAsia="宋体" w:cs="Times New Roman"/>
                <w:i w:val="0"/>
                <w:iCs w:val="0"/>
                <w:color w:val="000000"/>
                <w:spacing w:val="0"/>
                <w:kern w:val="0"/>
                <w:position w:val="0"/>
                <w:sz w:val="21"/>
                <w:szCs w:val="21"/>
                <w:u w:val="none"/>
                <w:lang w:val="en-US" w:eastAsia="zh-CN" w:bidi="ar"/>
              </w:rPr>
              <w:t>以无组织形式排放</w:t>
            </w:r>
          </w:p>
        </w:tc>
        <w:tc>
          <w:tcPr>
            <w:tcW w:w="12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kern w:val="0"/>
                <w:position w:val="0"/>
                <w:sz w:val="21"/>
                <w:szCs w:val="21"/>
              </w:rPr>
              <w:t>无组织废气无处理效率</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pacing w:val="0"/>
                <w:position w:val="0"/>
                <w:szCs w:val="21"/>
                <w:lang w:val="en-US" w:eastAsia="zh-CN"/>
              </w:rPr>
            </w:pPr>
            <w:r>
              <w:rPr>
                <w:rFonts w:hint="eastAsia" w:ascii="Times New Roman" w:hAnsi="Times New Roman" w:eastAsia="宋体"/>
                <w:b w:val="0"/>
                <w:bCs w:val="0"/>
                <w:spacing w:val="0"/>
                <w:position w:val="0"/>
                <w:sz w:val="21"/>
                <w:szCs w:val="24"/>
                <w:vertAlign w:val="baseline"/>
                <w:lang w:val="en-US" w:eastAsia="zh-CN"/>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15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4"/>
                <w:lang w:val="en-US" w:eastAsia="zh-CN"/>
              </w:rPr>
            </w:pP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rPr>
              <w:t>G</w:t>
            </w:r>
            <w:r>
              <w:rPr>
                <w:rFonts w:hint="eastAsia"/>
                <w:spacing w:val="0"/>
                <w:position w:val="0"/>
                <w:szCs w:val="21"/>
                <w:lang w:val="en-US" w:eastAsia="zh-CN"/>
              </w:rPr>
              <w:t>4-1</w:t>
            </w:r>
          </w:p>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4"/>
                <w:lang w:val="en-US" w:eastAsia="zh-CN"/>
              </w:rPr>
            </w:pPr>
            <w:r>
              <w:rPr>
                <w:rFonts w:hint="eastAsia"/>
                <w:spacing w:val="0"/>
                <w:position w:val="0"/>
                <w:szCs w:val="21"/>
                <w:lang w:val="en-US" w:eastAsia="zh-CN"/>
              </w:rPr>
              <w:t>G4-2</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5</w:t>
            </w:r>
            <w:r>
              <w:rPr>
                <w:rFonts w:hint="eastAsia"/>
                <w:spacing w:val="0"/>
                <w:position w:val="0"/>
                <w:szCs w:val="21"/>
              </w:rPr>
              <w:t>台</w:t>
            </w:r>
            <w:r>
              <w:rPr>
                <w:rFonts w:hint="eastAsia"/>
                <w:spacing w:val="0"/>
                <w:position w:val="0"/>
                <w:szCs w:val="21"/>
                <w:lang w:eastAsia="zh-CN"/>
              </w:rPr>
              <w:t>圆网</w:t>
            </w:r>
            <w:r>
              <w:rPr>
                <w:rFonts w:hint="eastAsia"/>
                <w:spacing w:val="0"/>
                <w:position w:val="0"/>
                <w:szCs w:val="21"/>
              </w:rPr>
              <w:t>印花</w:t>
            </w:r>
            <w:r>
              <w:rPr>
                <w:rFonts w:hint="eastAsia"/>
                <w:spacing w:val="0"/>
                <w:position w:val="0"/>
                <w:szCs w:val="21"/>
                <w:lang w:eastAsia="zh-CN"/>
              </w:rPr>
              <w:t>机、</w:t>
            </w:r>
            <w:r>
              <w:rPr>
                <w:rFonts w:hint="eastAsia"/>
                <w:spacing w:val="0"/>
                <w:position w:val="0"/>
                <w:szCs w:val="21"/>
                <w:lang w:val="en-US" w:eastAsia="zh-CN"/>
              </w:rPr>
              <w:t>3台蒸化机</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非甲烷总烃</w:t>
            </w:r>
          </w:p>
        </w:tc>
        <w:tc>
          <w:tcPr>
            <w:tcW w:w="10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1.125</w:t>
            </w:r>
          </w:p>
        </w:tc>
        <w:tc>
          <w:tcPr>
            <w:tcW w:w="12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无组织排放</w:t>
            </w:r>
          </w:p>
        </w:tc>
        <w:tc>
          <w:tcPr>
            <w:tcW w:w="14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生产时车间密闭</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cs="Times New Roman"/>
                <w:i w:val="0"/>
                <w:iCs w:val="0"/>
                <w:color w:val="000000"/>
                <w:spacing w:val="0"/>
                <w:kern w:val="0"/>
                <w:position w:val="0"/>
                <w:sz w:val="21"/>
                <w:szCs w:val="21"/>
                <w:u w:val="none"/>
                <w:lang w:val="en-US" w:eastAsia="zh-CN" w:bidi="ar"/>
              </w:rPr>
              <w:t>有组织按80</w:t>
            </w:r>
            <w:r>
              <w:rPr>
                <w:rFonts w:hint="default" w:ascii="Times New Roman" w:hAnsi="Times New Roman" w:eastAsia="宋体" w:cs="Times New Roman"/>
                <w:i w:val="0"/>
                <w:iCs w:val="0"/>
                <w:color w:val="000000"/>
                <w:spacing w:val="0"/>
                <w:kern w:val="0"/>
                <w:position w:val="0"/>
                <w:sz w:val="21"/>
                <w:szCs w:val="21"/>
                <w:u w:val="none"/>
                <w:lang w:val="en-US" w:eastAsia="zh-CN" w:bidi="ar"/>
              </w:rPr>
              <w:t>%</w:t>
            </w:r>
            <w:r>
              <w:rPr>
                <w:rFonts w:hint="eastAsia" w:cs="Times New Roman"/>
                <w:i w:val="0"/>
                <w:iCs w:val="0"/>
                <w:color w:val="000000"/>
                <w:spacing w:val="0"/>
                <w:kern w:val="0"/>
                <w:position w:val="0"/>
                <w:sz w:val="21"/>
                <w:szCs w:val="21"/>
                <w:u w:val="none"/>
                <w:lang w:val="en-US" w:eastAsia="zh-CN" w:bidi="ar"/>
              </w:rPr>
              <w:t>效率收集</w:t>
            </w:r>
            <w:r>
              <w:rPr>
                <w:rFonts w:hint="default" w:ascii="Times New Roman" w:hAnsi="Times New Roman" w:eastAsia="宋体" w:cs="Times New Roman"/>
                <w:i w:val="0"/>
                <w:iCs w:val="0"/>
                <w:color w:val="000000"/>
                <w:spacing w:val="0"/>
                <w:kern w:val="0"/>
                <w:position w:val="0"/>
                <w:sz w:val="21"/>
                <w:szCs w:val="21"/>
                <w:u w:val="none"/>
                <w:lang w:val="en-US" w:eastAsia="zh-CN" w:bidi="ar"/>
              </w:rPr>
              <w:t>，其余</w:t>
            </w:r>
            <w:r>
              <w:rPr>
                <w:rFonts w:hint="eastAsia" w:cs="Times New Roman"/>
                <w:i w:val="0"/>
                <w:iCs w:val="0"/>
                <w:color w:val="000000"/>
                <w:spacing w:val="0"/>
                <w:kern w:val="0"/>
                <w:position w:val="0"/>
                <w:sz w:val="21"/>
                <w:szCs w:val="21"/>
                <w:u w:val="none"/>
                <w:lang w:val="en-US" w:eastAsia="zh-CN" w:bidi="ar"/>
              </w:rPr>
              <w:t>20%</w:t>
            </w:r>
            <w:r>
              <w:rPr>
                <w:rFonts w:hint="default" w:ascii="Times New Roman" w:hAnsi="Times New Roman" w:eastAsia="宋体" w:cs="Times New Roman"/>
                <w:i w:val="0"/>
                <w:iCs w:val="0"/>
                <w:color w:val="000000"/>
                <w:spacing w:val="0"/>
                <w:kern w:val="0"/>
                <w:position w:val="0"/>
                <w:sz w:val="21"/>
                <w:szCs w:val="21"/>
                <w:u w:val="none"/>
                <w:lang w:val="en-US" w:eastAsia="zh-CN" w:bidi="ar"/>
              </w:rPr>
              <w:t>以无组织形式排放</w:t>
            </w:r>
          </w:p>
        </w:tc>
        <w:tc>
          <w:tcPr>
            <w:tcW w:w="12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spacing w:val="0"/>
                <w:kern w:val="0"/>
                <w:position w:val="0"/>
                <w:sz w:val="21"/>
                <w:szCs w:val="21"/>
              </w:rPr>
              <w:t>无组织废气无处理效率</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pacing w:val="0"/>
                <w:position w:val="0"/>
                <w:szCs w:val="21"/>
                <w:lang w:val="en-US" w:eastAsia="zh-CN"/>
              </w:rPr>
            </w:pPr>
            <w:r>
              <w:rPr>
                <w:rFonts w:hint="eastAsia" w:ascii="Times New Roman" w:hAnsi="Times New Roman" w:eastAsia="宋体"/>
                <w:b w:val="0"/>
                <w:bCs w:val="0"/>
                <w:spacing w:val="0"/>
                <w:position w:val="0"/>
                <w:sz w:val="21"/>
                <w:szCs w:val="24"/>
                <w:vertAlign w:val="baseline"/>
                <w:lang w:val="en-US" w:eastAsia="zh-CN"/>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12"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无组织排放污染物合计</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颗粒物</w:t>
            </w:r>
          </w:p>
        </w:tc>
        <w:tc>
          <w:tcPr>
            <w:tcW w:w="10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12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r>
              <w:rPr>
                <w:rFonts w:hint="eastAsia"/>
                <w:spacing w:val="0"/>
                <w:position w:val="0"/>
                <w:szCs w:val="21"/>
                <w:lang w:val="en-US" w:eastAsia="zh-CN"/>
              </w:rPr>
              <w:t>/</w:t>
            </w:r>
          </w:p>
        </w:tc>
        <w:tc>
          <w:tcPr>
            <w:tcW w:w="14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12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spacing w:val="0"/>
                <w:kern w:val="0"/>
                <w:position w:val="0"/>
                <w:sz w:val="21"/>
                <w:szCs w:val="21"/>
                <w:lang w:val="en-US" w:eastAsia="zh-CN"/>
              </w:rPr>
            </w:pPr>
            <w:r>
              <w:rPr>
                <w:rFonts w:hint="eastAsia"/>
                <w:spacing w:val="0"/>
                <w:position w:val="0"/>
                <w:szCs w:val="21"/>
                <w:lang w:val="en-US" w:eastAsia="zh-CN"/>
              </w:rPr>
              <w:t>/</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b w:val="0"/>
                <w:bCs w:val="0"/>
                <w:spacing w:val="0"/>
                <w:position w:val="0"/>
                <w:sz w:val="21"/>
                <w:szCs w:val="24"/>
                <w:vertAlign w:val="baseline"/>
                <w:lang w:val="en-US" w:eastAsia="zh-CN"/>
              </w:rPr>
              <w:t>0.409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3112"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lang w:val="en-US" w:eastAsia="zh-CN"/>
              </w:rPr>
            </w:pP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15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非甲烷总烃</w:t>
            </w:r>
          </w:p>
        </w:tc>
        <w:tc>
          <w:tcPr>
            <w:tcW w:w="10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12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14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spacing w:val="0"/>
                <w:position w:val="0"/>
                <w:szCs w:val="21"/>
                <w:lang w:val="en-US" w:eastAsia="zh-CN"/>
              </w:rPr>
            </w:pPr>
            <w:r>
              <w:rPr>
                <w:rFonts w:hint="eastAsia"/>
                <w:spacing w:val="0"/>
                <w:position w:val="0"/>
                <w:szCs w:val="21"/>
                <w:lang w:val="en-US" w:eastAsia="zh-CN"/>
              </w:rPr>
              <w:t>/</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000000"/>
                <w:spacing w:val="0"/>
                <w:kern w:val="0"/>
                <w:position w:val="0"/>
                <w:sz w:val="21"/>
                <w:szCs w:val="21"/>
                <w:u w:val="none"/>
                <w:lang w:val="en-US" w:eastAsia="zh-CN" w:bidi="ar"/>
              </w:rPr>
            </w:pPr>
            <w:r>
              <w:rPr>
                <w:rFonts w:hint="eastAsia"/>
                <w:spacing w:val="0"/>
                <w:position w:val="0"/>
                <w:szCs w:val="21"/>
                <w:lang w:val="en-US" w:eastAsia="zh-CN"/>
              </w:rPr>
              <w:t>/</w:t>
            </w:r>
          </w:p>
        </w:tc>
        <w:tc>
          <w:tcPr>
            <w:tcW w:w="12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spacing w:val="0"/>
                <w:kern w:val="0"/>
                <w:position w:val="0"/>
                <w:sz w:val="21"/>
                <w:szCs w:val="21"/>
                <w:lang w:val="en-US"/>
              </w:rPr>
            </w:pPr>
            <w:r>
              <w:rPr>
                <w:rFonts w:hint="eastAsia"/>
                <w:spacing w:val="0"/>
                <w:position w:val="0"/>
                <w:szCs w:val="21"/>
                <w:lang w:val="en-US" w:eastAsia="zh-CN"/>
              </w:rPr>
              <w:t>/</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4"/>
                <w:vertAlign w:val="baseline"/>
                <w:lang w:val="en-US" w:eastAsia="zh-CN"/>
              </w:rPr>
            </w:pPr>
            <w:r>
              <w:rPr>
                <w:rFonts w:hint="eastAsia"/>
                <w:b w:val="0"/>
                <w:bCs w:val="0"/>
                <w:spacing w:val="0"/>
                <w:position w:val="0"/>
                <w:sz w:val="21"/>
                <w:szCs w:val="24"/>
                <w:vertAlign w:val="baseline"/>
                <w:lang w:val="en-US" w:eastAsia="zh-CN"/>
              </w:rPr>
              <w:t>0.261</w:t>
            </w:r>
          </w:p>
        </w:tc>
      </w:tr>
    </w:tbl>
    <w:p>
      <w:pPr>
        <w:pStyle w:val="10"/>
        <w:ind w:left="0" w:leftChars="0" w:firstLine="0" w:firstLineChars="0"/>
        <w:jc w:val="center"/>
        <w:rPr>
          <w:rFonts w:hint="eastAsia" w:ascii="Times New Roman" w:hAnsi="Times New Roman" w:cs="宋体"/>
          <w:b/>
          <w:bCs/>
          <w:spacing w:val="0"/>
          <w:position w:val="0"/>
          <w:sz w:val="24"/>
          <w:szCs w:val="24"/>
          <w:lang w:val="en-US" w:eastAsia="zh-CN"/>
        </w:rPr>
      </w:pPr>
    </w:p>
    <w:p>
      <w:pPr>
        <w:pStyle w:val="10"/>
        <w:ind w:left="0" w:leftChars="0" w:firstLine="0" w:firstLineChars="0"/>
        <w:jc w:val="center"/>
        <w:rPr>
          <w:rFonts w:hint="eastAsia" w:ascii="Times New Roman" w:hAnsi="Times New Roman" w:cs="宋体"/>
          <w:b/>
          <w:bCs/>
          <w:spacing w:val="0"/>
          <w:position w:val="0"/>
          <w:sz w:val="24"/>
          <w:szCs w:val="24"/>
          <w:lang w:val="en-US" w:eastAsia="zh-CN"/>
        </w:rPr>
      </w:pPr>
    </w:p>
    <w:p>
      <w:pPr>
        <w:pStyle w:val="10"/>
        <w:ind w:left="0" w:leftChars="0" w:firstLine="0" w:firstLineChars="0"/>
        <w:jc w:val="center"/>
        <w:rPr>
          <w:rFonts w:hint="eastAsia" w:ascii="Times New Roman" w:hAnsi="Times New Roman" w:cs="宋体"/>
          <w:b/>
          <w:bCs/>
          <w:spacing w:val="0"/>
          <w:position w:val="0"/>
          <w:sz w:val="24"/>
          <w:szCs w:val="24"/>
          <w:lang w:val="en-US" w:eastAsia="zh-CN"/>
        </w:rPr>
      </w:pPr>
    </w:p>
    <w:p>
      <w:pPr>
        <w:pStyle w:val="10"/>
        <w:ind w:left="0" w:leftChars="0" w:firstLine="0" w:firstLineChars="0"/>
        <w:jc w:val="center"/>
        <w:rPr>
          <w:rFonts w:hint="eastAsia" w:ascii="Times New Roman" w:hAnsi="Times New Roman" w:cs="宋体"/>
          <w:b/>
          <w:bCs/>
          <w:spacing w:val="0"/>
          <w:position w:val="0"/>
          <w:sz w:val="24"/>
          <w:szCs w:val="24"/>
          <w:lang w:val="en-US" w:eastAsia="zh-CN"/>
        </w:rPr>
      </w:pPr>
    </w:p>
    <w:p>
      <w:pPr>
        <w:pStyle w:val="10"/>
        <w:ind w:left="0" w:leftChars="0" w:firstLine="0" w:firstLineChars="0"/>
        <w:jc w:val="center"/>
        <w:rPr>
          <w:rFonts w:hint="eastAsia" w:ascii="Times New Roman" w:hAnsi="Times New Roman" w:cs="宋体"/>
          <w:b/>
          <w:bCs/>
          <w:spacing w:val="0"/>
          <w:position w:val="0"/>
          <w:sz w:val="24"/>
          <w:szCs w:val="24"/>
          <w:lang w:val="en-US" w:eastAsia="zh-CN"/>
        </w:rPr>
      </w:pPr>
    </w:p>
    <w:p>
      <w:pPr>
        <w:pStyle w:val="10"/>
        <w:ind w:left="0" w:leftChars="0" w:firstLine="0" w:firstLineChars="0"/>
        <w:jc w:val="center"/>
        <w:rPr>
          <w:rFonts w:hint="default" w:ascii="Times New Roman" w:hAnsi="Times New Roman" w:cs="宋体"/>
          <w:b/>
          <w:bCs/>
          <w:spacing w:val="0"/>
          <w:position w:val="0"/>
          <w:sz w:val="24"/>
          <w:szCs w:val="24"/>
          <w:lang w:val="en-US" w:eastAsia="zh-CN"/>
        </w:rPr>
      </w:pPr>
      <w:r>
        <w:rPr>
          <w:rFonts w:hint="eastAsia" w:ascii="Times New Roman" w:hAnsi="Times New Roman" w:cs="宋体"/>
          <w:b/>
          <w:bCs/>
          <w:spacing w:val="0"/>
          <w:position w:val="0"/>
          <w:sz w:val="24"/>
          <w:szCs w:val="24"/>
          <w:lang w:val="en-US" w:eastAsia="zh-CN"/>
        </w:rPr>
        <w:t>3.4-12项目正常工况排气筒排放情况一览表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575"/>
        <w:gridCol w:w="1269"/>
        <w:gridCol w:w="1422"/>
        <w:gridCol w:w="1422"/>
        <w:gridCol w:w="1422"/>
        <w:gridCol w:w="1188"/>
        <w:gridCol w:w="1138"/>
        <w:gridCol w:w="1101"/>
        <w:gridCol w:w="774"/>
        <w:gridCol w:w="743"/>
        <w:gridCol w:w="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排气筒编号</w:t>
            </w:r>
          </w:p>
        </w:tc>
        <w:tc>
          <w:tcPr>
            <w:tcW w:w="157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排放废气编号</w:t>
            </w:r>
          </w:p>
        </w:tc>
        <w:tc>
          <w:tcPr>
            <w:tcW w:w="126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污染物</w:t>
            </w:r>
          </w:p>
        </w:tc>
        <w:tc>
          <w:tcPr>
            <w:tcW w:w="14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污染物产生量（t/a）</w:t>
            </w:r>
          </w:p>
        </w:tc>
        <w:tc>
          <w:tcPr>
            <w:tcW w:w="14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废气处理效率</w:t>
            </w:r>
          </w:p>
        </w:tc>
        <w:tc>
          <w:tcPr>
            <w:tcW w:w="142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污染物排放量（t/a）</w:t>
            </w:r>
          </w:p>
        </w:tc>
        <w:tc>
          <w:tcPr>
            <w:tcW w:w="118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合计风量（m</w:t>
            </w:r>
            <w:r>
              <w:rPr>
                <w:rFonts w:hint="eastAsia" w:ascii="Times New Roman" w:hAnsi="Times New Roman" w:eastAsia="宋体" w:cs="Times New Roman"/>
                <w:b/>
                <w:bCs/>
                <w:spacing w:val="0"/>
                <w:position w:val="0"/>
                <w:sz w:val="21"/>
                <w:szCs w:val="21"/>
                <w:vertAlign w:val="superscript"/>
                <w:lang w:val="en-US" w:eastAsia="zh-CN"/>
              </w:rPr>
              <w:t>3</w:t>
            </w:r>
            <w:r>
              <w:rPr>
                <w:rFonts w:hint="eastAsia" w:ascii="Times New Roman" w:hAnsi="Times New Roman" w:eastAsia="宋体" w:cs="Times New Roman"/>
                <w:b/>
                <w:bCs/>
                <w:spacing w:val="0"/>
                <w:position w:val="0"/>
                <w:sz w:val="21"/>
                <w:szCs w:val="21"/>
                <w:vertAlign w:val="baseline"/>
                <w:lang w:val="en-US" w:eastAsia="zh-CN"/>
              </w:rPr>
              <w:t>/h）</w:t>
            </w:r>
          </w:p>
        </w:tc>
        <w:tc>
          <w:tcPr>
            <w:tcW w:w="1138"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排放浓度</w:t>
            </w:r>
            <w:r>
              <w:rPr>
                <w:rFonts w:hint="eastAsia" w:ascii="Times New Roman" w:hAnsi="Times New Roman" w:cs="Times New Roman"/>
                <w:b/>
                <w:bCs/>
                <w:spacing w:val="0"/>
                <w:position w:val="0"/>
                <w:sz w:val="21"/>
                <w:szCs w:val="21"/>
                <w:vertAlign w:val="baseline"/>
                <w:lang w:val="en-US" w:eastAsia="zh-CN"/>
              </w:rPr>
              <w:t>（mg/m</w:t>
            </w:r>
            <w:r>
              <w:rPr>
                <w:rFonts w:hint="eastAsia" w:ascii="Times New Roman" w:hAnsi="Times New Roman" w:cs="Times New Roman"/>
                <w:b/>
                <w:bCs/>
                <w:spacing w:val="0"/>
                <w:position w:val="0"/>
                <w:sz w:val="21"/>
                <w:szCs w:val="21"/>
                <w:vertAlign w:val="superscript"/>
                <w:lang w:val="en-US" w:eastAsia="zh-CN"/>
              </w:rPr>
              <w:t>3</w:t>
            </w:r>
            <w:r>
              <w:rPr>
                <w:rFonts w:hint="eastAsia" w:ascii="Times New Roman" w:hAnsi="Times New Roman" w:cs="Times New Roman"/>
                <w:b/>
                <w:bCs/>
                <w:spacing w:val="0"/>
                <w:position w:val="0"/>
                <w:sz w:val="21"/>
                <w:szCs w:val="21"/>
                <w:vertAlign w:val="baseline"/>
                <w:lang w:val="en-US" w:eastAsia="zh-CN"/>
              </w:rPr>
              <w:t>）</w:t>
            </w:r>
          </w:p>
        </w:tc>
        <w:tc>
          <w:tcPr>
            <w:tcW w:w="110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排放速率</w:t>
            </w:r>
            <w:r>
              <w:rPr>
                <w:rFonts w:hint="eastAsia" w:ascii="Times New Roman" w:hAnsi="Times New Roman" w:cs="Times New Roman"/>
                <w:b/>
                <w:bCs/>
                <w:spacing w:val="0"/>
                <w:position w:val="0"/>
                <w:sz w:val="21"/>
                <w:szCs w:val="21"/>
                <w:vertAlign w:val="baseline"/>
                <w:lang w:val="en-US" w:eastAsia="zh-CN"/>
              </w:rPr>
              <w:t>（kg/h）</w:t>
            </w:r>
          </w:p>
        </w:tc>
        <w:tc>
          <w:tcPr>
            <w:tcW w:w="77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高度（m）</w:t>
            </w:r>
          </w:p>
        </w:tc>
        <w:tc>
          <w:tcPr>
            <w:tcW w:w="74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内径（m）</w:t>
            </w:r>
          </w:p>
        </w:tc>
        <w:tc>
          <w:tcPr>
            <w:tcW w:w="744"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b/>
                <w:bCs/>
                <w:spacing w:val="0"/>
                <w:position w:val="0"/>
                <w:sz w:val="21"/>
                <w:szCs w:val="21"/>
                <w:vertAlign w:val="baseline"/>
                <w:lang w:val="en-US" w:eastAsia="zh-CN"/>
              </w:rPr>
            </w:pPr>
            <w:r>
              <w:rPr>
                <w:rFonts w:hint="eastAsia" w:ascii="Times New Roman" w:hAnsi="Times New Roman" w:eastAsia="宋体" w:cs="Times New Roman"/>
                <w:b/>
                <w:bCs/>
                <w:spacing w:val="0"/>
                <w:position w:val="0"/>
                <w:sz w:val="21"/>
                <w:szCs w:val="21"/>
                <w:vertAlign w:val="baseline"/>
                <w:lang w:val="en-US" w:eastAsia="zh-CN"/>
              </w:rPr>
              <w:t>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2"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DA001</w:t>
            </w:r>
          </w:p>
        </w:tc>
        <w:tc>
          <w:tcPr>
            <w:tcW w:w="15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position w:val="0"/>
                <w:sz w:val="21"/>
                <w:szCs w:val="21"/>
                <w:lang w:val="en-US" w:eastAsia="zh-CN"/>
              </w:rPr>
            </w:pPr>
            <w:r>
              <w:rPr>
                <w:rFonts w:hint="eastAsia" w:ascii="Times New Roman" w:hAnsi="Times New Roman" w:eastAsia="宋体"/>
                <w:spacing w:val="0"/>
                <w:position w:val="0"/>
                <w:sz w:val="21"/>
                <w:szCs w:val="21"/>
                <w:lang w:val="en-US" w:eastAsia="zh-CN"/>
              </w:rPr>
              <w:t>G2-1定型废气</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spacing w:val="0"/>
                <w:position w:val="0"/>
                <w:sz w:val="21"/>
                <w:szCs w:val="21"/>
                <w:lang w:val="en-US" w:eastAsia="zh-CN"/>
              </w:rPr>
            </w:pPr>
            <w:r>
              <w:rPr>
                <w:rFonts w:hint="eastAsia" w:ascii="Times New Roman" w:hAnsi="Times New Roman" w:eastAsia="宋体"/>
                <w:spacing w:val="0"/>
                <w:position w:val="0"/>
                <w:sz w:val="21"/>
                <w:szCs w:val="24"/>
              </w:rPr>
              <w:t>G2</w:t>
            </w:r>
            <w:r>
              <w:rPr>
                <w:rFonts w:hint="eastAsia" w:ascii="Times New Roman" w:hAnsi="Times New Roman" w:eastAsia="宋体"/>
                <w:spacing w:val="0"/>
                <w:position w:val="0"/>
                <w:sz w:val="21"/>
                <w:szCs w:val="24"/>
                <w:lang w:val="en-US" w:eastAsia="zh-CN"/>
              </w:rPr>
              <w:t>-2</w:t>
            </w:r>
            <w:r>
              <w:rPr>
                <w:rFonts w:hint="eastAsia" w:ascii="Times New Roman" w:hAnsi="Times New Roman" w:eastAsia="宋体"/>
                <w:spacing w:val="0"/>
                <w:position w:val="0"/>
                <w:sz w:val="21"/>
                <w:szCs w:val="21"/>
                <w:lang w:val="en-US" w:eastAsia="zh-CN"/>
              </w:rPr>
              <w:t>定型废气</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spacing w:val="0"/>
                <w:position w:val="0"/>
                <w:sz w:val="21"/>
                <w:szCs w:val="21"/>
                <w:vertAlign w:val="baseline"/>
                <w:lang w:val="en-US" w:eastAsia="zh-CN"/>
              </w:rPr>
              <w:t>G3-1印花废气</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spacing w:val="0"/>
                <w:position w:val="0"/>
                <w:sz w:val="21"/>
                <w:szCs w:val="21"/>
                <w:vertAlign w:val="baseline"/>
                <w:lang w:val="en-US" w:eastAsia="zh-CN"/>
              </w:rPr>
              <w:t>G4-1印花废气</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spacing w:val="0"/>
                <w:position w:val="0"/>
                <w:sz w:val="21"/>
                <w:szCs w:val="21"/>
                <w:vertAlign w:val="baseline"/>
                <w:lang w:val="en-US" w:eastAsia="zh-CN"/>
              </w:rPr>
              <w:t>G4-2</w:t>
            </w:r>
            <w:r>
              <w:rPr>
                <w:rFonts w:hint="eastAsia" w:ascii="Times New Roman" w:hAnsi="Times New Roman" w:eastAsia="宋体" w:cs="Times New Roman"/>
                <w:spacing w:val="0"/>
                <w:position w:val="0"/>
                <w:sz w:val="21"/>
                <w:szCs w:val="21"/>
                <w:vertAlign w:val="baseline"/>
                <w:lang w:val="en-US" w:eastAsia="zh-CN"/>
              </w:rPr>
              <w:t>蒸化废气</w:t>
            </w:r>
          </w:p>
        </w:tc>
        <w:tc>
          <w:tcPr>
            <w:tcW w:w="126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颗粒物</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475.2</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95%</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23.76</w:t>
            </w:r>
          </w:p>
        </w:tc>
        <w:tc>
          <w:tcPr>
            <w:tcW w:w="1188"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cs="Times New Roman"/>
                <w:spacing w:val="0"/>
                <w:position w:val="0"/>
                <w:sz w:val="21"/>
                <w:szCs w:val="21"/>
                <w:vertAlign w:val="baseline"/>
                <w:lang w:val="en-US" w:eastAsia="zh-CN"/>
              </w:rPr>
              <w:t>306000</w:t>
            </w:r>
          </w:p>
        </w:tc>
        <w:tc>
          <w:tcPr>
            <w:tcW w:w="11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9.80</w:t>
            </w:r>
          </w:p>
        </w:tc>
        <w:tc>
          <w:tcPr>
            <w:tcW w:w="11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w:t>
            </w:r>
          </w:p>
        </w:tc>
        <w:tc>
          <w:tcPr>
            <w:tcW w:w="774"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30</w:t>
            </w:r>
          </w:p>
        </w:tc>
        <w:tc>
          <w:tcPr>
            <w:tcW w:w="743"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1.8</w:t>
            </w:r>
          </w:p>
        </w:tc>
        <w:tc>
          <w:tcPr>
            <w:tcW w:w="744"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cs="Times New Roman"/>
                <w:spacing w:val="0"/>
                <w:position w:val="0"/>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2"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spacing w:val="0"/>
                <w:position w:val="0"/>
              </w:rPr>
            </w:pPr>
          </w:p>
        </w:tc>
        <w:tc>
          <w:tcPr>
            <w:tcW w:w="157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spacing w:val="0"/>
                <w:position w:val="0"/>
              </w:rPr>
            </w:pPr>
          </w:p>
        </w:tc>
        <w:tc>
          <w:tcPr>
            <w:tcW w:w="126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油烟</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356.4</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90%</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35.64</w:t>
            </w:r>
          </w:p>
        </w:tc>
        <w:tc>
          <w:tcPr>
            <w:tcW w:w="1188"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1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14.71</w:t>
            </w:r>
          </w:p>
        </w:tc>
        <w:tc>
          <w:tcPr>
            <w:tcW w:w="11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4.5</w:t>
            </w:r>
          </w:p>
        </w:tc>
        <w:tc>
          <w:tcPr>
            <w:tcW w:w="77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3"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2"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57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26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非甲烷总烃</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72.323</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80%</w:t>
            </w:r>
          </w:p>
        </w:tc>
        <w:tc>
          <w:tcPr>
            <w:tcW w:w="14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14.465</w:t>
            </w:r>
          </w:p>
        </w:tc>
        <w:tc>
          <w:tcPr>
            <w:tcW w:w="1188"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1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5.97</w:t>
            </w:r>
          </w:p>
        </w:tc>
        <w:tc>
          <w:tcPr>
            <w:tcW w:w="11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1.83</w:t>
            </w:r>
          </w:p>
        </w:tc>
        <w:tc>
          <w:tcPr>
            <w:tcW w:w="77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3"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2"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DA002</w:t>
            </w:r>
          </w:p>
        </w:tc>
        <w:tc>
          <w:tcPr>
            <w:tcW w:w="1575"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spacing w:val="0"/>
                <w:position w:val="0"/>
                <w:sz w:val="21"/>
                <w:szCs w:val="21"/>
                <w:vertAlign w:val="baseline"/>
                <w:lang w:val="en-US" w:eastAsia="zh-CN"/>
              </w:rPr>
              <w:t>G2-1</w:t>
            </w:r>
            <w:r>
              <w:rPr>
                <w:rFonts w:hint="eastAsia" w:ascii="Times New Roman" w:hAnsi="Times New Roman" w:eastAsia="宋体"/>
                <w:spacing w:val="0"/>
                <w:position w:val="0"/>
                <w:sz w:val="21"/>
                <w:szCs w:val="21"/>
                <w:lang w:val="en-US" w:eastAsia="zh-CN"/>
              </w:rPr>
              <w:t>定型废气</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spacing w:val="0"/>
                <w:position w:val="0"/>
                <w:sz w:val="21"/>
                <w:szCs w:val="21"/>
                <w:vertAlign w:val="baseline"/>
                <w:lang w:val="en-US" w:eastAsia="zh-CN"/>
              </w:rPr>
              <w:t>G2-2</w:t>
            </w:r>
            <w:r>
              <w:rPr>
                <w:rFonts w:hint="eastAsia" w:ascii="Times New Roman" w:hAnsi="Times New Roman" w:eastAsia="宋体"/>
                <w:spacing w:val="0"/>
                <w:position w:val="0"/>
                <w:sz w:val="21"/>
                <w:szCs w:val="21"/>
                <w:lang w:val="en-US" w:eastAsia="zh-CN"/>
              </w:rPr>
              <w:t>定型废气</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spacing w:val="0"/>
                <w:position w:val="0"/>
                <w:sz w:val="21"/>
                <w:szCs w:val="21"/>
                <w:vertAlign w:val="baseline"/>
                <w:lang w:val="en-US" w:eastAsia="zh-CN"/>
              </w:rPr>
              <w:t>G3-2</w:t>
            </w:r>
            <w:r>
              <w:rPr>
                <w:rFonts w:hint="eastAsia" w:ascii="Times New Roman" w:hAnsi="Times New Roman" w:eastAsia="宋体"/>
                <w:spacing w:val="0"/>
                <w:position w:val="0"/>
                <w:sz w:val="21"/>
                <w:szCs w:val="21"/>
                <w:lang w:val="en-US" w:eastAsia="zh-CN"/>
              </w:rPr>
              <w:t>定型废气</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spacing w:val="0"/>
                <w:position w:val="0"/>
                <w:sz w:val="21"/>
                <w:szCs w:val="21"/>
                <w:vertAlign w:val="baseline"/>
                <w:lang w:val="en-US" w:eastAsia="zh-CN"/>
              </w:rPr>
              <w:t>G4-3</w:t>
            </w:r>
            <w:r>
              <w:rPr>
                <w:rFonts w:hint="eastAsia" w:ascii="Times New Roman" w:hAnsi="Times New Roman" w:eastAsia="宋体"/>
                <w:spacing w:val="0"/>
                <w:position w:val="0"/>
                <w:sz w:val="21"/>
                <w:szCs w:val="21"/>
                <w:lang w:val="en-US" w:eastAsia="zh-CN"/>
              </w:rPr>
              <w:t>定型废气</w:t>
            </w:r>
          </w:p>
        </w:tc>
        <w:tc>
          <w:tcPr>
            <w:tcW w:w="126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颗粒物</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411.84</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95%</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20.592</w:t>
            </w:r>
          </w:p>
        </w:tc>
        <w:tc>
          <w:tcPr>
            <w:tcW w:w="1188"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cs="Times New Roman"/>
                <w:spacing w:val="0"/>
                <w:position w:val="0"/>
                <w:sz w:val="21"/>
                <w:szCs w:val="21"/>
                <w:vertAlign w:val="baseline"/>
                <w:lang w:val="en-US" w:eastAsia="zh-CN"/>
              </w:rPr>
              <w:t>260000</w:t>
            </w:r>
          </w:p>
        </w:tc>
        <w:tc>
          <w:tcPr>
            <w:tcW w:w="11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11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2.6</w:t>
            </w:r>
          </w:p>
        </w:tc>
        <w:tc>
          <w:tcPr>
            <w:tcW w:w="774"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30</w:t>
            </w:r>
          </w:p>
        </w:tc>
        <w:tc>
          <w:tcPr>
            <w:tcW w:w="743"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1.8</w:t>
            </w:r>
          </w:p>
        </w:tc>
        <w:tc>
          <w:tcPr>
            <w:tcW w:w="744"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spacing w:val="0"/>
                <w:position w:val="0"/>
                <w:sz w:val="21"/>
                <w:szCs w:val="21"/>
                <w:vertAlign w:val="baseline"/>
                <w:lang w:val="en-US" w:eastAsia="zh-CN"/>
              </w:rPr>
            </w:pPr>
            <w:r>
              <w:rPr>
                <w:rFonts w:hint="eastAsia" w:ascii="Times New Roman" w:hAnsi="Times New Roman" w:cs="Times New Roman"/>
                <w:spacing w:val="0"/>
                <w:position w:val="0"/>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2"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spacing w:val="0"/>
                <w:position w:val="0"/>
              </w:rPr>
            </w:pPr>
          </w:p>
        </w:tc>
        <w:tc>
          <w:tcPr>
            <w:tcW w:w="157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spacing w:val="0"/>
                <w:position w:val="0"/>
              </w:rPr>
            </w:pPr>
          </w:p>
        </w:tc>
        <w:tc>
          <w:tcPr>
            <w:tcW w:w="126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油烟</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308.88</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90%</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30.888</w:t>
            </w:r>
          </w:p>
        </w:tc>
        <w:tc>
          <w:tcPr>
            <w:tcW w:w="1188"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1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1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3.9</w:t>
            </w:r>
          </w:p>
        </w:tc>
        <w:tc>
          <w:tcPr>
            <w:tcW w:w="77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3"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2"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57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269"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0"/>
                <w:position w:val="0"/>
                <w:sz w:val="21"/>
                <w:szCs w:val="21"/>
                <w:vertAlign w:val="baseline"/>
                <w:lang w:val="en-US" w:eastAsia="zh-CN"/>
              </w:rPr>
            </w:pPr>
            <w:r>
              <w:rPr>
                <w:rFonts w:hint="eastAsia" w:ascii="Times New Roman" w:hAnsi="Times New Roman" w:eastAsia="宋体" w:cs="Times New Roman"/>
                <w:spacing w:val="0"/>
                <w:position w:val="0"/>
                <w:sz w:val="21"/>
                <w:szCs w:val="21"/>
                <w:vertAlign w:val="baseline"/>
                <w:lang w:val="en-US" w:eastAsia="zh-CN"/>
              </w:rPr>
              <w:t>非甲烷总烃</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eastAsia" w:cs="Times New Roman"/>
                <w:i w:val="0"/>
                <w:iCs w:val="0"/>
                <w:color w:val="000000"/>
                <w:spacing w:val="0"/>
                <w:kern w:val="0"/>
                <w:position w:val="0"/>
                <w:sz w:val="21"/>
                <w:szCs w:val="21"/>
                <w:u w:val="none"/>
                <w:lang w:val="en-US" w:eastAsia="zh-CN" w:bidi="ar"/>
              </w:rPr>
              <w:t>61.776</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80%</w:t>
            </w:r>
          </w:p>
        </w:tc>
        <w:tc>
          <w:tcPr>
            <w:tcW w:w="14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eastAsia" w:cs="Times New Roman"/>
                <w:i w:val="0"/>
                <w:iCs w:val="0"/>
                <w:color w:val="000000"/>
                <w:spacing w:val="0"/>
                <w:kern w:val="0"/>
                <w:position w:val="0"/>
                <w:sz w:val="21"/>
                <w:szCs w:val="21"/>
                <w:u w:val="none"/>
                <w:lang w:val="en-US" w:eastAsia="zh-CN" w:bidi="ar"/>
              </w:rPr>
              <w:t>12.355</w:t>
            </w:r>
          </w:p>
        </w:tc>
        <w:tc>
          <w:tcPr>
            <w:tcW w:w="1188"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11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11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r>
              <w:rPr>
                <w:rFonts w:hint="eastAsia" w:cs="Times New Roman"/>
                <w:i w:val="0"/>
                <w:iCs w:val="0"/>
                <w:color w:val="000000"/>
                <w:spacing w:val="0"/>
                <w:kern w:val="0"/>
                <w:position w:val="0"/>
                <w:sz w:val="21"/>
                <w:szCs w:val="21"/>
                <w:u w:val="none"/>
                <w:lang w:val="en-US" w:eastAsia="zh-CN" w:bidi="ar"/>
              </w:rPr>
              <w:t>6</w:t>
            </w:r>
          </w:p>
        </w:tc>
        <w:tc>
          <w:tcPr>
            <w:tcW w:w="77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3"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c>
          <w:tcPr>
            <w:tcW w:w="744"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pacing w:val="0"/>
                <w:position w:val="0"/>
                <w:sz w:val="21"/>
                <w:szCs w:val="21"/>
                <w:vertAlign w:val="baseline"/>
                <w:lang w:val="en-US" w:eastAsia="zh-CN"/>
              </w:rPr>
            </w:pPr>
          </w:p>
        </w:tc>
      </w:tr>
    </w:tbl>
    <w:p>
      <w:pPr>
        <w:pStyle w:val="10"/>
        <w:ind w:left="0" w:leftChars="0" w:firstLine="0" w:firstLineChars="0"/>
        <w:rPr>
          <w:rFonts w:hint="default"/>
          <w:spacing w:val="0"/>
          <w:position w:val="0"/>
          <w:lang w:val="en-US" w:eastAsia="zh-CN"/>
        </w:rPr>
        <w:sectPr>
          <w:pgSz w:w="16838" w:h="11906" w:orient="landscape"/>
          <w:pgMar w:top="1417"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outlineLvl w:val="2"/>
        <w:rPr>
          <w:rFonts w:hint="default" w:eastAsia="宋体"/>
          <w:b/>
          <w:bCs/>
          <w:spacing w:val="0"/>
          <w:position w:val="0"/>
          <w:sz w:val="28"/>
          <w:szCs w:val="28"/>
          <w:lang w:val="en-US" w:eastAsia="zh-CN"/>
        </w:rPr>
      </w:pPr>
      <w:r>
        <w:rPr>
          <w:rFonts w:hint="eastAsia"/>
          <w:b/>
          <w:bCs/>
          <w:spacing w:val="0"/>
          <w:position w:val="0"/>
          <w:sz w:val="28"/>
          <w:szCs w:val="28"/>
        </w:rPr>
        <w:t>3.4.4噪声源</w:t>
      </w:r>
      <w:r>
        <w:rPr>
          <w:rFonts w:hint="eastAsia"/>
          <w:b/>
          <w:bCs/>
          <w:spacing w:val="0"/>
          <w:position w:val="0"/>
          <w:sz w:val="28"/>
          <w:szCs w:val="28"/>
          <w:lang w:val="en-US" w:eastAsia="zh-CN"/>
        </w:rPr>
        <w:t>强分析</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投产后，厂内噪声主要来自染整车间，经编车间公用工程设备，噪声源强较大的设备主要由经编机、整经机、空压机、冷冻机、各类水泵以及生产车间的各类设备。主要设备都属于常见的设备，主要噪声源情况见表3.4-</w:t>
      </w:r>
      <w:r>
        <w:rPr>
          <w:rFonts w:hint="eastAsia"/>
          <w:spacing w:val="0"/>
          <w:position w:val="0"/>
          <w:sz w:val="24"/>
          <w:szCs w:val="24"/>
          <w:lang w:val="en-US" w:eastAsia="zh-CN"/>
        </w:rPr>
        <w:t>11</w:t>
      </w:r>
      <w:r>
        <w:rPr>
          <w:rFonts w:hint="eastAsia"/>
          <w:spacing w:val="0"/>
          <w:position w:val="0"/>
          <w:sz w:val="24"/>
          <w:szCs w:val="24"/>
        </w:rPr>
        <w:t>。</w:t>
      </w:r>
    </w:p>
    <w:p>
      <w:pPr>
        <w:adjustRightInd w:val="0"/>
        <w:snapToGrid w:val="0"/>
        <w:spacing w:line="360" w:lineRule="auto"/>
        <w:jc w:val="center"/>
        <w:rPr>
          <w:rFonts w:hint="eastAsia"/>
          <w:b/>
          <w:bCs/>
          <w:spacing w:val="0"/>
          <w:position w:val="0"/>
          <w:sz w:val="24"/>
          <w:szCs w:val="24"/>
        </w:rPr>
      </w:pPr>
      <w:r>
        <w:rPr>
          <w:rFonts w:hint="eastAsia"/>
          <w:b/>
          <w:bCs/>
          <w:spacing w:val="0"/>
          <w:position w:val="0"/>
          <w:sz w:val="24"/>
          <w:szCs w:val="24"/>
        </w:rPr>
        <w:t>表3.4-</w:t>
      </w:r>
      <w:r>
        <w:rPr>
          <w:rFonts w:hint="eastAsia"/>
          <w:b/>
          <w:bCs/>
          <w:spacing w:val="0"/>
          <w:position w:val="0"/>
          <w:sz w:val="24"/>
          <w:szCs w:val="24"/>
          <w:lang w:val="en-US" w:eastAsia="zh-CN"/>
        </w:rPr>
        <w:t>11</w:t>
      </w:r>
      <w:r>
        <w:rPr>
          <w:rFonts w:hint="eastAsia"/>
          <w:b/>
          <w:bCs/>
          <w:spacing w:val="0"/>
          <w:position w:val="0"/>
          <w:sz w:val="24"/>
          <w:szCs w:val="24"/>
        </w:rPr>
        <w:t xml:space="preserve">  </w:t>
      </w:r>
      <w:r>
        <w:rPr>
          <w:rFonts w:hint="eastAsia"/>
          <w:b/>
          <w:bCs/>
          <w:spacing w:val="0"/>
          <w:position w:val="0"/>
          <w:sz w:val="24"/>
          <w:szCs w:val="24"/>
          <w:lang w:val="en-US" w:eastAsia="zh-CN"/>
        </w:rPr>
        <w:t>项目运营期</w:t>
      </w:r>
      <w:r>
        <w:rPr>
          <w:rFonts w:hint="eastAsia"/>
          <w:b/>
          <w:bCs/>
          <w:spacing w:val="0"/>
          <w:position w:val="0"/>
          <w:sz w:val="24"/>
          <w:szCs w:val="24"/>
        </w:rPr>
        <w:t>主要设备噪声源情况一览表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0"/>
        <w:gridCol w:w="1314"/>
        <w:gridCol w:w="518"/>
        <w:gridCol w:w="1518"/>
        <w:gridCol w:w="893"/>
        <w:gridCol w:w="857"/>
        <w:gridCol w:w="678"/>
        <w:gridCol w:w="840"/>
        <w:gridCol w:w="946"/>
        <w:gridCol w:w="1125"/>
        <w:gridCol w:w="679"/>
        <w:gridCol w:w="1850"/>
        <w:gridCol w:w="989"/>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205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建筑物</w:t>
            </w:r>
          </w:p>
        </w:tc>
        <w:tc>
          <w:tcPr>
            <w:tcW w:w="51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序号</w:t>
            </w:r>
          </w:p>
        </w:tc>
        <w:tc>
          <w:tcPr>
            <w:tcW w:w="151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设备名称</w:t>
            </w:r>
          </w:p>
        </w:tc>
        <w:tc>
          <w:tcPr>
            <w:tcW w:w="89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设备数量</w:t>
            </w:r>
          </w:p>
        </w:tc>
        <w:tc>
          <w:tcPr>
            <w:tcW w:w="8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声源类型</w:t>
            </w:r>
          </w:p>
        </w:tc>
        <w:tc>
          <w:tcPr>
            <w:tcW w:w="1518"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与厂界最近距离</w:t>
            </w:r>
          </w:p>
        </w:tc>
        <w:tc>
          <w:tcPr>
            <w:tcW w:w="2071"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噪声源强</w:t>
            </w:r>
          </w:p>
        </w:tc>
        <w:tc>
          <w:tcPr>
            <w:tcW w:w="6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持续时间（h/d）</w:t>
            </w:r>
          </w:p>
        </w:tc>
        <w:tc>
          <w:tcPr>
            <w:tcW w:w="2839"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降噪措施</w:t>
            </w:r>
          </w:p>
        </w:tc>
        <w:tc>
          <w:tcPr>
            <w:tcW w:w="10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205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p>
        </w:tc>
        <w:tc>
          <w:tcPr>
            <w:tcW w:w="5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p>
        </w:tc>
        <w:tc>
          <w:tcPr>
            <w:tcW w:w="151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p>
        </w:tc>
        <w:tc>
          <w:tcPr>
            <w:tcW w:w="8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p>
        </w:tc>
        <w:tc>
          <w:tcPr>
            <w:tcW w:w="8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厂界</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距离/m</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核算方法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声源表达量/dB（A）</w:t>
            </w:r>
          </w:p>
        </w:tc>
        <w:tc>
          <w:tcPr>
            <w:tcW w:w="6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工艺</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降噪效果/dB（A）</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生产厂房</w:t>
            </w: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地下一层</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水泵</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10</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32</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90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织造车间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经编机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30</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100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织造工序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w:t>
            </w:r>
            <w:r>
              <w:rPr>
                <w:rFonts w:hint="eastAsia"/>
                <w:b w:val="0"/>
                <w:bCs w:val="0"/>
                <w:spacing w:val="0"/>
                <w:position w:val="0"/>
                <w:sz w:val="21"/>
                <w:szCs w:val="21"/>
                <w:vertAlign w:val="baseline"/>
                <w:lang w:val="en-US" w:eastAsia="zh-CN"/>
              </w:rPr>
              <w:t>#</w:t>
            </w:r>
            <w:r>
              <w:rPr>
                <w:rFonts w:hint="eastAsia" w:ascii="Times New Roman" w:hAnsi="Times New Roman" w:eastAsia="宋体"/>
                <w:b w:val="0"/>
                <w:bCs w:val="0"/>
                <w:spacing w:val="0"/>
                <w:position w:val="0"/>
                <w:sz w:val="21"/>
                <w:szCs w:val="21"/>
                <w:vertAlign w:val="baseline"/>
                <w:lang w:val="en-US" w:eastAsia="zh-CN"/>
              </w:rPr>
              <w:t>染色车间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高温溢流染色机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60</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染整工序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平幅水洗机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脱水机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90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理布机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冷冻机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4</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b w:val="0"/>
                <w:bCs w:val="0"/>
                <w:spacing w:val="0"/>
                <w:position w:val="0"/>
                <w:sz w:val="21"/>
                <w:szCs w:val="21"/>
                <w:vertAlign w:val="baseline"/>
                <w:lang w:val="en-US" w:eastAsia="zh-CN"/>
              </w:rPr>
              <w:t>2#</w:t>
            </w:r>
            <w:r>
              <w:rPr>
                <w:rFonts w:hint="eastAsia" w:ascii="Times New Roman" w:hAnsi="Times New Roman" w:eastAsia="宋体"/>
                <w:b w:val="0"/>
                <w:bCs w:val="0"/>
                <w:spacing w:val="0"/>
                <w:position w:val="0"/>
                <w:sz w:val="21"/>
                <w:szCs w:val="21"/>
                <w:vertAlign w:val="baseline"/>
                <w:lang w:val="en-US" w:eastAsia="zh-CN"/>
              </w:rPr>
              <w:t>染色车间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高温溢流染色机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60</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33</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平幅水洗机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脱水机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90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理布机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b w:val="0"/>
                <w:bCs w:val="0"/>
                <w:spacing w:val="0"/>
                <w:position w:val="0"/>
                <w:sz w:val="21"/>
                <w:szCs w:val="21"/>
                <w:vertAlign w:val="baseline"/>
                <w:lang w:val="en-US" w:eastAsia="zh-CN"/>
              </w:rPr>
              <w:t>空压机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4</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90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检验车间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rPr>
              <w:t>自动包装系统</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32</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检验工序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打卷机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32</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1#定型车间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7</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39</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后整理车间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拉毛机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32</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35</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拉毛/剪毛工序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eastAsia" w:cs="Times New Roman"/>
                <w:i w:val="0"/>
                <w:iCs w:val="0"/>
                <w:color w:val="000000"/>
                <w:spacing w:val="0"/>
                <w:kern w:val="0"/>
                <w:position w:val="0"/>
                <w:sz w:val="21"/>
                <w:szCs w:val="21"/>
                <w:u w:val="none"/>
                <w:lang w:val="en-US" w:eastAsia="zh-CN" w:bidi="ar"/>
              </w:rPr>
              <w:t>17</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剪毛机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37</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39</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定型工序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2#定型车间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19</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45</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蒸化车间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eastAsia" w:cs="Times New Roman"/>
                <w:i w:val="0"/>
                <w:iCs w:val="0"/>
                <w:color w:val="000000"/>
                <w:spacing w:val="0"/>
                <w:kern w:val="0"/>
                <w:position w:val="0"/>
                <w:sz w:val="21"/>
                <w:szCs w:val="21"/>
                <w:u w:val="none"/>
                <w:lang w:val="en-US" w:eastAsia="zh-CN" w:bidi="ar"/>
              </w:rPr>
              <w:t>20</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绳装水洗机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6</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45</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印花工序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r>
              <w:rPr>
                <w:rFonts w:hint="eastAsia" w:cs="Times New Roman"/>
                <w:i w:val="0"/>
                <w:iCs w:val="0"/>
                <w:color w:val="000000"/>
                <w:spacing w:val="0"/>
                <w:kern w:val="0"/>
                <w:position w:val="0"/>
                <w:sz w:val="21"/>
                <w:szCs w:val="21"/>
                <w:u w:val="none"/>
                <w:lang w:val="en-US" w:eastAsia="zh-CN" w:bidi="ar"/>
              </w:rPr>
              <w:t>1</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cs="宋体"/>
                <w:color w:val="000000"/>
                <w:spacing w:val="0"/>
                <w:kern w:val="0"/>
                <w:position w:val="0"/>
                <w:szCs w:val="24"/>
                <w:lang w:bidi="ar"/>
              </w:rPr>
              <w:t>印花水洗机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6</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38</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蒸化机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6</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38</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印花车间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数码印花机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34</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24</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圆网印花机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34</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3#定型车间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定型机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41</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定型工序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4#定型车间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26</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定型机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7</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41</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5#定型车间</w:t>
            </w:r>
          </w:p>
        </w:tc>
        <w:tc>
          <w:tcPr>
            <w:tcW w:w="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27</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定型机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7</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西</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30</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c>
          <w:tcPr>
            <w:tcW w:w="105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1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顶楼</w:t>
            </w:r>
          </w:p>
        </w:tc>
        <w:tc>
          <w:tcPr>
            <w:tcW w:w="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28</w:t>
            </w:r>
          </w:p>
        </w:tc>
        <w:tc>
          <w:tcPr>
            <w:tcW w:w="15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废气处理设施引风机</w:t>
            </w:r>
          </w:p>
        </w:tc>
        <w:tc>
          <w:tcPr>
            <w:tcW w:w="8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北</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33</w:t>
            </w:r>
          </w:p>
        </w:tc>
        <w:tc>
          <w:tcPr>
            <w:tcW w:w="9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类比法</w:t>
            </w:r>
          </w:p>
        </w:tc>
        <w:tc>
          <w:tcPr>
            <w:tcW w:w="11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b w:val="0"/>
                <w:bCs w:val="0"/>
                <w:spacing w:val="0"/>
                <w:position w:val="0"/>
                <w:sz w:val="21"/>
                <w:szCs w:val="21"/>
                <w:vertAlign w:val="baseline"/>
                <w:lang w:val="en-US" w:eastAsia="zh-CN"/>
              </w:rPr>
              <w:t>80</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24</w:t>
            </w:r>
          </w:p>
        </w:tc>
        <w:tc>
          <w:tcPr>
            <w:tcW w:w="18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w:t>
            </w:r>
          </w:p>
        </w:tc>
        <w:tc>
          <w:tcPr>
            <w:tcW w:w="9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10</w:t>
            </w:r>
          </w:p>
        </w:tc>
        <w:tc>
          <w:tcPr>
            <w:tcW w:w="10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废气处理工序</w:t>
            </w:r>
          </w:p>
        </w:tc>
      </w:tr>
    </w:tbl>
    <w:p>
      <w:pPr>
        <w:adjustRightInd w:val="0"/>
        <w:snapToGrid w:val="0"/>
        <w:spacing w:line="360" w:lineRule="auto"/>
        <w:ind w:firstLine="480" w:firstLineChars="200"/>
        <w:rPr>
          <w:spacing w:val="0"/>
          <w:position w:val="0"/>
          <w:sz w:val="24"/>
          <w:szCs w:val="24"/>
        </w:rPr>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3.4.5固体废物</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企业生产过程中产生的主要固体废物包括：纺织、染整、印花过程中产生的废丝、废布及次品、普通废包装、危化品废包装、废气处理废油、废机油、化验室废液</w:t>
      </w:r>
      <w:r>
        <w:rPr>
          <w:rFonts w:hint="eastAsia"/>
          <w:spacing w:val="0"/>
          <w:position w:val="0"/>
          <w:sz w:val="24"/>
          <w:szCs w:val="24"/>
          <w:lang w:eastAsia="zh-CN"/>
        </w:rPr>
        <w:t>、</w:t>
      </w:r>
      <w:r>
        <w:rPr>
          <w:rFonts w:hint="eastAsia"/>
          <w:spacing w:val="0"/>
          <w:position w:val="0"/>
          <w:sz w:val="24"/>
          <w:szCs w:val="24"/>
          <w:lang w:val="en-US" w:eastAsia="zh-CN"/>
        </w:rPr>
        <w:t>生活垃圾</w:t>
      </w:r>
      <w:r>
        <w:rPr>
          <w:rFonts w:hint="eastAsia"/>
          <w:spacing w:val="0"/>
          <w:position w:val="0"/>
          <w:sz w:val="24"/>
          <w:szCs w:val="24"/>
        </w:rPr>
        <w:t>等。根据固体废物的产生情况和性质，主要分为一般工业固体废物、危险废物、生活垃圾。</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3.4.5.1一般工业固体废物</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（1）废丝、废布及次品</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根据建设单位提供的资料，织造</w:t>
      </w:r>
      <w:r>
        <w:rPr>
          <w:rFonts w:hint="eastAsia"/>
          <w:spacing w:val="0"/>
          <w:position w:val="0"/>
          <w:sz w:val="24"/>
          <w:szCs w:val="24"/>
          <w:lang w:eastAsia="zh-CN"/>
        </w:rPr>
        <w:t>工艺</w:t>
      </w:r>
      <w:r>
        <w:rPr>
          <w:rFonts w:hint="eastAsia"/>
          <w:spacing w:val="0"/>
          <w:position w:val="0"/>
          <w:sz w:val="24"/>
          <w:szCs w:val="24"/>
        </w:rPr>
        <w:t>废丝和废布产生量为产品的</w:t>
      </w:r>
      <w:r>
        <w:rPr>
          <w:rFonts w:hint="eastAsia"/>
          <w:spacing w:val="0"/>
          <w:position w:val="0"/>
          <w:sz w:val="24"/>
          <w:szCs w:val="24"/>
          <w:lang w:val="en-US" w:eastAsia="zh-CN"/>
        </w:rPr>
        <w:t>3</w:t>
      </w:r>
      <w:r>
        <w:rPr>
          <w:rFonts w:hint="eastAsia"/>
          <w:spacing w:val="0"/>
          <w:position w:val="0"/>
          <w:sz w:val="24"/>
          <w:szCs w:val="24"/>
        </w:rPr>
        <w:t>%，织造生产线年产产品为</w:t>
      </w:r>
      <w:r>
        <w:rPr>
          <w:rFonts w:hint="eastAsia"/>
          <w:spacing w:val="0"/>
          <w:position w:val="0"/>
          <w:sz w:val="24"/>
          <w:szCs w:val="24"/>
          <w:lang w:val="en-US" w:eastAsia="zh-CN"/>
        </w:rPr>
        <w:t>19500</w:t>
      </w:r>
      <w:r>
        <w:rPr>
          <w:rFonts w:hint="eastAsia"/>
          <w:spacing w:val="0"/>
          <w:position w:val="0"/>
          <w:sz w:val="24"/>
          <w:szCs w:val="24"/>
        </w:rPr>
        <w:t>t/a，即废丝和废布产生量为</w:t>
      </w:r>
      <w:r>
        <w:rPr>
          <w:rFonts w:hint="eastAsia"/>
          <w:spacing w:val="0"/>
          <w:position w:val="0"/>
          <w:sz w:val="24"/>
          <w:szCs w:val="24"/>
          <w:lang w:val="en-US" w:eastAsia="zh-CN"/>
        </w:rPr>
        <w:t>585</w:t>
      </w:r>
      <w:r>
        <w:rPr>
          <w:rFonts w:hint="eastAsia"/>
          <w:spacing w:val="0"/>
          <w:position w:val="0"/>
          <w:sz w:val="24"/>
          <w:szCs w:val="24"/>
        </w:rPr>
        <w:t>t/a；</w:t>
      </w:r>
      <w:r>
        <w:rPr>
          <w:rFonts w:hint="eastAsia"/>
          <w:spacing w:val="0"/>
          <w:position w:val="0"/>
          <w:sz w:val="24"/>
          <w:szCs w:val="24"/>
          <w:lang w:eastAsia="zh-CN"/>
        </w:rPr>
        <w:t>根据建设单位的生产经验，最终产品次品率为</w:t>
      </w:r>
      <w:r>
        <w:rPr>
          <w:rFonts w:hint="eastAsia"/>
          <w:spacing w:val="0"/>
          <w:position w:val="0"/>
          <w:sz w:val="24"/>
          <w:szCs w:val="24"/>
          <w:lang w:val="en-US" w:eastAsia="zh-CN"/>
        </w:rPr>
        <w:t>0.2%，</w:t>
      </w:r>
      <w:r>
        <w:rPr>
          <w:rFonts w:hint="eastAsia"/>
          <w:spacing w:val="0"/>
          <w:position w:val="0"/>
          <w:sz w:val="24"/>
          <w:szCs w:val="24"/>
        </w:rPr>
        <w:t>染整生产线产能为</w:t>
      </w:r>
      <w:r>
        <w:rPr>
          <w:rFonts w:hint="eastAsia"/>
          <w:spacing w:val="0"/>
          <w:position w:val="0"/>
          <w:sz w:val="24"/>
          <w:szCs w:val="24"/>
          <w:lang w:val="en-US" w:eastAsia="zh-CN"/>
        </w:rPr>
        <w:t>19500</w:t>
      </w:r>
      <w:r>
        <w:rPr>
          <w:rFonts w:hint="eastAsia"/>
          <w:spacing w:val="0"/>
          <w:position w:val="0"/>
          <w:sz w:val="24"/>
          <w:szCs w:val="24"/>
        </w:rPr>
        <w:t>t/a，</w:t>
      </w:r>
      <w:r>
        <w:rPr>
          <w:rFonts w:hint="eastAsia"/>
          <w:spacing w:val="0"/>
          <w:position w:val="0"/>
          <w:sz w:val="24"/>
          <w:szCs w:val="24"/>
          <w:lang w:eastAsia="zh-CN"/>
        </w:rPr>
        <w:t>则</w:t>
      </w:r>
      <w:r>
        <w:rPr>
          <w:rFonts w:hint="eastAsia"/>
          <w:spacing w:val="0"/>
          <w:position w:val="0"/>
          <w:sz w:val="24"/>
          <w:szCs w:val="24"/>
        </w:rPr>
        <w:t>次品产生量为</w:t>
      </w:r>
      <w:r>
        <w:rPr>
          <w:rFonts w:hint="eastAsia"/>
          <w:spacing w:val="0"/>
          <w:position w:val="0"/>
          <w:sz w:val="24"/>
          <w:szCs w:val="24"/>
          <w:lang w:val="en-US" w:eastAsia="zh-CN"/>
        </w:rPr>
        <w:t>39</w:t>
      </w:r>
      <w:r>
        <w:rPr>
          <w:rFonts w:hint="eastAsia"/>
          <w:spacing w:val="0"/>
          <w:position w:val="0"/>
          <w:sz w:val="24"/>
          <w:szCs w:val="24"/>
        </w:rPr>
        <w:t>t/a；印花生产线</w:t>
      </w:r>
      <w:r>
        <w:rPr>
          <w:rFonts w:hint="eastAsia"/>
          <w:spacing w:val="0"/>
          <w:position w:val="0"/>
          <w:sz w:val="24"/>
          <w:szCs w:val="24"/>
          <w:lang w:eastAsia="zh-CN"/>
        </w:rPr>
        <w:t>产能</w:t>
      </w:r>
      <w:r>
        <w:rPr>
          <w:rFonts w:hint="eastAsia"/>
          <w:spacing w:val="0"/>
          <w:position w:val="0"/>
          <w:sz w:val="24"/>
          <w:szCs w:val="24"/>
        </w:rPr>
        <w:t>为4500t/a，则次品产生量为</w:t>
      </w:r>
      <w:r>
        <w:rPr>
          <w:rFonts w:hint="eastAsia"/>
          <w:spacing w:val="0"/>
          <w:position w:val="0"/>
          <w:sz w:val="24"/>
          <w:szCs w:val="24"/>
          <w:lang w:val="en-US" w:eastAsia="zh-CN"/>
        </w:rPr>
        <w:t>9</w:t>
      </w:r>
      <w:r>
        <w:rPr>
          <w:rFonts w:hint="eastAsia"/>
          <w:spacing w:val="0"/>
          <w:position w:val="0"/>
          <w:sz w:val="24"/>
          <w:szCs w:val="24"/>
        </w:rPr>
        <w:t>t/a。合计废丝、废布及次品产生量为</w:t>
      </w:r>
      <w:r>
        <w:rPr>
          <w:rFonts w:hint="eastAsia"/>
          <w:spacing w:val="0"/>
          <w:position w:val="0"/>
          <w:sz w:val="24"/>
          <w:szCs w:val="24"/>
          <w:lang w:val="en-US" w:eastAsia="zh-CN"/>
        </w:rPr>
        <w:t>633</w:t>
      </w:r>
      <w:r>
        <w:rPr>
          <w:rFonts w:hint="eastAsia"/>
          <w:spacing w:val="0"/>
          <w:position w:val="0"/>
          <w:sz w:val="24"/>
          <w:szCs w:val="24"/>
        </w:rPr>
        <w:t>t/a，属于一般工业固体废物，可外售其他企业综合利用。</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（2）普通废包装</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本项目使用的一般原材料有长丝、纯碱（碳酸钠）等固态物质，不具备沾染毒性和感染性，均为袋装包装物，废包装袋属于一般工业固体废物，产生量约为2t/a，可外售回收企业。</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3.4.5.2危险废物</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（1）危化品废包装</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使用的原材料染料、助剂、油墨等将产生废包装。根据建设单位介绍，以上原料基本为桶装，原材料供应商提供的染料、助剂原材料，均将原料先用塑料袋包装后再统一装入原料桶中，以便回收利用原料桶，厂区内使用时，将原料桶内部的袋装原料在使用场所取出后使用，原料桶一般不会沾染原料，原料桶由供应商回收用于原始用途；油墨采用桶装，不涉及塑料袋，因此，本项目产生的危化品废包装主要是与原料直接接触的塑料包装袋及原料桶，预计产生量约8.1t/a，对照《国家危险废物名录》（2021年版），属于“HW49 其他废物”类危险废物，废物代码为“900-041-49含有或沾染毒性、感染性危险废物的废弃包装物、容器、过滤吸附介质”，应委托有资质单位进行处置。</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（2）废气处理废油</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lang w:val="en-US" w:eastAsia="zh-CN"/>
        </w:rPr>
        <w:t>项目每年产生油烟665.28t，</w:t>
      </w:r>
      <w:r>
        <w:rPr>
          <w:rFonts w:hint="eastAsia"/>
          <w:spacing w:val="0"/>
          <w:position w:val="0"/>
          <w:sz w:val="24"/>
          <w:szCs w:val="24"/>
        </w:rPr>
        <w:t>废气处理设施回收的废油</w:t>
      </w:r>
      <w:r>
        <w:rPr>
          <w:rFonts w:hint="eastAsia"/>
          <w:spacing w:val="0"/>
          <w:position w:val="0"/>
          <w:sz w:val="24"/>
          <w:szCs w:val="24"/>
          <w:lang w:val="en-US" w:eastAsia="zh-CN"/>
        </w:rPr>
        <w:t>根据废气处理效率进行计算，则每年废气处理产生的废油量为665.28×90%=598.75t</w:t>
      </w:r>
      <w:r>
        <w:rPr>
          <w:rFonts w:hint="eastAsia"/>
          <w:spacing w:val="0"/>
          <w:position w:val="0"/>
          <w:sz w:val="24"/>
          <w:szCs w:val="24"/>
        </w:rPr>
        <w:t>，对照《国家危险废物名录》（2021 年版），属于“HW08 废矿物油与含矿物油废物”类危险废物，废物代码为“900-210-08 含油废水处理中隔油、气浮、沉淀等处理过程中产生的浮油、浮渣和污泥（不包括废水生化处理污泥）”，应委托有资质单位进行处置。</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（3）废机油</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设备维护使用润滑油会产生废油，产生量约0.1t/a，对照《国家危险废物名录》（2021年版），属于“HW08 废矿物油与含矿物油废物”类危险废物，废物代码为“900-249-08其他生产、销售、使用过程中产生的废矿物油及沾染矿物油的废气包装物”，应委托有资质单位进行处置。</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（4）化验室废液</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化验室仪器做试验后将产生废液，主要成分为酸碱物质，产生量约0.5t/a，对照《国家危险废物名录》（2021 年版），属于“HW49 其他废物”类危险废物，废物代码为“900-047-49 含有或沾染毒性、感染性危险废物的废弃包装物、容器、过滤吸附介质”，应委托有资质单位进行处置。</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3.4.5.3生活垃圾</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本项目定员259人，</w:t>
      </w:r>
      <w:r>
        <w:rPr>
          <w:rFonts w:hint="eastAsia"/>
          <w:spacing w:val="0"/>
          <w:position w:val="0"/>
          <w:sz w:val="24"/>
          <w:szCs w:val="24"/>
          <w:lang w:eastAsia="zh-CN"/>
        </w:rPr>
        <w:t>均不住厂，</w:t>
      </w:r>
      <w:r>
        <w:rPr>
          <w:rFonts w:hint="eastAsia"/>
          <w:spacing w:val="0"/>
          <w:position w:val="0"/>
          <w:sz w:val="24"/>
          <w:szCs w:val="24"/>
        </w:rPr>
        <w:t>不住厂人员生活垃圾产生量按0.5kg/d计算，则项目共产生生活垃圾</w:t>
      </w:r>
      <w:r>
        <w:rPr>
          <w:rFonts w:hint="eastAsia"/>
          <w:spacing w:val="0"/>
          <w:position w:val="0"/>
          <w:sz w:val="24"/>
          <w:szCs w:val="24"/>
          <w:lang w:val="en-US" w:eastAsia="zh-CN"/>
        </w:rPr>
        <w:t>42.74</w:t>
      </w:r>
      <w:r>
        <w:rPr>
          <w:rFonts w:hint="eastAsia"/>
          <w:spacing w:val="0"/>
          <w:position w:val="0"/>
          <w:sz w:val="24"/>
          <w:szCs w:val="24"/>
        </w:rPr>
        <w:t>t/a。</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根据以上计算，汇总本项目固体废物产生和处理、处置情况详见表3.4-9及表3.4-10。</w:t>
      </w:r>
    </w:p>
    <w:p>
      <w:pPr>
        <w:adjustRightInd w:val="0"/>
        <w:snapToGrid w:val="0"/>
        <w:spacing w:line="360" w:lineRule="auto"/>
        <w:jc w:val="center"/>
        <w:rPr>
          <w:b/>
          <w:bCs/>
          <w:spacing w:val="0"/>
          <w:position w:val="0"/>
          <w:sz w:val="24"/>
          <w:szCs w:val="24"/>
        </w:rPr>
      </w:pPr>
      <w:r>
        <w:rPr>
          <w:rFonts w:hint="eastAsia"/>
          <w:b/>
          <w:bCs/>
          <w:spacing w:val="0"/>
          <w:position w:val="0"/>
          <w:sz w:val="24"/>
          <w:szCs w:val="24"/>
        </w:rPr>
        <w:t>表3.4-9本项目固体废物产生及处理情况一览表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66"/>
        <w:gridCol w:w="690"/>
        <w:gridCol w:w="1061"/>
        <w:gridCol w:w="1235"/>
        <w:gridCol w:w="1043"/>
        <w:gridCol w:w="869"/>
        <w:gridCol w:w="1711"/>
        <w:gridCol w:w="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序号</w:t>
            </w:r>
          </w:p>
        </w:tc>
        <w:tc>
          <w:tcPr>
            <w:tcW w:w="966"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固体废物名称</w:t>
            </w:r>
          </w:p>
        </w:tc>
        <w:tc>
          <w:tcPr>
            <w:tcW w:w="690"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形态</w:t>
            </w:r>
          </w:p>
        </w:tc>
        <w:tc>
          <w:tcPr>
            <w:tcW w:w="1061"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属性</w:t>
            </w:r>
          </w:p>
        </w:tc>
        <w:tc>
          <w:tcPr>
            <w:tcW w:w="1235"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代码</w:t>
            </w:r>
          </w:p>
        </w:tc>
        <w:tc>
          <w:tcPr>
            <w:tcW w:w="1912" w:type="dxa"/>
            <w:gridSpan w:val="2"/>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产生量（t/a）</w:t>
            </w:r>
          </w:p>
        </w:tc>
        <w:tc>
          <w:tcPr>
            <w:tcW w:w="1711"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处置措施</w:t>
            </w:r>
          </w:p>
        </w:tc>
        <w:tc>
          <w:tcPr>
            <w:tcW w:w="855" w:type="dxa"/>
            <w:vMerge w:val="restart"/>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处置量（t/a）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tcBorders>
              <w:tl2br w:val="nil"/>
              <w:tr2bl w:val="nil"/>
            </w:tcBorders>
            <w:vAlign w:val="center"/>
          </w:tcPr>
          <w:p>
            <w:pPr>
              <w:widowControl/>
              <w:adjustRightInd w:val="0"/>
              <w:snapToGrid w:val="0"/>
              <w:jc w:val="center"/>
              <w:rPr>
                <w:spacing w:val="0"/>
                <w:position w:val="0"/>
                <w:szCs w:val="21"/>
              </w:rPr>
            </w:pPr>
          </w:p>
        </w:tc>
        <w:tc>
          <w:tcPr>
            <w:tcW w:w="966" w:type="dxa"/>
            <w:vMerge w:val="continue"/>
            <w:tcBorders>
              <w:tl2br w:val="nil"/>
              <w:tr2bl w:val="nil"/>
            </w:tcBorders>
            <w:vAlign w:val="center"/>
          </w:tcPr>
          <w:p>
            <w:pPr>
              <w:widowControl/>
              <w:adjustRightInd w:val="0"/>
              <w:snapToGrid w:val="0"/>
              <w:jc w:val="center"/>
              <w:rPr>
                <w:spacing w:val="0"/>
                <w:position w:val="0"/>
                <w:szCs w:val="21"/>
              </w:rPr>
            </w:pPr>
          </w:p>
        </w:tc>
        <w:tc>
          <w:tcPr>
            <w:tcW w:w="690" w:type="dxa"/>
            <w:vMerge w:val="continue"/>
            <w:tcBorders>
              <w:tl2br w:val="nil"/>
              <w:tr2bl w:val="nil"/>
            </w:tcBorders>
            <w:vAlign w:val="center"/>
          </w:tcPr>
          <w:p>
            <w:pPr>
              <w:widowControl/>
              <w:adjustRightInd w:val="0"/>
              <w:snapToGrid w:val="0"/>
              <w:jc w:val="center"/>
              <w:rPr>
                <w:spacing w:val="0"/>
                <w:position w:val="0"/>
                <w:szCs w:val="21"/>
              </w:rPr>
            </w:pPr>
          </w:p>
        </w:tc>
        <w:tc>
          <w:tcPr>
            <w:tcW w:w="1061" w:type="dxa"/>
            <w:vMerge w:val="continue"/>
            <w:tcBorders>
              <w:tl2br w:val="nil"/>
              <w:tr2bl w:val="nil"/>
            </w:tcBorders>
            <w:vAlign w:val="center"/>
          </w:tcPr>
          <w:p>
            <w:pPr>
              <w:widowControl/>
              <w:adjustRightInd w:val="0"/>
              <w:snapToGrid w:val="0"/>
              <w:jc w:val="center"/>
              <w:rPr>
                <w:spacing w:val="0"/>
                <w:position w:val="0"/>
                <w:szCs w:val="21"/>
              </w:rPr>
            </w:pPr>
          </w:p>
        </w:tc>
        <w:tc>
          <w:tcPr>
            <w:tcW w:w="1235" w:type="dxa"/>
            <w:vMerge w:val="continue"/>
            <w:tcBorders>
              <w:tl2br w:val="nil"/>
              <w:tr2bl w:val="nil"/>
            </w:tcBorders>
            <w:vAlign w:val="center"/>
          </w:tcPr>
          <w:p>
            <w:pPr>
              <w:widowControl/>
              <w:adjustRightInd w:val="0"/>
              <w:snapToGrid w:val="0"/>
              <w:jc w:val="center"/>
              <w:rPr>
                <w:spacing w:val="0"/>
                <w:position w:val="0"/>
                <w:szCs w:val="21"/>
              </w:rPr>
            </w:pPr>
          </w:p>
        </w:tc>
        <w:tc>
          <w:tcPr>
            <w:tcW w:w="1043"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核算方法</w:t>
            </w:r>
          </w:p>
        </w:tc>
        <w:tc>
          <w:tcPr>
            <w:tcW w:w="869"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产生量</w:t>
            </w:r>
          </w:p>
        </w:tc>
        <w:tc>
          <w:tcPr>
            <w:tcW w:w="1711" w:type="dxa"/>
            <w:vMerge w:val="continue"/>
            <w:tcBorders>
              <w:tl2br w:val="nil"/>
              <w:tr2bl w:val="nil"/>
            </w:tcBorders>
            <w:vAlign w:val="center"/>
          </w:tcPr>
          <w:p>
            <w:pPr>
              <w:widowControl/>
              <w:adjustRightInd w:val="0"/>
              <w:snapToGrid w:val="0"/>
              <w:jc w:val="center"/>
              <w:rPr>
                <w:spacing w:val="0"/>
                <w:position w:val="0"/>
                <w:szCs w:val="21"/>
              </w:rPr>
            </w:pPr>
          </w:p>
        </w:tc>
        <w:tc>
          <w:tcPr>
            <w:tcW w:w="855"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p>
        </w:tc>
        <w:tc>
          <w:tcPr>
            <w:tcW w:w="9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废丝、废布及次品</w:t>
            </w:r>
          </w:p>
        </w:tc>
        <w:tc>
          <w:tcPr>
            <w:tcW w:w="69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固态</w:t>
            </w:r>
          </w:p>
        </w:tc>
        <w:tc>
          <w:tcPr>
            <w:tcW w:w="10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一般工业固废</w:t>
            </w:r>
          </w:p>
        </w:tc>
        <w:tc>
          <w:tcPr>
            <w:tcW w:w="123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一般固废170-001-01</w:t>
            </w:r>
          </w:p>
        </w:tc>
        <w:tc>
          <w:tcPr>
            <w:tcW w:w="1043" w:type="dxa"/>
            <w:tcBorders>
              <w:tl2br w:val="nil"/>
              <w:tr2bl w:val="nil"/>
            </w:tcBorders>
            <w:vAlign w:val="center"/>
          </w:tcPr>
          <w:p>
            <w:pPr>
              <w:widowControl/>
              <w:adjustRightInd w:val="0"/>
              <w:snapToGrid w:val="0"/>
              <w:jc w:val="center"/>
              <w:rPr>
                <w:rFonts w:hint="eastAsia" w:eastAsia="宋体"/>
                <w:spacing w:val="0"/>
                <w:position w:val="0"/>
                <w:szCs w:val="21"/>
                <w:lang w:eastAsia="zh-CN"/>
              </w:rPr>
            </w:pPr>
            <w:r>
              <w:rPr>
                <w:rFonts w:hint="eastAsia"/>
                <w:spacing w:val="0"/>
                <w:position w:val="0"/>
                <w:szCs w:val="21"/>
                <w:lang w:eastAsia="zh-CN"/>
              </w:rPr>
              <w:t>产污系数</w:t>
            </w:r>
          </w:p>
        </w:tc>
        <w:tc>
          <w:tcPr>
            <w:tcW w:w="869"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633</w:t>
            </w:r>
          </w:p>
        </w:tc>
        <w:tc>
          <w:tcPr>
            <w:tcW w:w="171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外售综合利用</w:t>
            </w:r>
          </w:p>
        </w:tc>
        <w:tc>
          <w:tcPr>
            <w:tcW w:w="855"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p>
        </w:tc>
        <w:tc>
          <w:tcPr>
            <w:tcW w:w="9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普通废包装</w:t>
            </w:r>
          </w:p>
        </w:tc>
        <w:tc>
          <w:tcPr>
            <w:tcW w:w="69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固态</w:t>
            </w:r>
          </w:p>
        </w:tc>
        <w:tc>
          <w:tcPr>
            <w:tcW w:w="10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一般工业固废</w:t>
            </w:r>
          </w:p>
        </w:tc>
        <w:tc>
          <w:tcPr>
            <w:tcW w:w="123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一般固废170-999-07</w:t>
            </w:r>
          </w:p>
        </w:tc>
        <w:tc>
          <w:tcPr>
            <w:tcW w:w="104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类比</w:t>
            </w:r>
          </w:p>
        </w:tc>
        <w:tc>
          <w:tcPr>
            <w:tcW w:w="86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2.0</w:t>
            </w:r>
          </w:p>
        </w:tc>
        <w:tc>
          <w:tcPr>
            <w:tcW w:w="171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外售回收企业</w:t>
            </w:r>
          </w:p>
        </w:tc>
        <w:tc>
          <w:tcPr>
            <w:tcW w:w="85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w:t>
            </w:r>
          </w:p>
        </w:tc>
        <w:tc>
          <w:tcPr>
            <w:tcW w:w="9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危化品废包装</w:t>
            </w:r>
          </w:p>
        </w:tc>
        <w:tc>
          <w:tcPr>
            <w:tcW w:w="69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固态</w:t>
            </w:r>
          </w:p>
        </w:tc>
        <w:tc>
          <w:tcPr>
            <w:tcW w:w="10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危险废物</w:t>
            </w:r>
          </w:p>
        </w:tc>
        <w:tc>
          <w:tcPr>
            <w:tcW w:w="123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HW49</w:t>
            </w:r>
          </w:p>
          <w:p>
            <w:pPr>
              <w:widowControl/>
              <w:adjustRightInd w:val="0"/>
              <w:snapToGrid w:val="0"/>
              <w:jc w:val="center"/>
              <w:rPr>
                <w:spacing w:val="0"/>
                <w:position w:val="0"/>
                <w:szCs w:val="21"/>
              </w:rPr>
            </w:pPr>
            <w:r>
              <w:rPr>
                <w:rFonts w:hint="eastAsia"/>
                <w:spacing w:val="0"/>
                <w:position w:val="0"/>
                <w:szCs w:val="21"/>
              </w:rPr>
              <w:t>900-041-49</w:t>
            </w:r>
          </w:p>
        </w:tc>
        <w:tc>
          <w:tcPr>
            <w:tcW w:w="104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类比</w:t>
            </w:r>
          </w:p>
        </w:tc>
        <w:tc>
          <w:tcPr>
            <w:tcW w:w="86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8.1</w:t>
            </w:r>
          </w:p>
        </w:tc>
        <w:tc>
          <w:tcPr>
            <w:tcW w:w="1711" w:type="dxa"/>
            <w:tcBorders>
              <w:tl2br w:val="nil"/>
              <w:tr2bl w:val="nil"/>
            </w:tcBorders>
            <w:vAlign w:val="center"/>
          </w:tcPr>
          <w:p>
            <w:pPr>
              <w:widowControl w:val="0"/>
              <w:jc w:val="center"/>
              <w:rPr>
                <w:spacing w:val="0"/>
                <w:position w:val="0"/>
                <w:szCs w:val="21"/>
              </w:rPr>
            </w:pPr>
            <w:r>
              <w:rPr>
                <w:rFonts w:hint="eastAsia" w:ascii="宋体" w:hAnsi="宋体"/>
                <w:spacing w:val="0"/>
                <w:position w:val="0"/>
                <w:szCs w:val="24"/>
              </w:rPr>
              <w:t>委托有资质单位进行处置</w:t>
            </w:r>
          </w:p>
        </w:tc>
        <w:tc>
          <w:tcPr>
            <w:tcW w:w="85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4</w:t>
            </w:r>
          </w:p>
        </w:tc>
        <w:tc>
          <w:tcPr>
            <w:tcW w:w="9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废气处理废油</w:t>
            </w:r>
          </w:p>
        </w:tc>
        <w:tc>
          <w:tcPr>
            <w:tcW w:w="69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液态</w:t>
            </w:r>
          </w:p>
        </w:tc>
        <w:tc>
          <w:tcPr>
            <w:tcW w:w="10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危险废物</w:t>
            </w:r>
          </w:p>
        </w:tc>
        <w:tc>
          <w:tcPr>
            <w:tcW w:w="123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HW08</w:t>
            </w:r>
          </w:p>
          <w:p>
            <w:pPr>
              <w:widowControl/>
              <w:adjustRightInd w:val="0"/>
              <w:snapToGrid w:val="0"/>
              <w:jc w:val="center"/>
              <w:rPr>
                <w:spacing w:val="0"/>
                <w:position w:val="0"/>
                <w:szCs w:val="21"/>
              </w:rPr>
            </w:pPr>
            <w:r>
              <w:rPr>
                <w:rFonts w:hint="eastAsia"/>
                <w:spacing w:val="0"/>
                <w:position w:val="0"/>
                <w:szCs w:val="21"/>
              </w:rPr>
              <w:t>900-210-08</w:t>
            </w:r>
          </w:p>
        </w:tc>
        <w:tc>
          <w:tcPr>
            <w:tcW w:w="104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物料衡算</w:t>
            </w:r>
          </w:p>
        </w:tc>
        <w:tc>
          <w:tcPr>
            <w:tcW w:w="869"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598.75</w:t>
            </w:r>
          </w:p>
        </w:tc>
        <w:tc>
          <w:tcPr>
            <w:tcW w:w="1711" w:type="dxa"/>
            <w:tcBorders>
              <w:tl2br w:val="nil"/>
              <w:tr2bl w:val="nil"/>
            </w:tcBorders>
            <w:vAlign w:val="center"/>
          </w:tcPr>
          <w:p>
            <w:pPr>
              <w:widowControl/>
              <w:adjustRightInd w:val="0"/>
              <w:snapToGrid w:val="0"/>
              <w:jc w:val="center"/>
              <w:rPr>
                <w:spacing w:val="0"/>
                <w:position w:val="0"/>
                <w:szCs w:val="21"/>
              </w:rPr>
            </w:pPr>
            <w:r>
              <w:rPr>
                <w:rFonts w:hint="eastAsia" w:ascii="宋体" w:hAnsi="宋体"/>
                <w:spacing w:val="0"/>
                <w:position w:val="0"/>
                <w:szCs w:val="24"/>
              </w:rPr>
              <w:t>委托有资质单位进行处置</w:t>
            </w:r>
          </w:p>
        </w:tc>
        <w:tc>
          <w:tcPr>
            <w:tcW w:w="855"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598.75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5</w:t>
            </w:r>
          </w:p>
        </w:tc>
        <w:tc>
          <w:tcPr>
            <w:tcW w:w="9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废机油</w:t>
            </w:r>
          </w:p>
        </w:tc>
        <w:tc>
          <w:tcPr>
            <w:tcW w:w="69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液态</w:t>
            </w:r>
          </w:p>
        </w:tc>
        <w:tc>
          <w:tcPr>
            <w:tcW w:w="10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危险废物</w:t>
            </w:r>
          </w:p>
        </w:tc>
        <w:tc>
          <w:tcPr>
            <w:tcW w:w="123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HW08</w:t>
            </w:r>
          </w:p>
          <w:p>
            <w:pPr>
              <w:widowControl/>
              <w:adjustRightInd w:val="0"/>
              <w:snapToGrid w:val="0"/>
              <w:jc w:val="center"/>
              <w:rPr>
                <w:spacing w:val="0"/>
                <w:position w:val="0"/>
                <w:szCs w:val="21"/>
              </w:rPr>
            </w:pPr>
            <w:r>
              <w:rPr>
                <w:rFonts w:hint="eastAsia"/>
                <w:spacing w:val="0"/>
                <w:position w:val="0"/>
                <w:szCs w:val="21"/>
              </w:rPr>
              <w:t>900-249-08</w:t>
            </w:r>
          </w:p>
        </w:tc>
        <w:tc>
          <w:tcPr>
            <w:tcW w:w="104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类比</w:t>
            </w:r>
          </w:p>
        </w:tc>
        <w:tc>
          <w:tcPr>
            <w:tcW w:w="86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0.1</w:t>
            </w:r>
          </w:p>
        </w:tc>
        <w:tc>
          <w:tcPr>
            <w:tcW w:w="1711" w:type="dxa"/>
            <w:tcBorders>
              <w:tl2br w:val="nil"/>
              <w:tr2bl w:val="nil"/>
            </w:tcBorders>
            <w:vAlign w:val="center"/>
          </w:tcPr>
          <w:p>
            <w:pPr>
              <w:widowControl/>
              <w:adjustRightInd w:val="0"/>
              <w:snapToGrid w:val="0"/>
              <w:jc w:val="center"/>
              <w:rPr>
                <w:spacing w:val="0"/>
                <w:position w:val="0"/>
                <w:szCs w:val="21"/>
              </w:rPr>
            </w:pPr>
            <w:r>
              <w:rPr>
                <w:rFonts w:hint="eastAsia" w:ascii="宋体" w:hAnsi="宋体"/>
                <w:spacing w:val="0"/>
                <w:position w:val="0"/>
                <w:szCs w:val="24"/>
              </w:rPr>
              <w:t>委托有资质单位进行处置</w:t>
            </w:r>
          </w:p>
        </w:tc>
        <w:tc>
          <w:tcPr>
            <w:tcW w:w="85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6</w:t>
            </w:r>
          </w:p>
        </w:tc>
        <w:tc>
          <w:tcPr>
            <w:tcW w:w="9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化验室废液</w:t>
            </w:r>
          </w:p>
        </w:tc>
        <w:tc>
          <w:tcPr>
            <w:tcW w:w="69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液态</w:t>
            </w:r>
          </w:p>
        </w:tc>
        <w:tc>
          <w:tcPr>
            <w:tcW w:w="10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危险废物</w:t>
            </w:r>
          </w:p>
        </w:tc>
        <w:tc>
          <w:tcPr>
            <w:tcW w:w="123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HW49</w:t>
            </w:r>
          </w:p>
          <w:p>
            <w:pPr>
              <w:widowControl/>
              <w:adjustRightInd w:val="0"/>
              <w:snapToGrid w:val="0"/>
              <w:jc w:val="center"/>
              <w:rPr>
                <w:spacing w:val="0"/>
                <w:position w:val="0"/>
                <w:szCs w:val="21"/>
              </w:rPr>
            </w:pPr>
            <w:r>
              <w:rPr>
                <w:rFonts w:hint="eastAsia"/>
                <w:spacing w:val="0"/>
                <w:position w:val="0"/>
                <w:szCs w:val="21"/>
              </w:rPr>
              <w:t>900-047-49</w:t>
            </w:r>
          </w:p>
        </w:tc>
        <w:tc>
          <w:tcPr>
            <w:tcW w:w="104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类比</w:t>
            </w:r>
          </w:p>
        </w:tc>
        <w:tc>
          <w:tcPr>
            <w:tcW w:w="86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0.5</w:t>
            </w:r>
          </w:p>
        </w:tc>
        <w:tc>
          <w:tcPr>
            <w:tcW w:w="1711" w:type="dxa"/>
            <w:tcBorders>
              <w:tl2br w:val="nil"/>
              <w:tr2bl w:val="nil"/>
            </w:tcBorders>
            <w:vAlign w:val="center"/>
          </w:tcPr>
          <w:p>
            <w:pPr>
              <w:widowControl/>
              <w:adjustRightInd w:val="0"/>
              <w:snapToGrid w:val="0"/>
              <w:jc w:val="center"/>
              <w:rPr>
                <w:spacing w:val="0"/>
                <w:position w:val="0"/>
                <w:szCs w:val="21"/>
              </w:rPr>
            </w:pPr>
            <w:r>
              <w:rPr>
                <w:rFonts w:hint="eastAsia" w:ascii="宋体" w:hAnsi="宋体"/>
                <w:spacing w:val="0"/>
                <w:position w:val="0"/>
                <w:szCs w:val="24"/>
              </w:rPr>
              <w:t>委托有资质单位进行处置</w:t>
            </w:r>
          </w:p>
        </w:tc>
        <w:tc>
          <w:tcPr>
            <w:tcW w:w="85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7</w:t>
            </w:r>
          </w:p>
        </w:tc>
        <w:tc>
          <w:tcPr>
            <w:tcW w:w="9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生活垃圾</w:t>
            </w:r>
          </w:p>
        </w:tc>
        <w:tc>
          <w:tcPr>
            <w:tcW w:w="69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固态</w:t>
            </w:r>
          </w:p>
        </w:tc>
        <w:tc>
          <w:tcPr>
            <w:tcW w:w="10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123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104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产污系数</w:t>
            </w:r>
          </w:p>
        </w:tc>
        <w:tc>
          <w:tcPr>
            <w:tcW w:w="869"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42.74</w:t>
            </w:r>
          </w:p>
        </w:tc>
        <w:tc>
          <w:tcPr>
            <w:tcW w:w="171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收集后由园区环卫统一清理</w:t>
            </w:r>
          </w:p>
        </w:tc>
        <w:tc>
          <w:tcPr>
            <w:tcW w:w="855"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42.74</w:t>
            </w:r>
          </w:p>
        </w:tc>
      </w:tr>
    </w:tbl>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表3.4-10本项目危险废物特性一览表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9"/>
        <w:gridCol w:w="862"/>
        <w:gridCol w:w="1197"/>
        <w:gridCol w:w="878"/>
        <w:gridCol w:w="925"/>
        <w:gridCol w:w="710"/>
        <w:gridCol w:w="800"/>
        <w:gridCol w:w="801"/>
        <w:gridCol w:w="761"/>
        <w:gridCol w:w="870"/>
        <w:gridCol w:w="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序号</w:t>
            </w:r>
          </w:p>
        </w:tc>
        <w:tc>
          <w:tcPr>
            <w:tcW w:w="862"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危险废物名称</w:t>
            </w:r>
          </w:p>
        </w:tc>
        <w:tc>
          <w:tcPr>
            <w:tcW w:w="119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危险废物类别代码</w:t>
            </w:r>
          </w:p>
        </w:tc>
        <w:tc>
          <w:tcPr>
            <w:tcW w:w="87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产生工序</w:t>
            </w:r>
          </w:p>
        </w:tc>
        <w:tc>
          <w:tcPr>
            <w:tcW w:w="925"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产生量（t/a）</w:t>
            </w:r>
          </w:p>
        </w:tc>
        <w:tc>
          <w:tcPr>
            <w:tcW w:w="71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形态</w:t>
            </w:r>
          </w:p>
        </w:tc>
        <w:tc>
          <w:tcPr>
            <w:tcW w:w="80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主要成分</w:t>
            </w:r>
          </w:p>
        </w:tc>
        <w:tc>
          <w:tcPr>
            <w:tcW w:w="801"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有害成分</w:t>
            </w:r>
          </w:p>
        </w:tc>
        <w:tc>
          <w:tcPr>
            <w:tcW w:w="761"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产废周期</w:t>
            </w:r>
          </w:p>
        </w:tc>
        <w:tc>
          <w:tcPr>
            <w:tcW w:w="87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危险特性</w:t>
            </w:r>
          </w:p>
        </w:tc>
        <w:tc>
          <w:tcPr>
            <w:tcW w:w="762"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w:t>
            </w:r>
          </w:p>
        </w:tc>
        <w:tc>
          <w:tcPr>
            <w:tcW w:w="8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危化品废包装</w:t>
            </w:r>
          </w:p>
        </w:tc>
        <w:tc>
          <w:tcPr>
            <w:tcW w:w="119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HW49</w:t>
            </w:r>
          </w:p>
          <w:p>
            <w:pPr>
              <w:widowControl/>
              <w:adjustRightInd w:val="0"/>
              <w:snapToGrid w:val="0"/>
              <w:jc w:val="center"/>
              <w:rPr>
                <w:spacing w:val="0"/>
                <w:position w:val="0"/>
                <w:szCs w:val="21"/>
              </w:rPr>
            </w:pPr>
            <w:r>
              <w:rPr>
                <w:rFonts w:hint="eastAsia"/>
                <w:spacing w:val="0"/>
                <w:position w:val="0"/>
                <w:szCs w:val="21"/>
              </w:rPr>
              <w:t>900-041-49</w:t>
            </w:r>
          </w:p>
        </w:tc>
        <w:tc>
          <w:tcPr>
            <w:tcW w:w="87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染色、印花</w:t>
            </w:r>
          </w:p>
        </w:tc>
        <w:tc>
          <w:tcPr>
            <w:tcW w:w="9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8.1</w:t>
            </w:r>
          </w:p>
        </w:tc>
        <w:tc>
          <w:tcPr>
            <w:tcW w:w="7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固态</w:t>
            </w:r>
          </w:p>
        </w:tc>
        <w:tc>
          <w:tcPr>
            <w:tcW w:w="8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染料、助剂、油剂</w:t>
            </w:r>
          </w:p>
        </w:tc>
        <w:tc>
          <w:tcPr>
            <w:tcW w:w="80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染料、助剂、油剂</w:t>
            </w:r>
          </w:p>
        </w:tc>
        <w:tc>
          <w:tcPr>
            <w:tcW w:w="7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间歇</w:t>
            </w:r>
          </w:p>
        </w:tc>
        <w:tc>
          <w:tcPr>
            <w:tcW w:w="87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T/In</w:t>
            </w:r>
          </w:p>
        </w:tc>
        <w:tc>
          <w:tcPr>
            <w:tcW w:w="762"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交由有资质的单位处置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w:t>
            </w:r>
          </w:p>
        </w:tc>
        <w:tc>
          <w:tcPr>
            <w:tcW w:w="8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废气处理废油</w:t>
            </w:r>
          </w:p>
        </w:tc>
        <w:tc>
          <w:tcPr>
            <w:tcW w:w="119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HW08</w:t>
            </w:r>
          </w:p>
          <w:p>
            <w:pPr>
              <w:widowControl/>
              <w:adjustRightInd w:val="0"/>
              <w:snapToGrid w:val="0"/>
              <w:jc w:val="center"/>
              <w:rPr>
                <w:spacing w:val="0"/>
                <w:position w:val="0"/>
                <w:szCs w:val="21"/>
              </w:rPr>
            </w:pPr>
            <w:r>
              <w:rPr>
                <w:rFonts w:hint="eastAsia"/>
                <w:spacing w:val="0"/>
                <w:position w:val="0"/>
                <w:szCs w:val="21"/>
              </w:rPr>
              <w:t>900-210-08</w:t>
            </w:r>
          </w:p>
        </w:tc>
        <w:tc>
          <w:tcPr>
            <w:tcW w:w="87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废气处理设施</w:t>
            </w:r>
          </w:p>
        </w:tc>
        <w:tc>
          <w:tcPr>
            <w:tcW w:w="925" w:type="dxa"/>
            <w:tcBorders>
              <w:tl2br w:val="nil"/>
              <w:tr2bl w:val="nil"/>
            </w:tcBorders>
            <w:vAlign w:val="center"/>
          </w:tcPr>
          <w:p>
            <w:pPr>
              <w:widowControl/>
              <w:adjustRightInd w:val="0"/>
              <w:snapToGrid w:val="0"/>
              <w:jc w:val="center"/>
              <w:rPr>
                <w:rFonts w:hint="default" w:ascii="Times New Roman" w:hAnsi="Times New Roman" w:eastAsia="宋体" w:cs="Times New Roman"/>
                <w:spacing w:val="0"/>
                <w:kern w:val="2"/>
                <w:position w:val="0"/>
                <w:sz w:val="21"/>
                <w:szCs w:val="21"/>
                <w:lang w:val="en-US" w:eastAsia="zh-CN" w:bidi="ar-SA"/>
              </w:rPr>
            </w:pPr>
            <w:r>
              <w:rPr>
                <w:rFonts w:hint="eastAsia"/>
                <w:spacing w:val="0"/>
                <w:position w:val="0"/>
                <w:szCs w:val="21"/>
                <w:lang w:val="en-US" w:eastAsia="zh-CN"/>
              </w:rPr>
              <w:t>598.75</w:t>
            </w:r>
          </w:p>
        </w:tc>
        <w:tc>
          <w:tcPr>
            <w:tcW w:w="7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液态</w:t>
            </w:r>
          </w:p>
        </w:tc>
        <w:tc>
          <w:tcPr>
            <w:tcW w:w="8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废矿物油</w:t>
            </w:r>
          </w:p>
        </w:tc>
        <w:tc>
          <w:tcPr>
            <w:tcW w:w="80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矿物油</w:t>
            </w:r>
          </w:p>
        </w:tc>
        <w:tc>
          <w:tcPr>
            <w:tcW w:w="7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间歇</w:t>
            </w:r>
          </w:p>
        </w:tc>
        <w:tc>
          <w:tcPr>
            <w:tcW w:w="87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T，I</w:t>
            </w:r>
          </w:p>
        </w:tc>
        <w:tc>
          <w:tcPr>
            <w:tcW w:w="762"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w:t>
            </w:r>
          </w:p>
        </w:tc>
        <w:tc>
          <w:tcPr>
            <w:tcW w:w="8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废机油</w:t>
            </w:r>
          </w:p>
        </w:tc>
        <w:tc>
          <w:tcPr>
            <w:tcW w:w="119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HW08</w:t>
            </w:r>
          </w:p>
          <w:p>
            <w:pPr>
              <w:widowControl/>
              <w:adjustRightInd w:val="0"/>
              <w:snapToGrid w:val="0"/>
              <w:jc w:val="center"/>
              <w:rPr>
                <w:spacing w:val="0"/>
                <w:position w:val="0"/>
                <w:szCs w:val="21"/>
              </w:rPr>
            </w:pPr>
            <w:r>
              <w:rPr>
                <w:rFonts w:hint="eastAsia"/>
                <w:spacing w:val="0"/>
                <w:position w:val="0"/>
                <w:szCs w:val="21"/>
              </w:rPr>
              <w:t>900-249-08</w:t>
            </w:r>
          </w:p>
        </w:tc>
        <w:tc>
          <w:tcPr>
            <w:tcW w:w="87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设备维护</w:t>
            </w:r>
          </w:p>
        </w:tc>
        <w:tc>
          <w:tcPr>
            <w:tcW w:w="9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0.1</w:t>
            </w:r>
          </w:p>
        </w:tc>
        <w:tc>
          <w:tcPr>
            <w:tcW w:w="7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液态</w:t>
            </w:r>
          </w:p>
        </w:tc>
        <w:tc>
          <w:tcPr>
            <w:tcW w:w="8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废矿物油</w:t>
            </w:r>
          </w:p>
        </w:tc>
        <w:tc>
          <w:tcPr>
            <w:tcW w:w="80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矿物油</w:t>
            </w:r>
          </w:p>
        </w:tc>
        <w:tc>
          <w:tcPr>
            <w:tcW w:w="7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间歇</w:t>
            </w:r>
          </w:p>
        </w:tc>
        <w:tc>
          <w:tcPr>
            <w:tcW w:w="87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T，I</w:t>
            </w:r>
          </w:p>
        </w:tc>
        <w:tc>
          <w:tcPr>
            <w:tcW w:w="762"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39"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4</w:t>
            </w:r>
          </w:p>
        </w:tc>
        <w:tc>
          <w:tcPr>
            <w:tcW w:w="8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化验室废液</w:t>
            </w:r>
          </w:p>
        </w:tc>
        <w:tc>
          <w:tcPr>
            <w:tcW w:w="119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HW49</w:t>
            </w:r>
          </w:p>
          <w:p>
            <w:pPr>
              <w:widowControl/>
              <w:adjustRightInd w:val="0"/>
              <w:snapToGrid w:val="0"/>
              <w:jc w:val="center"/>
              <w:rPr>
                <w:spacing w:val="0"/>
                <w:position w:val="0"/>
                <w:szCs w:val="21"/>
              </w:rPr>
            </w:pPr>
            <w:r>
              <w:rPr>
                <w:rFonts w:hint="eastAsia"/>
                <w:spacing w:val="0"/>
                <w:position w:val="0"/>
                <w:szCs w:val="21"/>
              </w:rPr>
              <w:t>900-047-49</w:t>
            </w:r>
          </w:p>
        </w:tc>
        <w:tc>
          <w:tcPr>
            <w:tcW w:w="87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化验室</w:t>
            </w:r>
          </w:p>
        </w:tc>
        <w:tc>
          <w:tcPr>
            <w:tcW w:w="925"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0.5</w:t>
            </w:r>
          </w:p>
        </w:tc>
        <w:tc>
          <w:tcPr>
            <w:tcW w:w="7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液态</w:t>
            </w:r>
          </w:p>
        </w:tc>
        <w:tc>
          <w:tcPr>
            <w:tcW w:w="8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酸碱</w:t>
            </w:r>
          </w:p>
        </w:tc>
        <w:tc>
          <w:tcPr>
            <w:tcW w:w="80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酸碱</w:t>
            </w:r>
          </w:p>
        </w:tc>
        <w:tc>
          <w:tcPr>
            <w:tcW w:w="7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间歇</w:t>
            </w:r>
          </w:p>
        </w:tc>
        <w:tc>
          <w:tcPr>
            <w:tcW w:w="87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T/C/I/R</w:t>
            </w:r>
          </w:p>
        </w:tc>
        <w:tc>
          <w:tcPr>
            <w:tcW w:w="762"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tcBorders>
              <w:tl2br w:val="nil"/>
              <w:tr2bl w:val="nil"/>
            </w:tcBorders>
            <w:vAlign w:val="center"/>
          </w:tcPr>
          <w:p>
            <w:pPr>
              <w:widowControl/>
              <w:adjustRightInd w:val="0"/>
              <w:snapToGrid w:val="0"/>
              <w:jc w:val="center"/>
              <w:rPr>
                <w:spacing w:val="0"/>
                <w:position w:val="0"/>
                <w:szCs w:val="21"/>
              </w:rPr>
            </w:pPr>
          </w:p>
        </w:tc>
        <w:tc>
          <w:tcPr>
            <w:tcW w:w="8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合计</w:t>
            </w:r>
          </w:p>
        </w:tc>
        <w:tc>
          <w:tcPr>
            <w:tcW w:w="119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87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925"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607.45</w:t>
            </w:r>
          </w:p>
        </w:tc>
        <w:tc>
          <w:tcPr>
            <w:tcW w:w="7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8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80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761"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87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c>
          <w:tcPr>
            <w:tcW w:w="76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w:t>
            </w:r>
          </w:p>
        </w:tc>
      </w:tr>
    </w:tbl>
    <w:p>
      <w:pPr>
        <w:adjustRightInd w:val="0"/>
        <w:snapToGrid w:val="0"/>
        <w:spacing w:line="360" w:lineRule="auto"/>
        <w:outlineLvl w:val="2"/>
        <w:rPr>
          <w:b/>
          <w:bCs/>
          <w:spacing w:val="0"/>
          <w:position w:val="0"/>
          <w:sz w:val="28"/>
          <w:szCs w:val="28"/>
        </w:rPr>
      </w:pPr>
      <w:r>
        <w:rPr>
          <w:rFonts w:hint="eastAsia"/>
          <w:b/>
          <w:bCs/>
          <w:spacing w:val="0"/>
          <w:position w:val="0"/>
          <w:sz w:val="28"/>
          <w:szCs w:val="28"/>
        </w:rPr>
        <w:t>3.4.6非正常工况污染源分析</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3.4.6.1废水非正常排放</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根据连江可门绿色纺织产业园规划（一期），项目产生的废水经分质收集后直接泵送产业园污水处理厂处理。故本项目不考虑废水非正常排放情形分析。项目拟建设一个有效容积共计840m</w:t>
      </w:r>
      <w:r>
        <w:rPr>
          <w:rFonts w:hint="eastAsia"/>
          <w:spacing w:val="0"/>
          <w:position w:val="0"/>
          <w:sz w:val="24"/>
          <w:szCs w:val="24"/>
          <w:vertAlign w:val="superscript"/>
        </w:rPr>
        <w:t>3</w:t>
      </w:r>
      <w:r>
        <w:rPr>
          <w:rFonts w:hint="eastAsia"/>
          <w:spacing w:val="0"/>
          <w:position w:val="0"/>
          <w:sz w:val="24"/>
          <w:szCs w:val="24"/>
        </w:rPr>
        <w:t>的事故应急池，可暂时接纳发生事故时产生的事故废水，事故处置完后事故应急池的中废水泵送入产业园污水处理厂的高浓度废水处理系统处理。同时，必须加强收集池的运行维护和管理，杜绝废水收集池的泄漏。</w:t>
      </w:r>
    </w:p>
    <w:p>
      <w:pPr>
        <w:adjustRightInd w:val="0"/>
        <w:snapToGrid w:val="0"/>
        <w:spacing w:line="360" w:lineRule="auto"/>
        <w:outlineLvl w:val="3"/>
        <w:rPr>
          <w:b/>
          <w:bCs/>
          <w:spacing w:val="0"/>
          <w:position w:val="0"/>
          <w:sz w:val="24"/>
          <w:szCs w:val="24"/>
        </w:rPr>
      </w:pPr>
      <w:r>
        <w:rPr>
          <w:rFonts w:hint="eastAsia"/>
          <w:b/>
          <w:bCs/>
          <w:spacing w:val="0"/>
          <w:position w:val="0"/>
          <w:sz w:val="24"/>
          <w:szCs w:val="24"/>
        </w:rPr>
        <w:t>3.4.6.2废气非正常排放</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非正常工况是指生产运行阶段的开、停车、检修、操作不正常等，不包括发生事故情况。非正常工况排污是指工艺设备或环保设施达不到设计规定的指标运行时的排污。</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rPr>
        <w:t>本工程非正常情况下废气排放影响较大的是定型废气处理装置出现故障时的污染物排放。本评价按废气处理效率下降为30%，保守估算非正常排放源强。非正常工况下，废气污染物排放情况见表3.4-11</w:t>
      </w:r>
      <w:r>
        <w:rPr>
          <w:rFonts w:hint="eastAsia"/>
          <w:spacing w:val="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表3.4-11本项目非正常工况有组织废气排放一览表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12"/>
        <w:gridCol w:w="1016"/>
        <w:gridCol w:w="1189"/>
        <w:gridCol w:w="1046"/>
        <w:gridCol w:w="841"/>
        <w:gridCol w:w="1308"/>
        <w:gridCol w:w="1214"/>
        <w:gridCol w:w="1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b/>
                <w:bCs/>
                <w:spacing w:val="0"/>
                <w:position w:val="0"/>
                <w:szCs w:val="21"/>
                <w:lang w:val="en-US" w:eastAsia="zh-CN"/>
              </w:rPr>
            </w:pPr>
            <w:r>
              <w:rPr>
                <w:rFonts w:hint="eastAsia"/>
                <w:b/>
                <w:bCs/>
                <w:spacing w:val="0"/>
                <w:position w:val="0"/>
                <w:szCs w:val="21"/>
                <w:lang w:val="en-US" w:eastAsia="zh-CN"/>
              </w:rPr>
              <w:t>非正常排放源</w:t>
            </w:r>
          </w:p>
        </w:tc>
        <w:tc>
          <w:tcPr>
            <w:tcW w:w="101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非正常排放原因</w:t>
            </w: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eastAsia="宋体"/>
                <w:b/>
                <w:bCs/>
                <w:spacing w:val="0"/>
                <w:position w:val="0"/>
                <w:szCs w:val="21"/>
                <w:lang w:eastAsia="zh-CN"/>
              </w:rPr>
            </w:pPr>
            <w:r>
              <w:rPr>
                <w:rFonts w:hint="eastAsia"/>
                <w:b/>
                <w:bCs/>
                <w:spacing w:val="0"/>
                <w:position w:val="0"/>
                <w:szCs w:val="21"/>
                <w:lang w:val="en-US" w:eastAsia="zh-CN"/>
              </w:rPr>
              <w:t>污染物</w:t>
            </w:r>
          </w:p>
        </w:tc>
        <w:tc>
          <w:tcPr>
            <w:tcW w:w="10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b/>
                <w:bCs/>
                <w:spacing w:val="0"/>
                <w:position w:val="0"/>
                <w:szCs w:val="21"/>
                <w:lang w:val="en-US" w:eastAsia="zh-CN"/>
              </w:rPr>
            </w:pPr>
            <w:r>
              <w:rPr>
                <w:rFonts w:hint="eastAsia"/>
                <w:b/>
                <w:bCs/>
                <w:spacing w:val="0"/>
                <w:position w:val="0"/>
                <w:szCs w:val="21"/>
              </w:rPr>
              <w:t>废气</w:t>
            </w:r>
            <w:r>
              <w:rPr>
                <w:rFonts w:hint="eastAsia"/>
                <w:b/>
                <w:bCs/>
                <w:spacing w:val="0"/>
                <w:position w:val="0"/>
                <w:szCs w:val="21"/>
                <w:lang w:val="en-US" w:eastAsia="zh-CN"/>
              </w:rPr>
              <w:t>处理工艺</w:t>
            </w:r>
          </w:p>
        </w:tc>
        <w:tc>
          <w:tcPr>
            <w:tcW w:w="8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rPr>
              <w:t>处理效率</w:t>
            </w:r>
          </w:p>
        </w:tc>
        <w:tc>
          <w:tcPr>
            <w:tcW w:w="13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lang w:val="en-US" w:eastAsia="zh-CN"/>
              </w:rPr>
              <w:t>非正常</w:t>
            </w:r>
            <w:r>
              <w:rPr>
                <w:rFonts w:hint="eastAsia"/>
                <w:b/>
                <w:bCs/>
                <w:spacing w:val="0"/>
                <w:position w:val="0"/>
                <w:szCs w:val="21"/>
              </w:rPr>
              <w:t>排放浓度(mg/m</w:t>
            </w:r>
            <w:r>
              <w:rPr>
                <w:rFonts w:hint="eastAsia"/>
                <w:b/>
                <w:bCs/>
                <w:spacing w:val="0"/>
                <w:position w:val="0"/>
                <w:szCs w:val="21"/>
                <w:vertAlign w:val="superscript"/>
              </w:rPr>
              <w:t>3</w:t>
            </w:r>
            <w:r>
              <w:rPr>
                <w:rFonts w:hint="eastAsia"/>
                <w:b/>
                <w:bCs/>
                <w:spacing w:val="0"/>
                <w:position w:val="0"/>
                <w:szCs w:val="21"/>
              </w:rPr>
              <w:t>)</w:t>
            </w:r>
          </w:p>
        </w:tc>
        <w:tc>
          <w:tcPr>
            <w:tcW w:w="12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b/>
                <w:bCs/>
                <w:spacing w:val="0"/>
                <w:position w:val="0"/>
                <w:szCs w:val="21"/>
              </w:rPr>
            </w:pPr>
            <w:r>
              <w:rPr>
                <w:rFonts w:hint="eastAsia"/>
                <w:b/>
                <w:bCs/>
                <w:spacing w:val="0"/>
                <w:position w:val="0"/>
                <w:szCs w:val="21"/>
                <w:lang w:val="en-US" w:eastAsia="zh-CN"/>
              </w:rPr>
              <w:t>非正常</w:t>
            </w:r>
            <w:r>
              <w:rPr>
                <w:rFonts w:hint="eastAsia"/>
                <w:b/>
                <w:bCs/>
                <w:spacing w:val="0"/>
                <w:position w:val="0"/>
                <w:szCs w:val="21"/>
              </w:rPr>
              <w:t>排放速率(kg/h)</w:t>
            </w:r>
          </w:p>
        </w:tc>
        <w:tc>
          <w:tcPr>
            <w:tcW w:w="10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b/>
                <w:bCs/>
                <w:spacing w:val="0"/>
                <w:position w:val="0"/>
                <w:szCs w:val="21"/>
                <w:lang w:val="en-US" w:eastAsia="zh-CN"/>
              </w:rPr>
            </w:pPr>
            <w:r>
              <w:rPr>
                <w:rFonts w:hint="eastAsia"/>
                <w:b/>
                <w:bCs/>
                <w:spacing w:val="0"/>
                <w:position w:val="0"/>
                <w:szCs w:val="21"/>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DA001</w:t>
            </w:r>
          </w:p>
        </w:tc>
        <w:tc>
          <w:tcPr>
            <w:tcW w:w="101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废气处理设施故障，处理效率为30%</w:t>
            </w: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颗粒物</w:t>
            </w:r>
          </w:p>
        </w:tc>
        <w:tc>
          <w:tcPr>
            <w:tcW w:w="104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冷却+静电一体化设备</w:t>
            </w:r>
          </w:p>
        </w:tc>
        <w:tc>
          <w:tcPr>
            <w:tcW w:w="84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30%</w:t>
            </w:r>
          </w:p>
        </w:tc>
        <w:tc>
          <w:tcPr>
            <w:tcW w:w="13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137.25</w:t>
            </w:r>
          </w:p>
        </w:tc>
        <w:tc>
          <w:tcPr>
            <w:tcW w:w="12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42</w:t>
            </w:r>
          </w:p>
        </w:tc>
        <w:tc>
          <w:tcPr>
            <w:tcW w:w="106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停止作业，立即检修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p>
        </w:tc>
        <w:tc>
          <w:tcPr>
            <w:tcW w:w="10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r>
              <w:rPr>
                <w:rFonts w:hint="eastAsia"/>
                <w:spacing w:val="0"/>
                <w:position w:val="0"/>
                <w:szCs w:val="21"/>
              </w:rPr>
              <w:t>油烟</w:t>
            </w:r>
          </w:p>
        </w:tc>
        <w:tc>
          <w:tcPr>
            <w:tcW w:w="10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p>
        </w:tc>
        <w:tc>
          <w:tcPr>
            <w:tcW w:w="8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rPr>
            </w:pPr>
          </w:p>
        </w:tc>
        <w:tc>
          <w:tcPr>
            <w:tcW w:w="13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102.94</w:t>
            </w:r>
          </w:p>
        </w:tc>
        <w:tc>
          <w:tcPr>
            <w:tcW w:w="12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31.5</w:t>
            </w:r>
          </w:p>
        </w:tc>
        <w:tc>
          <w:tcPr>
            <w:tcW w:w="10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0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r>
              <w:rPr>
                <w:rFonts w:hint="eastAsia"/>
                <w:spacing w:val="0"/>
                <w:position w:val="0"/>
                <w:szCs w:val="21"/>
              </w:rPr>
              <w:t>非甲烷总烃</w:t>
            </w:r>
          </w:p>
        </w:tc>
        <w:tc>
          <w:tcPr>
            <w:tcW w:w="10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3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20.89</w:t>
            </w:r>
          </w:p>
        </w:tc>
        <w:tc>
          <w:tcPr>
            <w:tcW w:w="12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6.39</w:t>
            </w:r>
          </w:p>
        </w:tc>
        <w:tc>
          <w:tcPr>
            <w:tcW w:w="10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DA002</w:t>
            </w:r>
          </w:p>
        </w:tc>
        <w:tc>
          <w:tcPr>
            <w:tcW w:w="10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颗粒物</w:t>
            </w:r>
          </w:p>
        </w:tc>
        <w:tc>
          <w:tcPr>
            <w:tcW w:w="10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4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30%</w:t>
            </w:r>
          </w:p>
        </w:tc>
        <w:tc>
          <w:tcPr>
            <w:tcW w:w="13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140</w:t>
            </w:r>
          </w:p>
        </w:tc>
        <w:tc>
          <w:tcPr>
            <w:tcW w:w="12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36.4</w:t>
            </w:r>
          </w:p>
        </w:tc>
        <w:tc>
          <w:tcPr>
            <w:tcW w:w="10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0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油烟</w:t>
            </w:r>
          </w:p>
        </w:tc>
        <w:tc>
          <w:tcPr>
            <w:tcW w:w="10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3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105</w:t>
            </w:r>
          </w:p>
        </w:tc>
        <w:tc>
          <w:tcPr>
            <w:tcW w:w="12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pacing w:val="0"/>
                <w:position w:val="0"/>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27.3</w:t>
            </w:r>
          </w:p>
        </w:tc>
        <w:tc>
          <w:tcPr>
            <w:tcW w:w="10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0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spacing w:val="0"/>
                <w:position w:val="0"/>
                <w:szCs w:val="21"/>
              </w:rPr>
            </w:pPr>
            <w:r>
              <w:rPr>
                <w:rFonts w:hint="eastAsia"/>
                <w:spacing w:val="0"/>
                <w:position w:val="0"/>
                <w:szCs w:val="21"/>
              </w:rPr>
              <w:t>非甲烷总烃</w:t>
            </w:r>
          </w:p>
        </w:tc>
        <w:tc>
          <w:tcPr>
            <w:tcW w:w="10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8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3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spacing w:val="0"/>
                <w:position w:val="0"/>
                <w:szCs w:val="21"/>
                <w:lang w:val="en-US"/>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w:t>
            </w:r>
          </w:p>
        </w:tc>
        <w:tc>
          <w:tcPr>
            <w:tcW w:w="12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spacing w:val="0"/>
                <w:position w:val="0"/>
                <w:szCs w:val="21"/>
                <w:lang w:val="en-US"/>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5.46</w:t>
            </w:r>
          </w:p>
        </w:tc>
        <w:tc>
          <w:tcPr>
            <w:tcW w:w="10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后整理车间</w:t>
            </w:r>
          </w:p>
        </w:tc>
        <w:tc>
          <w:tcPr>
            <w:tcW w:w="10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c>
          <w:tcPr>
            <w:tcW w:w="1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颗粒物</w:t>
            </w:r>
          </w:p>
        </w:tc>
        <w:tc>
          <w:tcPr>
            <w:tcW w:w="10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布袋除尘器</w:t>
            </w:r>
          </w:p>
        </w:tc>
        <w:tc>
          <w:tcPr>
            <w:tcW w:w="8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30%</w:t>
            </w:r>
          </w:p>
        </w:tc>
        <w:tc>
          <w:tcPr>
            <w:tcW w:w="13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cs="Times New Roman"/>
                <w:i w:val="0"/>
                <w:iCs w:val="0"/>
                <w:color w:val="000000"/>
                <w:spacing w:val="0"/>
                <w:kern w:val="0"/>
                <w:position w:val="0"/>
                <w:sz w:val="21"/>
                <w:szCs w:val="21"/>
                <w:u w:val="none"/>
                <w:lang w:val="en-US" w:eastAsia="zh-CN" w:bidi="ar"/>
              </w:rPr>
              <w:t>无组织排放</w:t>
            </w:r>
          </w:p>
        </w:tc>
        <w:tc>
          <w:tcPr>
            <w:tcW w:w="12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eastAsia" w:cs="Times New Roman"/>
                <w:i w:val="0"/>
                <w:iCs w:val="0"/>
                <w:color w:val="000000"/>
                <w:spacing w:val="0"/>
                <w:kern w:val="0"/>
                <w:position w:val="0"/>
                <w:sz w:val="21"/>
                <w:szCs w:val="21"/>
                <w:u w:val="none"/>
                <w:lang w:val="en-US" w:eastAsia="zh-CN" w:bidi="ar"/>
              </w:rPr>
              <w:t>0.35</w:t>
            </w:r>
          </w:p>
        </w:tc>
        <w:tc>
          <w:tcPr>
            <w:tcW w:w="106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spacing w:val="0"/>
                <w:position w:val="0"/>
                <w:szCs w:val="21"/>
              </w:rPr>
            </w:pPr>
          </w:p>
        </w:tc>
      </w:tr>
    </w:tbl>
    <w:p>
      <w:pPr>
        <w:adjustRightInd w:val="0"/>
        <w:snapToGrid w:val="0"/>
        <w:spacing w:line="360" w:lineRule="auto"/>
        <w:outlineLvl w:val="2"/>
        <w:rPr>
          <w:b/>
          <w:bCs/>
          <w:spacing w:val="0"/>
          <w:position w:val="0"/>
          <w:sz w:val="28"/>
          <w:szCs w:val="28"/>
        </w:rPr>
      </w:pPr>
      <w:r>
        <w:rPr>
          <w:rFonts w:hint="eastAsia"/>
          <w:b/>
          <w:bCs/>
          <w:spacing w:val="0"/>
          <w:position w:val="0"/>
          <w:sz w:val="28"/>
          <w:szCs w:val="28"/>
        </w:rPr>
        <w:t>3.4.7污染物排放量</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通过上述工程分析，本项目</w:t>
      </w:r>
      <w:r>
        <w:rPr>
          <w:rFonts w:hint="eastAsia"/>
          <w:spacing w:val="0"/>
          <w:position w:val="0"/>
          <w:sz w:val="24"/>
          <w:szCs w:val="24"/>
          <w:lang w:val="en-US" w:eastAsia="zh-CN"/>
        </w:rPr>
        <w:t>运营期</w:t>
      </w:r>
      <w:r>
        <w:rPr>
          <w:rFonts w:hint="eastAsia"/>
          <w:spacing w:val="0"/>
          <w:position w:val="0"/>
          <w:sz w:val="24"/>
          <w:szCs w:val="24"/>
        </w:rPr>
        <w:t>主要污染物产生和排放情况见表3.4-12。</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表3.4-12本项目</w:t>
      </w:r>
      <w:r>
        <w:rPr>
          <w:rFonts w:hint="eastAsia"/>
          <w:b/>
          <w:bCs/>
          <w:spacing w:val="0"/>
          <w:position w:val="0"/>
          <w:sz w:val="24"/>
          <w:szCs w:val="24"/>
          <w:lang w:val="en-US" w:eastAsia="zh-CN"/>
        </w:rPr>
        <w:t>运营期</w:t>
      </w:r>
      <w:r>
        <w:rPr>
          <w:rFonts w:hint="eastAsia"/>
          <w:b/>
          <w:bCs/>
          <w:spacing w:val="0"/>
          <w:position w:val="0"/>
          <w:sz w:val="24"/>
          <w:szCs w:val="24"/>
        </w:rPr>
        <w:t>主要污染物排放情况一览表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2344"/>
        <w:gridCol w:w="1632"/>
        <w:gridCol w:w="1632"/>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污染物种类</w:t>
            </w:r>
          </w:p>
        </w:tc>
        <w:tc>
          <w:tcPr>
            <w:tcW w:w="2344"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污染物</w:t>
            </w:r>
          </w:p>
        </w:tc>
        <w:tc>
          <w:tcPr>
            <w:tcW w:w="1632"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产生量</w:t>
            </w:r>
          </w:p>
        </w:tc>
        <w:tc>
          <w:tcPr>
            <w:tcW w:w="1632"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削减量</w:t>
            </w:r>
          </w:p>
        </w:tc>
        <w:tc>
          <w:tcPr>
            <w:tcW w:w="1632"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废水</w:t>
            </w: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废水量（万t/a）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136.67</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61.50</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75.17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bookmarkStart w:id="0" w:name="OLE_LINK3" w:colFirst="1" w:colLast="1"/>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CODcr（t/a）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1823.19</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1785.60</w:t>
            </w:r>
          </w:p>
        </w:tc>
        <w:tc>
          <w:tcPr>
            <w:tcW w:w="163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37.59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BOD</w:t>
            </w:r>
            <w:r>
              <w:rPr>
                <w:rFonts w:hint="eastAsia"/>
                <w:spacing w:val="0"/>
                <w:position w:val="0"/>
                <w:szCs w:val="21"/>
                <w:vertAlign w:val="subscript"/>
              </w:rPr>
              <w:t>5</w:t>
            </w:r>
            <w:r>
              <w:rPr>
                <w:rFonts w:hint="eastAsia"/>
                <w:spacing w:val="0"/>
                <w:position w:val="0"/>
                <w:szCs w:val="21"/>
              </w:rPr>
              <w:t>（t/a）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470.14</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462.62</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7.52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SS（t/a）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466.07</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458.55</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7.52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NH</w:t>
            </w:r>
            <w:r>
              <w:rPr>
                <w:rFonts w:hint="eastAsia"/>
                <w:spacing w:val="0"/>
                <w:position w:val="0"/>
                <w:szCs w:val="21"/>
                <w:vertAlign w:val="subscript"/>
              </w:rPr>
              <w:t>3</w:t>
            </w:r>
            <w:r>
              <w:rPr>
                <w:rFonts w:hint="eastAsia"/>
                <w:spacing w:val="0"/>
                <w:position w:val="0"/>
                <w:szCs w:val="21"/>
              </w:rPr>
              <w:t>-N（t/a）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19.95</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16.19</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TN（t/a）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20</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8.72</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TP（t/a）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3.73</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3.35</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硫化物（t/a）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0.49</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0.11</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总锑</w:t>
            </w:r>
            <w:r>
              <w:rPr>
                <w:rFonts w:hint="eastAsia"/>
                <w:spacing w:val="0"/>
                <w:position w:val="0"/>
                <w:szCs w:val="21"/>
              </w:rPr>
              <w:t>（t/a）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0.19</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0.08</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0.08</w:t>
            </w:r>
          </w:p>
        </w:tc>
      </w:tr>
      <w:bookmarkEnd w:id="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废气（有组织）</w:t>
            </w: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废气（万m</w:t>
            </w:r>
            <w:r>
              <w:rPr>
                <w:rFonts w:hint="eastAsia"/>
                <w:spacing w:val="0"/>
                <w:position w:val="0"/>
                <w:szCs w:val="21"/>
                <w:vertAlign w:val="superscript"/>
              </w:rPr>
              <w:t>3</w:t>
            </w:r>
            <w:r>
              <w:rPr>
                <w:rFonts w:hint="eastAsia"/>
                <w:spacing w:val="0"/>
                <w:position w:val="0"/>
                <w:szCs w:val="21"/>
              </w:rPr>
              <w: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449856</w:t>
            </w:r>
          </w:p>
        </w:tc>
        <w:tc>
          <w:tcPr>
            <w:tcW w:w="1632"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0</w:t>
            </w:r>
          </w:p>
        </w:tc>
        <w:tc>
          <w:tcPr>
            <w:tcW w:w="163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449856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颗粒物（t/a）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887.04</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842.688</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44.352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油烟（t/a）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665.28</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598.752</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66.528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非甲烷总烃（t/a）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134.099</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107.279</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26.82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废气（无组织）</w:t>
            </w:r>
          </w:p>
        </w:tc>
        <w:tc>
          <w:tcPr>
            <w:tcW w:w="2344"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颗粒物</w:t>
            </w:r>
            <w:r>
              <w:rPr>
                <w:rFonts w:hint="eastAsia"/>
                <w:spacing w:val="0"/>
                <w:position w:val="0"/>
                <w:szCs w:val="21"/>
              </w:rPr>
              <w:t>（t/a）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3.75</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3.341</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非甲烷总烃（t/a）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0.261</w:t>
            </w:r>
          </w:p>
        </w:tc>
        <w:tc>
          <w:tcPr>
            <w:tcW w:w="1632"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0</w:t>
            </w:r>
          </w:p>
        </w:tc>
        <w:tc>
          <w:tcPr>
            <w:tcW w:w="163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0.261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固体废物</w:t>
            </w: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一般工业固废（t/a）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635</w:t>
            </w:r>
          </w:p>
        </w:tc>
        <w:tc>
          <w:tcPr>
            <w:tcW w:w="163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635</w:t>
            </w:r>
          </w:p>
        </w:tc>
        <w:tc>
          <w:tcPr>
            <w:tcW w:w="1632"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危险废物（t/a）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607.45</w:t>
            </w:r>
          </w:p>
        </w:tc>
        <w:tc>
          <w:tcPr>
            <w:tcW w:w="163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607.45</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dxa"/>
            <w:vMerge w:val="continue"/>
            <w:tcBorders>
              <w:tl2br w:val="nil"/>
              <w:tr2bl w:val="nil"/>
            </w:tcBorders>
            <w:vAlign w:val="center"/>
          </w:tcPr>
          <w:p>
            <w:pPr>
              <w:widowControl/>
              <w:adjustRightInd w:val="0"/>
              <w:snapToGrid w:val="0"/>
              <w:jc w:val="center"/>
              <w:rPr>
                <w:spacing w:val="0"/>
                <w:position w:val="0"/>
                <w:szCs w:val="21"/>
              </w:rPr>
            </w:pPr>
          </w:p>
        </w:tc>
        <w:tc>
          <w:tcPr>
            <w:tcW w:w="2344"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生活垃圾（t/a）</w:t>
            </w:r>
          </w:p>
        </w:tc>
        <w:tc>
          <w:tcPr>
            <w:tcW w:w="1632"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42.74</w:t>
            </w:r>
          </w:p>
        </w:tc>
        <w:tc>
          <w:tcPr>
            <w:tcW w:w="1632"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42.74</w:t>
            </w:r>
          </w:p>
        </w:tc>
        <w:tc>
          <w:tcPr>
            <w:tcW w:w="1632"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0</w:t>
            </w:r>
          </w:p>
        </w:tc>
      </w:tr>
    </w:tbl>
    <w:p>
      <w:pPr>
        <w:adjustRightInd w:val="0"/>
        <w:snapToGrid w:val="0"/>
        <w:spacing w:line="360" w:lineRule="auto"/>
        <w:outlineLvl w:val="1"/>
        <w:rPr>
          <w:rFonts w:hint="eastAsia"/>
          <w:b/>
          <w:bCs/>
          <w:spacing w:val="0"/>
          <w:position w:val="0"/>
          <w:sz w:val="30"/>
          <w:szCs w:val="30"/>
          <w:lang w:val="en-US" w:eastAsia="zh-CN"/>
        </w:rPr>
      </w:pPr>
      <w:r>
        <w:rPr>
          <w:rFonts w:hint="eastAsia"/>
          <w:b/>
          <w:bCs/>
          <w:spacing w:val="0"/>
          <w:position w:val="0"/>
          <w:sz w:val="30"/>
          <w:szCs w:val="30"/>
        </w:rPr>
        <w:t>3.5</w:t>
      </w:r>
      <w:r>
        <w:rPr>
          <w:rFonts w:hint="eastAsia"/>
          <w:b/>
          <w:bCs/>
          <w:spacing w:val="0"/>
          <w:position w:val="0"/>
          <w:sz w:val="30"/>
          <w:szCs w:val="30"/>
          <w:lang w:val="en-US" w:eastAsia="zh-CN"/>
        </w:rPr>
        <w:t>施工期污染源分析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施工期主要的环境影响因素包括施工过程中废水、废气、噪声及固体废物等污染物的排放，以及施工过程水土保持等生态影响。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项目在施工过程中由于施工人员活动及施工机械运行等带来废水、废气、噪声及固体废物等污染物的排放会对局部环境产生影响，这种影响是短暂的，待施工结束后，即随之消失。</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hint="default"/>
          <w:b/>
          <w:bCs/>
          <w:spacing w:val="0"/>
          <w:position w:val="0"/>
          <w:sz w:val="28"/>
          <w:szCs w:val="24"/>
          <w:lang w:val="en-US" w:eastAsia="zh-CN"/>
        </w:rPr>
      </w:pPr>
      <w:r>
        <w:rPr>
          <w:rFonts w:hint="eastAsia"/>
          <w:b/>
          <w:bCs/>
          <w:spacing w:val="0"/>
          <w:position w:val="0"/>
          <w:sz w:val="28"/>
          <w:szCs w:val="24"/>
          <w:lang w:val="en-US" w:eastAsia="zh-CN"/>
        </w:rPr>
        <w:t>3.5.1施工过程分析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土建及安装包括场地开挖平整、打桩、土木、地下管道、机械设备安装调试、钢结构安装、管道安装、焊接、热处理、无损探伤、防腐、绝热、电气安装调试、仪表安装调试等。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该阶段施工过程中，要动用土建开挖设备进行场地平整和地下开挖施工；要动用运输设备，进行大量钢筋、混凝土、设备、管道等的运输；动用大型吊装设备，进行设备和管道等的吊装；进行管道及设备的焊接安装等等。该阶段是厂区施工阶段中，动用人力和设备最多的阶段。</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hint="eastAsia"/>
          <w:b/>
          <w:bCs/>
          <w:spacing w:val="0"/>
          <w:position w:val="0"/>
          <w:sz w:val="28"/>
          <w:szCs w:val="24"/>
          <w:lang w:val="en-US" w:eastAsia="zh-CN"/>
        </w:rPr>
      </w:pPr>
      <w:r>
        <w:rPr>
          <w:rFonts w:hint="eastAsia"/>
          <w:b/>
          <w:bCs/>
          <w:spacing w:val="0"/>
          <w:position w:val="0"/>
          <w:sz w:val="28"/>
          <w:szCs w:val="24"/>
          <w:lang w:val="en-US" w:eastAsia="zh-CN"/>
        </w:rPr>
        <w:t>3.5.2施工期污染因素分析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3.5.2.1施工期废水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施工期水污染源来自施工生活污水，主要包括施工人员生活污水、施工泥浆水、水泥混凝土浇筑养护用水、车辆和机械设备洗涤水等。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（1）施工生活污水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本项目施工期生活污水为施工人员生活污水，主要含有COD、BOD</w:t>
      </w:r>
      <w:r>
        <w:rPr>
          <w:rFonts w:hint="eastAsia"/>
          <w:b w:val="0"/>
          <w:bCs w:val="0"/>
          <w:spacing w:val="0"/>
          <w:position w:val="0"/>
          <w:sz w:val="24"/>
          <w:szCs w:val="24"/>
          <w:vertAlign w:val="subscript"/>
          <w:lang w:val="en-US" w:eastAsia="zh-CN"/>
        </w:rPr>
        <w:t>5</w:t>
      </w:r>
      <w:r>
        <w:rPr>
          <w:rFonts w:hint="eastAsia"/>
          <w:b w:val="0"/>
          <w:bCs w:val="0"/>
          <w:spacing w:val="0"/>
          <w:position w:val="0"/>
          <w:sz w:val="24"/>
          <w:szCs w:val="24"/>
          <w:lang w:val="en-US" w:eastAsia="zh-CN"/>
        </w:rPr>
        <w:t>、SS、NH</w:t>
      </w:r>
      <w:r>
        <w:rPr>
          <w:rFonts w:hint="eastAsia"/>
          <w:b w:val="0"/>
          <w:bCs w:val="0"/>
          <w:spacing w:val="0"/>
          <w:position w:val="0"/>
          <w:sz w:val="24"/>
          <w:szCs w:val="24"/>
          <w:vertAlign w:val="subscript"/>
          <w:lang w:val="en-US" w:eastAsia="zh-CN"/>
        </w:rPr>
        <w:t>3</w:t>
      </w:r>
      <w:r>
        <w:rPr>
          <w:rFonts w:hint="eastAsia"/>
          <w:b w:val="0"/>
          <w:bCs w:val="0"/>
          <w:spacing w:val="0"/>
          <w:position w:val="0"/>
          <w:sz w:val="24"/>
          <w:szCs w:val="24"/>
          <w:lang w:val="en-US" w:eastAsia="zh-CN"/>
        </w:rPr>
        <w:t>-N等污染物。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本项目施工高峰时期施工人员需要大约100人。本项目施工场地不设置施工营地，施工人员租赁当地民房，施工生活污水依托当地污水处理系统不外排。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（2）施工生产废水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本项目施工期生产废水主要来施工泥浆水、水泥混凝土浇筑养护用水、车辆和机械设备洗涤水等。施工期生产废水产生情况见表3.5-1。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4"/>
          <w:szCs w:val="24"/>
          <w:lang w:val="en-US" w:eastAsia="zh-CN"/>
        </w:rPr>
      </w:pPr>
      <w:r>
        <w:rPr>
          <w:rFonts w:hint="eastAsia"/>
          <w:b/>
          <w:bCs/>
          <w:spacing w:val="0"/>
          <w:position w:val="0"/>
          <w:sz w:val="24"/>
          <w:szCs w:val="24"/>
          <w:lang w:val="en-US" w:eastAsia="zh-CN"/>
        </w:rPr>
        <w:t>表3.5-1施工期高峰生产废水污染物产生量</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1482"/>
        <w:gridCol w:w="2660"/>
        <w:gridCol w:w="2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最大日产生量（t/d）</w:t>
            </w:r>
          </w:p>
        </w:tc>
        <w:tc>
          <w:tcPr>
            <w:tcW w:w="14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污染因子</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污染物产生浓度（mg/L）</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污染物产生量（kg/d）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6</w:t>
            </w:r>
          </w:p>
        </w:tc>
        <w:tc>
          <w:tcPr>
            <w:tcW w:w="14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SS</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3000</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14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石油类</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0.12</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3.5.2.2施工期废气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施工场地粉尘主要来源于运输车辆和施工机械等各种施工作业过程中产生的扬尘和逸散尘，其中扬尘以运输车辆行驶扬尘为主，占60%以上。施工场地粉尘可使周围空气中TSP浓度明显升高的影响范围一般为50～100m。此外，施工期还有各种燃油机械设备运转和产生的含有少量烟尘、NO</w:t>
      </w:r>
      <w:r>
        <w:rPr>
          <w:rFonts w:hint="eastAsia"/>
          <w:b w:val="0"/>
          <w:bCs w:val="0"/>
          <w:spacing w:val="0"/>
          <w:position w:val="0"/>
          <w:sz w:val="24"/>
          <w:szCs w:val="24"/>
          <w:vertAlign w:val="subscript"/>
          <w:lang w:val="en-US" w:eastAsia="zh-CN"/>
        </w:rPr>
        <w:t>2</w:t>
      </w:r>
      <w:r>
        <w:rPr>
          <w:rFonts w:hint="eastAsia"/>
          <w:b w:val="0"/>
          <w:bCs w:val="0"/>
          <w:spacing w:val="0"/>
          <w:position w:val="0"/>
          <w:sz w:val="24"/>
          <w:szCs w:val="24"/>
          <w:lang w:val="en-US" w:eastAsia="zh-CN"/>
        </w:rPr>
        <w:t>、CO、烃类等废气。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（1）施工场地主要干道应采用沥青覆盖或临时砂石铺盖等硬化措施，降低道路扬尘。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（2）道路应采取洒水抑尘措施，避免道路扬尘四处逸散。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（3）残土、沙料等易产生扬尘物料装卸时应采取喷水抑尘。运输车辆的料斗应采取加盖或帆布覆盖等措施。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（4）施工现场残土、沙料等易产生扬尘物料应采取覆盖防尘网（布）等有效措施，现场洒水频次不足，扬尘污染较大。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（5）施工车辆出入现场应采取冲洗措施，避免车辆携带泥沙出场。</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3.5.2.3施工期噪声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在建筑施工中，本项目施工期噪声主要来自施工作业过程中使用的运输车辆和多种施工机械，主要包括有：灌注桩钻机、挖掘机、混凝土搅拌机、振捣棒、运输车辆等。通过类比调查，施工期间的主要噪声源强见表3.9-2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val="en-US" w:eastAsia="zh-CN"/>
        </w:rPr>
        <w:t>3.9-2典型施工设备噪声声级</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523"/>
        <w:gridCol w:w="721"/>
        <w:gridCol w:w="664"/>
        <w:gridCol w:w="1298"/>
        <w:gridCol w:w="1456"/>
        <w:gridCol w:w="1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施工阶段</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声源名称</w:t>
            </w:r>
          </w:p>
        </w:tc>
        <w:tc>
          <w:tcPr>
            <w:tcW w:w="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单位</w:t>
            </w:r>
          </w:p>
        </w:tc>
        <w:tc>
          <w:tcPr>
            <w:tcW w:w="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数量</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源强dB（A）</w:t>
            </w:r>
          </w:p>
        </w:tc>
        <w:tc>
          <w:tcPr>
            <w:tcW w:w="14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测量距离（m）</w:t>
            </w:r>
          </w:p>
        </w:tc>
        <w:tc>
          <w:tcPr>
            <w:tcW w:w="1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声源性质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打桩</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灌注桩钻机</w:t>
            </w:r>
          </w:p>
        </w:tc>
        <w:tc>
          <w:tcPr>
            <w:tcW w:w="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台</w:t>
            </w:r>
          </w:p>
        </w:tc>
        <w:tc>
          <w:tcPr>
            <w:tcW w:w="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82</w:t>
            </w:r>
          </w:p>
        </w:tc>
        <w:tc>
          <w:tcPr>
            <w:tcW w:w="14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w:t>
            </w:r>
          </w:p>
        </w:tc>
        <w:tc>
          <w:tcPr>
            <w:tcW w:w="1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短期内连续声源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土石方</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挖掘机</w:t>
            </w:r>
          </w:p>
        </w:tc>
        <w:tc>
          <w:tcPr>
            <w:tcW w:w="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台</w:t>
            </w:r>
          </w:p>
        </w:tc>
        <w:tc>
          <w:tcPr>
            <w:tcW w:w="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85</w:t>
            </w:r>
          </w:p>
        </w:tc>
        <w:tc>
          <w:tcPr>
            <w:tcW w:w="14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w:t>
            </w:r>
          </w:p>
        </w:tc>
        <w:tc>
          <w:tcPr>
            <w:tcW w:w="1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短期内连续声源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混凝土搅拌机</w:t>
            </w:r>
          </w:p>
        </w:tc>
        <w:tc>
          <w:tcPr>
            <w:tcW w:w="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台</w:t>
            </w:r>
          </w:p>
        </w:tc>
        <w:tc>
          <w:tcPr>
            <w:tcW w:w="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79</w:t>
            </w:r>
          </w:p>
        </w:tc>
        <w:tc>
          <w:tcPr>
            <w:tcW w:w="14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1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短期内连续声源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振捣棒</w:t>
            </w:r>
          </w:p>
        </w:tc>
        <w:tc>
          <w:tcPr>
            <w:tcW w:w="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个</w:t>
            </w:r>
          </w:p>
        </w:tc>
        <w:tc>
          <w:tcPr>
            <w:tcW w:w="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10</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95</w:t>
            </w:r>
          </w:p>
        </w:tc>
        <w:tc>
          <w:tcPr>
            <w:tcW w:w="14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1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短期内连续声源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安装</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起重机</w:t>
            </w:r>
          </w:p>
        </w:tc>
        <w:tc>
          <w:tcPr>
            <w:tcW w:w="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台</w:t>
            </w:r>
          </w:p>
        </w:tc>
        <w:tc>
          <w:tcPr>
            <w:tcW w:w="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80</w:t>
            </w:r>
          </w:p>
        </w:tc>
        <w:tc>
          <w:tcPr>
            <w:tcW w:w="14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w:t>
            </w:r>
          </w:p>
        </w:tc>
        <w:tc>
          <w:tcPr>
            <w:tcW w:w="1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间歇性声源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全过程</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运输车辆</w:t>
            </w:r>
          </w:p>
        </w:tc>
        <w:tc>
          <w:tcPr>
            <w:tcW w:w="7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辆</w:t>
            </w:r>
          </w:p>
        </w:tc>
        <w:tc>
          <w:tcPr>
            <w:tcW w:w="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86</w:t>
            </w:r>
          </w:p>
        </w:tc>
        <w:tc>
          <w:tcPr>
            <w:tcW w:w="14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1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间歇性声源</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施工期间应合理安排施工作业时间，选用高效低噪的施工设备，以降低施工噪声对环境的影响。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3.5.2.4施工期固废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（1）施工建筑垃圾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本项目施工作业固体废物主要为建筑碎片、废钢筋、废纸箱、包装水泥袋、废旧设备零件以及碎砖头、水泥块、石子、沙子等建筑材料废弃物等。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①建筑垃圾中废钢筋、废纸箱、包装水泥袋等固体废物应加以回收利用；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②施工过程产生的建筑碎片、碎砖头、水泥块、石子、沙子等建筑材料废杂物，应在指定场所临时堆存后，委托渣土公司运至政府指定的建筑垃圾受纳场；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（2）含油危险废物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施工过程产生的少量不能回收利用的废油漆、机械修配擦油布等应经收集后，按危险废物委托有资质单位处置，不得随意丢弃。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施工高峰期各类施工人员约100人，按每人每天产生0.5kg生活垃圾估算，则项目施工期生活垃圾产生量为50kg/d。施工期生活垃圾主要为施工现场施工人员日常生活过程产生的生活垃圾，可集中堆存后交由环卫部门统一处理。</w:t>
      </w:r>
    </w:p>
    <w:p>
      <w:pPr>
        <w:adjustRightInd w:val="0"/>
        <w:snapToGrid w:val="0"/>
        <w:spacing w:line="360" w:lineRule="auto"/>
        <w:outlineLvl w:val="1"/>
        <w:rPr>
          <w:b/>
          <w:bCs/>
          <w:spacing w:val="0"/>
          <w:position w:val="0"/>
          <w:sz w:val="30"/>
          <w:szCs w:val="30"/>
        </w:rPr>
      </w:pPr>
      <w:r>
        <w:rPr>
          <w:rFonts w:hint="eastAsia"/>
          <w:b/>
          <w:bCs/>
          <w:spacing w:val="0"/>
          <w:position w:val="0"/>
          <w:sz w:val="30"/>
          <w:szCs w:val="30"/>
          <w:lang w:eastAsia="zh-CN"/>
        </w:rPr>
        <w:t>3.6</w:t>
      </w:r>
      <w:r>
        <w:rPr>
          <w:rFonts w:hint="eastAsia"/>
          <w:b/>
          <w:bCs/>
          <w:spacing w:val="0"/>
          <w:position w:val="0"/>
          <w:sz w:val="30"/>
          <w:szCs w:val="30"/>
        </w:rPr>
        <w:t>清洁生产</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eastAsia="zh-CN"/>
        </w:rPr>
        <w:t>3.6</w:t>
      </w:r>
      <w:r>
        <w:rPr>
          <w:rFonts w:hint="eastAsia"/>
          <w:b/>
          <w:bCs/>
          <w:spacing w:val="0"/>
          <w:position w:val="0"/>
          <w:sz w:val="28"/>
          <w:szCs w:val="28"/>
        </w:rPr>
        <w:t>.1评价指标体系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rPr>
        <w:t>本评价采用《印染行业清洁生产评价指标体系》（发改委2006年第87号公告），对企业清洁生产进行分析。根据清洁生产的原则要求和指标的可度量性，评价指标体系分为定量评价和定性要求两大部分。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pacing w:val="0"/>
          <w:position w:val="0"/>
          <w:sz w:val="24"/>
          <w:szCs w:val="24"/>
        </w:rPr>
      </w:pPr>
      <w:r>
        <w:rPr>
          <w:rFonts w:hint="eastAsia"/>
          <w:spacing w:val="0"/>
          <w:position w:val="0"/>
          <w:sz w:val="24"/>
          <w:szCs w:val="24"/>
        </w:rPr>
        <w:t>定量评价指标选取有代表性，能反映“节能”、“降耗”、“减污”和“增效”等有关清洁生产最终目标的指标，建立评价模式。通过对各项指标的实际达到值、评价基准值和指标的权重值进行计算和评分，综合考评企业实施清洁生产的状况和企业清洁生产程度。</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定性评价指标主要根据国家有关推行清洁生产的产业发展和技术进步政策、资源环境保护政策规定以及行业发展规划选取，用于定性考核企业对有关政策法规的符合性及其清洁生产工作实施情况。</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定量指标和定性指标分为一级指标和二级指标。一级指标为普适性、概括性的指标；二级指标为反映印染企业清洁生产各方面具有代表性的、内容具体、易于评价考核指标。</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eastAsia="zh-CN"/>
        </w:rPr>
        <w:t>3.6</w:t>
      </w:r>
      <w:r>
        <w:rPr>
          <w:rFonts w:hint="eastAsia"/>
          <w:b/>
          <w:bCs/>
          <w:spacing w:val="0"/>
          <w:position w:val="0"/>
          <w:sz w:val="28"/>
          <w:szCs w:val="28"/>
        </w:rPr>
        <w:t>.2清洁生产指数确定方法</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（1）定量评价二级指标的单项评价指数计算</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对指标数值越高（大）越符合清洁生产要求的指标，其计算公式为：</w:t>
      </w:r>
    </w:p>
    <w:p>
      <w:pPr>
        <w:adjustRightInd w:val="0"/>
        <w:snapToGrid w:val="0"/>
        <w:spacing w:line="360" w:lineRule="auto"/>
        <w:ind w:firstLine="480" w:firstLineChars="200"/>
        <w:jc w:val="center"/>
        <w:rPr>
          <w:spacing w:val="0"/>
          <w:position w:val="0"/>
          <w:sz w:val="24"/>
          <w:szCs w:val="24"/>
        </w:rPr>
      </w:pPr>
      <w:r>
        <w:rPr>
          <w:rFonts w:eastAsia="TimesNewRomanPS-ItalicMT"/>
          <w:i/>
          <w:spacing w:val="0"/>
          <w:position w:val="0"/>
          <w:sz w:val="24"/>
          <w:szCs w:val="24"/>
        </w:rPr>
        <w:t>S</w:t>
      </w:r>
      <w:r>
        <w:rPr>
          <w:rFonts w:eastAsia="TimesNewRomanPS-ItalicMT"/>
          <w:i/>
          <w:spacing w:val="0"/>
          <w:position w:val="0"/>
          <w:sz w:val="16"/>
          <w:szCs w:val="24"/>
        </w:rPr>
        <w:t>i</w:t>
      </w:r>
      <w:r>
        <w:rPr>
          <w:rFonts w:eastAsia="TimesNewRomanPSMT"/>
          <w:spacing w:val="0"/>
          <w:position w:val="0"/>
          <w:sz w:val="24"/>
          <w:szCs w:val="24"/>
        </w:rPr>
        <w:t>=</w:t>
      </w:r>
      <w:r>
        <w:rPr>
          <w:rFonts w:eastAsia="TimesNewRomanPS-ItalicMT"/>
          <w:i/>
          <w:spacing w:val="0"/>
          <w:position w:val="0"/>
          <w:sz w:val="24"/>
          <w:szCs w:val="24"/>
        </w:rPr>
        <w:t>S</w:t>
      </w:r>
      <w:r>
        <w:rPr>
          <w:rFonts w:eastAsia="TimesNewRomanPS-ItalicMT"/>
          <w:i/>
          <w:spacing w:val="0"/>
          <w:position w:val="0"/>
          <w:sz w:val="16"/>
          <w:szCs w:val="24"/>
        </w:rPr>
        <w:t>xi</w:t>
      </w:r>
      <w:r>
        <w:rPr>
          <w:rFonts w:eastAsia="TimesNewRomanPSMT"/>
          <w:spacing w:val="0"/>
          <w:position w:val="0"/>
          <w:sz w:val="24"/>
          <w:szCs w:val="24"/>
        </w:rPr>
        <w:t>/</w:t>
      </w:r>
      <w:r>
        <w:rPr>
          <w:rFonts w:eastAsia="TimesNewRomanPS-ItalicMT"/>
          <w:i/>
          <w:spacing w:val="0"/>
          <w:position w:val="0"/>
          <w:sz w:val="24"/>
          <w:szCs w:val="24"/>
        </w:rPr>
        <w:t>S</w:t>
      </w:r>
      <w:r>
        <w:rPr>
          <w:rFonts w:eastAsia="TimesNewRomanPSMT"/>
          <w:spacing w:val="0"/>
          <w:position w:val="0"/>
          <w:sz w:val="16"/>
          <w:szCs w:val="24"/>
        </w:rPr>
        <w:t>0</w:t>
      </w:r>
      <w:r>
        <w:rPr>
          <w:rFonts w:eastAsia="TimesNewRomanPS-ItalicMT"/>
          <w:i/>
          <w:spacing w:val="0"/>
          <w:position w:val="0"/>
          <w:sz w:val="16"/>
          <w:szCs w:val="24"/>
        </w:rPr>
        <w:t>i</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对指标数值越低（小）越符合清洁生产要求的指标，其计算公式为：</w:t>
      </w:r>
    </w:p>
    <w:p>
      <w:pPr>
        <w:adjustRightInd w:val="0"/>
        <w:snapToGrid w:val="0"/>
        <w:spacing w:line="360" w:lineRule="auto"/>
        <w:ind w:firstLine="480" w:firstLineChars="200"/>
        <w:jc w:val="center"/>
        <w:rPr>
          <w:i/>
          <w:iCs/>
          <w:spacing w:val="0"/>
          <w:position w:val="0"/>
          <w:sz w:val="24"/>
          <w:szCs w:val="24"/>
        </w:rPr>
      </w:pPr>
      <w:r>
        <w:rPr>
          <w:rFonts w:eastAsia="TimesNewRomanPS-ItalicMT"/>
          <w:i/>
          <w:spacing w:val="0"/>
          <w:position w:val="0"/>
          <w:sz w:val="24"/>
          <w:szCs w:val="24"/>
        </w:rPr>
        <w:t>S</w:t>
      </w:r>
      <w:r>
        <w:rPr>
          <w:rFonts w:eastAsia="TimesNewRomanPS-ItalicMT"/>
          <w:i/>
          <w:spacing w:val="0"/>
          <w:position w:val="0"/>
          <w:sz w:val="16"/>
          <w:szCs w:val="24"/>
        </w:rPr>
        <w:t>i</w:t>
      </w:r>
      <w:r>
        <w:rPr>
          <w:rFonts w:eastAsia="TimesNewRomanPSMT"/>
          <w:spacing w:val="0"/>
          <w:position w:val="0"/>
          <w:sz w:val="24"/>
          <w:szCs w:val="24"/>
        </w:rPr>
        <w:t>=</w:t>
      </w:r>
      <w:r>
        <w:rPr>
          <w:rFonts w:eastAsia="TimesNewRomanPS-ItalicMT"/>
          <w:i/>
          <w:spacing w:val="0"/>
          <w:position w:val="0"/>
          <w:sz w:val="24"/>
          <w:szCs w:val="24"/>
        </w:rPr>
        <w:t>S</w:t>
      </w:r>
      <w:r>
        <w:rPr>
          <w:rFonts w:eastAsia="TimesNewRomanPSMT"/>
          <w:spacing w:val="0"/>
          <w:position w:val="0"/>
          <w:sz w:val="16"/>
          <w:szCs w:val="24"/>
        </w:rPr>
        <w:t>0</w:t>
      </w:r>
      <w:r>
        <w:rPr>
          <w:rFonts w:eastAsia="TimesNewRomanPS-ItalicMT"/>
          <w:i/>
          <w:spacing w:val="0"/>
          <w:position w:val="0"/>
          <w:sz w:val="16"/>
          <w:szCs w:val="24"/>
        </w:rPr>
        <w:t>i</w:t>
      </w:r>
      <w:r>
        <w:rPr>
          <w:rFonts w:eastAsia="TimesNewRomanPSMT"/>
          <w:spacing w:val="0"/>
          <w:position w:val="0"/>
          <w:sz w:val="24"/>
          <w:szCs w:val="24"/>
        </w:rPr>
        <w:t>/</w:t>
      </w:r>
      <w:r>
        <w:rPr>
          <w:rFonts w:eastAsia="TimesNewRomanPS-ItalicMT"/>
          <w:i/>
          <w:spacing w:val="0"/>
          <w:position w:val="0"/>
          <w:sz w:val="24"/>
          <w:szCs w:val="24"/>
        </w:rPr>
        <w:t>S</w:t>
      </w:r>
      <w:r>
        <w:rPr>
          <w:rFonts w:eastAsia="TimesNewRomanPS-ItalicMT"/>
          <w:i/>
          <w:spacing w:val="0"/>
          <w:position w:val="0"/>
          <w:sz w:val="16"/>
          <w:szCs w:val="24"/>
        </w:rPr>
        <w:t>xi</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式中：</w:t>
      </w:r>
      <w:r>
        <w:rPr>
          <w:rFonts w:eastAsia="TimesNewRomanPS-ItalicMT"/>
          <w:i/>
          <w:spacing w:val="0"/>
          <w:position w:val="0"/>
          <w:sz w:val="24"/>
          <w:szCs w:val="24"/>
        </w:rPr>
        <w:t>S</w:t>
      </w:r>
      <w:r>
        <w:rPr>
          <w:rFonts w:eastAsia="TimesNewRomanPS-ItalicMT"/>
          <w:i/>
          <w:spacing w:val="0"/>
          <w:position w:val="0"/>
          <w:sz w:val="16"/>
          <w:szCs w:val="24"/>
        </w:rPr>
        <w:t>i</w:t>
      </w:r>
      <w:r>
        <w:rPr>
          <w:rFonts w:hint="eastAsia"/>
          <w:spacing w:val="0"/>
          <w:position w:val="0"/>
          <w:sz w:val="24"/>
          <w:szCs w:val="24"/>
        </w:rPr>
        <w:t>——第</w:t>
      </w:r>
      <w:r>
        <w:rPr>
          <w:rFonts w:hint="eastAsia"/>
          <w:i/>
          <w:iCs/>
          <w:spacing w:val="0"/>
          <w:position w:val="0"/>
          <w:sz w:val="24"/>
          <w:szCs w:val="24"/>
        </w:rPr>
        <w:t>i</w:t>
      </w:r>
      <w:r>
        <w:rPr>
          <w:rFonts w:hint="eastAsia"/>
          <w:spacing w:val="0"/>
          <w:position w:val="0"/>
          <w:sz w:val="24"/>
          <w:szCs w:val="24"/>
        </w:rPr>
        <w:t>项评价指标的单项评价指数；</w:t>
      </w:r>
    </w:p>
    <w:p>
      <w:pPr>
        <w:adjustRightInd w:val="0"/>
        <w:snapToGrid w:val="0"/>
        <w:spacing w:line="360" w:lineRule="auto"/>
        <w:ind w:firstLine="1200" w:firstLineChars="500"/>
        <w:rPr>
          <w:spacing w:val="0"/>
          <w:position w:val="0"/>
          <w:sz w:val="24"/>
          <w:szCs w:val="24"/>
        </w:rPr>
      </w:pPr>
      <w:r>
        <w:rPr>
          <w:rFonts w:eastAsia="TimesNewRomanPS-ItalicMT"/>
          <w:i/>
          <w:spacing w:val="0"/>
          <w:position w:val="0"/>
          <w:sz w:val="24"/>
          <w:szCs w:val="24"/>
        </w:rPr>
        <w:t>S</w:t>
      </w:r>
      <w:r>
        <w:rPr>
          <w:rFonts w:eastAsia="TimesNewRomanPS-ItalicMT"/>
          <w:i/>
          <w:spacing w:val="0"/>
          <w:position w:val="0"/>
          <w:sz w:val="16"/>
          <w:szCs w:val="24"/>
        </w:rPr>
        <w:t>xi</w:t>
      </w:r>
      <w:r>
        <w:rPr>
          <w:rFonts w:hint="eastAsia"/>
          <w:spacing w:val="0"/>
          <w:position w:val="0"/>
          <w:sz w:val="24"/>
          <w:szCs w:val="24"/>
        </w:rPr>
        <w:t>——第</w:t>
      </w:r>
      <w:r>
        <w:rPr>
          <w:rFonts w:hint="eastAsia"/>
          <w:i/>
          <w:iCs/>
          <w:spacing w:val="0"/>
          <w:position w:val="0"/>
          <w:sz w:val="24"/>
          <w:szCs w:val="24"/>
        </w:rPr>
        <w:t>i</w:t>
      </w:r>
      <w:r>
        <w:rPr>
          <w:rFonts w:hint="eastAsia"/>
          <w:spacing w:val="0"/>
          <w:position w:val="0"/>
          <w:sz w:val="24"/>
          <w:szCs w:val="24"/>
        </w:rPr>
        <w:t>项评价指标的实际值（考核年度实际达到值）；</w:t>
      </w:r>
    </w:p>
    <w:p>
      <w:pPr>
        <w:adjustRightInd w:val="0"/>
        <w:snapToGrid w:val="0"/>
        <w:spacing w:line="360" w:lineRule="auto"/>
        <w:ind w:firstLine="1200" w:firstLineChars="500"/>
        <w:rPr>
          <w:spacing w:val="0"/>
          <w:position w:val="0"/>
          <w:sz w:val="24"/>
          <w:szCs w:val="24"/>
        </w:rPr>
      </w:pPr>
      <w:r>
        <w:rPr>
          <w:rFonts w:eastAsia="TimesNewRomanPS-ItalicMT"/>
          <w:i/>
          <w:spacing w:val="0"/>
          <w:position w:val="0"/>
          <w:sz w:val="24"/>
          <w:szCs w:val="24"/>
        </w:rPr>
        <w:t>S</w:t>
      </w:r>
      <w:r>
        <w:rPr>
          <w:rFonts w:eastAsia="TimesNewRomanPSMT"/>
          <w:spacing w:val="0"/>
          <w:position w:val="0"/>
          <w:sz w:val="16"/>
          <w:szCs w:val="24"/>
        </w:rPr>
        <w:t>0</w:t>
      </w:r>
      <w:r>
        <w:rPr>
          <w:rFonts w:eastAsia="TimesNewRomanPS-ItalicMT"/>
          <w:i/>
          <w:spacing w:val="0"/>
          <w:position w:val="0"/>
          <w:sz w:val="16"/>
          <w:szCs w:val="24"/>
        </w:rPr>
        <w:t>i</w:t>
      </w:r>
      <w:r>
        <w:rPr>
          <w:rFonts w:hint="eastAsia"/>
          <w:spacing w:val="0"/>
          <w:position w:val="0"/>
          <w:sz w:val="24"/>
          <w:szCs w:val="24"/>
        </w:rPr>
        <w:t>——第</w:t>
      </w:r>
      <w:r>
        <w:rPr>
          <w:rFonts w:hint="eastAsia"/>
          <w:i/>
          <w:iCs/>
          <w:spacing w:val="0"/>
          <w:position w:val="0"/>
          <w:sz w:val="24"/>
          <w:szCs w:val="24"/>
        </w:rPr>
        <w:t>i</w:t>
      </w:r>
      <w:r>
        <w:rPr>
          <w:rFonts w:hint="eastAsia"/>
          <w:spacing w:val="0"/>
          <w:position w:val="0"/>
          <w:sz w:val="24"/>
          <w:szCs w:val="24"/>
        </w:rPr>
        <w:t>项评价指标的评价基准值。</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本评价指标体系各二级指标的单项评价指数的正常值一般在2.0~3.0左右，但当其实际数值远小于（或远大于）评价基准值时，应进行修正处理，</w:t>
      </w:r>
      <w:r>
        <w:rPr>
          <w:rFonts w:eastAsia="TimesNewRomanPS-ItalicMT"/>
          <w:i/>
          <w:spacing w:val="0"/>
          <w:position w:val="0"/>
          <w:sz w:val="24"/>
          <w:szCs w:val="24"/>
        </w:rPr>
        <w:t>S</w:t>
      </w:r>
      <w:r>
        <w:rPr>
          <w:rFonts w:eastAsia="TimesNewRomanPS-ItalicMT"/>
          <w:i/>
          <w:spacing w:val="0"/>
          <w:position w:val="0"/>
          <w:sz w:val="16"/>
          <w:szCs w:val="24"/>
        </w:rPr>
        <w:t>i</w:t>
      </w:r>
      <w:r>
        <w:rPr>
          <w:rFonts w:eastAsia="TimesNewRomanPSMT"/>
          <w:spacing w:val="0"/>
          <w:position w:val="0"/>
          <w:sz w:val="24"/>
          <w:szCs w:val="24"/>
        </w:rPr>
        <w:t>&gt;</w:t>
      </w:r>
      <w:r>
        <w:rPr>
          <w:rFonts w:eastAsia="TimesNewRomanPS-ItalicMT"/>
          <w:i/>
          <w:spacing w:val="0"/>
          <w:position w:val="0"/>
          <w:sz w:val="24"/>
          <w:szCs w:val="24"/>
        </w:rPr>
        <w:t>k/m</w:t>
      </w:r>
      <w:r>
        <w:rPr>
          <w:rFonts w:hint="eastAsia"/>
          <w:spacing w:val="0"/>
          <w:position w:val="0"/>
          <w:sz w:val="24"/>
          <w:szCs w:val="24"/>
        </w:rPr>
        <w:t>时（其中</w:t>
      </w:r>
      <w:r>
        <w:rPr>
          <w:rFonts w:eastAsia="TimesNewRomanPS-ItalicMT"/>
          <w:i/>
          <w:spacing w:val="0"/>
          <w:position w:val="0"/>
          <w:sz w:val="24"/>
          <w:szCs w:val="24"/>
        </w:rPr>
        <w:t>k</w:t>
      </w:r>
      <w:r>
        <w:rPr>
          <w:rFonts w:hint="eastAsia"/>
          <w:spacing w:val="0"/>
          <w:position w:val="0"/>
          <w:sz w:val="24"/>
          <w:szCs w:val="24"/>
        </w:rPr>
        <w:t>为该类一级指标的权重分值，</w:t>
      </w:r>
      <w:r>
        <w:rPr>
          <w:rFonts w:eastAsia="TimesNewRomanPS-ItalicMT"/>
          <w:i/>
          <w:spacing w:val="0"/>
          <w:position w:val="0"/>
          <w:sz w:val="24"/>
          <w:szCs w:val="24"/>
        </w:rPr>
        <w:t>m</w:t>
      </w:r>
      <w:r>
        <w:rPr>
          <w:rFonts w:hint="eastAsia"/>
          <w:spacing w:val="0"/>
          <w:position w:val="0"/>
          <w:sz w:val="24"/>
          <w:szCs w:val="24"/>
        </w:rPr>
        <w:t>为该类一级指标中实际参与考核的二级指标的项目数），取该</w:t>
      </w:r>
      <w:r>
        <w:rPr>
          <w:rFonts w:eastAsia="TimesNewRomanPS-ItalicMT"/>
          <w:i/>
          <w:spacing w:val="0"/>
          <w:position w:val="0"/>
          <w:sz w:val="24"/>
          <w:szCs w:val="24"/>
        </w:rPr>
        <w:t>S</w:t>
      </w:r>
      <w:r>
        <w:rPr>
          <w:rFonts w:eastAsia="TimesNewRomanPS-ItalicMT"/>
          <w:i/>
          <w:spacing w:val="0"/>
          <w:position w:val="0"/>
          <w:sz w:val="16"/>
          <w:szCs w:val="24"/>
        </w:rPr>
        <w:t>i</w:t>
      </w:r>
      <w:r>
        <w:rPr>
          <w:rFonts w:hint="eastAsia"/>
          <w:spacing w:val="0"/>
          <w:position w:val="0"/>
          <w:sz w:val="24"/>
          <w:szCs w:val="24"/>
        </w:rPr>
        <w:t>值为</w:t>
      </w:r>
      <w:r>
        <w:rPr>
          <w:rFonts w:eastAsia="TimesNewRomanPS-ItalicMT"/>
          <w:i/>
          <w:spacing w:val="0"/>
          <w:position w:val="0"/>
          <w:sz w:val="24"/>
          <w:szCs w:val="24"/>
        </w:rPr>
        <w:t>k/m</w:t>
      </w:r>
      <w:r>
        <w:rPr>
          <w:rFonts w:hint="eastAsia"/>
          <w:spacing w:val="0"/>
          <w:position w:val="0"/>
          <w:sz w:val="24"/>
          <w:szCs w:val="24"/>
        </w:rPr>
        <w:t>。</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（2）定量评价考核总分值计算</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定量考核总分值计算公式为：</w:t>
      </w:r>
    </w:p>
    <w:p>
      <w:pPr>
        <w:adjustRightInd w:val="0"/>
        <w:snapToGrid w:val="0"/>
        <w:spacing w:line="360" w:lineRule="auto"/>
        <w:ind w:firstLine="480" w:firstLineChars="200"/>
        <w:rPr>
          <w:spacing w:val="0"/>
          <w:position w:val="0"/>
          <w:sz w:val="24"/>
          <w:szCs w:val="24"/>
        </w:rPr>
      </w:pPr>
      <m:oMathPara>
        <m:oMath>
          <m:sSub>
            <m:sSubPr>
              <m:ctrlPr>
                <w:rPr>
                  <w:rFonts w:ascii="Cambria Math" w:hAnsi="Cambria Math"/>
                  <w:i/>
                  <w:spacing w:val="0"/>
                  <w:position w:val="0"/>
                  <w:sz w:val="24"/>
                  <w:szCs w:val="24"/>
                </w:rPr>
              </m:ctrlPr>
            </m:sSubPr>
            <m:e>
              <m:r>
                <m:rPr/>
                <w:rPr>
                  <w:rFonts w:ascii="Cambria Math" w:hAnsi="Cambria Math"/>
                  <w:spacing w:val="0"/>
                  <w:position w:val="0"/>
                  <w:sz w:val="24"/>
                  <w:szCs w:val="24"/>
                </w:rPr>
                <m:t>P</m:t>
              </m:r>
              <m:ctrlPr>
                <w:rPr>
                  <w:rFonts w:ascii="Cambria Math" w:hAnsi="Cambria Math"/>
                  <w:i/>
                  <w:spacing w:val="0"/>
                  <w:position w:val="0"/>
                  <w:sz w:val="24"/>
                  <w:szCs w:val="24"/>
                </w:rPr>
              </m:ctrlPr>
            </m:e>
            <m:sub>
              <m:r>
                <m:rPr/>
                <w:rPr>
                  <w:rFonts w:ascii="Cambria Math" w:hAnsi="Cambria Math"/>
                  <w:spacing w:val="0"/>
                  <w:position w:val="0"/>
                  <w:sz w:val="24"/>
                  <w:szCs w:val="24"/>
                </w:rPr>
                <m:t>1</m:t>
              </m:r>
              <m:ctrlPr>
                <w:rPr>
                  <w:rFonts w:ascii="Cambria Math" w:hAnsi="Cambria Math"/>
                  <w:i/>
                  <w:spacing w:val="0"/>
                  <w:position w:val="0"/>
                  <w:sz w:val="24"/>
                  <w:szCs w:val="24"/>
                </w:rPr>
              </m:ctrlPr>
            </m:sub>
          </m:sSub>
          <m:r>
            <m:rPr/>
            <w:rPr>
              <w:rFonts w:ascii="Cambria Math" w:hAnsi="Cambria Math"/>
              <w:spacing w:val="0"/>
              <w:position w:val="0"/>
              <w:sz w:val="24"/>
              <w:szCs w:val="24"/>
            </w:rPr>
            <m:t>=</m:t>
          </m:r>
          <m:nary>
            <m:naryPr>
              <m:chr m:val="∑"/>
              <m:grow m:val="1"/>
              <m:limLoc m:val="undOvr"/>
              <m:ctrlPr>
                <w:rPr>
                  <w:rFonts w:ascii="Cambria Math" w:hAnsi="Cambria Math"/>
                  <w:i/>
                  <w:spacing w:val="0"/>
                  <w:position w:val="0"/>
                  <w:sz w:val="24"/>
                  <w:szCs w:val="24"/>
                </w:rPr>
              </m:ctrlPr>
            </m:naryPr>
            <m:sub>
              <m:r>
                <m:rPr/>
                <w:rPr>
                  <w:rFonts w:ascii="Cambria Math" w:hAnsi="Cambria Math"/>
                  <w:spacing w:val="0"/>
                  <w:position w:val="0"/>
                  <w:sz w:val="24"/>
                  <w:szCs w:val="24"/>
                </w:rPr>
                <m:t>i=1</m:t>
              </m:r>
              <m:ctrlPr>
                <w:rPr>
                  <w:rFonts w:ascii="Cambria Math" w:hAnsi="Cambria Math"/>
                  <w:i/>
                  <w:spacing w:val="0"/>
                  <w:position w:val="0"/>
                  <w:sz w:val="24"/>
                  <w:szCs w:val="24"/>
                </w:rPr>
              </m:ctrlPr>
            </m:sub>
            <m:sup>
              <m:r>
                <m:rPr/>
                <w:rPr>
                  <w:rFonts w:ascii="Cambria Math" w:hAnsi="Cambria Math"/>
                  <w:spacing w:val="0"/>
                  <w:position w:val="0"/>
                  <w:sz w:val="24"/>
                  <w:szCs w:val="24"/>
                </w:rPr>
                <m:t>n</m:t>
              </m:r>
              <m:ctrlPr>
                <w:rPr>
                  <w:rFonts w:ascii="Cambria Math" w:hAnsi="Cambria Math"/>
                  <w:i/>
                  <w:spacing w:val="0"/>
                  <w:position w:val="0"/>
                  <w:sz w:val="24"/>
                  <w:szCs w:val="24"/>
                </w:rPr>
              </m:ctrlPr>
            </m:sup>
            <m:e>
              <m:d>
                <m:dPr>
                  <m:ctrlPr>
                    <w:rPr>
                      <w:rFonts w:ascii="Cambria Math" w:hAnsi="Cambria Math"/>
                      <w:i/>
                      <w:spacing w:val="0"/>
                      <w:position w:val="0"/>
                      <w:sz w:val="24"/>
                      <w:szCs w:val="24"/>
                    </w:rPr>
                  </m:ctrlPr>
                </m:dPr>
                <m:e>
                  <m:sSub>
                    <m:sSubPr>
                      <m:ctrlPr>
                        <w:rPr>
                          <w:rFonts w:ascii="Cambria Math" w:hAnsi="Cambria Math"/>
                          <w:i/>
                          <w:spacing w:val="0"/>
                          <w:position w:val="0"/>
                          <w:sz w:val="24"/>
                          <w:szCs w:val="24"/>
                        </w:rPr>
                      </m:ctrlPr>
                    </m:sSubPr>
                    <m:e>
                      <m:r>
                        <m:rPr/>
                        <w:rPr>
                          <w:rFonts w:ascii="Cambria Math" w:hAnsi="Cambria Math"/>
                          <w:spacing w:val="0"/>
                          <w:position w:val="0"/>
                          <w:sz w:val="24"/>
                          <w:szCs w:val="24"/>
                        </w:rPr>
                        <m:t>S</m:t>
                      </m:r>
                      <m:ctrlPr>
                        <w:rPr>
                          <w:rFonts w:ascii="Cambria Math" w:hAnsi="Cambria Math"/>
                          <w:i/>
                          <w:spacing w:val="0"/>
                          <w:position w:val="0"/>
                          <w:sz w:val="24"/>
                          <w:szCs w:val="24"/>
                        </w:rPr>
                      </m:ctrlPr>
                    </m:e>
                    <m:sub>
                      <m:r>
                        <m:rPr/>
                        <w:rPr>
                          <w:rFonts w:ascii="Cambria Math" w:hAnsi="Cambria Math"/>
                          <w:spacing w:val="0"/>
                          <w:position w:val="0"/>
                          <w:sz w:val="24"/>
                          <w:szCs w:val="24"/>
                        </w:rPr>
                        <m:t>i</m:t>
                      </m:r>
                      <m:ctrlPr>
                        <w:rPr>
                          <w:rFonts w:ascii="Cambria Math" w:hAnsi="Cambria Math"/>
                          <w:i/>
                          <w:spacing w:val="0"/>
                          <w:position w:val="0"/>
                          <w:sz w:val="24"/>
                          <w:szCs w:val="24"/>
                        </w:rPr>
                      </m:ctrlPr>
                    </m:sub>
                  </m:sSub>
                  <m:r>
                    <m:rPr/>
                    <w:rPr>
                      <w:rFonts w:ascii="Cambria Math" w:hAnsi="Cambria Math"/>
                      <w:spacing w:val="0"/>
                      <w:position w:val="0"/>
                      <w:sz w:val="24"/>
                      <w:szCs w:val="24"/>
                    </w:rPr>
                    <m:t>×</m:t>
                  </m:r>
                  <m:sSub>
                    <m:sSubPr>
                      <m:ctrlPr>
                        <w:rPr>
                          <w:rFonts w:ascii="Cambria Math" w:hAnsi="Cambria Math"/>
                          <w:i/>
                          <w:spacing w:val="0"/>
                          <w:position w:val="0"/>
                          <w:sz w:val="24"/>
                          <w:szCs w:val="24"/>
                        </w:rPr>
                      </m:ctrlPr>
                    </m:sSubPr>
                    <m:e>
                      <m:r>
                        <m:rPr/>
                        <w:rPr>
                          <w:rFonts w:ascii="Cambria Math" w:hAnsi="Cambria Math"/>
                          <w:spacing w:val="0"/>
                          <w:position w:val="0"/>
                          <w:sz w:val="24"/>
                          <w:szCs w:val="24"/>
                        </w:rPr>
                        <m:t>K</m:t>
                      </m:r>
                      <m:ctrlPr>
                        <w:rPr>
                          <w:rFonts w:ascii="Cambria Math" w:hAnsi="Cambria Math"/>
                          <w:i/>
                          <w:spacing w:val="0"/>
                          <w:position w:val="0"/>
                          <w:sz w:val="24"/>
                          <w:szCs w:val="24"/>
                        </w:rPr>
                      </m:ctrlPr>
                    </m:e>
                    <m:sub>
                      <m:r>
                        <m:rPr/>
                        <w:rPr>
                          <w:rFonts w:ascii="Cambria Math" w:hAnsi="Cambria Math"/>
                          <w:spacing w:val="0"/>
                          <w:position w:val="0"/>
                          <w:sz w:val="24"/>
                          <w:szCs w:val="24"/>
                        </w:rPr>
                        <m:t>i</m:t>
                      </m:r>
                      <m:ctrlPr>
                        <w:rPr>
                          <w:rFonts w:ascii="Cambria Math" w:hAnsi="Cambria Math"/>
                          <w:i/>
                          <w:spacing w:val="0"/>
                          <w:position w:val="0"/>
                          <w:sz w:val="24"/>
                          <w:szCs w:val="24"/>
                        </w:rPr>
                      </m:ctrlPr>
                    </m:sub>
                  </m:sSub>
                  <m:ctrlPr>
                    <w:rPr>
                      <w:rFonts w:ascii="Cambria Math" w:hAnsi="Cambria Math"/>
                      <w:i/>
                      <w:spacing w:val="0"/>
                      <w:position w:val="0"/>
                      <w:sz w:val="24"/>
                      <w:szCs w:val="24"/>
                    </w:rPr>
                  </m:ctrlPr>
                </m:e>
              </m:d>
              <m:ctrlPr>
                <w:rPr>
                  <w:rFonts w:ascii="Cambria Math" w:hAnsi="Cambria Math"/>
                  <w:i/>
                  <w:spacing w:val="0"/>
                  <w:position w:val="0"/>
                  <w:sz w:val="24"/>
                  <w:szCs w:val="24"/>
                </w:rPr>
              </m:ctrlPr>
            </m:e>
          </m:nary>
        </m:oMath>
      </m:oMathPara>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式中：</w:t>
      </w:r>
      <w:r>
        <w:rPr>
          <w:rFonts w:hint="eastAsia"/>
          <w:i/>
          <w:iCs/>
          <w:spacing w:val="0"/>
          <w:position w:val="0"/>
          <w:sz w:val="24"/>
          <w:szCs w:val="24"/>
        </w:rPr>
        <w:t>P</w:t>
      </w:r>
      <w:r>
        <w:rPr>
          <w:rFonts w:hint="eastAsia"/>
          <w:spacing w:val="0"/>
          <w:position w:val="0"/>
          <w:sz w:val="16"/>
          <w:szCs w:val="16"/>
        </w:rPr>
        <w:t>1</w:t>
      </w:r>
      <w:r>
        <w:rPr>
          <w:rFonts w:hint="eastAsia"/>
          <w:spacing w:val="0"/>
          <w:position w:val="0"/>
          <w:sz w:val="24"/>
          <w:szCs w:val="24"/>
        </w:rPr>
        <w:t>——定量评价考核总分值；</w:t>
      </w:r>
    </w:p>
    <w:p>
      <w:pPr>
        <w:adjustRightInd w:val="0"/>
        <w:snapToGrid w:val="0"/>
        <w:spacing w:line="360" w:lineRule="auto"/>
        <w:ind w:firstLine="1200" w:firstLineChars="500"/>
        <w:rPr>
          <w:spacing w:val="0"/>
          <w:position w:val="0"/>
          <w:sz w:val="24"/>
          <w:szCs w:val="24"/>
        </w:rPr>
      </w:pPr>
      <w:r>
        <w:rPr>
          <w:rFonts w:hint="eastAsia"/>
          <w:i/>
          <w:iCs/>
          <w:spacing w:val="0"/>
          <w:position w:val="0"/>
          <w:sz w:val="24"/>
          <w:szCs w:val="24"/>
        </w:rPr>
        <w:t>n</w:t>
      </w:r>
      <w:r>
        <w:rPr>
          <w:rFonts w:hint="eastAsia"/>
          <w:spacing w:val="0"/>
          <w:position w:val="0"/>
          <w:sz w:val="24"/>
          <w:szCs w:val="24"/>
        </w:rPr>
        <w:t>——参与定量评价考核的二级指标项目数；</w:t>
      </w:r>
    </w:p>
    <w:p>
      <w:pPr>
        <w:adjustRightInd w:val="0"/>
        <w:snapToGrid w:val="0"/>
        <w:spacing w:line="360" w:lineRule="auto"/>
        <w:ind w:firstLine="1200" w:firstLineChars="500"/>
        <w:rPr>
          <w:spacing w:val="0"/>
          <w:position w:val="0"/>
          <w:sz w:val="24"/>
          <w:szCs w:val="24"/>
        </w:rPr>
      </w:pPr>
      <w:r>
        <w:rPr>
          <w:rFonts w:eastAsia="TimesNewRomanPS-ItalicMT"/>
          <w:i/>
          <w:spacing w:val="0"/>
          <w:position w:val="0"/>
          <w:sz w:val="24"/>
          <w:szCs w:val="24"/>
        </w:rPr>
        <w:t>S</w:t>
      </w:r>
      <w:r>
        <w:rPr>
          <w:rFonts w:eastAsia="TimesNewRomanPS-ItalicMT"/>
          <w:i/>
          <w:spacing w:val="0"/>
          <w:position w:val="0"/>
          <w:sz w:val="16"/>
          <w:szCs w:val="24"/>
        </w:rPr>
        <w:t>i</w:t>
      </w:r>
      <w:r>
        <w:rPr>
          <w:rFonts w:hint="eastAsia"/>
          <w:spacing w:val="0"/>
          <w:position w:val="0"/>
          <w:sz w:val="24"/>
          <w:szCs w:val="24"/>
        </w:rPr>
        <w:t>——第</w:t>
      </w:r>
      <w:r>
        <w:rPr>
          <w:rFonts w:hint="eastAsia"/>
          <w:i/>
          <w:iCs/>
          <w:spacing w:val="0"/>
          <w:position w:val="0"/>
          <w:sz w:val="24"/>
          <w:szCs w:val="24"/>
        </w:rPr>
        <w:t>i</w:t>
      </w:r>
      <w:r>
        <w:rPr>
          <w:rFonts w:hint="eastAsia"/>
          <w:spacing w:val="0"/>
          <w:position w:val="0"/>
          <w:sz w:val="24"/>
          <w:szCs w:val="24"/>
        </w:rPr>
        <w:t>项评价指标的单性评价指数；</w:t>
      </w:r>
    </w:p>
    <w:p>
      <w:pPr>
        <w:adjustRightInd w:val="0"/>
        <w:snapToGrid w:val="0"/>
        <w:spacing w:line="360" w:lineRule="auto"/>
        <w:ind w:firstLine="1200" w:firstLineChars="500"/>
        <w:rPr>
          <w:spacing w:val="0"/>
          <w:position w:val="0"/>
          <w:sz w:val="24"/>
          <w:szCs w:val="24"/>
        </w:rPr>
      </w:pPr>
      <w:r>
        <w:rPr>
          <w:rFonts w:hint="eastAsia"/>
          <w:i/>
          <w:iCs/>
          <w:spacing w:val="0"/>
          <w:position w:val="0"/>
          <w:sz w:val="24"/>
          <w:szCs w:val="24"/>
        </w:rPr>
        <w:t>K</w:t>
      </w:r>
      <w:r>
        <w:rPr>
          <w:rFonts w:hint="eastAsia"/>
          <w:i/>
          <w:iCs/>
          <w:spacing w:val="0"/>
          <w:position w:val="0"/>
          <w:sz w:val="16"/>
          <w:szCs w:val="16"/>
        </w:rPr>
        <w:t>i</w:t>
      </w:r>
      <w:r>
        <w:rPr>
          <w:rFonts w:hint="eastAsia"/>
          <w:spacing w:val="0"/>
          <w:position w:val="0"/>
          <w:sz w:val="24"/>
          <w:szCs w:val="24"/>
        </w:rPr>
        <w:t>——第</w:t>
      </w:r>
      <w:r>
        <w:rPr>
          <w:rFonts w:hint="eastAsia"/>
          <w:i/>
          <w:iCs/>
          <w:spacing w:val="0"/>
          <w:position w:val="0"/>
          <w:sz w:val="24"/>
          <w:szCs w:val="24"/>
        </w:rPr>
        <w:t>i</w:t>
      </w:r>
      <w:r>
        <w:rPr>
          <w:rFonts w:hint="eastAsia"/>
          <w:spacing w:val="0"/>
          <w:position w:val="0"/>
          <w:sz w:val="24"/>
          <w:szCs w:val="24"/>
        </w:rPr>
        <w:t>项评价指标的权重分值。</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若某项一级指标中实际参与定量评价考核的二级指标项目数少于该一级指标所含全部二级指标项目数（由于该企业没有与某二级指标相关的生产设施所造成的缺项）时，在计算中应将这类一级指标所属二级指标的权重分值均予以相应修正，修正后各相应二级指标的权重分值以</w:t>
      </w:r>
      <w:r>
        <w:rPr>
          <w:rFonts w:hint="eastAsia"/>
          <w:i/>
          <w:iCs/>
          <w:spacing w:val="0"/>
          <w:position w:val="0"/>
          <w:sz w:val="24"/>
          <w:szCs w:val="24"/>
        </w:rPr>
        <w:t>K</w:t>
      </w:r>
      <w:r>
        <w:rPr>
          <w:rFonts w:hint="eastAsia"/>
          <w:i/>
          <w:iCs/>
          <w:spacing w:val="0"/>
          <w:position w:val="0"/>
          <w:sz w:val="16"/>
          <w:szCs w:val="16"/>
        </w:rPr>
        <w:t>i</w:t>
      </w:r>
      <w:r>
        <w:rPr>
          <w:rFonts w:hint="eastAsia"/>
          <w:spacing w:val="0"/>
          <w:position w:val="0"/>
          <w:sz w:val="24"/>
          <w:szCs w:val="24"/>
        </w:rPr>
        <w:t>’表示：</w:t>
      </w:r>
    </w:p>
    <w:p>
      <w:pPr>
        <w:adjustRightInd w:val="0"/>
        <w:snapToGrid w:val="0"/>
        <w:spacing w:line="360" w:lineRule="auto"/>
        <w:ind w:firstLine="480" w:firstLineChars="200"/>
        <w:jc w:val="center"/>
        <w:rPr>
          <w:spacing w:val="0"/>
          <w:position w:val="0"/>
          <w:sz w:val="24"/>
          <w:szCs w:val="24"/>
        </w:rPr>
      </w:pPr>
      <w:r>
        <w:rPr>
          <w:rFonts w:hint="eastAsia"/>
          <w:i/>
          <w:iCs/>
          <w:spacing w:val="0"/>
          <w:position w:val="0"/>
          <w:sz w:val="24"/>
          <w:szCs w:val="24"/>
        </w:rPr>
        <w:t>K</w:t>
      </w:r>
      <w:r>
        <w:rPr>
          <w:rFonts w:hint="eastAsia"/>
          <w:i/>
          <w:iCs/>
          <w:spacing w:val="0"/>
          <w:position w:val="0"/>
          <w:sz w:val="16"/>
          <w:szCs w:val="16"/>
        </w:rPr>
        <w:t>i</w:t>
      </w:r>
      <w:r>
        <w:rPr>
          <w:rFonts w:hint="eastAsia"/>
          <w:spacing w:val="0"/>
          <w:position w:val="0"/>
          <w:sz w:val="24"/>
          <w:szCs w:val="24"/>
        </w:rPr>
        <w:t>’＝</w:t>
      </w:r>
      <w:r>
        <w:rPr>
          <w:rFonts w:hint="eastAsia"/>
          <w:i/>
          <w:iCs/>
          <w:spacing w:val="0"/>
          <w:position w:val="0"/>
          <w:sz w:val="24"/>
          <w:szCs w:val="24"/>
        </w:rPr>
        <w:t>K</w:t>
      </w:r>
      <w:r>
        <w:rPr>
          <w:rFonts w:hint="eastAsia"/>
          <w:i/>
          <w:iCs/>
          <w:spacing w:val="0"/>
          <w:position w:val="0"/>
          <w:sz w:val="16"/>
          <w:szCs w:val="16"/>
        </w:rPr>
        <w:t>i</w:t>
      </w:r>
      <w:r>
        <w:rPr>
          <w:rFonts w:hint="eastAsia"/>
          <w:spacing w:val="0"/>
          <w:position w:val="0"/>
          <w:sz w:val="24"/>
          <w:szCs w:val="24"/>
        </w:rPr>
        <w:t>×</w:t>
      </w:r>
      <w:r>
        <w:rPr>
          <w:rFonts w:hint="eastAsia"/>
          <w:i/>
          <w:iCs/>
          <w:spacing w:val="0"/>
          <w:position w:val="0"/>
          <w:sz w:val="24"/>
          <w:szCs w:val="24"/>
        </w:rPr>
        <w:t>A</w:t>
      </w:r>
      <w:r>
        <w:rPr>
          <w:rFonts w:hint="eastAsia"/>
          <w:i/>
          <w:iCs/>
          <w:spacing w:val="0"/>
          <w:position w:val="0"/>
          <w:sz w:val="16"/>
          <w:szCs w:val="16"/>
        </w:rPr>
        <w:t>j</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式中：</w:t>
      </w:r>
      <w:r>
        <w:rPr>
          <w:rFonts w:hint="eastAsia"/>
          <w:i/>
          <w:iCs/>
          <w:spacing w:val="0"/>
          <w:position w:val="0"/>
          <w:sz w:val="24"/>
          <w:szCs w:val="24"/>
        </w:rPr>
        <w:t>A</w:t>
      </w:r>
      <w:r>
        <w:rPr>
          <w:rFonts w:hint="eastAsia"/>
          <w:i/>
          <w:iCs/>
          <w:spacing w:val="0"/>
          <w:position w:val="0"/>
          <w:sz w:val="16"/>
          <w:szCs w:val="16"/>
        </w:rPr>
        <w:t>j</w:t>
      </w:r>
      <w:r>
        <w:rPr>
          <w:rFonts w:hint="eastAsia"/>
          <w:spacing w:val="0"/>
          <w:position w:val="0"/>
          <w:sz w:val="24"/>
          <w:szCs w:val="24"/>
        </w:rPr>
        <w:t>——第</w:t>
      </w:r>
      <w:r>
        <w:rPr>
          <w:rFonts w:hint="eastAsia"/>
          <w:i/>
          <w:iCs/>
          <w:spacing w:val="0"/>
          <w:position w:val="0"/>
          <w:sz w:val="24"/>
          <w:szCs w:val="24"/>
        </w:rPr>
        <w:t>j</w:t>
      </w:r>
      <w:r>
        <w:rPr>
          <w:rFonts w:hint="eastAsia"/>
          <w:spacing w:val="0"/>
          <w:position w:val="0"/>
          <w:sz w:val="24"/>
          <w:szCs w:val="24"/>
        </w:rPr>
        <w:t>项一级指标中，各二级指标权重分值的修正系数。</w:t>
      </w:r>
    </w:p>
    <w:p>
      <w:pPr>
        <w:adjustRightInd w:val="0"/>
        <w:snapToGrid w:val="0"/>
        <w:spacing w:line="360" w:lineRule="auto"/>
        <w:ind w:firstLine="1200" w:firstLineChars="500"/>
        <w:rPr>
          <w:spacing w:val="0"/>
          <w:position w:val="0"/>
          <w:sz w:val="24"/>
          <w:szCs w:val="24"/>
        </w:rPr>
      </w:pPr>
      <w:r>
        <w:rPr>
          <w:rFonts w:eastAsia="TimesNewRomanPS-ItalicMT"/>
          <w:i/>
          <w:spacing w:val="0"/>
          <w:position w:val="0"/>
          <w:sz w:val="24"/>
          <w:szCs w:val="24"/>
        </w:rPr>
        <w:t>A</w:t>
      </w:r>
      <w:r>
        <w:rPr>
          <w:rFonts w:eastAsia="TimesNewRomanPS-ItalicMT"/>
          <w:i/>
          <w:spacing w:val="0"/>
          <w:position w:val="0"/>
          <w:sz w:val="16"/>
          <w:szCs w:val="24"/>
        </w:rPr>
        <w:t>j</w:t>
      </w:r>
      <w:r>
        <w:rPr>
          <w:rFonts w:eastAsia="TimesNewRomanPSMT"/>
          <w:spacing w:val="0"/>
          <w:position w:val="0"/>
          <w:sz w:val="24"/>
          <w:szCs w:val="24"/>
        </w:rPr>
        <w:t>=</w:t>
      </w:r>
      <w:r>
        <w:rPr>
          <w:rFonts w:eastAsia="TimesNewRomanPS-ItalicMT"/>
          <w:i/>
          <w:spacing w:val="0"/>
          <w:position w:val="0"/>
          <w:sz w:val="24"/>
          <w:szCs w:val="24"/>
        </w:rPr>
        <w:t>A</w:t>
      </w:r>
      <w:r>
        <w:rPr>
          <w:rFonts w:eastAsia="TimesNewRomanPSMT"/>
          <w:spacing w:val="0"/>
          <w:position w:val="0"/>
          <w:sz w:val="16"/>
          <w:szCs w:val="24"/>
        </w:rPr>
        <w:t>1</w:t>
      </w:r>
      <w:r>
        <w:rPr>
          <w:rFonts w:eastAsia="TimesNewRomanPSMT"/>
          <w:spacing w:val="0"/>
          <w:position w:val="0"/>
          <w:sz w:val="24"/>
          <w:szCs w:val="24"/>
        </w:rPr>
        <w:t>/</w:t>
      </w:r>
      <w:r>
        <w:rPr>
          <w:rFonts w:eastAsia="TimesNewRomanPS-ItalicMT"/>
          <w:i/>
          <w:spacing w:val="0"/>
          <w:position w:val="0"/>
          <w:sz w:val="24"/>
          <w:szCs w:val="24"/>
        </w:rPr>
        <w:t>A</w:t>
      </w:r>
      <w:r>
        <w:rPr>
          <w:rFonts w:eastAsia="TimesNewRomanPSMT"/>
          <w:spacing w:val="0"/>
          <w:position w:val="0"/>
          <w:sz w:val="16"/>
          <w:szCs w:val="24"/>
        </w:rPr>
        <w:t>2</w:t>
      </w:r>
      <w:r>
        <w:rPr>
          <w:rFonts w:hint="eastAsia"/>
          <w:spacing w:val="0"/>
          <w:position w:val="0"/>
          <w:sz w:val="24"/>
          <w:szCs w:val="24"/>
        </w:rPr>
        <w:t>。</w:t>
      </w:r>
      <w:r>
        <w:rPr>
          <w:rFonts w:eastAsia="TimesNewRomanPS-ItalicMT"/>
          <w:i/>
          <w:spacing w:val="0"/>
          <w:position w:val="0"/>
          <w:sz w:val="24"/>
          <w:szCs w:val="24"/>
        </w:rPr>
        <w:t>A</w:t>
      </w:r>
      <w:r>
        <w:rPr>
          <w:rFonts w:eastAsia="TimesNewRomanPSMT"/>
          <w:spacing w:val="0"/>
          <w:position w:val="0"/>
          <w:sz w:val="16"/>
          <w:szCs w:val="24"/>
        </w:rPr>
        <w:t>1</w:t>
      </w:r>
      <w:r>
        <w:rPr>
          <w:rFonts w:hint="eastAsia"/>
          <w:spacing w:val="0"/>
          <w:position w:val="0"/>
          <w:sz w:val="24"/>
          <w:szCs w:val="24"/>
        </w:rPr>
        <w:t>为第</w:t>
      </w:r>
      <w:r>
        <w:rPr>
          <w:rFonts w:hint="eastAsia"/>
          <w:i/>
          <w:iCs/>
          <w:spacing w:val="0"/>
          <w:position w:val="0"/>
          <w:sz w:val="24"/>
          <w:szCs w:val="24"/>
        </w:rPr>
        <w:t>j</w:t>
      </w:r>
      <w:r>
        <w:rPr>
          <w:rFonts w:hint="eastAsia"/>
          <w:spacing w:val="0"/>
          <w:position w:val="0"/>
          <w:sz w:val="24"/>
          <w:szCs w:val="24"/>
        </w:rPr>
        <w:t>项一级指标的权重分值；</w:t>
      </w:r>
      <w:r>
        <w:rPr>
          <w:rFonts w:eastAsia="TimesNewRomanPS-ItalicMT"/>
          <w:i/>
          <w:spacing w:val="0"/>
          <w:position w:val="0"/>
          <w:sz w:val="24"/>
          <w:szCs w:val="24"/>
        </w:rPr>
        <w:t>A</w:t>
      </w:r>
      <w:r>
        <w:rPr>
          <w:rFonts w:eastAsia="TimesNewRomanPSMT"/>
          <w:spacing w:val="0"/>
          <w:position w:val="0"/>
          <w:sz w:val="16"/>
          <w:szCs w:val="24"/>
        </w:rPr>
        <w:t>2</w:t>
      </w:r>
      <w:r>
        <w:rPr>
          <w:rFonts w:hint="eastAsia"/>
          <w:spacing w:val="0"/>
          <w:position w:val="0"/>
          <w:sz w:val="24"/>
          <w:szCs w:val="24"/>
        </w:rPr>
        <w:t>为实际参与考核的属于该一级指标的各二级指标权重分值之和。</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（3）定性评价指标的考核评分计算</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定性评价指标的考核总分值的计算公式为：</w:t>
      </w:r>
    </w:p>
    <w:p>
      <w:pPr>
        <w:adjustRightInd w:val="0"/>
        <w:snapToGrid w:val="0"/>
        <w:spacing w:line="360" w:lineRule="auto"/>
        <w:ind w:firstLine="480" w:firstLineChars="200"/>
        <w:rPr>
          <w:spacing w:val="0"/>
          <w:position w:val="0"/>
          <w:sz w:val="24"/>
          <w:szCs w:val="24"/>
        </w:rPr>
      </w:pPr>
      <m:oMathPara>
        <m:oMath>
          <m:sSub>
            <m:sSubPr>
              <m:ctrlPr>
                <w:rPr>
                  <w:rFonts w:ascii="Cambria Math" w:hAnsi="Cambria Math"/>
                  <w:i/>
                  <w:spacing w:val="0"/>
                  <w:position w:val="0"/>
                  <w:sz w:val="24"/>
                  <w:szCs w:val="24"/>
                </w:rPr>
              </m:ctrlPr>
            </m:sSubPr>
            <m:e>
              <m:r>
                <m:rPr/>
                <w:rPr>
                  <w:rFonts w:ascii="Cambria Math" w:hAnsi="Cambria Math"/>
                  <w:spacing w:val="0"/>
                  <w:position w:val="0"/>
                  <w:sz w:val="24"/>
                  <w:szCs w:val="24"/>
                </w:rPr>
                <m:t>P</m:t>
              </m:r>
              <m:ctrlPr>
                <w:rPr>
                  <w:rFonts w:ascii="Cambria Math" w:hAnsi="Cambria Math"/>
                  <w:i/>
                  <w:spacing w:val="0"/>
                  <w:position w:val="0"/>
                  <w:sz w:val="24"/>
                  <w:szCs w:val="24"/>
                </w:rPr>
              </m:ctrlPr>
            </m:e>
            <m:sub>
              <m:r>
                <m:rPr/>
                <w:rPr>
                  <w:rFonts w:ascii="Cambria Math" w:hAnsi="Cambria Math"/>
                  <w:spacing w:val="0"/>
                  <w:position w:val="0"/>
                  <w:sz w:val="24"/>
                  <w:szCs w:val="24"/>
                </w:rPr>
                <m:t>2</m:t>
              </m:r>
              <m:ctrlPr>
                <w:rPr>
                  <w:rFonts w:ascii="Cambria Math" w:hAnsi="Cambria Math"/>
                  <w:i/>
                  <w:spacing w:val="0"/>
                  <w:position w:val="0"/>
                  <w:sz w:val="24"/>
                  <w:szCs w:val="24"/>
                </w:rPr>
              </m:ctrlPr>
            </m:sub>
          </m:sSub>
          <m:r>
            <m:rPr/>
            <w:rPr>
              <w:rFonts w:ascii="Cambria Math" w:hAnsi="Cambria Math"/>
              <w:spacing w:val="0"/>
              <w:position w:val="0"/>
              <w:sz w:val="24"/>
              <w:szCs w:val="24"/>
            </w:rPr>
            <m:t>=</m:t>
          </m:r>
          <m:nary>
            <m:naryPr>
              <m:chr m:val="∑"/>
              <m:grow m:val="1"/>
              <m:limLoc m:val="undOvr"/>
              <m:ctrlPr>
                <w:rPr>
                  <w:rFonts w:ascii="Cambria Math" w:hAnsi="Cambria Math"/>
                  <w:i/>
                  <w:spacing w:val="0"/>
                  <w:position w:val="0"/>
                  <w:sz w:val="24"/>
                  <w:szCs w:val="24"/>
                </w:rPr>
              </m:ctrlPr>
            </m:naryPr>
            <m:sub>
              <m:r>
                <m:rPr/>
                <w:rPr>
                  <w:rFonts w:ascii="Cambria Math" w:hAnsi="Cambria Math"/>
                  <w:spacing w:val="0"/>
                  <w:position w:val="0"/>
                  <w:sz w:val="24"/>
                  <w:szCs w:val="24"/>
                </w:rPr>
                <m:t>i=1</m:t>
              </m:r>
              <m:ctrlPr>
                <w:rPr>
                  <w:rFonts w:ascii="Cambria Math" w:hAnsi="Cambria Math"/>
                  <w:i/>
                  <w:spacing w:val="0"/>
                  <w:position w:val="0"/>
                  <w:sz w:val="24"/>
                  <w:szCs w:val="24"/>
                </w:rPr>
              </m:ctrlPr>
            </m:sub>
            <m:sup>
              <m:r>
                <m:rPr/>
                <w:rPr>
                  <w:rFonts w:ascii="Cambria Math" w:hAnsi="Cambria Math"/>
                  <w:spacing w:val="0"/>
                  <w:position w:val="0"/>
                  <w:sz w:val="24"/>
                  <w:szCs w:val="24"/>
                </w:rPr>
                <m:t>n</m:t>
              </m:r>
              <m:ctrlPr>
                <w:rPr>
                  <w:rFonts w:ascii="Cambria Math" w:hAnsi="Cambria Math"/>
                  <w:i/>
                  <w:spacing w:val="0"/>
                  <w:position w:val="0"/>
                  <w:sz w:val="24"/>
                  <w:szCs w:val="24"/>
                </w:rPr>
              </m:ctrlPr>
            </m:sup>
            <m:e>
              <m:sSub>
                <m:sSubPr>
                  <m:ctrlPr>
                    <w:rPr>
                      <w:rFonts w:ascii="Cambria Math" w:hAnsi="Cambria Math"/>
                      <w:i/>
                      <w:spacing w:val="0"/>
                      <w:position w:val="0"/>
                      <w:sz w:val="24"/>
                      <w:szCs w:val="24"/>
                    </w:rPr>
                  </m:ctrlPr>
                </m:sSubPr>
                <m:e>
                  <m:r>
                    <m:rPr/>
                    <w:rPr>
                      <w:rFonts w:ascii="Cambria Math" w:hAnsi="Cambria Math"/>
                      <w:spacing w:val="0"/>
                      <w:position w:val="0"/>
                      <w:sz w:val="24"/>
                      <w:szCs w:val="24"/>
                    </w:rPr>
                    <m:t>F</m:t>
                  </m:r>
                  <m:ctrlPr>
                    <w:rPr>
                      <w:rFonts w:ascii="Cambria Math" w:hAnsi="Cambria Math"/>
                      <w:i/>
                      <w:spacing w:val="0"/>
                      <w:position w:val="0"/>
                      <w:sz w:val="24"/>
                      <w:szCs w:val="24"/>
                    </w:rPr>
                  </m:ctrlPr>
                </m:e>
                <m:sub>
                  <m:r>
                    <m:rPr/>
                    <w:rPr>
                      <w:rFonts w:ascii="Cambria Math" w:hAnsi="Cambria Math"/>
                      <w:spacing w:val="0"/>
                      <w:position w:val="0"/>
                      <w:sz w:val="24"/>
                      <w:szCs w:val="24"/>
                    </w:rPr>
                    <m:t>i</m:t>
                  </m:r>
                  <m:ctrlPr>
                    <w:rPr>
                      <w:rFonts w:ascii="Cambria Math" w:hAnsi="Cambria Math"/>
                      <w:i/>
                      <w:spacing w:val="0"/>
                      <w:position w:val="0"/>
                      <w:sz w:val="24"/>
                      <w:szCs w:val="24"/>
                    </w:rPr>
                  </m:ctrlPr>
                </m:sub>
              </m:sSub>
              <m:ctrlPr>
                <w:rPr>
                  <w:rFonts w:ascii="Cambria Math" w:hAnsi="Cambria Math"/>
                  <w:i/>
                  <w:spacing w:val="0"/>
                  <w:position w:val="0"/>
                  <w:sz w:val="24"/>
                  <w:szCs w:val="24"/>
                </w:rPr>
              </m:ctrlPr>
            </m:e>
          </m:nary>
        </m:oMath>
      </m:oMathPara>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式中：</w:t>
      </w:r>
      <w:r>
        <w:rPr>
          <w:rFonts w:hint="eastAsia"/>
          <w:i/>
          <w:iCs/>
          <w:spacing w:val="0"/>
          <w:position w:val="0"/>
          <w:sz w:val="24"/>
          <w:szCs w:val="24"/>
        </w:rPr>
        <w:t>P</w:t>
      </w:r>
      <w:r>
        <w:rPr>
          <w:rFonts w:hint="eastAsia"/>
          <w:spacing w:val="0"/>
          <w:position w:val="0"/>
          <w:sz w:val="16"/>
          <w:szCs w:val="16"/>
        </w:rPr>
        <w:t>2</w:t>
      </w:r>
      <w:r>
        <w:rPr>
          <w:rFonts w:hint="eastAsia"/>
          <w:spacing w:val="0"/>
          <w:position w:val="0"/>
          <w:sz w:val="24"/>
          <w:szCs w:val="24"/>
        </w:rPr>
        <w:t>——定性评价二级指标考核总分值；</w:t>
      </w:r>
    </w:p>
    <w:p>
      <w:pPr>
        <w:adjustRightInd w:val="0"/>
        <w:snapToGrid w:val="0"/>
        <w:spacing w:line="360" w:lineRule="auto"/>
        <w:ind w:firstLine="1200" w:firstLineChars="500"/>
        <w:rPr>
          <w:spacing w:val="0"/>
          <w:position w:val="0"/>
          <w:sz w:val="24"/>
          <w:szCs w:val="24"/>
        </w:rPr>
      </w:pPr>
      <w:r>
        <w:rPr>
          <w:rFonts w:hint="eastAsia"/>
          <w:i/>
          <w:iCs/>
          <w:spacing w:val="0"/>
          <w:position w:val="0"/>
          <w:sz w:val="24"/>
          <w:szCs w:val="24"/>
        </w:rPr>
        <w:t>F</w:t>
      </w:r>
      <w:r>
        <w:rPr>
          <w:rFonts w:hint="eastAsia"/>
          <w:i/>
          <w:iCs/>
          <w:spacing w:val="0"/>
          <w:position w:val="0"/>
          <w:sz w:val="16"/>
          <w:szCs w:val="16"/>
        </w:rPr>
        <w:t>i</w:t>
      </w:r>
      <w:r>
        <w:rPr>
          <w:rFonts w:hint="eastAsia"/>
          <w:spacing w:val="0"/>
          <w:position w:val="0"/>
          <w:sz w:val="24"/>
          <w:szCs w:val="24"/>
        </w:rPr>
        <w:t>——定性评价指标体系中第i 项二级指标的得分值；</w:t>
      </w:r>
    </w:p>
    <w:p>
      <w:pPr>
        <w:adjustRightInd w:val="0"/>
        <w:snapToGrid w:val="0"/>
        <w:spacing w:line="360" w:lineRule="auto"/>
        <w:ind w:firstLine="1200" w:firstLineChars="500"/>
        <w:rPr>
          <w:spacing w:val="0"/>
          <w:position w:val="0"/>
          <w:sz w:val="24"/>
          <w:szCs w:val="24"/>
        </w:rPr>
      </w:pPr>
      <w:r>
        <w:rPr>
          <w:rFonts w:hint="eastAsia"/>
          <w:i/>
          <w:iCs/>
          <w:spacing w:val="0"/>
          <w:position w:val="0"/>
          <w:sz w:val="24"/>
          <w:szCs w:val="24"/>
        </w:rPr>
        <w:t>n</w:t>
      </w:r>
      <w:r>
        <w:rPr>
          <w:rFonts w:hint="eastAsia"/>
          <w:spacing w:val="0"/>
          <w:position w:val="0"/>
          <w:sz w:val="24"/>
          <w:szCs w:val="24"/>
        </w:rPr>
        <w:t>——参与考核的定性评价二级指标的项目总数。</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（4）企业清洁生产综合评价指数的考核评分计算</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综合评价指数是描述和评价被考核企业在考核年度内清洁生产总体水平的一项综合指标。国内大中型印染企业之间清洁生产综合评价指数之差可以反映企业之间清洁生产水平的总体差距。综合评价指数的计算公式为：</w:t>
      </w:r>
    </w:p>
    <w:p>
      <w:pPr>
        <w:adjustRightInd w:val="0"/>
        <w:snapToGrid w:val="0"/>
        <w:spacing w:line="360" w:lineRule="auto"/>
        <w:ind w:firstLine="480" w:firstLineChars="200"/>
        <w:jc w:val="center"/>
        <w:rPr>
          <w:spacing w:val="0"/>
          <w:position w:val="0"/>
          <w:sz w:val="24"/>
          <w:szCs w:val="24"/>
        </w:rPr>
      </w:pPr>
      <w:r>
        <w:rPr>
          <w:rFonts w:hint="eastAsia"/>
          <w:i/>
          <w:iCs/>
          <w:spacing w:val="0"/>
          <w:position w:val="0"/>
          <w:sz w:val="24"/>
          <w:szCs w:val="24"/>
        </w:rPr>
        <w:t>P</w:t>
      </w:r>
      <w:r>
        <w:rPr>
          <w:rFonts w:hint="eastAsia"/>
          <w:spacing w:val="0"/>
          <w:position w:val="0"/>
          <w:sz w:val="24"/>
          <w:szCs w:val="24"/>
        </w:rPr>
        <w:t>＝0.7</w:t>
      </w:r>
      <w:r>
        <w:rPr>
          <w:rFonts w:hint="eastAsia"/>
          <w:i/>
          <w:iCs/>
          <w:spacing w:val="0"/>
          <w:position w:val="0"/>
          <w:sz w:val="24"/>
          <w:szCs w:val="24"/>
        </w:rPr>
        <w:t>P</w:t>
      </w:r>
      <w:r>
        <w:rPr>
          <w:rFonts w:hint="eastAsia"/>
          <w:spacing w:val="0"/>
          <w:position w:val="0"/>
          <w:sz w:val="16"/>
          <w:szCs w:val="16"/>
        </w:rPr>
        <w:t>1</w:t>
      </w:r>
      <w:r>
        <w:rPr>
          <w:rFonts w:hint="eastAsia"/>
          <w:spacing w:val="0"/>
          <w:position w:val="0"/>
          <w:sz w:val="24"/>
          <w:szCs w:val="24"/>
        </w:rPr>
        <w:t>+0.3</w:t>
      </w:r>
      <w:r>
        <w:rPr>
          <w:rFonts w:hint="eastAsia"/>
          <w:i/>
          <w:iCs/>
          <w:spacing w:val="0"/>
          <w:position w:val="0"/>
          <w:sz w:val="24"/>
          <w:szCs w:val="24"/>
        </w:rPr>
        <w:t>P</w:t>
      </w:r>
      <w:r>
        <w:rPr>
          <w:rFonts w:hint="eastAsia"/>
          <w:spacing w:val="0"/>
          <w:position w:val="0"/>
          <w:sz w:val="16"/>
          <w:szCs w:val="16"/>
        </w:rPr>
        <w:t>2</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式中：</w:t>
      </w:r>
      <w:r>
        <w:rPr>
          <w:rFonts w:hint="eastAsia"/>
          <w:i/>
          <w:iCs/>
          <w:spacing w:val="0"/>
          <w:position w:val="0"/>
          <w:sz w:val="24"/>
          <w:szCs w:val="24"/>
        </w:rPr>
        <w:t>P</w:t>
      </w:r>
      <w:r>
        <w:rPr>
          <w:rFonts w:hint="eastAsia"/>
          <w:spacing w:val="0"/>
          <w:position w:val="0"/>
          <w:sz w:val="24"/>
          <w:szCs w:val="24"/>
        </w:rPr>
        <w:t>——企业清洁生产的综合评价指数，其值一般在100 左右；</w:t>
      </w:r>
    </w:p>
    <w:p>
      <w:pPr>
        <w:widowControl w:val="0"/>
        <w:adjustRightInd w:val="0"/>
        <w:snapToGrid w:val="0"/>
        <w:spacing w:line="360" w:lineRule="auto"/>
        <w:ind w:firstLine="1200" w:firstLineChars="500"/>
        <w:rPr>
          <w:spacing w:val="0"/>
          <w:position w:val="0"/>
          <w:sz w:val="24"/>
          <w:szCs w:val="24"/>
        </w:rPr>
      </w:pPr>
      <w:r>
        <w:rPr>
          <w:rFonts w:hint="eastAsia"/>
          <w:i/>
          <w:iCs/>
          <w:spacing w:val="0"/>
          <w:position w:val="0"/>
          <w:sz w:val="24"/>
          <w:szCs w:val="24"/>
        </w:rPr>
        <w:t>P</w:t>
      </w:r>
      <w:r>
        <w:rPr>
          <w:rFonts w:hint="eastAsia"/>
          <w:spacing w:val="0"/>
          <w:position w:val="0"/>
          <w:sz w:val="16"/>
          <w:szCs w:val="16"/>
        </w:rPr>
        <w:t>1</w:t>
      </w:r>
      <w:r>
        <w:rPr>
          <w:rFonts w:hint="eastAsia"/>
          <w:spacing w:val="0"/>
          <w:position w:val="0"/>
          <w:sz w:val="24"/>
          <w:szCs w:val="24"/>
        </w:rPr>
        <w:t>、</w:t>
      </w:r>
      <w:r>
        <w:rPr>
          <w:rFonts w:hint="eastAsia"/>
          <w:i/>
          <w:iCs/>
          <w:spacing w:val="0"/>
          <w:position w:val="0"/>
          <w:sz w:val="24"/>
          <w:szCs w:val="24"/>
        </w:rPr>
        <w:t>P</w:t>
      </w:r>
      <w:r>
        <w:rPr>
          <w:rFonts w:hint="eastAsia"/>
          <w:spacing w:val="0"/>
          <w:position w:val="0"/>
          <w:sz w:val="16"/>
          <w:szCs w:val="16"/>
        </w:rPr>
        <w:t>2</w:t>
      </w:r>
      <w:r>
        <w:rPr>
          <w:rFonts w:hint="eastAsia"/>
          <w:spacing w:val="0"/>
          <w:position w:val="0"/>
          <w:sz w:val="24"/>
          <w:szCs w:val="24"/>
        </w:rPr>
        <w:t>——分别为定量评价指标中各二级指标考核总分值和定性评价指标中各二级指标考核总分值。</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eastAsia="zh-CN"/>
        </w:rPr>
        <w:t>3.6</w:t>
      </w:r>
      <w:r>
        <w:rPr>
          <w:rFonts w:hint="eastAsia"/>
          <w:b/>
          <w:bCs/>
          <w:spacing w:val="0"/>
          <w:position w:val="0"/>
          <w:sz w:val="28"/>
          <w:szCs w:val="28"/>
        </w:rPr>
        <w:t>.3清洁生产指数确定</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本项目清洁生产定量评价指标P1见表</w:t>
      </w:r>
      <w:r>
        <w:rPr>
          <w:rFonts w:hint="eastAsia"/>
          <w:spacing w:val="0"/>
          <w:position w:val="0"/>
          <w:sz w:val="24"/>
          <w:szCs w:val="24"/>
          <w:lang w:eastAsia="zh-CN"/>
        </w:rPr>
        <w:t>3.6</w:t>
      </w:r>
      <w:r>
        <w:rPr>
          <w:rFonts w:hint="eastAsia"/>
          <w:spacing w:val="0"/>
          <w:position w:val="0"/>
          <w:sz w:val="24"/>
          <w:szCs w:val="24"/>
        </w:rPr>
        <w:t>-1，定性指标P2见表</w:t>
      </w:r>
      <w:r>
        <w:rPr>
          <w:rFonts w:hint="eastAsia"/>
          <w:spacing w:val="0"/>
          <w:position w:val="0"/>
          <w:sz w:val="24"/>
          <w:szCs w:val="24"/>
          <w:lang w:eastAsia="zh-CN"/>
        </w:rPr>
        <w:t>3.6</w:t>
      </w:r>
      <w:r>
        <w:rPr>
          <w:rFonts w:hint="eastAsia"/>
          <w:spacing w:val="0"/>
          <w:position w:val="0"/>
          <w:sz w:val="24"/>
          <w:szCs w:val="24"/>
        </w:rPr>
        <w:t>-2。</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w:t>
      </w:r>
      <w:r>
        <w:rPr>
          <w:rFonts w:hint="eastAsia"/>
          <w:b/>
          <w:bCs/>
          <w:spacing w:val="0"/>
          <w:position w:val="0"/>
          <w:sz w:val="24"/>
          <w:szCs w:val="24"/>
          <w:lang w:eastAsia="zh-CN"/>
        </w:rPr>
        <w:t>3.6</w:t>
      </w:r>
      <w:r>
        <w:rPr>
          <w:rFonts w:hint="eastAsia"/>
          <w:b/>
          <w:bCs/>
          <w:spacing w:val="0"/>
          <w:position w:val="0"/>
          <w:sz w:val="24"/>
          <w:szCs w:val="24"/>
        </w:rPr>
        <w:t>-1定量评价指标分析一览表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50"/>
        <w:gridCol w:w="1700"/>
        <w:gridCol w:w="667"/>
        <w:gridCol w:w="650"/>
        <w:gridCol w:w="1066"/>
        <w:gridCol w:w="884"/>
        <w:gridCol w:w="850"/>
        <w:gridCol w:w="900"/>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一级指标</w:t>
            </w:r>
          </w:p>
        </w:tc>
        <w:tc>
          <w:tcPr>
            <w:tcW w:w="65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权重分值</w:t>
            </w:r>
          </w:p>
        </w:tc>
        <w:tc>
          <w:tcPr>
            <w:tcW w:w="170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二级指标</w:t>
            </w:r>
          </w:p>
        </w:tc>
        <w:tc>
          <w:tcPr>
            <w:tcW w:w="66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单位</w:t>
            </w:r>
          </w:p>
        </w:tc>
        <w:tc>
          <w:tcPr>
            <w:tcW w:w="65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权重分值</w:t>
            </w:r>
          </w:p>
        </w:tc>
        <w:tc>
          <w:tcPr>
            <w:tcW w:w="1066"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修正后权重分值</w:t>
            </w:r>
          </w:p>
        </w:tc>
        <w:tc>
          <w:tcPr>
            <w:tcW w:w="884"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评价基准值1</w:t>
            </w:r>
          </w:p>
        </w:tc>
        <w:tc>
          <w:tcPr>
            <w:tcW w:w="85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本项目</w:t>
            </w:r>
          </w:p>
        </w:tc>
        <w:tc>
          <w:tcPr>
            <w:tcW w:w="90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单项指数</w:t>
            </w:r>
          </w:p>
        </w:tc>
        <w:tc>
          <w:tcPr>
            <w:tcW w:w="860"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能源指标</w:t>
            </w:r>
          </w:p>
        </w:tc>
        <w:tc>
          <w:tcPr>
            <w:tcW w:w="650"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25</w:t>
            </w:r>
          </w:p>
        </w:tc>
        <w:tc>
          <w:tcPr>
            <w:tcW w:w="17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单位产品综合能耗</w:t>
            </w:r>
          </w:p>
        </w:tc>
        <w:tc>
          <w:tcPr>
            <w:tcW w:w="667" w:type="dxa"/>
            <w:tcBorders>
              <w:tl2br w:val="nil"/>
              <w:tr2bl w:val="nil"/>
            </w:tcBorders>
            <w:vAlign w:val="center"/>
          </w:tcPr>
          <w:p>
            <w:pPr>
              <w:widowControl/>
              <w:adjustRightInd w:val="0"/>
              <w:snapToGrid w:val="0"/>
              <w:ind w:left="-92" w:leftChars="-44"/>
              <w:jc w:val="center"/>
              <w:rPr>
                <w:spacing w:val="0"/>
                <w:position w:val="0"/>
                <w:szCs w:val="21"/>
              </w:rPr>
            </w:pPr>
            <w:r>
              <w:rPr>
                <w:rFonts w:hint="eastAsia"/>
                <w:spacing w:val="0"/>
                <w:position w:val="0"/>
                <w:szCs w:val="21"/>
              </w:rPr>
              <w:t>kgce/t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5.68</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4846.5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983.00</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4.93</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水浴比</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4.55</w:t>
            </w:r>
          </w:p>
        </w:tc>
        <w:tc>
          <w:tcPr>
            <w:tcW w:w="884"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7</w:t>
            </w:r>
          </w:p>
        </w:tc>
        <w:tc>
          <w:tcPr>
            <w:tcW w:w="8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6</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1.17</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万元产值能耗</w:t>
            </w:r>
          </w:p>
        </w:tc>
        <w:tc>
          <w:tcPr>
            <w:tcW w:w="667" w:type="dxa"/>
            <w:tcBorders>
              <w:tl2br w:val="nil"/>
              <w:tr2bl w:val="nil"/>
            </w:tcBorders>
            <w:vAlign w:val="center"/>
          </w:tcPr>
          <w:p>
            <w:pPr>
              <w:widowControl/>
              <w:jc w:val="left"/>
              <w:rPr>
                <w:spacing w:val="0"/>
                <w:position w:val="0"/>
                <w:szCs w:val="21"/>
              </w:rPr>
            </w:pPr>
            <w:r>
              <w:rPr>
                <w:color w:val="000000"/>
                <w:spacing w:val="0"/>
                <w:kern w:val="0"/>
                <w:position w:val="0"/>
                <w:lang w:bidi="ar"/>
              </w:rPr>
              <w:t>kgce</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4.55</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0.8</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302.52</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0.00</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spacing w:val="0"/>
                <w:position w:val="0"/>
                <w:szCs w:val="21"/>
              </w:rPr>
            </w:pPr>
            <w:r>
              <w:rPr>
                <w:rFonts w:hint="eastAsia" w:cs="宋体"/>
                <w:color w:val="000000"/>
                <w:spacing w:val="0"/>
                <w:kern w:val="0"/>
                <w:position w:val="0"/>
                <w:lang w:bidi="ar"/>
              </w:rPr>
              <w:t>单位产品耗水量</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3.41</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269</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108.77</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2.47</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spacing w:val="0"/>
                <w:position w:val="0"/>
                <w:szCs w:val="21"/>
              </w:rPr>
            </w:pPr>
            <w:r>
              <w:rPr>
                <w:rFonts w:hint="eastAsia" w:cs="宋体"/>
                <w:color w:val="000000"/>
                <w:spacing w:val="0"/>
                <w:kern w:val="0"/>
                <w:position w:val="0"/>
                <w:lang w:bidi="ar"/>
              </w:rPr>
              <w:t>单位产品耗电量</w:t>
            </w:r>
          </w:p>
        </w:tc>
        <w:tc>
          <w:tcPr>
            <w:tcW w:w="667" w:type="dxa"/>
            <w:tcBorders>
              <w:tl2br w:val="nil"/>
              <w:tr2bl w:val="nil"/>
            </w:tcBorders>
            <w:vAlign w:val="center"/>
          </w:tcPr>
          <w:p>
            <w:pPr>
              <w:widowControl/>
              <w:adjustRightInd w:val="0"/>
              <w:snapToGrid w:val="0"/>
              <w:ind w:left="-92" w:leftChars="-44"/>
              <w:jc w:val="center"/>
              <w:rPr>
                <w:spacing w:val="0"/>
                <w:position w:val="0"/>
                <w:szCs w:val="21"/>
              </w:rPr>
            </w:pPr>
            <w:r>
              <w:rPr>
                <w:rFonts w:hint="eastAsia"/>
                <w:spacing w:val="0"/>
                <w:position w:val="0"/>
                <w:szCs w:val="21"/>
              </w:rPr>
              <w:t>kwh/t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3.41</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1795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2065.4</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0.87</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spacing w:val="0"/>
                <w:position w:val="0"/>
                <w:szCs w:val="21"/>
              </w:rPr>
            </w:pPr>
            <w:r>
              <w:rPr>
                <w:rFonts w:hint="eastAsia" w:cs="宋体"/>
                <w:color w:val="000000"/>
                <w:spacing w:val="0"/>
                <w:kern w:val="0"/>
                <w:position w:val="0"/>
                <w:lang w:bidi="ar"/>
              </w:rPr>
              <w:t>单位产品耗汽量</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3.41</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17.95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9.22</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1.95</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spacing w:val="0"/>
                <w:position w:val="0"/>
                <w:szCs w:val="21"/>
              </w:rPr>
            </w:pPr>
            <w:r>
              <w:rPr>
                <w:rFonts w:hint="eastAsia" w:cs="宋体"/>
                <w:color w:val="000000"/>
                <w:spacing w:val="0"/>
                <w:kern w:val="0"/>
                <w:position w:val="0"/>
                <w:lang w:bidi="ar"/>
              </w:rPr>
              <w:t>单位产品耗煤量</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t/t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2.24</w:t>
            </w:r>
          </w:p>
        </w:tc>
        <w:tc>
          <w:tcPr>
            <w:tcW w:w="85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不评价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能源消耗</w:t>
            </w:r>
          </w:p>
        </w:tc>
        <w:tc>
          <w:tcPr>
            <w:tcW w:w="650"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25</w:t>
            </w: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印花浆料消耗</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3.75</w:t>
            </w:r>
          </w:p>
        </w:tc>
        <w:tc>
          <w:tcPr>
            <w:tcW w:w="884"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2</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9.98</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0.20</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烧碱消耗</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5.00</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2324.5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1.52</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5.00</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染料消耗</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5.00</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35.9</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40.95</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0.88</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助剂消耗</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5.00</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323.1</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107.63</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3.00</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双氧水消耗</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31.41</w:t>
            </w:r>
          </w:p>
        </w:tc>
        <w:tc>
          <w:tcPr>
            <w:tcW w:w="85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不评价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油类消耗</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2</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40.39</w:t>
            </w:r>
          </w:p>
        </w:tc>
        <w:tc>
          <w:tcPr>
            <w:tcW w:w="8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不评价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企业工业用水重复利用率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6.25</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40</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69.99</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1.75</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生产技术指标</w:t>
            </w:r>
          </w:p>
        </w:tc>
        <w:tc>
          <w:tcPr>
            <w:tcW w:w="650"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w:t>
            </w: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上染率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70</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90</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1.29</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设备作业率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85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90</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1.06</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综合成品率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99</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1.04</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综合利用指标</w:t>
            </w:r>
          </w:p>
        </w:tc>
        <w:tc>
          <w:tcPr>
            <w:tcW w:w="650"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25</w:t>
            </w: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余热利用率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8.33</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50</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90</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1.80</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染料回收利用率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50</w:t>
            </w:r>
          </w:p>
        </w:tc>
        <w:tc>
          <w:tcPr>
            <w:tcW w:w="85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不评价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烧碱回收率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50</w:t>
            </w:r>
          </w:p>
        </w:tc>
        <w:tc>
          <w:tcPr>
            <w:tcW w:w="85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不评价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废水回用率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8.33</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20</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45</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2.25</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工业用水利用率</w:t>
            </w:r>
          </w:p>
        </w:tc>
        <w:tc>
          <w:tcPr>
            <w:tcW w:w="667" w:type="dxa"/>
            <w:tcBorders>
              <w:tl2br w:val="nil"/>
              <w:tr2bl w:val="nil"/>
            </w:tcBorders>
            <w:vAlign w:val="center"/>
          </w:tcPr>
          <w:p>
            <w:pPr>
              <w:widowControl/>
              <w:adjustRightInd w:val="0"/>
              <w:snapToGrid w:val="0"/>
              <w:jc w:val="center"/>
              <w:rPr>
                <w:spacing w:val="0"/>
                <w:position w:val="0"/>
                <w:szCs w:val="21"/>
              </w:rPr>
            </w:pPr>
            <w:r>
              <w:rPr>
                <w:color w:val="000000"/>
                <w:spacing w:val="0"/>
                <w:kern w:val="0"/>
                <w:position w:val="0"/>
                <w:lang w:bidi="ar"/>
              </w:rPr>
              <w: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8.33</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95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100</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1.05</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污染物综合指标</w:t>
            </w:r>
          </w:p>
        </w:tc>
        <w:tc>
          <w:tcPr>
            <w:tcW w:w="650"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15</w:t>
            </w: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外排废水量</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m</w:t>
            </w:r>
            <w:r>
              <w:rPr>
                <w:rFonts w:hint="eastAsia"/>
                <w:spacing w:val="0"/>
                <w:position w:val="0"/>
                <w:szCs w:val="21"/>
                <w:vertAlign w:val="superscript"/>
              </w:rPr>
              <w:t>3</w:t>
            </w:r>
            <w:r>
              <w:rPr>
                <w:rFonts w:hint="eastAsia"/>
                <w:spacing w:val="0"/>
                <w:position w:val="0"/>
                <w:szCs w:val="21"/>
              </w:rPr>
              <w:t>/t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3.75</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179.5</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38.55</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3.75</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szCs w:val="21"/>
                <w:lang w:bidi="ar"/>
              </w:rPr>
              <w:t>COD排放量</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3.75</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215.4</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1.93</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3.75</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SO</w:t>
            </w:r>
            <w:r>
              <w:rPr>
                <w:rFonts w:hint="eastAsia" w:cs="宋体"/>
                <w:color w:val="000000"/>
                <w:spacing w:val="0"/>
                <w:kern w:val="0"/>
                <w:position w:val="0"/>
                <w:vertAlign w:val="subscript"/>
                <w:lang w:bidi="ar"/>
              </w:rPr>
              <w:t>2</w:t>
            </w:r>
            <w:r>
              <w:rPr>
                <w:rFonts w:hint="eastAsia" w:cs="宋体"/>
                <w:color w:val="000000"/>
                <w:spacing w:val="0"/>
                <w:kern w:val="0"/>
                <w:position w:val="0"/>
                <w:lang w:bidi="ar"/>
              </w:rPr>
              <w:t>排放量</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2.47</w:t>
            </w:r>
          </w:p>
        </w:tc>
        <w:tc>
          <w:tcPr>
            <w:tcW w:w="85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不评价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eastAsia" w:ascii="宋体" w:hAnsi="宋体" w:eastAsia="宋体" w:cs="宋体"/>
                <w:i w:val="0"/>
                <w:iCs w:val="0"/>
                <w:color w:val="000000"/>
                <w:spacing w:val="0"/>
                <w:kern w:val="0"/>
                <w:position w:val="0"/>
                <w:sz w:val="21"/>
                <w:szCs w:val="21"/>
                <w:u w:val="none"/>
                <w:lang w:val="en-US" w:eastAsia="zh-CN" w:bidi="ar"/>
              </w:rPr>
              <w:t>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烟粉尘排放量</w:t>
            </w:r>
          </w:p>
        </w:tc>
        <w:tc>
          <w:tcPr>
            <w:tcW w:w="667"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kg/t</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3.75</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3.86</w:t>
            </w:r>
          </w:p>
        </w:tc>
        <w:tc>
          <w:tcPr>
            <w:tcW w:w="85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2.30</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1.68</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spacing w:val="0"/>
                <w:position w:val="0"/>
                <w:sz w:val="21"/>
                <w:szCs w:val="21"/>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tcBorders>
              <w:tl2br w:val="nil"/>
              <w:tr2bl w:val="nil"/>
            </w:tcBorders>
            <w:vAlign w:val="center"/>
          </w:tcPr>
          <w:p>
            <w:pPr>
              <w:widowControl/>
              <w:adjustRightInd w:val="0"/>
              <w:snapToGrid w:val="0"/>
              <w:jc w:val="center"/>
              <w:rPr>
                <w:spacing w:val="0"/>
                <w:position w:val="0"/>
                <w:szCs w:val="21"/>
              </w:rPr>
            </w:pPr>
          </w:p>
        </w:tc>
        <w:tc>
          <w:tcPr>
            <w:tcW w:w="650" w:type="dxa"/>
            <w:vMerge w:val="continue"/>
            <w:tcBorders>
              <w:tl2br w:val="nil"/>
              <w:tr2bl w:val="nil"/>
            </w:tcBorders>
            <w:vAlign w:val="center"/>
          </w:tcPr>
          <w:p>
            <w:pPr>
              <w:widowControl/>
              <w:adjustRightInd w:val="0"/>
              <w:snapToGrid w:val="0"/>
              <w:jc w:val="center"/>
              <w:rPr>
                <w:spacing w:val="0"/>
                <w:position w:val="0"/>
                <w:szCs w:val="21"/>
              </w:rPr>
            </w:pP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r>
              <w:rPr>
                <w:rFonts w:hint="eastAsia" w:cs="宋体"/>
                <w:color w:val="000000"/>
                <w:spacing w:val="0"/>
                <w:kern w:val="0"/>
                <w:position w:val="0"/>
                <w:lang w:bidi="ar"/>
              </w:rPr>
              <w:t>噪声</w:t>
            </w:r>
          </w:p>
        </w:tc>
        <w:tc>
          <w:tcPr>
            <w:tcW w:w="667" w:type="dxa"/>
            <w:tcBorders>
              <w:tl2br w:val="nil"/>
              <w:tr2bl w:val="nil"/>
            </w:tcBorders>
            <w:vAlign w:val="center"/>
          </w:tcPr>
          <w:p>
            <w:pPr>
              <w:widowControl/>
              <w:adjustRightInd w:val="0"/>
              <w:snapToGrid w:val="0"/>
              <w:ind w:left="-92" w:leftChars="-44"/>
              <w:jc w:val="center"/>
              <w:rPr>
                <w:spacing w:val="0"/>
                <w:position w:val="0"/>
                <w:szCs w:val="21"/>
              </w:rPr>
            </w:pPr>
            <w:r>
              <w:rPr>
                <w:rFonts w:hint="eastAsia"/>
                <w:spacing w:val="0"/>
                <w:position w:val="0"/>
                <w:szCs w:val="21"/>
              </w:rPr>
              <w:t>dB(A)</w:t>
            </w:r>
          </w:p>
        </w:tc>
        <w:tc>
          <w:tcPr>
            <w:tcW w:w="650"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3</w:t>
            </w: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3.75</w:t>
            </w:r>
          </w:p>
        </w:tc>
        <w:tc>
          <w:tcPr>
            <w:tcW w:w="884"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≤60</w:t>
            </w:r>
          </w:p>
        </w:tc>
        <w:tc>
          <w:tcPr>
            <w:tcW w:w="85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lang w:val="en-US" w:eastAsia="zh-CN"/>
              </w:rPr>
              <w:t>≤60</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1.00</w:t>
            </w:r>
          </w:p>
        </w:tc>
        <w:tc>
          <w:tcPr>
            <w:tcW w:w="8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spacing w:val="0"/>
                <w:position w:val="0"/>
                <w:sz w:val="21"/>
                <w:szCs w:val="21"/>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合计</w:t>
            </w:r>
          </w:p>
        </w:tc>
        <w:tc>
          <w:tcPr>
            <w:tcW w:w="65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100</w:t>
            </w:r>
          </w:p>
        </w:tc>
        <w:tc>
          <w:tcPr>
            <w:tcW w:w="1700" w:type="dxa"/>
            <w:tcBorders>
              <w:tl2br w:val="nil"/>
              <w:tr2bl w:val="nil"/>
            </w:tcBorders>
            <w:vAlign w:val="center"/>
          </w:tcPr>
          <w:p>
            <w:pPr>
              <w:widowControl/>
              <w:adjustRightInd w:val="0"/>
              <w:snapToGrid w:val="0"/>
              <w:jc w:val="center"/>
              <w:rPr>
                <w:rFonts w:cs="宋体"/>
                <w:color w:val="000000"/>
                <w:spacing w:val="0"/>
                <w:kern w:val="0"/>
                <w:position w:val="0"/>
                <w:lang w:bidi="ar"/>
              </w:rPr>
            </w:pPr>
          </w:p>
        </w:tc>
        <w:tc>
          <w:tcPr>
            <w:tcW w:w="667" w:type="dxa"/>
            <w:tcBorders>
              <w:tl2br w:val="nil"/>
              <w:tr2bl w:val="nil"/>
            </w:tcBorders>
            <w:vAlign w:val="center"/>
          </w:tcPr>
          <w:p>
            <w:pPr>
              <w:widowControl/>
              <w:adjustRightInd w:val="0"/>
              <w:snapToGrid w:val="0"/>
              <w:jc w:val="center"/>
              <w:rPr>
                <w:spacing w:val="0"/>
                <w:position w:val="0"/>
                <w:szCs w:val="21"/>
              </w:rPr>
            </w:pPr>
          </w:p>
        </w:tc>
        <w:tc>
          <w:tcPr>
            <w:tcW w:w="650" w:type="dxa"/>
            <w:tcBorders>
              <w:tl2br w:val="nil"/>
              <w:tr2bl w:val="nil"/>
            </w:tcBorders>
            <w:vAlign w:val="center"/>
          </w:tcPr>
          <w:p>
            <w:pPr>
              <w:widowControl/>
              <w:adjustRightInd w:val="0"/>
              <w:snapToGrid w:val="0"/>
              <w:jc w:val="center"/>
              <w:rPr>
                <w:spacing w:val="0"/>
                <w:position w:val="0"/>
                <w:szCs w:val="21"/>
              </w:rPr>
            </w:pPr>
          </w:p>
        </w:tc>
        <w:tc>
          <w:tcPr>
            <w:tcW w:w="1066"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100</w:t>
            </w:r>
          </w:p>
        </w:tc>
        <w:tc>
          <w:tcPr>
            <w:tcW w:w="884" w:type="dxa"/>
            <w:tcBorders>
              <w:tl2br w:val="nil"/>
              <w:tr2bl w:val="nil"/>
            </w:tcBorders>
            <w:vAlign w:val="center"/>
          </w:tcPr>
          <w:p>
            <w:pPr>
              <w:widowControl/>
              <w:adjustRightInd w:val="0"/>
              <w:snapToGrid w:val="0"/>
              <w:jc w:val="center"/>
              <w:rPr>
                <w:spacing w:val="0"/>
                <w:position w:val="0"/>
                <w:szCs w:val="21"/>
              </w:rPr>
            </w:pPr>
          </w:p>
        </w:tc>
        <w:tc>
          <w:tcPr>
            <w:tcW w:w="850" w:type="dxa"/>
            <w:tcBorders>
              <w:tl2br w:val="nil"/>
              <w:tr2bl w:val="nil"/>
            </w:tcBorders>
            <w:vAlign w:val="center"/>
          </w:tcPr>
          <w:p>
            <w:pPr>
              <w:widowControl/>
              <w:adjustRightInd w:val="0"/>
              <w:snapToGrid w:val="0"/>
              <w:jc w:val="center"/>
              <w:rPr>
                <w:spacing w:val="0"/>
                <w:position w:val="0"/>
                <w:szCs w:val="21"/>
              </w:rPr>
            </w:pPr>
          </w:p>
        </w:tc>
        <w:tc>
          <w:tcPr>
            <w:tcW w:w="900" w:type="dxa"/>
            <w:tcBorders>
              <w:tl2br w:val="nil"/>
              <w:tr2bl w:val="nil"/>
            </w:tcBorders>
            <w:vAlign w:val="center"/>
          </w:tcPr>
          <w:p>
            <w:pPr>
              <w:widowControl/>
              <w:adjustRightInd w:val="0"/>
              <w:snapToGrid w:val="0"/>
              <w:jc w:val="center"/>
              <w:rPr>
                <w:spacing w:val="0"/>
                <w:position w:val="0"/>
                <w:szCs w:val="21"/>
              </w:rPr>
            </w:pPr>
          </w:p>
        </w:tc>
        <w:tc>
          <w:tcPr>
            <w:tcW w:w="860"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199.30</w:t>
            </w:r>
          </w:p>
        </w:tc>
      </w:tr>
    </w:tbl>
    <w:p>
      <w:pPr>
        <w:adjustRightInd w:val="0"/>
        <w:snapToGrid w:val="0"/>
        <w:rPr>
          <w:spacing w:val="0"/>
          <w:position w:val="0"/>
          <w:szCs w:val="21"/>
        </w:rPr>
      </w:pPr>
      <w:r>
        <w:rPr>
          <w:rFonts w:hint="eastAsia"/>
          <w:spacing w:val="0"/>
          <w:position w:val="0"/>
          <w:szCs w:val="21"/>
        </w:rPr>
        <w:t>注：1.评价基准值的单位与其相应指标的单位相同。</w:t>
      </w:r>
    </w:p>
    <w:p>
      <w:pPr>
        <w:adjustRightInd w:val="0"/>
        <w:snapToGrid w:val="0"/>
        <w:rPr>
          <w:spacing w:val="0"/>
          <w:position w:val="0"/>
          <w:szCs w:val="21"/>
        </w:rPr>
      </w:pPr>
      <w:r>
        <w:rPr>
          <w:rFonts w:hint="eastAsia"/>
          <w:spacing w:val="0"/>
          <w:position w:val="0"/>
          <w:szCs w:val="21"/>
        </w:rPr>
        <w:t>2.各个指标的数值是按织物平均1吨布5000m计算，然后乘以标准品校正系数。按平均校正系数1.795计算。</w:t>
      </w:r>
    </w:p>
    <w:p>
      <w:pPr>
        <w:adjustRightInd w:val="0"/>
        <w:snapToGrid w:val="0"/>
        <w:rPr>
          <w:spacing w:val="0"/>
          <w:position w:val="0"/>
          <w:szCs w:val="21"/>
        </w:rPr>
      </w:pPr>
      <w:r>
        <w:rPr>
          <w:rFonts w:hint="eastAsia"/>
          <w:spacing w:val="0"/>
          <w:position w:val="0"/>
          <w:szCs w:val="21"/>
        </w:rPr>
        <w:t>3.“不评价”是指由于本项目没有与某二级指标相关的生产设施、原料或污染物所造成的缺项。</w:t>
      </w:r>
    </w:p>
    <w:p>
      <w:pPr>
        <w:adjustRightInd w:val="0"/>
        <w:snapToGrid w:val="0"/>
        <w:rPr>
          <w:spacing w:val="0"/>
          <w:position w:val="0"/>
          <w:szCs w:val="21"/>
        </w:rPr>
      </w:pPr>
      <w:r>
        <w:rPr>
          <w:rFonts w:hint="eastAsia"/>
          <w:spacing w:val="0"/>
          <w:position w:val="0"/>
          <w:szCs w:val="21"/>
        </w:rPr>
        <w:t>4.单位产品综合能耗及万元产值能耗指标来自《福建悦聚科技有限公司智能化高档纺织面料生产项目节能报告》（2023年</w:t>
      </w:r>
      <w:r>
        <w:rPr>
          <w:rFonts w:hint="eastAsia"/>
          <w:color w:val="FF0000"/>
          <w:spacing w:val="0"/>
          <w:position w:val="0"/>
          <w:szCs w:val="21"/>
        </w:rPr>
        <w:t>x</w:t>
      </w:r>
      <w:r>
        <w:rPr>
          <w:rFonts w:hint="eastAsia"/>
          <w:spacing w:val="0"/>
          <w:position w:val="0"/>
          <w:szCs w:val="21"/>
        </w:rPr>
        <w:t>月）。</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w:t>
      </w:r>
      <w:r>
        <w:rPr>
          <w:rFonts w:hint="eastAsia"/>
          <w:b/>
          <w:bCs/>
          <w:spacing w:val="0"/>
          <w:position w:val="0"/>
          <w:sz w:val="24"/>
          <w:szCs w:val="24"/>
          <w:lang w:eastAsia="zh-CN"/>
        </w:rPr>
        <w:t>3.6</w:t>
      </w:r>
      <w:r>
        <w:rPr>
          <w:rFonts w:hint="eastAsia"/>
          <w:b/>
          <w:bCs/>
          <w:spacing w:val="0"/>
          <w:position w:val="0"/>
          <w:sz w:val="24"/>
          <w:szCs w:val="24"/>
        </w:rPr>
        <w:t>-2定量评价指标分析一览表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717"/>
        <w:gridCol w:w="3083"/>
        <w:gridCol w:w="667"/>
        <w:gridCol w:w="683"/>
        <w:gridCol w:w="2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28"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一级指标</w:t>
            </w:r>
          </w:p>
        </w:tc>
        <w:tc>
          <w:tcPr>
            <w:tcW w:w="71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分值</w:t>
            </w:r>
          </w:p>
        </w:tc>
        <w:tc>
          <w:tcPr>
            <w:tcW w:w="3083"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二级指标</w:t>
            </w:r>
          </w:p>
        </w:tc>
        <w:tc>
          <w:tcPr>
            <w:tcW w:w="66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分值</w:t>
            </w:r>
          </w:p>
        </w:tc>
        <w:tc>
          <w:tcPr>
            <w:tcW w:w="683"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得分</w:t>
            </w:r>
          </w:p>
        </w:tc>
        <w:tc>
          <w:tcPr>
            <w:tcW w:w="2627" w:type="dxa"/>
            <w:tcBorders>
              <w:tl2br w:val="nil"/>
              <w:tr2bl w:val="nil"/>
            </w:tcBorders>
            <w:vAlign w:val="center"/>
          </w:tcPr>
          <w:p>
            <w:pPr>
              <w:widowControl/>
              <w:adjustRightInd w:val="0"/>
              <w:snapToGrid w:val="0"/>
              <w:jc w:val="center"/>
              <w:rPr>
                <w:b/>
                <w:bCs/>
                <w:spacing w:val="0"/>
                <w:position w:val="0"/>
                <w:szCs w:val="21"/>
              </w:rPr>
            </w:pPr>
            <w:r>
              <w:rPr>
                <w:rFonts w:hint="eastAsia"/>
                <w:b/>
                <w:bCs/>
                <w:spacing w:val="0"/>
                <w:positio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(1)执行国家重点鼓励发展技术（含印染清洁生产技术）的符合性</w:t>
            </w:r>
          </w:p>
        </w:tc>
        <w:tc>
          <w:tcPr>
            <w:tcW w:w="717"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70</w:t>
            </w: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酶法退浆工艺</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spacing w:val="0"/>
                <w:position w:val="0"/>
                <w:szCs w:val="21"/>
              </w:rPr>
            </w:pPr>
          </w:p>
        </w:tc>
        <w:tc>
          <w:tcPr>
            <w:tcW w:w="2627" w:type="dxa"/>
            <w:vMerge w:val="restart"/>
            <w:tcBorders>
              <w:tl2br w:val="nil"/>
              <w:tr2bl w:val="nil"/>
            </w:tcBorders>
            <w:vAlign w:val="center"/>
          </w:tcPr>
          <w:p>
            <w:pPr>
              <w:widowControl/>
              <w:adjustRightInd w:val="0"/>
              <w:snapToGrid w:val="0"/>
              <w:rPr>
                <w:spacing w:val="0"/>
                <w:position w:val="0"/>
                <w:szCs w:val="21"/>
              </w:rPr>
            </w:pPr>
            <w:r>
              <w:rPr>
                <w:rFonts w:hint="eastAsia"/>
                <w:spacing w:val="0"/>
                <w:position w:val="0"/>
                <w:szCs w:val="21"/>
              </w:rPr>
              <w:t>定性评价指标无评价基准值，其考核按对该指标的执行情况给分。</w:t>
            </w:r>
          </w:p>
          <w:p>
            <w:pPr>
              <w:widowControl/>
              <w:adjustRightInd w:val="0"/>
              <w:snapToGrid w:val="0"/>
              <w:rPr>
                <w:spacing w:val="0"/>
                <w:position w:val="0"/>
                <w:szCs w:val="21"/>
              </w:rPr>
            </w:pPr>
            <w:r>
              <w:rPr>
                <w:rFonts w:hint="eastAsia"/>
                <w:spacing w:val="0"/>
                <w:position w:val="0"/>
                <w:szCs w:val="21"/>
              </w:rPr>
              <w:t>对一级指标“（1）”所属二级指标，凡采用的按其指标分值给分，未采用的不给分。</w:t>
            </w:r>
          </w:p>
          <w:p>
            <w:pPr>
              <w:widowControl/>
              <w:adjustRightInd w:val="0"/>
              <w:snapToGrid w:val="0"/>
              <w:rPr>
                <w:spacing w:val="0"/>
                <w:position w:val="0"/>
                <w:szCs w:val="21"/>
              </w:rPr>
            </w:pPr>
            <w:r>
              <w:rPr>
                <w:rFonts w:hint="eastAsia"/>
                <w:spacing w:val="0"/>
                <w:position w:val="0"/>
                <w:szCs w:val="21"/>
              </w:rPr>
              <w:t>对一级指标“（2）”所属二级指标，凡已建立环境管理体系并通过认证的给4分，只建立环境体系但尚未通过认证的给2分；凡已进行清洁生产审核并实施无/低费方案的给6分，实施中/高费方案的给4分。</w:t>
            </w:r>
          </w:p>
          <w:p>
            <w:pPr>
              <w:widowControl/>
              <w:adjustRightInd w:val="0"/>
              <w:snapToGrid w:val="0"/>
              <w:rPr>
                <w:spacing w:val="0"/>
                <w:position w:val="0"/>
                <w:szCs w:val="21"/>
              </w:rPr>
            </w:pPr>
            <w:r>
              <w:rPr>
                <w:rFonts w:hint="eastAsia"/>
                <w:spacing w:val="0"/>
                <w:position w:val="0"/>
                <w:szCs w:val="21"/>
              </w:rPr>
              <w:t>对一级指标“（3）”所属各二级指标，如能按要求执行的，则按其指标分值给分；</w:t>
            </w:r>
          </w:p>
          <w:p>
            <w:pPr>
              <w:widowControl/>
              <w:adjustRightInd w:val="0"/>
              <w:snapToGrid w:val="0"/>
              <w:rPr>
                <w:spacing w:val="0"/>
                <w:position w:val="0"/>
                <w:szCs w:val="21"/>
              </w:rPr>
            </w:pPr>
            <w:r>
              <w:rPr>
                <w:rFonts w:hint="eastAsia"/>
                <w:spacing w:val="0"/>
                <w:position w:val="0"/>
                <w:szCs w:val="21"/>
              </w:rPr>
              <w:t>对建设项目环保“三同时”、建设项目环境影响评价、老污染源限期治理指标未能按要求完成的则不给分；</w:t>
            </w:r>
          </w:p>
          <w:p>
            <w:pPr>
              <w:widowControl/>
              <w:adjustRightInd w:val="0"/>
              <w:snapToGrid w:val="0"/>
              <w:rPr>
                <w:spacing w:val="0"/>
                <w:position w:val="0"/>
                <w:szCs w:val="21"/>
              </w:rPr>
            </w:pPr>
            <w:r>
              <w:rPr>
                <w:rFonts w:hint="eastAsia"/>
                <w:spacing w:val="0"/>
                <w:position w:val="0"/>
                <w:szCs w:val="21"/>
              </w:rPr>
              <w:t>对污染物排放总量控制要求，凡水污染物和气污染物均有超总量要求的则不给分；凡仅有水污染物或气污染物超总量要求的，则给2分。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用棉布前处理冷轧堆一步法工艺</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涂料染色、印花工艺</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7</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转移印花新工艺</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7</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高效环保活性染料应用</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7</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超滤法回收染料</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丝光淡碱回收技术</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数字化喷射印花新工艺</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6</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逆流清洗、回用及小浴比设备</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无毒无害的原副材料</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原辅助剂的回收利用</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综合利用或消纳社会废物</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全厂性污水处理（二次）及回用</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2.5</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(2)环境管理体系建立及清洁生产审核</w:t>
            </w:r>
          </w:p>
        </w:tc>
        <w:tc>
          <w:tcPr>
            <w:tcW w:w="717"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10</w:t>
            </w: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建立环境管理体系并通过认证</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4</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开展清洁生产审核</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6</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(3)贯彻执行环境保护法规的符合性</w:t>
            </w:r>
          </w:p>
        </w:tc>
        <w:tc>
          <w:tcPr>
            <w:tcW w:w="717" w:type="dxa"/>
            <w:vMerge w:val="restart"/>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20</w:t>
            </w: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建设项目环保“三同时”执行情况</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建设项目环境影响评价制度执行情况</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老污染源限期治理项目完成情况</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Merge w:val="continue"/>
            <w:tcBorders>
              <w:tl2br w:val="nil"/>
              <w:tr2bl w:val="nil"/>
            </w:tcBorders>
            <w:vAlign w:val="center"/>
          </w:tcPr>
          <w:p>
            <w:pPr>
              <w:widowControl/>
              <w:adjustRightInd w:val="0"/>
              <w:snapToGrid w:val="0"/>
              <w:jc w:val="center"/>
              <w:rPr>
                <w:spacing w:val="0"/>
                <w:position w:val="0"/>
                <w:szCs w:val="21"/>
              </w:rPr>
            </w:pPr>
          </w:p>
        </w:tc>
        <w:tc>
          <w:tcPr>
            <w:tcW w:w="717" w:type="dxa"/>
            <w:vMerge w:val="continue"/>
            <w:tcBorders>
              <w:tl2br w:val="nil"/>
              <w:tr2bl w:val="nil"/>
            </w:tcBorders>
            <w:vAlign w:val="center"/>
          </w:tcPr>
          <w:p>
            <w:pPr>
              <w:widowControl/>
              <w:adjustRightInd w:val="0"/>
              <w:snapToGrid w:val="0"/>
              <w:jc w:val="center"/>
              <w:rPr>
                <w:spacing w:val="0"/>
                <w:position w:val="0"/>
                <w:szCs w:val="21"/>
              </w:rPr>
            </w:pPr>
          </w:p>
        </w:tc>
        <w:tc>
          <w:tcPr>
            <w:tcW w:w="3083"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污染物排放总量控制情况</w:t>
            </w:r>
          </w:p>
        </w:tc>
        <w:tc>
          <w:tcPr>
            <w:tcW w:w="667" w:type="dxa"/>
            <w:tcBorders>
              <w:tl2br w:val="nil"/>
              <w:tr2bl w:val="nil"/>
            </w:tcBorders>
            <w:vAlign w:val="center"/>
          </w:tcPr>
          <w:p>
            <w:pPr>
              <w:widowControl/>
              <w:adjustRightInd w:val="0"/>
              <w:snapToGrid w:val="0"/>
              <w:jc w:val="center"/>
              <w:rPr>
                <w:rFonts w:hint="eastAsia" w:eastAsia="宋体"/>
                <w:spacing w:val="0"/>
                <w:position w:val="0"/>
                <w:szCs w:val="21"/>
                <w:lang w:val="en-US" w:eastAsia="zh-CN"/>
              </w:rPr>
            </w:pPr>
            <w:r>
              <w:rPr>
                <w:rFonts w:hint="eastAsia"/>
                <w:spacing w:val="0"/>
                <w:position w:val="0"/>
                <w:szCs w:val="21"/>
                <w:lang w:val="en-US" w:eastAsia="zh-CN"/>
              </w:rPr>
              <w:t>5</w:t>
            </w:r>
          </w:p>
        </w:tc>
        <w:tc>
          <w:tcPr>
            <w:tcW w:w="683"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5</w:t>
            </w:r>
          </w:p>
        </w:tc>
        <w:tc>
          <w:tcPr>
            <w:tcW w:w="2627" w:type="dxa"/>
            <w:vMerge w:val="continue"/>
            <w:tcBorders>
              <w:tl2br w:val="nil"/>
              <w:tr2bl w:val="nil"/>
            </w:tcBorders>
            <w:vAlign w:val="center"/>
          </w:tcPr>
          <w:p>
            <w:pPr>
              <w:widowControl/>
              <w:adjustRightInd w:val="0"/>
              <w:snapToGrid w:val="0"/>
              <w:jc w:val="center"/>
              <w:rPr>
                <w:spacing w:val="0"/>
                <w:positio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8" w:type="dxa"/>
            <w:gridSpan w:val="3"/>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小计</w:t>
            </w:r>
          </w:p>
        </w:tc>
        <w:tc>
          <w:tcPr>
            <w:tcW w:w="667" w:type="dxa"/>
            <w:tcBorders>
              <w:tl2br w:val="nil"/>
              <w:tr2bl w:val="nil"/>
            </w:tcBorders>
            <w:vAlign w:val="center"/>
          </w:tcPr>
          <w:p>
            <w:pPr>
              <w:widowControl/>
              <w:adjustRightInd w:val="0"/>
              <w:snapToGrid w:val="0"/>
              <w:jc w:val="center"/>
              <w:rPr>
                <w:spacing w:val="0"/>
                <w:position w:val="0"/>
                <w:szCs w:val="21"/>
              </w:rPr>
            </w:pPr>
          </w:p>
        </w:tc>
        <w:tc>
          <w:tcPr>
            <w:tcW w:w="683" w:type="dxa"/>
            <w:tcBorders>
              <w:tl2br w:val="nil"/>
              <w:tr2bl w:val="nil"/>
            </w:tcBorders>
            <w:vAlign w:val="center"/>
          </w:tcPr>
          <w:p>
            <w:pPr>
              <w:widowControl/>
              <w:adjustRightInd w:val="0"/>
              <w:snapToGrid w:val="0"/>
              <w:jc w:val="center"/>
              <w:rPr>
                <w:rFonts w:hint="default" w:eastAsia="宋体"/>
                <w:spacing w:val="0"/>
                <w:position w:val="0"/>
                <w:szCs w:val="21"/>
                <w:lang w:val="en-US" w:eastAsia="zh-CN"/>
              </w:rPr>
            </w:pPr>
            <w:r>
              <w:rPr>
                <w:rFonts w:hint="eastAsia"/>
                <w:spacing w:val="0"/>
                <w:position w:val="0"/>
                <w:szCs w:val="21"/>
                <w:lang w:val="en-US" w:eastAsia="zh-CN"/>
              </w:rPr>
              <w:t>19.5</w:t>
            </w:r>
          </w:p>
        </w:tc>
        <w:tc>
          <w:tcPr>
            <w:tcW w:w="2627" w:type="dxa"/>
            <w:tcBorders>
              <w:tl2br w:val="nil"/>
              <w:tr2bl w:val="nil"/>
            </w:tcBorders>
            <w:vAlign w:val="center"/>
          </w:tcPr>
          <w:p>
            <w:pPr>
              <w:widowControl/>
              <w:adjustRightInd w:val="0"/>
              <w:snapToGrid w:val="0"/>
              <w:jc w:val="center"/>
              <w:rPr>
                <w:spacing w:val="0"/>
                <w:position w:val="0"/>
                <w:szCs w:val="21"/>
              </w:rPr>
            </w:pPr>
          </w:p>
        </w:tc>
      </w:tr>
    </w:tbl>
    <w:p>
      <w:pPr>
        <w:adjustRightInd w:val="0"/>
        <w:snapToGrid w:val="0"/>
        <w:rPr>
          <w:spacing w:val="0"/>
          <w:position w:val="0"/>
          <w:szCs w:val="21"/>
        </w:rPr>
      </w:pPr>
      <w:r>
        <w:rPr>
          <w:rFonts w:hint="eastAsia"/>
          <w:spacing w:val="0"/>
          <w:position w:val="0"/>
          <w:szCs w:val="21"/>
        </w:rPr>
        <w:t>注：如果一个企业涉及多个产品时，其它产品要在其它相关行业达到指标要求，否则不能参评。</w:t>
      </w:r>
    </w:p>
    <w:p>
      <w:pPr>
        <w:adjustRightInd w:val="0"/>
        <w:snapToGrid w:val="0"/>
        <w:ind w:firstLine="420" w:firstLineChars="200"/>
        <w:rPr>
          <w:spacing w:val="0"/>
          <w:position w:val="0"/>
          <w:sz w:val="24"/>
          <w:szCs w:val="24"/>
        </w:rPr>
      </w:pPr>
      <w:r>
        <w:rPr>
          <w:rFonts w:hint="eastAsia"/>
          <w:spacing w:val="0"/>
          <w:position w:val="0"/>
          <w:szCs w:val="21"/>
        </w:rPr>
        <w:t>国家鼓励发展技术随着科学技术的进步也会有所变化，有关新技术说明可参考当年行业协会所发文件为主。</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本项目定量评价得分</w:t>
      </w:r>
      <w:r>
        <w:rPr>
          <w:rFonts w:hint="eastAsia"/>
          <w:i/>
          <w:iCs/>
          <w:spacing w:val="0"/>
          <w:position w:val="0"/>
          <w:sz w:val="24"/>
          <w:szCs w:val="24"/>
        </w:rPr>
        <w:t>P</w:t>
      </w:r>
      <w:r>
        <w:rPr>
          <w:rFonts w:hint="eastAsia"/>
          <w:spacing w:val="0"/>
          <w:position w:val="0"/>
          <w:sz w:val="24"/>
          <w:szCs w:val="24"/>
          <w:vertAlign w:val="subscript"/>
        </w:rPr>
        <w:t>1</w:t>
      </w:r>
      <w:r>
        <w:rPr>
          <w:rFonts w:hint="eastAsia"/>
          <w:color w:val="auto"/>
          <w:spacing w:val="0"/>
          <w:position w:val="0"/>
          <w:sz w:val="24"/>
          <w:szCs w:val="24"/>
        </w:rPr>
        <w:t>为</w:t>
      </w:r>
      <w:r>
        <w:rPr>
          <w:rFonts w:hint="eastAsia"/>
          <w:color w:val="auto"/>
          <w:spacing w:val="0"/>
          <w:position w:val="0"/>
          <w:sz w:val="24"/>
          <w:szCs w:val="24"/>
          <w:lang w:val="en-US" w:eastAsia="zh-CN"/>
        </w:rPr>
        <w:t>199.30</w:t>
      </w:r>
      <w:r>
        <w:rPr>
          <w:rFonts w:hint="eastAsia"/>
          <w:color w:val="auto"/>
          <w:spacing w:val="0"/>
          <w:position w:val="0"/>
          <w:sz w:val="24"/>
          <w:szCs w:val="24"/>
        </w:rPr>
        <w:t>，定性指标得分为19.5，综合评价指数采用</w:t>
      </w:r>
      <w:r>
        <w:rPr>
          <w:rFonts w:hint="eastAsia"/>
          <w:i/>
          <w:iCs/>
          <w:color w:val="auto"/>
          <w:spacing w:val="0"/>
          <w:position w:val="0"/>
          <w:sz w:val="24"/>
          <w:szCs w:val="24"/>
        </w:rPr>
        <w:t>P</w:t>
      </w:r>
      <w:r>
        <w:rPr>
          <w:rFonts w:hint="eastAsia"/>
          <w:color w:val="auto"/>
          <w:spacing w:val="0"/>
          <w:position w:val="0"/>
          <w:sz w:val="24"/>
          <w:szCs w:val="24"/>
        </w:rPr>
        <w:t>＝0.7</w:t>
      </w:r>
      <w:r>
        <w:rPr>
          <w:rFonts w:hint="eastAsia"/>
          <w:i/>
          <w:iCs/>
          <w:color w:val="auto"/>
          <w:spacing w:val="0"/>
          <w:position w:val="0"/>
          <w:sz w:val="24"/>
          <w:szCs w:val="24"/>
        </w:rPr>
        <w:t>P</w:t>
      </w:r>
      <w:r>
        <w:rPr>
          <w:rFonts w:hint="eastAsia"/>
          <w:color w:val="auto"/>
          <w:spacing w:val="0"/>
          <w:position w:val="0"/>
          <w:sz w:val="24"/>
          <w:szCs w:val="24"/>
          <w:vertAlign w:val="subscript"/>
        </w:rPr>
        <w:t>1</w:t>
      </w:r>
      <w:r>
        <w:rPr>
          <w:rFonts w:hint="eastAsia"/>
          <w:color w:val="auto"/>
          <w:spacing w:val="0"/>
          <w:position w:val="0"/>
          <w:sz w:val="24"/>
          <w:szCs w:val="24"/>
        </w:rPr>
        <w:t>+0.3</w:t>
      </w:r>
      <w:r>
        <w:rPr>
          <w:rFonts w:hint="eastAsia"/>
          <w:i/>
          <w:iCs/>
          <w:color w:val="auto"/>
          <w:spacing w:val="0"/>
          <w:position w:val="0"/>
          <w:sz w:val="24"/>
          <w:szCs w:val="24"/>
        </w:rPr>
        <w:t>P</w:t>
      </w:r>
      <w:r>
        <w:rPr>
          <w:rFonts w:hint="eastAsia"/>
          <w:color w:val="auto"/>
          <w:spacing w:val="0"/>
          <w:position w:val="0"/>
          <w:sz w:val="24"/>
          <w:szCs w:val="24"/>
          <w:vertAlign w:val="subscript"/>
        </w:rPr>
        <w:t>2</w:t>
      </w:r>
      <w:r>
        <w:rPr>
          <w:rFonts w:hint="eastAsia"/>
          <w:color w:val="auto"/>
          <w:spacing w:val="0"/>
          <w:position w:val="0"/>
          <w:sz w:val="24"/>
          <w:szCs w:val="24"/>
        </w:rPr>
        <w:t>进行计算，得分为</w:t>
      </w:r>
      <w:r>
        <w:rPr>
          <w:rFonts w:hint="eastAsia"/>
          <w:color w:val="auto"/>
          <w:spacing w:val="0"/>
          <w:position w:val="0"/>
          <w:sz w:val="24"/>
          <w:szCs w:val="24"/>
          <w:lang w:val="en-US" w:eastAsia="zh-CN"/>
        </w:rPr>
        <w:t>145.36</w:t>
      </w:r>
      <w:r>
        <w:rPr>
          <w:rFonts w:hint="eastAsia"/>
          <w:spacing w:val="0"/>
          <w:position w:val="0"/>
          <w:sz w:val="24"/>
          <w:szCs w:val="24"/>
        </w:rPr>
        <w:t>。</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eastAsia="zh-CN"/>
        </w:rPr>
        <w:t>3.6</w:t>
      </w:r>
      <w:r>
        <w:rPr>
          <w:rFonts w:hint="eastAsia"/>
          <w:b/>
          <w:bCs/>
          <w:spacing w:val="0"/>
          <w:position w:val="0"/>
          <w:sz w:val="28"/>
          <w:szCs w:val="28"/>
        </w:rPr>
        <w:t>.</w:t>
      </w:r>
      <w:r>
        <w:rPr>
          <w:b/>
          <w:bCs/>
          <w:spacing w:val="0"/>
          <w:position w:val="0"/>
          <w:sz w:val="28"/>
          <w:szCs w:val="28"/>
        </w:rPr>
        <w:t>4</w:t>
      </w:r>
      <w:r>
        <w:rPr>
          <w:rFonts w:hint="eastAsia"/>
          <w:b/>
          <w:bCs/>
          <w:spacing w:val="0"/>
          <w:position w:val="0"/>
          <w:sz w:val="28"/>
          <w:szCs w:val="28"/>
        </w:rPr>
        <w:t>印染行业清洁生产企业的评定</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对印染企业清洁生产水平的评价，是以其清洁生产综合评价指数为依据的，对达到一定的综合评价指数的企业，分别评定为清洁生产先进企业、清洁生产企业和国内清洁生产落后企业。根据目前我国印染行业的实际情况，不同等级的清洁生产企业的综合评价指数列于表</w:t>
      </w:r>
      <w:r>
        <w:rPr>
          <w:rFonts w:hint="eastAsia"/>
          <w:spacing w:val="0"/>
          <w:position w:val="0"/>
          <w:sz w:val="24"/>
          <w:szCs w:val="24"/>
          <w:lang w:eastAsia="zh-CN"/>
        </w:rPr>
        <w:t>3.6</w:t>
      </w:r>
      <w:r>
        <w:rPr>
          <w:spacing w:val="0"/>
          <w:position w:val="0"/>
          <w:sz w:val="24"/>
          <w:szCs w:val="24"/>
        </w:rPr>
        <w:t>-3</w:t>
      </w:r>
      <w:r>
        <w:rPr>
          <w:rFonts w:hint="eastAsia"/>
          <w:spacing w:val="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spacing w:val="0"/>
          <w:position w:val="0"/>
          <w:sz w:val="24"/>
          <w:szCs w:val="24"/>
        </w:rPr>
      </w:pPr>
      <w:r>
        <w:rPr>
          <w:rFonts w:hint="eastAsia"/>
          <w:b/>
          <w:bCs/>
          <w:spacing w:val="0"/>
          <w:position w:val="0"/>
          <w:sz w:val="24"/>
          <w:szCs w:val="24"/>
        </w:rPr>
        <w:t>表</w:t>
      </w:r>
      <w:r>
        <w:rPr>
          <w:rFonts w:hint="eastAsia"/>
          <w:b/>
          <w:bCs/>
          <w:spacing w:val="0"/>
          <w:position w:val="0"/>
          <w:sz w:val="24"/>
          <w:szCs w:val="24"/>
          <w:lang w:eastAsia="zh-CN"/>
        </w:rPr>
        <w:t>3.6</w:t>
      </w:r>
      <w:r>
        <w:rPr>
          <w:b/>
          <w:bCs/>
          <w:spacing w:val="0"/>
          <w:position w:val="0"/>
          <w:sz w:val="24"/>
          <w:szCs w:val="24"/>
        </w:rPr>
        <w:t>-3</w:t>
      </w:r>
      <w:r>
        <w:rPr>
          <w:rFonts w:hint="eastAsia"/>
          <w:b/>
          <w:bCs/>
          <w:spacing w:val="0"/>
          <w:position w:val="0"/>
          <w:sz w:val="24"/>
          <w:szCs w:val="24"/>
        </w:rPr>
        <w:t>印染行业不同等级的清洁生产企业综合评价指数</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68"/>
        <w:gridCol w:w="2968"/>
        <w:gridCol w:w="2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vAlign w:val="center"/>
          </w:tcPr>
          <w:p>
            <w:pPr>
              <w:widowControl w:val="0"/>
              <w:adjustRightInd w:val="0"/>
              <w:snapToGrid w:val="0"/>
              <w:jc w:val="center"/>
              <w:rPr>
                <w:spacing w:val="0"/>
                <w:position w:val="0"/>
                <w:szCs w:val="24"/>
              </w:rPr>
            </w:pPr>
            <w:r>
              <w:rPr>
                <w:rFonts w:hint="eastAsia"/>
                <w:spacing w:val="0"/>
                <w:position w:val="0"/>
                <w:szCs w:val="24"/>
              </w:rPr>
              <w:t>清洁生产企业等级</w:t>
            </w:r>
          </w:p>
        </w:tc>
        <w:tc>
          <w:tcPr>
            <w:tcW w:w="2968" w:type="dxa"/>
            <w:vAlign w:val="center"/>
          </w:tcPr>
          <w:p>
            <w:pPr>
              <w:widowControl w:val="0"/>
              <w:adjustRightInd w:val="0"/>
              <w:snapToGrid w:val="0"/>
              <w:jc w:val="center"/>
              <w:rPr>
                <w:spacing w:val="0"/>
                <w:position w:val="0"/>
                <w:szCs w:val="24"/>
              </w:rPr>
            </w:pPr>
            <w:r>
              <w:rPr>
                <w:rFonts w:hint="eastAsia"/>
                <w:spacing w:val="0"/>
                <w:position w:val="0"/>
                <w:szCs w:val="24"/>
              </w:rPr>
              <w:t>清洁生产综合评价指数</w:t>
            </w:r>
          </w:p>
        </w:tc>
        <w:tc>
          <w:tcPr>
            <w:tcW w:w="2969" w:type="dxa"/>
            <w:vAlign w:val="center"/>
          </w:tcPr>
          <w:p>
            <w:pPr>
              <w:widowControl w:val="0"/>
              <w:adjustRightInd w:val="0"/>
              <w:snapToGrid w:val="0"/>
              <w:jc w:val="center"/>
              <w:rPr>
                <w:spacing w:val="0"/>
                <w:position w:val="0"/>
                <w:szCs w:val="24"/>
              </w:rPr>
            </w:pPr>
            <w:r>
              <w:rPr>
                <w:rFonts w:hint="eastAsia"/>
                <w:spacing w:val="0"/>
                <w:position w:val="0"/>
                <w:szCs w:val="24"/>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vAlign w:val="center"/>
          </w:tcPr>
          <w:p>
            <w:pPr>
              <w:widowControl w:val="0"/>
              <w:adjustRightInd w:val="0"/>
              <w:snapToGrid w:val="0"/>
              <w:jc w:val="center"/>
              <w:rPr>
                <w:spacing w:val="0"/>
                <w:position w:val="0"/>
                <w:szCs w:val="24"/>
              </w:rPr>
            </w:pPr>
            <w:r>
              <w:rPr>
                <w:rFonts w:hint="eastAsia"/>
                <w:spacing w:val="0"/>
                <w:position w:val="0"/>
                <w:szCs w:val="24"/>
              </w:rPr>
              <w:t>清洁生产先进企业</w:t>
            </w:r>
          </w:p>
        </w:tc>
        <w:tc>
          <w:tcPr>
            <w:tcW w:w="2968" w:type="dxa"/>
            <w:vAlign w:val="center"/>
          </w:tcPr>
          <w:p>
            <w:pPr>
              <w:widowControl w:val="0"/>
              <w:adjustRightInd w:val="0"/>
              <w:snapToGrid w:val="0"/>
              <w:jc w:val="center"/>
              <w:rPr>
                <w:spacing w:val="0"/>
                <w:position w:val="0"/>
                <w:szCs w:val="24"/>
              </w:rPr>
            </w:pPr>
            <w:r>
              <w:rPr>
                <w:rFonts w:hint="eastAsia"/>
                <w:spacing w:val="0"/>
                <w:position w:val="0"/>
                <w:szCs w:val="24"/>
              </w:rPr>
              <w:t>≥</w:t>
            </w:r>
            <w:r>
              <w:rPr>
                <w:spacing w:val="0"/>
                <w:position w:val="0"/>
                <w:szCs w:val="24"/>
              </w:rPr>
              <w:t>85</w:t>
            </w:r>
          </w:p>
        </w:tc>
        <w:tc>
          <w:tcPr>
            <w:tcW w:w="2969" w:type="dxa"/>
            <w:vAlign w:val="center"/>
          </w:tcPr>
          <w:p>
            <w:pPr>
              <w:widowControl w:val="0"/>
              <w:adjustRightInd w:val="0"/>
              <w:snapToGrid w:val="0"/>
              <w:jc w:val="center"/>
              <w:rPr>
                <w:spacing w:val="0"/>
                <w:position w:val="0"/>
                <w:szCs w:val="24"/>
              </w:rPr>
            </w:pPr>
            <w:r>
              <w:rPr>
                <w:rFonts w:hint="eastAsia"/>
                <w:spacing w:val="0"/>
                <w:position w:val="0"/>
                <w:szCs w:val="24"/>
              </w:rPr>
              <w:t>（鼓励）推广应用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vAlign w:val="center"/>
          </w:tcPr>
          <w:p>
            <w:pPr>
              <w:widowControl w:val="0"/>
              <w:adjustRightInd w:val="0"/>
              <w:snapToGrid w:val="0"/>
              <w:jc w:val="center"/>
              <w:rPr>
                <w:spacing w:val="0"/>
                <w:position w:val="0"/>
                <w:szCs w:val="24"/>
              </w:rPr>
            </w:pPr>
            <w:r>
              <w:rPr>
                <w:rFonts w:hint="eastAsia"/>
                <w:spacing w:val="0"/>
                <w:position w:val="0"/>
                <w:szCs w:val="24"/>
              </w:rPr>
              <w:t>清洁生产企业</w:t>
            </w:r>
          </w:p>
        </w:tc>
        <w:tc>
          <w:tcPr>
            <w:tcW w:w="2968" w:type="dxa"/>
            <w:vAlign w:val="center"/>
          </w:tcPr>
          <w:p>
            <w:pPr>
              <w:widowControl w:val="0"/>
              <w:adjustRightInd w:val="0"/>
              <w:snapToGrid w:val="0"/>
              <w:jc w:val="center"/>
              <w:rPr>
                <w:spacing w:val="0"/>
                <w:position w:val="0"/>
                <w:szCs w:val="24"/>
              </w:rPr>
            </w:pPr>
            <w:r>
              <w:rPr>
                <w:rFonts w:hint="eastAsia"/>
                <w:spacing w:val="0"/>
                <w:position w:val="0"/>
                <w:szCs w:val="24"/>
              </w:rPr>
              <w:t>7</w:t>
            </w:r>
            <w:r>
              <w:rPr>
                <w:spacing w:val="0"/>
                <w:position w:val="0"/>
                <w:szCs w:val="24"/>
              </w:rPr>
              <w:t>0</w:t>
            </w:r>
            <w:r>
              <w:rPr>
                <w:rFonts w:hint="eastAsia"/>
                <w:spacing w:val="0"/>
                <w:position w:val="0"/>
                <w:szCs w:val="24"/>
              </w:rPr>
              <w:t>≤</w:t>
            </w:r>
            <w:r>
              <w:rPr>
                <w:spacing w:val="0"/>
                <w:position w:val="0"/>
                <w:szCs w:val="24"/>
              </w:rPr>
              <w:t>P</w:t>
            </w:r>
            <w:r>
              <w:rPr>
                <w:rFonts w:hint="eastAsia"/>
                <w:spacing w:val="0"/>
                <w:position w:val="0"/>
                <w:szCs w:val="24"/>
              </w:rPr>
              <w:t>＜8</w:t>
            </w:r>
            <w:r>
              <w:rPr>
                <w:spacing w:val="0"/>
                <w:position w:val="0"/>
                <w:szCs w:val="24"/>
              </w:rPr>
              <w:t>5</w:t>
            </w:r>
          </w:p>
        </w:tc>
        <w:tc>
          <w:tcPr>
            <w:tcW w:w="2969" w:type="dxa"/>
            <w:vAlign w:val="center"/>
          </w:tcPr>
          <w:p>
            <w:pPr>
              <w:widowControl w:val="0"/>
              <w:adjustRightInd w:val="0"/>
              <w:snapToGrid w:val="0"/>
              <w:jc w:val="center"/>
              <w:rPr>
                <w:spacing w:val="0"/>
                <w:position w:val="0"/>
                <w:szCs w:val="24"/>
              </w:rPr>
            </w:pPr>
            <w:r>
              <w:rPr>
                <w:rFonts w:hint="eastAsia"/>
                <w:spacing w:val="0"/>
                <w:position w:val="0"/>
                <w:szCs w:val="24"/>
              </w:rPr>
              <w:t>推广应用</w:t>
            </w:r>
          </w:p>
        </w:tc>
      </w:tr>
    </w:tbl>
    <w:p>
      <w:pPr>
        <w:adjustRightInd w:val="0"/>
        <w:snapToGrid w:val="0"/>
        <w:spacing w:line="360" w:lineRule="auto"/>
        <w:ind w:firstLine="480" w:firstLineChars="200"/>
        <w:rPr>
          <w:spacing w:val="0"/>
          <w:position w:val="0"/>
          <w:sz w:val="24"/>
          <w:szCs w:val="24"/>
        </w:rPr>
      </w:pPr>
      <w:r>
        <w:rPr>
          <w:rFonts w:hint="eastAsia"/>
          <w:spacing w:val="0"/>
          <w:position w:val="0"/>
          <w:sz w:val="24"/>
          <w:szCs w:val="24"/>
        </w:rPr>
        <w:t>本项目清洁生产综合评价指数为</w:t>
      </w:r>
      <w:r>
        <w:rPr>
          <w:rFonts w:hint="eastAsia"/>
          <w:color w:val="auto"/>
          <w:spacing w:val="0"/>
          <w:position w:val="0"/>
          <w:sz w:val="24"/>
          <w:szCs w:val="24"/>
          <w:lang w:val="en-US" w:eastAsia="zh-CN"/>
        </w:rPr>
        <w:t>145.36</w:t>
      </w:r>
      <w:r>
        <w:rPr>
          <w:rFonts w:hint="eastAsia"/>
          <w:spacing w:val="0"/>
          <w:position w:val="0"/>
          <w:sz w:val="24"/>
          <w:szCs w:val="24"/>
        </w:rPr>
        <w:t>，属于清洁生产先进企业。</w:t>
      </w:r>
    </w:p>
    <w:p>
      <w:pPr>
        <w:adjustRightInd w:val="0"/>
        <w:snapToGrid w:val="0"/>
        <w:spacing w:line="360" w:lineRule="auto"/>
        <w:outlineLvl w:val="1"/>
        <w:rPr>
          <w:rFonts w:hint="eastAsia"/>
          <w:b/>
          <w:bCs/>
          <w:spacing w:val="0"/>
          <w:position w:val="0"/>
          <w:sz w:val="30"/>
          <w:szCs w:val="30"/>
        </w:rPr>
      </w:pPr>
      <w:r>
        <w:rPr>
          <w:rFonts w:hint="eastAsia"/>
          <w:b/>
          <w:bCs/>
          <w:spacing w:val="0"/>
          <w:position w:val="0"/>
          <w:sz w:val="30"/>
          <w:szCs w:val="30"/>
          <w:lang w:eastAsia="zh-CN"/>
        </w:rPr>
        <w:t>3.7</w:t>
      </w:r>
      <w:r>
        <w:rPr>
          <w:rFonts w:hint="eastAsia"/>
          <w:b/>
          <w:bCs/>
          <w:spacing w:val="0"/>
          <w:position w:val="0"/>
          <w:sz w:val="30"/>
          <w:szCs w:val="30"/>
          <w:lang w:val="en-US" w:eastAsia="zh-CN"/>
        </w:rPr>
        <w:t>规划及规划环评</w:t>
      </w:r>
      <w:r>
        <w:rPr>
          <w:rFonts w:hint="eastAsia"/>
          <w:b/>
          <w:bCs/>
          <w:spacing w:val="0"/>
          <w:position w:val="0"/>
          <w:sz w:val="30"/>
          <w:szCs w:val="30"/>
        </w:rPr>
        <w:t>符合性分析</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eastAsia="zh-CN"/>
        </w:rPr>
        <w:t>3.7</w:t>
      </w:r>
      <w:r>
        <w:rPr>
          <w:rFonts w:hint="eastAsia"/>
          <w:b/>
          <w:bCs/>
          <w:spacing w:val="0"/>
          <w:position w:val="0"/>
          <w:sz w:val="28"/>
          <w:szCs w:val="28"/>
        </w:rPr>
        <w:t>.1</w:t>
      </w:r>
      <w:r>
        <w:rPr>
          <w:rFonts w:hint="eastAsia"/>
          <w:b/>
          <w:bCs/>
          <w:spacing w:val="0"/>
          <w:position w:val="0"/>
          <w:sz w:val="28"/>
          <w:szCs w:val="28"/>
          <w:lang w:val="en-US" w:eastAsia="zh-CN"/>
        </w:rPr>
        <w:t>规划</w:t>
      </w:r>
      <w:r>
        <w:rPr>
          <w:rFonts w:hint="eastAsia"/>
          <w:b/>
          <w:bCs/>
          <w:spacing w:val="0"/>
          <w:position w:val="0"/>
          <w:sz w:val="28"/>
          <w:szCs w:val="28"/>
        </w:rPr>
        <w:t>符合性分析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3.7.1.1与《环罗源湾地区工业产业布局规划(2020-2025年)修编》符合性分析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环罗源湾地区工业产业布局（2020-2025年）修编》相关内容：环罗源湾地区规划功能定位为：福州南北两翼重要的重工业基地之一，华东地区重要的能源基地之一，闽东北区域产业对接合作承载区，福州深水枢纽港区和散货物流集散中心，临港产业型循环经济综合示范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规划主导产业和各产业发展方向：形成冶金、化工、电力能源、机械装备制造四大临港产业，形成汽车和新能源配件、先进织造染整、新材料、食品加工、环保五大特色产业。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规划发展目标：合理开发利用深水岸线，通过港口积极利用境外资源，大运量进出原材料和产品，重点突出冶金、化工、电力能源、机械装备等临港产业，以及汽车和新能源配件、先进织造染整、新材料、食品加工、环保产业等特色产业，形成港口经济产业集群，构筑经济高效、技术先进、资源节约、环境友好的新型临港产业体系，使临港产业成为福州经济发展的主力军、成为福州提升产业国际竞争力的重要力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大官坂组团主要发展化工、先进织造染整、机械装备制造、新材料等产业。积极发展以聚酰胺为代表的工程塑料、特种弹性体等化工新材料，建设一个产品丰富的新材料生产基地。适度配套先进织造染整产业，主要依托该组团内现有的申远百万吨级聚酰胺一体化项目及恒捷纺织一体化项目的优势基础，引入织染一体化企业，向下延伸产业链。机械装备制造产业鼓励发展海洋装备、渔业装备、高附加值的金属制品精深加工。支持国家战略新兴产业入驻该组团。</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eastAsia"/>
          <w:b w:val="0"/>
          <w:bCs w:val="0"/>
          <w:spacing w:val="0"/>
          <w:position w:val="0"/>
          <w:sz w:val="24"/>
          <w:szCs w:val="24"/>
          <w:lang w:val="en-US" w:eastAsia="zh-CN"/>
        </w:rPr>
      </w:pPr>
      <w:r>
        <w:rPr>
          <w:rFonts w:hint="eastAsia"/>
          <w:b/>
          <w:bCs/>
          <w:spacing w:val="0"/>
          <w:position w:val="0"/>
          <w:sz w:val="24"/>
          <w:szCs w:val="24"/>
          <w:lang w:val="en-US" w:eastAsia="zh-CN"/>
        </w:rPr>
        <w:t>项目符合性分析：</w:t>
      </w:r>
      <w:r>
        <w:rPr>
          <w:rFonts w:hint="eastAsia"/>
          <w:b w:val="0"/>
          <w:bCs w:val="0"/>
          <w:spacing w:val="0"/>
          <w:position w:val="0"/>
          <w:sz w:val="24"/>
          <w:szCs w:val="24"/>
          <w:lang w:val="en-US" w:eastAsia="zh-CN"/>
        </w:rPr>
        <w:t>拟建项目主要建设内容为智能化高档纺织面料的织造和染整，采用先进的清洁生产工艺技术，使用污染强度小、节能环保的数字智能化设备，拟建项目达到国内先进清洁生产水平。符合《环罗源湾地区工业产业布局规划(2020-2025年)修编》产业规划。本项目与大官坂组团用地范围及产业规划如图3.7-1所示，与环罗源湾产业布局规划范围的位置关系图如图3.7-2所示。（略）</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3.7.1.2与《环罗源湾地区工业产业布局规划(2020-2025年)修编环境影响报告》及审查意见的符合性分析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环罗源湾地区工业产业布局规划（2020-2025年）修编环境影响报告书》提出，在继续执行上版规划环评提出的生态环境准入要求的情况下，从空间布局约束、污染物排放管控、环境风险防控、资源开发利用要求等四个方面补充相关生态环境准入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福州市生态环境局于2022年3月25日出具关于印发《环罗源湾地区工业产业布局规划(2020-2025年)修编环境影响报告书》审查小组意见的通知（榕环评[2022]8号）。对照《环罗源湾地区工业产业布局规划（2020-2025年）修编环境影响报告书》及其审查意见，拟建项目符合《环罗源湾地区工业产业布局规划（2020-2025年）修编环境影响报告书》及其审查意见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项目建设内容与《环罗源湾地区工业产业布局规划（2020-2025年）修编环境影响报告书》及其审查意见中涉及“大官坂组团”内容的符合性分析见下表3.7-1、表3.7-2。</w:t>
      </w:r>
    </w:p>
    <w:p>
      <w:pPr>
        <w:pStyle w:val="2"/>
        <w:rPr>
          <w:rFonts w:hint="default"/>
          <w:spacing w:val="0"/>
          <w:position w:val="0"/>
          <w:lang w:val="en-US" w:eastAsia="zh-CN"/>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2"/>
        <w:rPr>
          <w:rFonts w:ascii="Times New Roman" w:hAnsi="Times New Roman" w:cs="Times New Roman"/>
          <w:color w:val="auto"/>
          <w:spacing w:val="0"/>
          <w:position w:val="0"/>
          <w:szCs w:val="24"/>
        </w:rPr>
      </w:pPr>
      <w:r>
        <w:rPr>
          <w:rFonts w:ascii="Times New Roman" w:hAnsi="Times New Roman" w:cs="Times New Roman"/>
          <w:color w:val="auto"/>
          <w:spacing w:val="0"/>
          <w:position w:val="0"/>
          <w:szCs w:val="24"/>
          <w:lang w:val="en-US" w:eastAsia="zh-CN"/>
        </w:rPr>
        <w:t>表</w:t>
      </w:r>
      <w:r>
        <w:rPr>
          <w:rFonts w:hint="eastAsia" w:ascii="Times New Roman" w:hAnsi="Times New Roman" w:cs="Times New Roman"/>
          <w:color w:val="auto"/>
          <w:spacing w:val="0"/>
          <w:position w:val="0"/>
          <w:szCs w:val="24"/>
          <w:lang w:val="en-US" w:eastAsia="zh-CN"/>
        </w:rPr>
        <w:t>3.7-1</w:t>
      </w:r>
      <w:r>
        <w:rPr>
          <w:rFonts w:ascii="Times New Roman" w:hAnsi="Times New Roman" w:cs="Times New Roman"/>
          <w:color w:val="auto"/>
          <w:spacing w:val="0"/>
          <w:position w:val="0"/>
          <w:szCs w:val="24"/>
          <w:lang w:val="en-US" w:eastAsia="zh-CN"/>
        </w:rPr>
        <w:t>项目与规划环评中准入要求符合性一览表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2"/>
        <w:gridCol w:w="8431"/>
        <w:gridCol w:w="4391"/>
        <w:gridCol w:w="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03" w:type="dxa"/>
            <w:gridSpan w:val="2"/>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《环罗源湾地区工业产业布局规划（2020-2025年）环境影响报告书》生态环境准入要求</w:t>
            </w:r>
          </w:p>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（摘录）</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项目情况</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5" w:hRule="atLeast"/>
          <w:jc w:val="center"/>
        </w:trPr>
        <w:tc>
          <w:tcPr>
            <w:tcW w:w="472" w:type="dxa"/>
            <w:vMerge w:val="restar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rPr>
              <w:t>空间布局约束</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olor w:val="auto"/>
                <w:spacing w:val="0"/>
                <w:position w:val="0"/>
                <w:sz w:val="21"/>
              </w:rPr>
            </w:pPr>
            <w:r>
              <w:rPr>
                <w:rFonts w:hint="eastAsia" w:ascii="Times New Roman" w:hAnsi="Times New Roman"/>
                <w:color w:val="auto"/>
                <w:spacing w:val="0"/>
                <w:position w:val="0"/>
                <w:sz w:val="21"/>
              </w:rPr>
              <w:t>1</w:t>
            </w:r>
            <w:r>
              <w:rPr>
                <w:rFonts w:hint="eastAsia" w:ascii="Times New Roman" w:hAnsi="Times New Roman"/>
                <w:color w:val="auto"/>
                <w:spacing w:val="0"/>
                <w:position w:val="0"/>
                <w:sz w:val="21"/>
                <w:lang w:eastAsia="zh-CN"/>
              </w:rPr>
              <w:t>、</w:t>
            </w:r>
            <w:r>
              <w:rPr>
                <w:rFonts w:hint="eastAsia" w:ascii="Times New Roman" w:hAnsi="Times New Roman"/>
                <w:color w:val="auto"/>
                <w:spacing w:val="0"/>
                <w:position w:val="0"/>
                <w:sz w:val="21"/>
              </w:rPr>
              <w:t>区域应重点发展高端装备制造业，利用港口优势适量发展冶金、能源产业和污染相对较轻的石化中下游产品，不再布局石化中上游项目，除已批已建的大型煤电和热电联产项目外，规划期内原则上不再建设新的煤电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olor w:val="auto"/>
                <w:spacing w:val="0"/>
                <w:position w:val="0"/>
                <w:sz w:val="21"/>
              </w:rPr>
            </w:pPr>
            <w:r>
              <w:rPr>
                <w:rFonts w:hint="eastAsia" w:ascii="Times New Roman" w:hAnsi="Times New Roman"/>
                <w:color w:val="auto"/>
                <w:spacing w:val="0"/>
                <w:position w:val="0"/>
                <w:sz w:val="21"/>
              </w:rPr>
              <w:t>2</w:t>
            </w:r>
            <w:r>
              <w:rPr>
                <w:rFonts w:hint="eastAsia" w:ascii="Times New Roman" w:hAnsi="Times New Roman"/>
                <w:color w:val="auto"/>
                <w:spacing w:val="0"/>
                <w:position w:val="0"/>
                <w:sz w:val="21"/>
                <w:lang w:eastAsia="zh-CN"/>
              </w:rPr>
              <w:t>、</w:t>
            </w:r>
            <w:r>
              <w:rPr>
                <w:rFonts w:hint="eastAsia" w:ascii="Times New Roman" w:hAnsi="Times New Roman"/>
                <w:color w:val="auto"/>
                <w:spacing w:val="0"/>
                <w:position w:val="0"/>
                <w:sz w:val="21"/>
              </w:rPr>
              <w:t>除牛坑湾已批围填海项目外，规划期内罗源湾不再新增围填海项目。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olor w:val="auto"/>
                <w:spacing w:val="0"/>
                <w:position w:val="0"/>
                <w:sz w:val="21"/>
              </w:rPr>
            </w:pPr>
            <w:r>
              <w:rPr>
                <w:rFonts w:hint="eastAsia" w:ascii="Times New Roman" w:hAnsi="Times New Roman"/>
                <w:color w:val="auto"/>
                <w:spacing w:val="0"/>
                <w:position w:val="0"/>
                <w:sz w:val="21"/>
              </w:rPr>
              <w:t>3</w:t>
            </w:r>
            <w:r>
              <w:rPr>
                <w:rFonts w:hint="eastAsia" w:ascii="Times New Roman" w:hAnsi="Times New Roman"/>
                <w:color w:val="auto"/>
                <w:spacing w:val="0"/>
                <w:position w:val="0"/>
                <w:sz w:val="21"/>
                <w:lang w:eastAsia="zh-CN"/>
              </w:rPr>
              <w:t>、</w:t>
            </w:r>
            <w:r>
              <w:rPr>
                <w:rFonts w:hint="eastAsia" w:ascii="Times New Roman" w:hAnsi="Times New Roman"/>
                <w:color w:val="auto"/>
                <w:spacing w:val="0"/>
                <w:position w:val="0"/>
                <w:sz w:val="21"/>
              </w:rPr>
              <w:t>主导产业集中布置，罗源湾北岸不设置化工产业，南岸不设置冶金产业。</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olor w:val="auto"/>
                <w:spacing w:val="0"/>
                <w:position w:val="0"/>
                <w:sz w:val="21"/>
              </w:rPr>
            </w:pPr>
            <w:r>
              <w:rPr>
                <w:rFonts w:hint="eastAsia" w:ascii="Times New Roman" w:hAnsi="Times New Roman"/>
                <w:color w:val="auto"/>
                <w:spacing w:val="0"/>
                <w:position w:val="0"/>
                <w:sz w:val="21"/>
              </w:rPr>
              <w:t>4</w:t>
            </w:r>
            <w:r>
              <w:rPr>
                <w:rFonts w:hint="eastAsia" w:ascii="Times New Roman" w:hAnsi="Times New Roman"/>
                <w:color w:val="auto"/>
                <w:spacing w:val="0"/>
                <w:position w:val="0"/>
                <w:sz w:val="21"/>
                <w:lang w:eastAsia="zh-CN"/>
              </w:rPr>
              <w:t>、</w:t>
            </w:r>
            <w:r>
              <w:rPr>
                <w:rFonts w:hint="eastAsia" w:ascii="Times New Roman" w:hAnsi="Times New Roman"/>
                <w:color w:val="auto"/>
                <w:spacing w:val="0"/>
                <w:position w:val="0"/>
                <w:sz w:val="21"/>
              </w:rPr>
              <w:t>产业组团外涉及西溪水库水源保护区等陆域生态保护红线的自然保护地核心保护区原则上禁止人为活动，产业组团内大官坂西侧洋尾山和可门组团猪母鼻、大湖山、大坪顶等陆域生态保护红线其他区域，应严格控制项目开发建设。</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olor w:val="auto"/>
                <w:spacing w:val="0"/>
                <w:position w:val="0"/>
                <w:sz w:val="21"/>
              </w:rPr>
            </w:pPr>
            <w:r>
              <w:rPr>
                <w:rFonts w:hint="eastAsia" w:ascii="Times New Roman" w:hAnsi="Times New Roman"/>
                <w:color w:val="auto"/>
                <w:spacing w:val="0"/>
                <w:position w:val="0"/>
                <w:sz w:val="21"/>
              </w:rPr>
              <w:t>5</w:t>
            </w:r>
            <w:r>
              <w:rPr>
                <w:rFonts w:hint="eastAsia" w:ascii="Times New Roman" w:hAnsi="Times New Roman"/>
                <w:color w:val="auto"/>
                <w:spacing w:val="0"/>
                <w:position w:val="0"/>
                <w:sz w:val="21"/>
                <w:lang w:eastAsia="zh-CN"/>
              </w:rPr>
              <w:t>、</w:t>
            </w:r>
            <w:r>
              <w:rPr>
                <w:rFonts w:hint="eastAsia" w:ascii="Times New Roman" w:hAnsi="Times New Roman"/>
                <w:color w:val="auto"/>
                <w:spacing w:val="0"/>
                <w:position w:val="0"/>
                <w:sz w:val="21"/>
              </w:rPr>
              <w:t>牛坑湾梅花村、鸡笼屿、澳村、下宫乡可门村沿岸等海洋保护岸线，应严格执行海洋红线中有关自然岸线的管控要求：维持岸线自然属性，禁止实施可能改变自然岸线生态功能的开发建设活动，禁止围填海，禁止非法侵占岸线和采挖海砂，加强对受损岸线的整治和修复。</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 w:val="21"/>
                <w:szCs w:val="21"/>
                <w:lang w:val="en-US" w:eastAsia="zh-CN"/>
              </w:rPr>
            </w:pPr>
            <w:r>
              <w:rPr>
                <w:rFonts w:hint="eastAsia" w:ascii="Times New Roman" w:hAnsi="Times New Roman"/>
                <w:color w:val="auto"/>
                <w:spacing w:val="0"/>
                <w:position w:val="0"/>
                <w:sz w:val="21"/>
              </w:rPr>
              <w:t>6</w:t>
            </w:r>
            <w:r>
              <w:rPr>
                <w:rFonts w:hint="eastAsia" w:ascii="Times New Roman" w:hAnsi="Times New Roman"/>
                <w:color w:val="auto"/>
                <w:spacing w:val="0"/>
                <w:position w:val="0"/>
                <w:sz w:val="21"/>
                <w:lang w:eastAsia="zh-CN"/>
              </w:rPr>
              <w:t>、</w:t>
            </w:r>
            <w:r>
              <w:rPr>
                <w:rFonts w:hint="eastAsia" w:ascii="Times New Roman" w:hAnsi="Times New Roman"/>
                <w:color w:val="auto"/>
                <w:spacing w:val="0"/>
                <w:position w:val="0"/>
                <w:sz w:val="21"/>
              </w:rPr>
              <w:t>环罗源湾区域港区建设应按照《福州港总体规划（修订）》及其规划环评要求实施。</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1、</w:t>
            </w:r>
            <w:r>
              <w:rPr>
                <w:rFonts w:hint="eastAsia" w:ascii="Times New Roman" w:hAnsi="Times New Roman" w:cs="Times New Roman"/>
                <w:color w:val="auto"/>
                <w:spacing w:val="0"/>
                <w:position w:val="0"/>
                <w:szCs w:val="21"/>
                <w:lang w:val="en-US" w:eastAsia="zh-CN"/>
              </w:rPr>
              <w:t>本</w:t>
            </w:r>
            <w:r>
              <w:rPr>
                <w:rFonts w:ascii="Times New Roman" w:hAnsi="Times New Roman" w:cs="Times New Roman"/>
                <w:color w:val="auto"/>
                <w:spacing w:val="0"/>
                <w:position w:val="0"/>
                <w:szCs w:val="21"/>
                <w:lang w:val="en-US" w:eastAsia="zh-CN"/>
              </w:rPr>
              <w:t>项目属于</w:t>
            </w:r>
            <w:r>
              <w:rPr>
                <w:rFonts w:hint="eastAsia" w:ascii="Times New Roman" w:hAnsi="Times New Roman" w:cs="Times New Roman"/>
                <w:color w:val="auto"/>
                <w:spacing w:val="0"/>
                <w:position w:val="0"/>
                <w:szCs w:val="21"/>
                <w:lang w:val="en-US" w:eastAsia="zh-CN"/>
              </w:rPr>
              <w:t>纺织印染工业</w:t>
            </w:r>
            <w:r>
              <w:rPr>
                <w:rFonts w:ascii="Times New Roman" w:hAnsi="Times New Roman" w:cs="Times New Roman"/>
                <w:color w:val="auto"/>
                <w:spacing w:val="0"/>
                <w:position w:val="0"/>
                <w:szCs w:val="21"/>
                <w:lang w:val="en-US" w:eastAsia="zh-CN"/>
              </w:rPr>
              <w:t>项目</w:t>
            </w:r>
            <w:r>
              <w:rPr>
                <w:rFonts w:hint="eastAsia" w:ascii="Times New Roman" w:hAnsi="Times New Roman" w:cs="Times New Roman"/>
                <w:color w:val="auto"/>
                <w:spacing w:val="0"/>
                <w:position w:val="0"/>
                <w:szCs w:val="21"/>
                <w:lang w:val="en-US" w:eastAsia="zh-CN"/>
              </w:rPr>
              <w:t>，</w:t>
            </w:r>
            <w:r>
              <w:rPr>
                <w:rFonts w:ascii="Times New Roman" w:hAnsi="Times New Roman" w:cs="Times New Roman"/>
                <w:color w:val="auto"/>
                <w:spacing w:val="0"/>
                <w:position w:val="0"/>
                <w:szCs w:val="21"/>
                <w:lang w:val="en-US" w:eastAsia="zh-CN"/>
              </w:rPr>
              <w:t>不属于禁止新建的石化、煤电项目；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2、项目不属于围填海项目；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3、项目不属于化工产业、冶金产业；</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4、项目用地及评价范围内不涉及生态保护红线区域；</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5、项目用地及评价范围不涉及海洋保护岸线；</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6、项目不</w:t>
            </w:r>
            <w:r>
              <w:rPr>
                <w:rFonts w:hint="eastAsia" w:ascii="Times New Roman" w:hAnsi="Times New Roman" w:cs="Times New Roman"/>
                <w:color w:val="auto"/>
                <w:spacing w:val="0"/>
                <w:position w:val="0"/>
                <w:szCs w:val="21"/>
                <w:lang w:val="en-US" w:eastAsia="zh-CN"/>
              </w:rPr>
              <w:t>属于环罗源湾区域港区建设</w:t>
            </w:r>
            <w:r>
              <w:rPr>
                <w:rFonts w:ascii="Times New Roman" w:hAnsi="Times New Roman" w:cs="Times New Roman"/>
                <w:color w:val="auto"/>
                <w:spacing w:val="0"/>
                <w:position w:val="0"/>
                <w:szCs w:val="21"/>
                <w:lang w:val="en-US" w:eastAsia="zh-CN"/>
              </w:rPr>
              <w:t>。</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r>
              <w:rPr>
                <w:rFonts w:ascii="Times New Roman" w:hAnsi="Times New Roman" w:cs="Times New Roman"/>
                <w:color w:val="auto"/>
                <w:spacing w:val="0"/>
                <w:position w:val="0"/>
                <w:szCs w:val="21"/>
                <w:lang w:val="en-US" w:eastAsia="zh-CN" w:bidi="ar-SA"/>
              </w:rPr>
              <w:drawing>
                <wp:inline distT="0" distB="0" distL="114300" distR="114300">
                  <wp:extent cx="5715" cy="223520"/>
                  <wp:effectExtent l="0" t="0" r="13335" b="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0"/>
                          <a:stretch>
                            <a:fillRect/>
                          </a:stretch>
                        </pic:blipFill>
                        <pic:spPr>
                          <a:xfrm>
                            <a:off x="0" y="0"/>
                            <a:ext cx="5715" cy="22352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0" w:hRule="atLeast"/>
          <w:jc w:val="center"/>
        </w:trPr>
        <w:tc>
          <w:tcPr>
            <w:tcW w:w="472" w:type="dxa"/>
            <w:vMerge w:val="continue"/>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Cs w:val="21"/>
                <w:lang w:val="en-US" w:eastAsia="zh-CN"/>
              </w:rPr>
            </w:pP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 w:val="21"/>
                <w:szCs w:val="21"/>
                <w:lang w:val="en-US" w:eastAsia="zh-CN"/>
              </w:rPr>
            </w:pPr>
            <w:r>
              <w:rPr>
                <w:rFonts w:ascii="Times New Roman" w:hAnsi="Times New Roman" w:cs="Times New Roman"/>
                <w:color w:val="auto"/>
                <w:spacing w:val="0"/>
                <w:position w:val="0"/>
                <w:sz w:val="21"/>
                <w:szCs w:val="21"/>
                <w:lang w:val="en-US" w:eastAsia="zh-CN"/>
              </w:rPr>
              <w:t>1</w:t>
            </w:r>
            <w:r>
              <w:rPr>
                <w:rFonts w:hint="eastAsia" w:ascii="Times New Roman" w:hAnsi="Times New Roman" w:cs="Times New Roman"/>
                <w:color w:val="auto"/>
                <w:spacing w:val="0"/>
                <w:position w:val="0"/>
                <w:sz w:val="21"/>
                <w:szCs w:val="21"/>
                <w:lang w:val="en-US" w:eastAsia="zh-CN"/>
              </w:rPr>
              <w:t>1</w:t>
            </w:r>
            <w:r>
              <w:rPr>
                <w:rFonts w:ascii="Times New Roman" w:hAnsi="Times New Roman" w:cs="Times New Roman"/>
                <w:color w:val="auto"/>
                <w:spacing w:val="0"/>
                <w:position w:val="0"/>
                <w:sz w:val="21"/>
                <w:szCs w:val="21"/>
                <w:lang w:val="en-US" w:eastAsia="zh-CN"/>
              </w:rPr>
              <w:t>、</w:t>
            </w:r>
            <w:r>
              <w:rPr>
                <w:rFonts w:hint="eastAsia" w:ascii="Times New Roman" w:hAnsi="Times New Roman" w:cs="Times New Roman"/>
                <w:color w:val="auto"/>
                <w:spacing w:val="0"/>
                <w:position w:val="0"/>
                <w:sz w:val="21"/>
                <w:szCs w:val="21"/>
                <w:lang w:val="en-US" w:eastAsia="zh-CN"/>
              </w:rPr>
              <w:t>大官坂组团：以年产100万吨己内酰胺项目为标志，发展以聚酰胺材料产品为主线，以高性能新型纤维和异丁烯基材料等为辅的多元化的新材料产业及相关配套的石化中下游产业，发展高端机械装备制造产业，适当引入先进织造染整项目，新建染整项目应执行新增产能与淘汰产能“等量置换”或“减量置换”，染整项目应全部集中在规划的印染产业区内。</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13</w:t>
            </w:r>
            <w:r>
              <w:rPr>
                <w:rFonts w:ascii="Times New Roman" w:hAnsi="Times New Roman" w:cs="Times New Roman"/>
                <w:color w:val="auto"/>
                <w:spacing w:val="0"/>
                <w:position w:val="0"/>
                <w:sz w:val="21"/>
                <w:szCs w:val="21"/>
                <w:lang w:val="en-US" w:eastAsia="zh-CN"/>
              </w:rPr>
              <w:t>、</w:t>
            </w:r>
            <w:r>
              <w:rPr>
                <w:rFonts w:hint="eastAsia" w:ascii="Times New Roman" w:hAnsi="Times New Roman" w:cs="Times New Roman"/>
                <w:color w:val="auto"/>
                <w:spacing w:val="0"/>
                <w:position w:val="0"/>
                <w:sz w:val="21"/>
                <w:szCs w:val="21"/>
                <w:lang w:val="en-US" w:eastAsia="zh-CN"/>
              </w:rPr>
              <w:t>禁止建设《产业转移指导目录》、《产业结构调整指导目录》以及福建省有关产业政策中明确列入淘汰或限制的项目。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14、引进的项目必须符合国家的产业政策，积极引进鼓励类项目，优先引进可形成生态工业链的项目。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15、钢铁冶金、化工企业周边1000m设置为环保控制带，应严格控制环保控制带内的用地规划功能和村镇发展规模，不得新增居民住宅、学校、医院，种植食用农产品等。</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1</w:t>
            </w:r>
            <w:r>
              <w:rPr>
                <w:rFonts w:hint="eastAsia" w:ascii="Times New Roman" w:hAnsi="Times New Roman" w:cs="Times New Roman"/>
                <w:color w:val="auto"/>
                <w:spacing w:val="0"/>
                <w:position w:val="0"/>
                <w:szCs w:val="21"/>
                <w:lang w:val="en-US" w:eastAsia="zh-CN"/>
              </w:rPr>
              <w:t>1</w:t>
            </w:r>
            <w:r>
              <w:rPr>
                <w:rFonts w:ascii="Times New Roman" w:hAnsi="Times New Roman" w:cs="Times New Roman"/>
                <w:color w:val="auto"/>
                <w:spacing w:val="0"/>
                <w:position w:val="0"/>
                <w:szCs w:val="21"/>
                <w:lang w:val="en-US" w:eastAsia="zh-CN"/>
              </w:rPr>
              <w:t>、</w:t>
            </w:r>
            <w:r>
              <w:rPr>
                <w:rFonts w:hint="eastAsia" w:ascii="Times New Roman" w:hAnsi="Times New Roman" w:cs="Times New Roman"/>
                <w:color w:val="auto"/>
                <w:spacing w:val="0"/>
                <w:position w:val="0"/>
                <w:szCs w:val="21"/>
                <w:lang w:val="en-US" w:eastAsia="zh-CN"/>
              </w:rPr>
              <w:t>本</w:t>
            </w:r>
            <w:r>
              <w:rPr>
                <w:rFonts w:ascii="Times New Roman" w:hAnsi="Times New Roman" w:cs="Times New Roman"/>
                <w:color w:val="auto"/>
                <w:spacing w:val="0"/>
                <w:position w:val="0"/>
                <w:szCs w:val="21"/>
                <w:lang w:val="en-US" w:eastAsia="zh-CN"/>
              </w:rPr>
              <w:t>项目属于</w:t>
            </w:r>
            <w:r>
              <w:rPr>
                <w:rFonts w:hint="eastAsia" w:ascii="Times New Roman" w:hAnsi="Times New Roman" w:cs="Times New Roman"/>
                <w:color w:val="auto"/>
                <w:spacing w:val="0"/>
                <w:position w:val="0"/>
                <w:szCs w:val="21"/>
                <w:lang w:val="en-US" w:eastAsia="zh-CN"/>
              </w:rPr>
              <w:t>为织造染整项目，位于连江可门绿色纺织产业园内，符合园区规划；</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13、</w:t>
            </w:r>
            <w:r>
              <w:rPr>
                <w:rFonts w:ascii="Times New Roman" w:hAnsi="Times New Roman" w:cs="Times New Roman"/>
                <w:color w:val="auto"/>
                <w:spacing w:val="0"/>
                <w:position w:val="0"/>
                <w:szCs w:val="21"/>
                <w:lang w:val="en-US" w:eastAsia="zh-CN"/>
              </w:rPr>
              <w:t>项目符合现行的《产业转移指导目录》、《产业结构调整指导目录》以及福建省相关产业政策，不属于淘汰、限制类项目；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3、项目</w:t>
            </w:r>
            <w:r>
              <w:rPr>
                <w:rFonts w:hint="eastAsia" w:ascii="Times New Roman" w:hAnsi="Times New Roman" w:cs="Times New Roman"/>
                <w:color w:val="auto"/>
                <w:spacing w:val="0"/>
                <w:position w:val="0"/>
                <w:szCs w:val="21"/>
                <w:lang w:val="en-US" w:eastAsia="zh-CN"/>
              </w:rPr>
              <w:t>属于鼓励类项目</w:t>
            </w:r>
            <w:r>
              <w:rPr>
                <w:rFonts w:ascii="Times New Roman" w:hAnsi="Times New Roman" w:cs="Times New Roman"/>
                <w:color w:val="auto"/>
                <w:spacing w:val="0"/>
                <w:position w:val="0"/>
                <w:szCs w:val="21"/>
                <w:lang w:val="en-US" w:eastAsia="zh-CN"/>
              </w:rPr>
              <w:t>，符合国家产业政策；</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4、项目不属于钢铁冶金、化工企业。</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r>
              <w:rPr>
                <w:rFonts w:ascii="Times New Roman" w:hAnsi="Times New Roman" w:cs="Times New Roman"/>
                <w:color w:val="auto"/>
                <w:spacing w:val="0"/>
                <w:position w:val="0"/>
                <w:szCs w:val="21"/>
                <w:lang w:val="en-US" w:eastAsia="zh-CN" w:bidi="ar-SA"/>
              </w:rPr>
              <w:drawing>
                <wp:inline distT="0" distB="0" distL="114300" distR="114300">
                  <wp:extent cx="5715" cy="223520"/>
                  <wp:effectExtent l="0" t="0" r="13335" b="317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1"/>
                          <a:stretch>
                            <a:fillRect/>
                          </a:stretch>
                        </pic:blipFill>
                        <pic:spPr>
                          <a:xfrm>
                            <a:off x="0" y="0"/>
                            <a:ext cx="5715" cy="22352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2" w:type="dxa"/>
            <w:vMerge w:val="restar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污染排放管控</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1、新建印染、合成氨建设项目，应实行化学需氧量不低于1.2倍、氨氮不低于1.5倍的削减替代。</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2、新建钢铁冶炼项目，应实行二氧化硫不低于1.2倍的削减替代；新建火力发电项目，应实行氮氧化物不低于1.5倍的削减替代。</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3、其他未作明确规定的行业新增排放量，实行不低于1倍的削减替代。</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1、</w:t>
            </w:r>
            <w:r>
              <w:rPr>
                <w:rFonts w:hint="eastAsia" w:ascii="Times New Roman" w:hAnsi="Times New Roman" w:cs="Times New Roman"/>
                <w:color w:val="auto"/>
                <w:spacing w:val="0"/>
                <w:position w:val="0"/>
                <w:szCs w:val="21"/>
                <w:lang w:val="en-US" w:eastAsia="zh-CN"/>
              </w:rPr>
              <w:t>本项目为新建印染项目，项目建设后其实行化学需氧量不低于1.2倍、氨氮不低于1.5倍的削减替代</w:t>
            </w:r>
            <w:r>
              <w:rPr>
                <w:rFonts w:ascii="Times New Roman" w:hAnsi="Times New Roman" w:cs="Times New Roman"/>
                <w:color w:val="auto"/>
                <w:spacing w:val="0"/>
                <w:position w:val="0"/>
                <w:szCs w:val="21"/>
                <w:lang w:val="en-US" w:eastAsia="zh-CN"/>
              </w:rPr>
              <w:t>；</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2、项目不属于钢铁冶炼项目；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3、项目</w:t>
            </w:r>
            <w:r>
              <w:rPr>
                <w:rFonts w:hint="eastAsia" w:ascii="Times New Roman" w:hAnsi="Times New Roman" w:cs="Times New Roman"/>
                <w:color w:val="auto"/>
                <w:spacing w:val="0"/>
                <w:position w:val="0"/>
                <w:szCs w:val="21"/>
                <w:lang w:val="en-US" w:eastAsia="zh-CN"/>
              </w:rPr>
              <w:t>涉及的新增排放量，均实行不低于1倍的削减替代</w:t>
            </w:r>
            <w:r>
              <w:rPr>
                <w:rFonts w:ascii="Times New Roman" w:hAnsi="Times New Roman" w:cs="Times New Roman"/>
                <w:color w:val="auto"/>
                <w:spacing w:val="0"/>
                <w:position w:val="0"/>
                <w:szCs w:val="21"/>
                <w:lang w:val="en-US" w:eastAsia="zh-CN"/>
              </w:rPr>
              <w:t>。</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76" w:hRule="atLeast"/>
          <w:jc w:val="center"/>
        </w:trPr>
        <w:tc>
          <w:tcPr>
            <w:tcW w:w="472" w:type="dxa"/>
            <w:vMerge w:val="continue"/>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4、钢铁行业执行超低排放：烧结机机头、球团焙烧烟气颗粒物、二氧化硫、氮氧化物排放浓度小时均值分别不高于10、35、50mg/m</w:t>
            </w:r>
            <w:r>
              <w:rPr>
                <w:rFonts w:hint="eastAsia" w:ascii="Times New Roman" w:hAnsi="Times New Roman" w:cs="Times New Roman"/>
                <w:color w:val="auto"/>
                <w:spacing w:val="0"/>
                <w:position w:val="0"/>
                <w:szCs w:val="21"/>
                <w:vertAlign w:val="superscript"/>
                <w:lang w:val="en-US" w:eastAsia="zh-CN"/>
              </w:rPr>
              <w:t>3</w:t>
            </w:r>
            <w:r>
              <w:rPr>
                <w:rFonts w:hint="eastAsia" w:ascii="Times New Roman" w:hAnsi="Times New Roman" w:cs="Times New Roman"/>
                <w:color w:val="auto"/>
                <w:spacing w:val="0"/>
                <w:position w:val="0"/>
                <w:szCs w:val="21"/>
                <w:lang w:val="en-US" w:eastAsia="zh-CN"/>
              </w:rPr>
              <w:t>；其他主要污染源颗粒物、二氧化硫、氮氧化物排放浓度小时均值原则上分别不高于10、50、200mg/m</w:t>
            </w:r>
            <w:r>
              <w:rPr>
                <w:rFonts w:hint="eastAsia" w:ascii="Times New Roman" w:hAnsi="Times New Roman" w:cs="Times New Roman"/>
                <w:color w:val="auto"/>
                <w:spacing w:val="0"/>
                <w:position w:val="0"/>
                <w:szCs w:val="21"/>
                <w:vertAlign w:val="superscript"/>
                <w:lang w:val="en-US" w:eastAsia="zh-CN"/>
              </w:rPr>
              <w:t>3</w:t>
            </w:r>
            <w:r>
              <w:rPr>
                <w:rFonts w:hint="eastAsia" w:ascii="Times New Roman" w:hAnsi="Times New Roman" w:cs="Times New Roman"/>
                <w:color w:val="auto"/>
                <w:spacing w:val="0"/>
                <w:position w:val="0"/>
                <w:szCs w:val="21"/>
                <w:lang w:val="en-US" w:eastAsia="zh-CN"/>
              </w:rPr>
              <w:t>。</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5、火电行业执行超低排放：烟尘、二氧化硫、氮氧化物排放浓度（基准含氧量6%）分别不超过5mg/m</w:t>
            </w:r>
            <w:r>
              <w:rPr>
                <w:rFonts w:hint="eastAsia" w:ascii="Times New Roman" w:hAnsi="Times New Roman" w:cs="Times New Roman"/>
                <w:color w:val="auto"/>
                <w:spacing w:val="0"/>
                <w:position w:val="0"/>
                <w:szCs w:val="21"/>
                <w:vertAlign w:val="superscript"/>
                <w:lang w:val="en-US" w:eastAsia="zh-CN"/>
              </w:rPr>
              <w:t>3</w:t>
            </w:r>
            <w:r>
              <w:rPr>
                <w:rFonts w:hint="eastAsia" w:ascii="Times New Roman" w:hAnsi="Times New Roman" w:cs="Times New Roman"/>
                <w:color w:val="auto"/>
                <w:spacing w:val="0"/>
                <w:position w:val="0"/>
                <w:szCs w:val="21"/>
                <w:lang w:val="en-US" w:eastAsia="zh-CN"/>
              </w:rPr>
              <w:t>、35mg/m</w:t>
            </w:r>
            <w:r>
              <w:rPr>
                <w:rFonts w:hint="eastAsia" w:ascii="Times New Roman" w:hAnsi="Times New Roman" w:cs="Times New Roman"/>
                <w:color w:val="auto"/>
                <w:spacing w:val="0"/>
                <w:position w:val="0"/>
                <w:szCs w:val="21"/>
                <w:vertAlign w:val="superscript"/>
                <w:lang w:val="en-US" w:eastAsia="zh-CN"/>
              </w:rPr>
              <w:t>3</w:t>
            </w:r>
            <w:r>
              <w:rPr>
                <w:rFonts w:hint="eastAsia" w:ascii="Times New Roman" w:hAnsi="Times New Roman" w:cs="Times New Roman"/>
                <w:color w:val="auto"/>
                <w:spacing w:val="0"/>
                <w:position w:val="0"/>
                <w:szCs w:val="21"/>
                <w:lang w:val="en-US" w:eastAsia="zh-CN"/>
              </w:rPr>
              <w:t>、50mg/m</w:t>
            </w:r>
            <w:r>
              <w:rPr>
                <w:rFonts w:hint="eastAsia" w:ascii="Times New Roman" w:hAnsi="Times New Roman" w:cs="Times New Roman"/>
                <w:color w:val="auto"/>
                <w:spacing w:val="0"/>
                <w:position w:val="0"/>
                <w:szCs w:val="21"/>
                <w:vertAlign w:val="superscript"/>
                <w:lang w:val="en-US" w:eastAsia="zh-CN"/>
              </w:rPr>
              <w:t>3</w:t>
            </w:r>
            <w:r>
              <w:rPr>
                <w:rFonts w:hint="eastAsia" w:ascii="Times New Roman" w:hAnsi="Times New Roman" w:cs="Times New Roman"/>
                <w:color w:val="auto"/>
                <w:spacing w:val="0"/>
                <w:position w:val="0"/>
                <w:szCs w:val="21"/>
                <w:lang w:val="en-US" w:eastAsia="zh-CN"/>
              </w:rPr>
              <w:t>。</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本</w:t>
            </w:r>
            <w:r>
              <w:rPr>
                <w:rFonts w:ascii="Times New Roman" w:hAnsi="Times New Roman" w:cs="Times New Roman"/>
                <w:color w:val="auto"/>
                <w:spacing w:val="0"/>
                <w:position w:val="0"/>
                <w:szCs w:val="21"/>
                <w:lang w:val="en-US" w:eastAsia="zh-CN"/>
              </w:rPr>
              <w:t>项目属于</w:t>
            </w:r>
            <w:r>
              <w:rPr>
                <w:rFonts w:hint="eastAsia" w:ascii="Times New Roman" w:hAnsi="Times New Roman" w:cs="Times New Roman"/>
                <w:color w:val="auto"/>
                <w:spacing w:val="0"/>
                <w:position w:val="0"/>
                <w:szCs w:val="21"/>
                <w:lang w:val="en-US" w:eastAsia="zh-CN"/>
              </w:rPr>
              <w:t>纺织印染工业，</w:t>
            </w:r>
            <w:r>
              <w:rPr>
                <w:rFonts w:ascii="Times New Roman" w:hAnsi="Times New Roman" w:cs="Times New Roman"/>
                <w:color w:val="auto"/>
                <w:spacing w:val="0"/>
                <w:position w:val="0"/>
                <w:szCs w:val="21"/>
                <w:lang w:val="en-US" w:eastAsia="zh-CN"/>
              </w:rPr>
              <w:t>不涉及</w:t>
            </w:r>
            <w:r>
              <w:rPr>
                <w:rFonts w:hint="eastAsia" w:ascii="Times New Roman" w:hAnsi="Times New Roman" w:cs="Times New Roman"/>
                <w:color w:val="auto"/>
                <w:spacing w:val="0"/>
                <w:position w:val="0"/>
                <w:szCs w:val="21"/>
                <w:lang w:val="en-US" w:eastAsia="zh-CN"/>
              </w:rPr>
              <w:t>钢铁、火电行业</w:t>
            </w:r>
            <w:r>
              <w:rPr>
                <w:rFonts w:ascii="Times New Roman" w:hAnsi="Times New Roman" w:cs="Times New Roman"/>
                <w:color w:val="auto"/>
                <w:spacing w:val="0"/>
                <w:position w:val="0"/>
                <w:szCs w:val="21"/>
                <w:lang w:val="en-US" w:eastAsia="zh-CN"/>
              </w:rPr>
              <w:t>。</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4" w:hRule="atLeast"/>
          <w:jc w:val="center"/>
        </w:trPr>
        <w:tc>
          <w:tcPr>
            <w:tcW w:w="472" w:type="dxa"/>
            <w:vMerge w:val="continue"/>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6、污水处理厂尾水执行《城镇污水处理厂污染物排放标准》中一级A标准乃至更严格的标准要求。</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7、金港污水处理厂和牛坑湾污水处理厂尾水排放口应设置在将军帽深海排放。</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8、加快完成可门污水处理厂湾外排海工程，在湾外排海工程建成前，不得新建投产化工、印染及其他产生工业废水排放的建设项目。</w:t>
            </w:r>
          </w:p>
        </w:tc>
        <w:tc>
          <w:tcPr>
            <w:tcW w:w="4391" w:type="dxa"/>
            <w:tcBorders>
              <w:tl2br w:val="nil"/>
              <w:tr2bl w:val="nil"/>
            </w:tcBorders>
            <w:noWrap w:val="0"/>
            <w:vAlign w:val="top"/>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可门经济开发区正在加紧湾外排海口的建设。项目废水经分质收集后排入产业园配套的污水处理厂统一处理达《城镇污水处理厂污染物排放标准》(GB18918-2002)一级A标准后接入湾外排放口排放。</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0" w:hRule="atLeast"/>
          <w:jc w:val="center"/>
        </w:trPr>
        <w:tc>
          <w:tcPr>
            <w:tcW w:w="472"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环境风险防控</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建设涉及有毒有害物质的生产装置、储罐和管道，或者建设污水处理池、应急池、固体废物处置设施等存在土壤污染风险的设施，应当按照国家有关标准和规范的要求，设计、建设和安装有关防腐蚀、防泄漏设施和泄漏监测装置，防止有毒有害物质污染土壤和地下水。</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在各企业设置环境风险事故应急池的基地上，大官坂化工园区应健全环境风险防控工程，建设公共环境应急池系统，完善事故废水导流措施，建设功率足够的双向动力提升设施，形成企业应急池、企业间应急池共用和园区公共应急池三级应急池体系，提升园区应对环境风险能力。</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3、加强区域应急物资储备与调配管理，构建区域环境风险联控机制，全面提升区域环境风险防控和应急响应能力。</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4、建立污染天气、重点断面监测预警系统，建立市、县联动应急响应体系，实行联防联控。</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项目将按规范</w:t>
            </w:r>
            <w:r>
              <w:rPr>
                <w:rFonts w:hint="eastAsia" w:ascii="Times New Roman" w:hAnsi="Times New Roman" w:cs="Times New Roman"/>
                <w:color w:val="auto"/>
                <w:spacing w:val="0"/>
                <w:position w:val="0"/>
                <w:szCs w:val="21"/>
                <w:lang w:val="en-US" w:eastAsia="zh-CN"/>
              </w:rPr>
              <w:t>建设高、低浓度废水收集池、应急池</w:t>
            </w:r>
            <w:r>
              <w:rPr>
                <w:rFonts w:ascii="Times New Roman" w:hAnsi="Times New Roman" w:cs="Times New Roman"/>
                <w:color w:val="auto"/>
                <w:spacing w:val="0"/>
                <w:position w:val="0"/>
                <w:szCs w:val="21"/>
                <w:lang w:val="en-US" w:eastAsia="zh-CN"/>
              </w:rPr>
              <w:t>，进行防腐防渗处理，防止污染土壤和地下水。项目建成后将加强与园区、周边企业的应急联动</w:t>
            </w:r>
            <w:r>
              <w:rPr>
                <w:rFonts w:hint="eastAsia" w:ascii="Times New Roman" w:hAnsi="Times New Roman" w:cs="Times New Roman"/>
                <w:color w:val="auto"/>
                <w:spacing w:val="0"/>
                <w:position w:val="0"/>
                <w:szCs w:val="21"/>
                <w:lang w:val="en-US" w:eastAsia="zh-CN"/>
              </w:rPr>
              <w:t>，</w:t>
            </w:r>
            <w:r>
              <w:rPr>
                <w:rFonts w:ascii="Times New Roman" w:hAnsi="Times New Roman" w:cs="Times New Roman"/>
                <w:color w:val="auto"/>
                <w:spacing w:val="0"/>
                <w:position w:val="0"/>
                <w:szCs w:val="21"/>
                <w:lang w:val="en-US" w:eastAsia="zh-CN"/>
              </w:rPr>
              <w:t>实行联防联控。</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76" w:hRule="atLeast"/>
          <w:jc w:val="center"/>
        </w:trPr>
        <w:tc>
          <w:tcPr>
            <w:tcW w:w="472" w:type="dxa"/>
            <w:vMerge w:val="restar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资源开发利用</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引进的各类项目，其生产工艺、设备、污染治理技术，以及单位产品能耗、物耗、污染物排放和资源利用效率应至少达到国内同行业先进水平。其中黑色金属冶炼及压延加工业吨钢综合能耗：≤548千克标煤、钢铁冶炼渣综合利用率：≥90%、吨钢耗新水量：≤3.15m</w:t>
            </w:r>
            <w:r>
              <w:rPr>
                <w:rFonts w:hint="eastAsia" w:ascii="Times New Roman" w:hAnsi="Times New Roman" w:cs="Times New Roman"/>
                <w:color w:val="auto"/>
                <w:spacing w:val="0"/>
                <w:position w:val="0"/>
                <w:szCs w:val="21"/>
                <w:vertAlign w:val="superscript"/>
                <w:lang w:val="en-US" w:eastAsia="zh-CN"/>
              </w:rPr>
              <w:t>3</w:t>
            </w:r>
            <w:r>
              <w:rPr>
                <w:rFonts w:hint="eastAsia" w:ascii="Times New Roman" w:hAnsi="Times New Roman" w:cs="Times New Roman"/>
                <w:color w:val="auto"/>
                <w:spacing w:val="0"/>
                <w:position w:val="0"/>
                <w:szCs w:val="21"/>
                <w:lang w:val="en-US" w:eastAsia="zh-CN"/>
              </w:rPr>
              <w:t>。</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2、台商投资区引进项目的生产工艺、装备水平、污染治理技术，一级单位产品能耗、物耗、污染物排放和资源利用率应达到同行业国际先进水平。</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拟建项目采用先进适用的数字化智能工艺设备和节能减排技术。在生产工艺、装备、污染治理技术、能耗物耗、资源利用率等方面能达国内先进水平。</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2" w:type="dxa"/>
            <w:vMerge w:val="continue"/>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3、水资源利用要求：</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①加强水资源再生利用、梯级分质利用，持续提高水资源利用率。</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②钢铁行业工业用水重复利用率≥90%，再生水（中水）回用率：100%，其他行业工业用水重复利用率≥85%。</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③具备使用再生水条件但未充分利用的钢铁、火电、化工、印染等项目，不得批准其新增取水许可。</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本</w:t>
            </w:r>
            <w:r>
              <w:rPr>
                <w:rFonts w:hint="eastAsia" w:ascii="Times New Roman" w:hAnsi="Times New Roman" w:cs="Times New Roman"/>
                <w:color w:val="auto"/>
                <w:spacing w:val="0"/>
                <w:position w:val="0"/>
                <w:szCs w:val="21"/>
                <w:lang w:val="en-US" w:eastAsia="zh-CN"/>
              </w:rPr>
              <w:t>项目高浓度废水排入园区高浓污水处理装置集中处理、集中排放；低浓度废水排入园区低浓污水处理装置集中处理，处理后返回各企业回用，项目在生产工艺、装备、污染治理技术、能耗物耗、资源利用率等方面能达国内先进水平，符合加强水资源再生利用要求。</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6" w:hRule="atLeast"/>
          <w:jc w:val="center"/>
        </w:trPr>
        <w:tc>
          <w:tcPr>
            <w:tcW w:w="472" w:type="dxa"/>
            <w:vMerge w:val="continue"/>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4、能源利用要求：</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①禁止工艺加热炉及导热油炉等工业窑炉使用燃煤、重油及渣油等高污染燃料，已建成的限期改用炼化自产脱硫干气、石油液化气或天然气等清洁能源。</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②实施集中供热、热电联产。根据《热电联产管理办法》要求，规划热源点优先采用高压及以上参数背压热电联产机组，限制新建抽凝燃煤热电联产机组。</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5、土地资源利用要求：节约集约利用土地，提高土地资源开发利用率，严格按照《土地管理法》的有关规定，编制耕地“占补平衡”方案。</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6、规划区内大自然岸线应维持岸线自然属性，禁止改变岸线形态，保护岸线原有生态功能，加强对受损自然岸线的整治与修复。</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7、严控新增围填海造地。严格落实《国务院关于加强滨海湿地保护严格管控围填海的通知》（国发〔2018〕24号）要求，新增围填海项目按程序报国务院审批。</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w:t>
            </w:r>
            <w:r>
              <w:rPr>
                <w:rFonts w:ascii="Times New Roman" w:hAnsi="Times New Roman" w:cs="Times New Roman"/>
                <w:color w:val="auto"/>
                <w:spacing w:val="0"/>
                <w:position w:val="0"/>
                <w:szCs w:val="21"/>
                <w:lang w:val="en-US" w:eastAsia="zh-CN"/>
              </w:rPr>
              <w:t>、</w:t>
            </w:r>
            <w:r>
              <w:rPr>
                <w:rFonts w:hint="eastAsia" w:ascii="Times New Roman" w:hAnsi="Times New Roman" w:cs="Times New Roman"/>
                <w:color w:val="auto"/>
                <w:spacing w:val="0"/>
                <w:position w:val="0"/>
                <w:szCs w:val="21"/>
                <w:lang w:val="en-US" w:eastAsia="zh-CN"/>
              </w:rPr>
              <w:t>本</w:t>
            </w:r>
            <w:r>
              <w:rPr>
                <w:rFonts w:ascii="Times New Roman" w:hAnsi="Times New Roman" w:cs="Times New Roman"/>
                <w:color w:val="auto"/>
                <w:spacing w:val="0"/>
                <w:position w:val="0"/>
                <w:szCs w:val="21"/>
                <w:lang w:val="en-US" w:eastAsia="zh-CN"/>
              </w:rPr>
              <w:t>项目</w:t>
            </w:r>
            <w:r>
              <w:rPr>
                <w:rFonts w:hint="eastAsia" w:ascii="Times New Roman" w:hAnsi="Times New Roman" w:cs="Times New Roman"/>
                <w:color w:val="auto"/>
                <w:spacing w:val="0"/>
                <w:position w:val="0"/>
                <w:szCs w:val="21"/>
                <w:lang w:val="en-US" w:eastAsia="zh-CN"/>
              </w:rPr>
              <w:t>能源主要使用电能、蒸汽等清洁能源</w:t>
            </w:r>
            <w:r>
              <w:rPr>
                <w:rFonts w:ascii="Times New Roman" w:hAnsi="Times New Roman" w:cs="Times New Roman"/>
                <w:color w:val="auto"/>
                <w:spacing w:val="0"/>
                <w:position w:val="0"/>
                <w:szCs w:val="21"/>
                <w:lang w:val="en-US" w:eastAsia="zh-CN"/>
              </w:rPr>
              <w:t>；</w:t>
            </w:r>
            <w:r>
              <w:rPr>
                <w:rFonts w:hint="eastAsia" w:ascii="Times New Roman" w:hAnsi="Times New Roman" w:cs="Times New Roman"/>
                <w:color w:val="auto"/>
                <w:spacing w:val="0"/>
                <w:position w:val="0"/>
                <w:szCs w:val="21"/>
                <w:lang w:val="en-US" w:eastAsia="zh-CN"/>
              </w:rPr>
              <w:t>园区采用集中供热。</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w:t>
            </w:r>
            <w:r>
              <w:rPr>
                <w:rFonts w:ascii="Times New Roman" w:hAnsi="Times New Roman" w:cs="Times New Roman"/>
                <w:color w:val="auto"/>
                <w:spacing w:val="0"/>
                <w:position w:val="0"/>
                <w:szCs w:val="21"/>
                <w:lang w:val="en-US" w:eastAsia="zh-CN"/>
              </w:rPr>
              <w:t>、项目不涉及耕地的占用；</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6</w:t>
            </w:r>
            <w:r>
              <w:rPr>
                <w:rFonts w:ascii="Times New Roman" w:hAnsi="Times New Roman" w:cs="Times New Roman"/>
                <w:color w:val="auto"/>
                <w:spacing w:val="0"/>
                <w:position w:val="0"/>
                <w:szCs w:val="21"/>
                <w:lang w:val="en-US" w:eastAsia="zh-CN"/>
              </w:rPr>
              <w:t>、项目不涉及</w:t>
            </w:r>
            <w:r>
              <w:rPr>
                <w:rFonts w:hint="eastAsia" w:ascii="Times New Roman" w:hAnsi="Times New Roman" w:cs="Times New Roman"/>
                <w:color w:val="auto"/>
                <w:spacing w:val="0"/>
                <w:position w:val="0"/>
                <w:szCs w:val="21"/>
                <w:lang w:val="en-US" w:eastAsia="zh-CN"/>
              </w:rPr>
              <w:t>大自然岸线；</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7</w:t>
            </w:r>
            <w:r>
              <w:rPr>
                <w:rFonts w:ascii="Times New Roman" w:hAnsi="Times New Roman" w:cs="Times New Roman"/>
                <w:color w:val="auto"/>
                <w:spacing w:val="0"/>
                <w:position w:val="0"/>
                <w:szCs w:val="21"/>
                <w:lang w:val="en-US" w:eastAsia="zh-CN"/>
              </w:rPr>
              <w:t>、</w:t>
            </w:r>
            <w:r>
              <w:rPr>
                <w:rFonts w:hint="eastAsia" w:ascii="Times New Roman" w:hAnsi="Times New Roman" w:cs="Times New Roman"/>
                <w:color w:val="auto"/>
                <w:spacing w:val="0"/>
                <w:position w:val="0"/>
                <w:szCs w:val="21"/>
                <w:lang w:val="en-US" w:eastAsia="zh-CN"/>
              </w:rPr>
              <w:t>项目不属于</w:t>
            </w:r>
            <w:r>
              <w:rPr>
                <w:rFonts w:ascii="Times New Roman" w:hAnsi="Times New Roman" w:cs="Times New Roman"/>
                <w:color w:val="auto"/>
                <w:spacing w:val="0"/>
                <w:position w:val="0"/>
                <w:szCs w:val="21"/>
                <w:lang w:val="en-US" w:eastAsia="zh-CN"/>
              </w:rPr>
              <w:t>围填海造地</w:t>
            </w:r>
            <w:r>
              <w:rPr>
                <w:rFonts w:hint="eastAsia" w:ascii="Times New Roman" w:hAnsi="Times New Roman" w:cs="Times New Roman"/>
                <w:color w:val="auto"/>
                <w:spacing w:val="0"/>
                <w:position w:val="0"/>
                <w:szCs w:val="21"/>
                <w:lang w:val="en-US" w:eastAsia="zh-CN"/>
              </w:rPr>
              <w:t>项目</w:t>
            </w:r>
            <w:r>
              <w:rPr>
                <w:rFonts w:ascii="Times New Roman" w:hAnsi="Times New Roman" w:cs="Times New Roman"/>
                <w:color w:val="auto"/>
                <w:spacing w:val="0"/>
                <w:position w:val="0"/>
                <w:szCs w:val="21"/>
                <w:lang w:val="en-US" w:eastAsia="zh-CN"/>
              </w:rPr>
              <w:t>。</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8903" w:type="dxa"/>
            <w:gridSpan w:val="2"/>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《环罗源湾地区工业产业布局规划（2020-2025年）修编环境影响报告书》</w:t>
            </w:r>
          </w:p>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生态环境准入补充要求</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项目情况</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b/>
                <w:bCs/>
                <w:color w:val="auto"/>
                <w:spacing w:val="0"/>
                <w:position w:val="0"/>
                <w:szCs w:val="21"/>
                <w:lang w:val="en-US" w:eastAsia="zh-CN"/>
              </w:rPr>
            </w:pPr>
            <w:r>
              <w:rPr>
                <w:rFonts w:ascii="Times New Roman" w:hAnsi="Times New Roman" w:cs="Times New Roman"/>
                <w:b/>
                <w:bCs/>
                <w:color w:val="auto"/>
                <w:spacing w:val="0"/>
                <w:position w:val="0"/>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3" w:hRule="atLeast"/>
          <w:jc w:val="center"/>
        </w:trPr>
        <w:tc>
          <w:tcPr>
            <w:tcW w:w="472"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空间布局约束</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1、为减缓大气污染对邻近居民区的人居环境影响，松山组团应限制布局大气污染物排放量大的项目。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2、邻近沿海基干林、生态公益林、永久基本农田和生态保护红线的项目应优化调整用地边界，避让和保护林地、基本农田和生态保护红线。</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3、禁止建设《产业转移指导目录》、《产业结构调整指导目录》以及福建省、福州市产业政策中明确列入淘汰或限制的项目。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4、禁止建设《环境保护综合名录》等负面清单中―高污染、高环境风险‖产品相关生产项目。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5、牛坑湾/将军帽组团不布局冶金项目，不引进锰矿加工项目，金属精深加工产业和钢铁绿色产业加工基地均不引进冶金项目，合理控制金</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属精深加工等钢铁加工相关产业规模。</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6、金属精深加工产业、钢铁循环经济产业和钢铁绿色产业加工基地项目应设置300m环保控制带。</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7、可门港区组团不引进石化项目。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8、大官坂组团不引进冶金项目。</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1、项目位于大官坂组团组团，不位于松山组团；</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w:t>
            </w:r>
            <w:r>
              <w:rPr>
                <w:rFonts w:ascii="Times New Roman" w:hAnsi="Times New Roman" w:cs="Times New Roman"/>
                <w:color w:val="auto"/>
                <w:spacing w:val="0"/>
                <w:position w:val="0"/>
                <w:szCs w:val="21"/>
                <w:lang w:val="en-US" w:eastAsia="zh-CN"/>
              </w:rPr>
              <w:t>、项目用地不涉及保护林地、基本农田和生态保护红线；</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w:t>
            </w:r>
            <w:r>
              <w:rPr>
                <w:rFonts w:ascii="Times New Roman" w:hAnsi="Times New Roman" w:cs="Times New Roman"/>
                <w:color w:val="auto"/>
                <w:spacing w:val="0"/>
                <w:position w:val="0"/>
                <w:szCs w:val="21"/>
                <w:lang w:val="en-US" w:eastAsia="zh-CN"/>
              </w:rPr>
              <w:t>、项目建设内容不属于《产业转移指导目录》、《产业结构调整指导目录》以及福建省、福州市产业政策中明确列入淘汰或限制的项目。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w:t>
            </w:r>
            <w:r>
              <w:rPr>
                <w:rFonts w:ascii="Times New Roman" w:hAnsi="Times New Roman" w:cs="Times New Roman"/>
                <w:color w:val="auto"/>
                <w:spacing w:val="0"/>
                <w:position w:val="0"/>
                <w:szCs w:val="21"/>
                <w:lang w:val="en-US" w:eastAsia="zh-CN"/>
              </w:rPr>
              <w:t>、项目产品不属于《环境保护综合名录》等负面清单中</w:t>
            </w:r>
            <w:r>
              <w:rPr>
                <w:rFonts w:hint="eastAsia" w:ascii="Times New Roman" w:hAnsi="Times New Roman" w:cs="Times New Roman"/>
                <w:color w:val="auto"/>
                <w:spacing w:val="0"/>
                <w:position w:val="0"/>
                <w:szCs w:val="21"/>
                <w:lang w:val="en-US" w:eastAsia="zh-CN"/>
              </w:rPr>
              <w:t>“</w:t>
            </w:r>
            <w:r>
              <w:rPr>
                <w:rFonts w:ascii="Times New Roman" w:hAnsi="Times New Roman" w:cs="Times New Roman"/>
                <w:color w:val="auto"/>
                <w:spacing w:val="0"/>
                <w:position w:val="0"/>
                <w:szCs w:val="21"/>
                <w:lang w:val="en-US" w:eastAsia="zh-CN"/>
              </w:rPr>
              <w:t>高污染、高环境风险</w:t>
            </w:r>
            <w:r>
              <w:rPr>
                <w:rFonts w:hint="eastAsia" w:ascii="Times New Roman" w:hAnsi="Times New Roman" w:cs="Times New Roman"/>
                <w:color w:val="auto"/>
                <w:spacing w:val="0"/>
                <w:position w:val="0"/>
                <w:szCs w:val="21"/>
                <w:lang w:val="en-US" w:eastAsia="zh-CN"/>
              </w:rPr>
              <w:t>”</w:t>
            </w:r>
            <w:r>
              <w:rPr>
                <w:rFonts w:ascii="Times New Roman" w:hAnsi="Times New Roman" w:cs="Times New Roman"/>
                <w:color w:val="auto"/>
                <w:spacing w:val="0"/>
                <w:position w:val="0"/>
                <w:szCs w:val="21"/>
                <w:lang w:val="en-US" w:eastAsia="zh-CN"/>
              </w:rPr>
              <w:t>产品；</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w:t>
            </w:r>
            <w:r>
              <w:rPr>
                <w:rFonts w:ascii="Times New Roman" w:hAnsi="Times New Roman" w:cs="Times New Roman"/>
                <w:color w:val="auto"/>
                <w:spacing w:val="0"/>
                <w:position w:val="0"/>
                <w:szCs w:val="21"/>
                <w:lang w:val="en-US" w:eastAsia="zh-CN"/>
              </w:rPr>
              <w:t>、项目不位于牛坑湾/将军帽组团；</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6、项目不属于金属精深加工产业、钢铁产业。</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7</w:t>
            </w:r>
            <w:r>
              <w:rPr>
                <w:rFonts w:ascii="Times New Roman" w:hAnsi="Times New Roman" w:cs="Times New Roman"/>
                <w:color w:val="auto"/>
                <w:spacing w:val="0"/>
                <w:position w:val="0"/>
                <w:szCs w:val="21"/>
                <w:lang w:val="en-US" w:eastAsia="zh-CN"/>
              </w:rPr>
              <w:t>、项目不位于可门港区组团；</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8</w:t>
            </w:r>
            <w:r>
              <w:rPr>
                <w:rFonts w:ascii="Times New Roman" w:hAnsi="Times New Roman" w:cs="Times New Roman"/>
                <w:color w:val="auto"/>
                <w:spacing w:val="0"/>
                <w:position w:val="0"/>
                <w:szCs w:val="21"/>
                <w:lang w:val="en-US" w:eastAsia="zh-CN"/>
              </w:rPr>
              <w:t>、</w:t>
            </w:r>
            <w:r>
              <w:rPr>
                <w:rFonts w:hint="eastAsia" w:ascii="Times New Roman" w:hAnsi="Times New Roman" w:cs="Times New Roman"/>
                <w:color w:val="auto"/>
                <w:spacing w:val="0"/>
                <w:position w:val="0"/>
                <w:szCs w:val="21"/>
                <w:lang w:val="en-US" w:eastAsia="zh-CN"/>
              </w:rPr>
              <w:t>本</w:t>
            </w:r>
            <w:r>
              <w:rPr>
                <w:rFonts w:ascii="Times New Roman" w:hAnsi="Times New Roman" w:cs="Times New Roman"/>
                <w:color w:val="auto"/>
                <w:spacing w:val="0"/>
                <w:position w:val="0"/>
                <w:szCs w:val="21"/>
                <w:lang w:val="en-US" w:eastAsia="zh-CN"/>
              </w:rPr>
              <w:t>项目位于大官坂组团</w:t>
            </w:r>
            <w:r>
              <w:rPr>
                <w:rFonts w:hint="eastAsia" w:ascii="Times New Roman" w:hAnsi="Times New Roman" w:cs="Times New Roman"/>
                <w:color w:val="auto"/>
                <w:spacing w:val="0"/>
                <w:position w:val="0"/>
                <w:szCs w:val="21"/>
                <w:lang w:val="en-US" w:eastAsia="zh-CN"/>
              </w:rPr>
              <w:t>，属于纺织印染项目，不属于冶金项目</w:t>
            </w:r>
            <w:r>
              <w:rPr>
                <w:rFonts w:ascii="Times New Roman" w:hAnsi="Times New Roman" w:cs="Times New Roman"/>
                <w:color w:val="auto"/>
                <w:spacing w:val="0"/>
                <w:position w:val="0"/>
                <w:szCs w:val="21"/>
                <w:lang w:val="en-US" w:eastAsia="zh-CN"/>
              </w:rPr>
              <w:t>。</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22" w:hRule="atLeast"/>
          <w:jc w:val="center"/>
        </w:trPr>
        <w:tc>
          <w:tcPr>
            <w:tcW w:w="472"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污染物排放管控</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1、原油地下水封洞库项目应做好VOCs排放倍量替代，并加强无组织排放管理。</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2、加强涉重产业项目的污染防治和总量控制，定期开展土壤和地下水监测。</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3、重点企业的大气污染防治设备、固废污染防治设备、废水处理设备、噪声与振动污染控制（材料）设备和土壤污染防治设备应达到《环境保护综合名录》中的技术要求。</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1、项目不属于原油地下水封洞库项目；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2、</w:t>
            </w:r>
            <w:r>
              <w:rPr>
                <w:rFonts w:hint="eastAsia" w:ascii="Times New Roman" w:hAnsi="Times New Roman" w:cs="Times New Roman"/>
                <w:color w:val="auto"/>
                <w:spacing w:val="0"/>
                <w:position w:val="0"/>
                <w:szCs w:val="21"/>
                <w:lang w:val="en-US" w:eastAsia="zh-CN"/>
              </w:rPr>
              <w:t>本</w:t>
            </w:r>
            <w:r>
              <w:rPr>
                <w:rFonts w:ascii="Times New Roman" w:hAnsi="Times New Roman" w:cs="Times New Roman"/>
                <w:color w:val="auto"/>
                <w:spacing w:val="0"/>
                <w:position w:val="0"/>
                <w:szCs w:val="21"/>
                <w:lang w:val="en-US" w:eastAsia="zh-CN"/>
              </w:rPr>
              <w:t>项目</w:t>
            </w:r>
            <w:r>
              <w:rPr>
                <w:rFonts w:hint="eastAsia" w:ascii="Times New Roman" w:hAnsi="Times New Roman" w:cs="Times New Roman"/>
                <w:color w:val="auto"/>
                <w:spacing w:val="0"/>
                <w:position w:val="0"/>
                <w:szCs w:val="21"/>
                <w:lang w:val="en-US" w:eastAsia="zh-CN"/>
              </w:rPr>
              <w:t>定期开展土壤和地下水监测，加强</w:t>
            </w:r>
            <w:r>
              <w:rPr>
                <w:rFonts w:ascii="Times New Roman" w:hAnsi="Times New Roman" w:cs="Times New Roman"/>
                <w:color w:val="auto"/>
                <w:spacing w:val="0"/>
                <w:position w:val="0"/>
                <w:szCs w:val="21"/>
                <w:lang w:val="en-US" w:eastAsia="zh-CN"/>
              </w:rPr>
              <w:t>；</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3、项目不属于《环境保护综合名录》所列</w:t>
            </w:r>
            <w:r>
              <w:rPr>
                <w:rFonts w:hint="eastAsia" w:ascii="Times New Roman" w:hAnsi="Times New Roman" w:cs="Times New Roman"/>
                <w:color w:val="auto"/>
                <w:spacing w:val="0"/>
                <w:position w:val="0"/>
                <w:szCs w:val="21"/>
                <w:lang w:val="en-US" w:eastAsia="zh-CN"/>
              </w:rPr>
              <w:t>“双高”</w:t>
            </w:r>
            <w:r>
              <w:rPr>
                <w:rFonts w:ascii="Times New Roman" w:hAnsi="Times New Roman" w:cs="Times New Roman"/>
                <w:color w:val="auto"/>
                <w:spacing w:val="0"/>
                <w:position w:val="0"/>
                <w:szCs w:val="21"/>
                <w:lang w:val="en-US" w:eastAsia="zh-CN"/>
              </w:rPr>
              <w:t>重点企业。</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22" w:hRule="atLeast"/>
          <w:jc w:val="center"/>
        </w:trPr>
        <w:tc>
          <w:tcPr>
            <w:tcW w:w="472"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环境风险防控</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原油地下水封洞库项目的洞库、地面储运设施、库区输油管线和事故应急池等设施，应当按照国家有关标准和规范的要求，设计、建设和安装有关防腐蚀、防泄漏设施和泄漏监测装置，防止有毒有害物质污染土壤和地下水。</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在企业设置环境风险事故应急池的基地上，相关园区应健全环境风险防控体系，建设公共环境应急池系统，完善事故废水导流措施，建设功率足够的双向动力提升设施，形成企业应急池、企业间应急池共用和园区公共应急池三级应急池体系，提升园区应对环境风险能力。</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3、加强区域应急物资储备与调配管理，构建区域环境风险联控机制，全面提升区域环境风险防控和应急响应能力。</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4、建立污染天气、重点断面监测预警系统，建立市、县联动应急响应体系，实行联防联控。</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5、依照规划实施情况按时做好跟踪评价，定期开展区域环境监测。</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w:t>
            </w:r>
            <w:r>
              <w:rPr>
                <w:rFonts w:ascii="Times New Roman" w:hAnsi="Times New Roman" w:cs="Times New Roman"/>
                <w:color w:val="auto"/>
                <w:spacing w:val="0"/>
                <w:position w:val="0"/>
                <w:szCs w:val="21"/>
                <w:lang w:val="en-US" w:eastAsia="zh-CN"/>
              </w:rPr>
              <w:t>项目不属于原油地下水封洞库项目；</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w:t>
            </w:r>
            <w:r>
              <w:rPr>
                <w:rFonts w:ascii="Times New Roman" w:hAnsi="Times New Roman" w:cs="Times New Roman"/>
                <w:color w:val="auto"/>
                <w:spacing w:val="0"/>
                <w:position w:val="0"/>
                <w:szCs w:val="21"/>
                <w:lang w:val="en-US" w:eastAsia="zh-CN"/>
              </w:rPr>
              <w:t>项目建成后将加强与园区、周边企业的应急联动；</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3、本评价要求项目建设后应构建区域环境风险联控机制。</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w:t>
            </w:r>
            <w:r>
              <w:rPr>
                <w:rFonts w:ascii="Times New Roman" w:hAnsi="Times New Roman" w:cs="Times New Roman"/>
                <w:color w:val="auto"/>
                <w:spacing w:val="0"/>
                <w:position w:val="0"/>
                <w:szCs w:val="21"/>
                <w:lang w:val="en-US" w:eastAsia="zh-CN"/>
              </w:rPr>
              <w:t>项目建成后将实行联防联控；</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5、项目定期开展环境监测。</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61" w:hRule="atLeast"/>
          <w:jc w:val="center"/>
        </w:trPr>
        <w:tc>
          <w:tcPr>
            <w:tcW w:w="472"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资源开发利用要求</w:t>
            </w:r>
          </w:p>
        </w:tc>
        <w:tc>
          <w:tcPr>
            <w:tcW w:w="843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1、引进的各类项目，其生产工艺、设备、污染治理技术，以及单位产品能耗、物耗、污染物排放和资源利用效率应至少达到国内同行业先进水平。其中，台商投资区引进项目的生产工艺、装备水平、污染治理技术，一级单位产品能耗、物耗、污染物排放和资源利用率应达到同行业国际先进水平。</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2、水资源利用要求：加强水资源再生利用、梯级分质利用，持续提高工业废水循环利用率。</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3、地下水资源利用要求：定期开展地下水水位监测工作，避免地下水水位下降影响区域民用井等补充分散式饮用水水源。</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4、能源利用要求：实施集中供热、热电联产。</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土地资源利用要求：用地类型变更应征得自然资源主管部门同意；节约集约利用土地，提高土地资源开发利用率；维持岸线自然属性，保护岸线原有生态功能，加强对受损自然岸线的整治与修复；严控新增围填海造地，严格落实《国务院关于加强滨海湿地保护严格管控围填海的通知》（国发〔2018〕24号）要求，新增围填海项目按程序报国家相关部门审批。</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6、节能降碳要求：鼓励重点企业编制节能降碳方案。</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7、水土保持要求：原油地下水封洞库项目应尽可能减少对植被、山体的破坏，尽量恢复原有植被。</w:t>
            </w:r>
          </w:p>
        </w:tc>
        <w:tc>
          <w:tcPr>
            <w:tcW w:w="4391"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1、</w:t>
            </w:r>
            <w:r>
              <w:rPr>
                <w:rFonts w:hint="eastAsia" w:ascii="Times New Roman" w:hAnsi="Times New Roman" w:cs="Times New Roman"/>
                <w:color w:val="auto"/>
                <w:spacing w:val="0"/>
                <w:position w:val="0"/>
                <w:szCs w:val="21"/>
                <w:lang w:val="en-US" w:eastAsia="zh-CN"/>
              </w:rPr>
              <w:t>项目在生产工艺、装备、污染治理技术、能耗物耗、资源利用率等方面能达国内先进水平</w:t>
            </w:r>
            <w:r>
              <w:rPr>
                <w:rFonts w:ascii="Times New Roman" w:hAnsi="Times New Roman" w:cs="Times New Roman"/>
                <w:color w:val="auto"/>
                <w:spacing w:val="0"/>
                <w:position w:val="0"/>
                <w:szCs w:val="21"/>
                <w:lang w:val="en-US" w:eastAsia="zh-CN"/>
              </w:rPr>
              <w:t>；</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2、本项目本项目高浓度废水排入园区高浓污水处理装置集中处理、集中排放；低浓度废水排入园区低浓污水处理装置集中处理，处理后返回各企业回用，废水循环利用率较高；</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3、</w:t>
            </w:r>
            <w:r>
              <w:rPr>
                <w:rFonts w:hint="eastAsia" w:ascii="Times New Roman" w:hAnsi="Times New Roman" w:cs="Times New Roman"/>
                <w:color w:val="auto"/>
                <w:spacing w:val="0"/>
                <w:position w:val="0"/>
                <w:szCs w:val="21"/>
                <w:lang w:val="en-US" w:eastAsia="zh-CN"/>
              </w:rPr>
              <w:t>本</w:t>
            </w:r>
            <w:r>
              <w:rPr>
                <w:rFonts w:ascii="Times New Roman" w:hAnsi="Times New Roman" w:cs="Times New Roman"/>
                <w:color w:val="auto"/>
                <w:spacing w:val="0"/>
                <w:position w:val="0"/>
                <w:szCs w:val="21"/>
                <w:lang w:val="en-US" w:eastAsia="zh-CN"/>
              </w:rPr>
              <w:t>项目</w:t>
            </w:r>
            <w:r>
              <w:rPr>
                <w:rFonts w:hint="eastAsia" w:ascii="Times New Roman" w:hAnsi="Times New Roman" w:cs="Times New Roman"/>
                <w:color w:val="auto"/>
                <w:spacing w:val="0"/>
                <w:position w:val="0"/>
                <w:szCs w:val="21"/>
                <w:lang w:val="en-US" w:eastAsia="zh-CN"/>
              </w:rPr>
              <w:t>定期开展地下水监测工作；</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4、</w:t>
            </w:r>
            <w:r>
              <w:rPr>
                <w:rFonts w:hint="eastAsia" w:ascii="Times New Roman" w:hAnsi="Times New Roman" w:cs="Times New Roman"/>
                <w:color w:val="auto"/>
                <w:spacing w:val="0"/>
                <w:position w:val="0"/>
                <w:szCs w:val="21"/>
                <w:lang w:val="en-US" w:eastAsia="zh-CN"/>
              </w:rPr>
              <w:t>本项目为园区实施集中供热；</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5、本项目为工业用地，</w:t>
            </w:r>
            <w:r>
              <w:rPr>
                <w:rFonts w:ascii="Times New Roman" w:hAnsi="Times New Roman" w:cs="Times New Roman"/>
                <w:color w:val="auto"/>
                <w:spacing w:val="0"/>
                <w:position w:val="0"/>
                <w:szCs w:val="21"/>
                <w:lang w:val="en-US" w:eastAsia="zh-CN"/>
              </w:rPr>
              <w:t>不涉及岸线、围填海造地</w:t>
            </w:r>
            <w:r>
              <w:rPr>
                <w:rFonts w:hint="eastAsia" w:ascii="Times New Roman" w:hAnsi="Times New Roman" w:cs="Times New Roman"/>
                <w:color w:val="auto"/>
                <w:spacing w:val="0"/>
                <w:position w:val="0"/>
                <w:szCs w:val="21"/>
                <w:lang w:val="en-US" w:eastAsia="zh-CN"/>
              </w:rPr>
              <w:t>项目</w:t>
            </w:r>
            <w:r>
              <w:rPr>
                <w:rFonts w:ascii="Times New Roman" w:hAnsi="Times New Roman" w:cs="Times New Roman"/>
                <w:color w:val="auto"/>
                <w:spacing w:val="0"/>
                <w:position w:val="0"/>
                <w:szCs w:val="21"/>
                <w:lang w:val="en-US" w:eastAsia="zh-CN"/>
              </w:rPr>
              <w:t>；</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6、本项目不属于重点企业；</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7</w:t>
            </w:r>
            <w:r>
              <w:rPr>
                <w:rFonts w:ascii="Times New Roman" w:hAnsi="Times New Roman" w:cs="Times New Roman"/>
                <w:color w:val="auto"/>
                <w:spacing w:val="0"/>
                <w:position w:val="0"/>
                <w:szCs w:val="21"/>
                <w:lang w:val="en-US" w:eastAsia="zh-CN"/>
              </w:rPr>
              <w:t>、项目不属于原油地下水封洞库项目。</w:t>
            </w:r>
          </w:p>
        </w:tc>
        <w:tc>
          <w:tcPr>
            <w:tcW w:w="71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bl>
    <w:p>
      <w:pPr>
        <w:pStyle w:val="32"/>
        <w:rPr>
          <w:rFonts w:ascii="Times New Roman" w:hAnsi="Times New Roman" w:cs="Times New Roman"/>
          <w:color w:val="auto"/>
          <w:spacing w:val="0"/>
          <w:position w:val="0"/>
          <w:sz w:val="24"/>
          <w:szCs w:val="24"/>
          <w:lang w:val="en-US" w:eastAsia="zh-CN"/>
        </w:rPr>
      </w:pPr>
      <w:r>
        <w:rPr>
          <w:rFonts w:ascii="Times New Roman" w:hAnsi="Times New Roman" w:cs="Times New Roman"/>
          <w:color w:val="auto"/>
          <w:spacing w:val="0"/>
          <w:position w:val="0"/>
          <w:sz w:val="24"/>
          <w:szCs w:val="24"/>
          <w:lang w:val="en-US" w:eastAsia="zh-CN" w:bidi="ar-SA"/>
        </w:rPr>
        <w:drawing>
          <wp:anchor distT="0" distB="0" distL="114300" distR="114300" simplePos="0" relativeHeight="251662336" behindDoc="1" locked="0" layoutInCell="1" allowOverlap="1">
            <wp:simplePos x="0" y="0"/>
            <wp:positionH relativeFrom="page">
              <wp:posOffset>9261475</wp:posOffset>
            </wp:positionH>
            <wp:positionV relativeFrom="paragraph">
              <wp:posOffset>262890</wp:posOffset>
            </wp:positionV>
            <wp:extent cx="6350" cy="423545"/>
            <wp:effectExtent l="0" t="0" r="12700" b="0"/>
            <wp:wrapNone/>
            <wp:docPr id="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8.png"/>
                    <pic:cNvPicPr>
                      <a:picLocks noChangeAspect="1"/>
                    </pic:cNvPicPr>
                  </pic:nvPicPr>
                  <pic:blipFill>
                    <a:blip r:embed="rId22"/>
                    <a:stretch>
                      <a:fillRect/>
                    </a:stretch>
                  </pic:blipFill>
                  <pic:spPr>
                    <a:xfrm>
                      <a:off x="0" y="0"/>
                      <a:ext cx="6350" cy="423545"/>
                    </a:xfrm>
                    <a:prstGeom prst="rect">
                      <a:avLst/>
                    </a:prstGeom>
                    <a:noFill/>
                    <a:ln>
                      <a:noFill/>
                    </a:ln>
                  </pic:spPr>
                </pic:pic>
              </a:graphicData>
            </a:graphic>
          </wp:anchor>
        </w:drawing>
      </w:r>
      <w:r>
        <w:rPr>
          <w:rFonts w:ascii="Times New Roman" w:hAnsi="Times New Roman" w:cs="Times New Roman"/>
          <w:color w:val="auto"/>
          <w:spacing w:val="0"/>
          <w:position w:val="0"/>
          <w:sz w:val="24"/>
          <w:szCs w:val="24"/>
          <w:lang w:val="en-US" w:eastAsia="zh-CN" w:bidi="ar-SA"/>
        </w:rPr>
        <mc:AlternateContent>
          <mc:Choice Requires="wpg">
            <w:drawing>
              <wp:anchor distT="0" distB="0" distL="114300" distR="114300" simplePos="0" relativeHeight="251663360" behindDoc="1" locked="0" layoutInCell="1" allowOverlap="1">
                <wp:simplePos x="0" y="0"/>
                <wp:positionH relativeFrom="page">
                  <wp:posOffset>6590030</wp:posOffset>
                </wp:positionH>
                <wp:positionV relativeFrom="paragraph">
                  <wp:posOffset>262890</wp:posOffset>
                </wp:positionV>
                <wp:extent cx="6350" cy="2268220"/>
                <wp:effectExtent l="0" t="0" r="12700" b="0"/>
                <wp:wrapNone/>
                <wp:docPr id="22" name="组合 22"/>
                <wp:cNvGraphicFramePr/>
                <a:graphic xmlns:a="http://schemas.openxmlformats.org/drawingml/2006/main">
                  <a:graphicData uri="http://schemas.microsoft.com/office/word/2010/wordprocessingGroup">
                    <wpg:wgp>
                      <wpg:cNvGrpSpPr/>
                      <wpg:grpSpPr>
                        <a:xfrm>
                          <a:off x="0" y="0"/>
                          <a:ext cx="6350" cy="2268220"/>
                          <a:chOff x="10378" y="415"/>
                          <a:chExt cx="10" cy="3572"/>
                        </a:xfrm>
                        <a:effectLst/>
                      </wpg:grpSpPr>
                      <pic:pic xmlns:pic="http://schemas.openxmlformats.org/drawingml/2006/picture">
                        <pic:nvPicPr>
                          <pic:cNvPr id="31" name="图片 3"/>
                          <pic:cNvPicPr>
                            <a:picLocks noChangeAspect="1"/>
                          </pic:cNvPicPr>
                        </pic:nvPicPr>
                        <pic:blipFill>
                          <a:blip r:embed="rId23"/>
                          <a:stretch>
                            <a:fillRect/>
                          </a:stretch>
                        </pic:blipFill>
                        <pic:spPr>
                          <a:xfrm>
                            <a:off x="10378" y="414"/>
                            <a:ext cx="10" cy="2616"/>
                          </a:xfrm>
                          <a:prstGeom prst="rect">
                            <a:avLst/>
                          </a:prstGeom>
                          <a:noFill/>
                          <a:ln>
                            <a:noFill/>
                          </a:ln>
                          <a:effectLst/>
                        </pic:spPr>
                      </pic:pic>
                      <pic:pic xmlns:pic="http://schemas.openxmlformats.org/drawingml/2006/picture">
                        <pic:nvPicPr>
                          <pic:cNvPr id="32" name="图片 4"/>
                          <pic:cNvPicPr>
                            <a:picLocks noChangeAspect="1"/>
                          </pic:cNvPicPr>
                        </pic:nvPicPr>
                        <pic:blipFill>
                          <a:blip r:embed="rId24"/>
                          <a:stretch>
                            <a:fillRect/>
                          </a:stretch>
                        </pic:blipFill>
                        <pic:spPr>
                          <a:xfrm>
                            <a:off x="10378" y="3030"/>
                            <a:ext cx="10" cy="956"/>
                          </a:xfrm>
                          <a:prstGeom prst="rect">
                            <a:avLst/>
                          </a:prstGeom>
                          <a:noFill/>
                          <a:ln>
                            <a:noFill/>
                          </a:ln>
                          <a:effectLst/>
                        </pic:spPr>
                      </pic:pic>
                    </wpg:wgp>
                  </a:graphicData>
                </a:graphic>
              </wp:anchor>
            </w:drawing>
          </mc:Choice>
          <mc:Fallback>
            <w:pict>
              <v:group id="_x0000_s1026" o:spid="_x0000_s1026" o:spt="203" style="position:absolute;left:0pt;margin-left:518.9pt;margin-top:20.7pt;height:178.6pt;width:0.5pt;mso-position-horizontal-relative:page;z-index:-251653120;mso-width-relative:page;mso-height-relative:page;" coordorigin="10378,415" coordsize="10,3572" o:gfxdata="UEsDBAoAAAAAAIdO4kAAAAAAAAAAAAAAAAAEAAAAZHJzL1BLAwQUAAAACACHTuJAKArmHNsAAAAM&#10;AQAADwAAAGRycy9kb3ducmV2LnhtbE2PwU7DMBBE70j8g7VI3KhtUkoIcSpUAacKiRYJcdsm2yRq&#10;vI5iN2n/HvcEx9kZzbzNlyfbiZEG3zo2oGcKBHHpqpZrA1/bt7sUhA/IFXaOycCZPCyL66scs8pN&#10;/EnjJtQilrDP0EATQp9J6cuGLPqZ64mjt3eDxRDlUMtqwCmW207eK7WQFluOCw32tGqoPGyO1sD7&#10;hNNLol/H9WG/Ov9sHz6+15qMub3R6hlEoFP4C8MFP6JDEZl27siVF13UKnmM7MHAXM9BXBIqSeNl&#10;ZyB5Shcgi1z+f6L4BVBLAwQUAAAACACHTuJAbtgN84ICAACEBwAADgAAAGRycy9lMm9Eb2MueG1s&#10;1VXbjtMwEH1H4h8sv9Pctt0lartClF0hraDi8gGu4yQWiW3ZbtN9RwLeeOdTkPib1f4GY8e9LhIr&#10;tELwkMQz9ozPnDl2xufrtkErpg2XYoKTQYwRE1QWXFQT/P7dxZMzjIwloiCNFGyCr5nB59PHj8ad&#10;ylkqa9kUTCNIIkzeqQmurVV5FBlas5aYgVRMwGQpdUssmLqKCk06yN42URrHo6iTulBaUmYMeGf9&#10;JA4Z9X0SyrLklM0kXbZM2D6rZg2xUJKpuTJ46tGWJaP2dVkaZlEzwVCp9W/YBMYL946mY5JXmqia&#10;0wCB3AfCUU0t4QI23aaaEUvQUvM7qVpOtTSytAMq26gvxDMCVSTxETeXWi6Vr6XKu0ptSYdGHbH+&#10;x2npq9VcI15McJpiJEgLHb/9/vHm62cEDmCnU1UOiy61eqvmOjiq3nIFr0vdui+Ugtae1+str2xt&#10;EQXnKBsC3xQm0nR0lqaBdlpDb1xQEmenoDqYP0mGfUto/SIEJyE0G556QNFuT+YbfGUswIoc0C0u&#10;xWkOT2AMRncY+71OIcouNQP+XTaxmnM6172xYy1LNqzdfPtx++UTyhx+F+DW9BHEQbmS9INBQj6v&#10;iajYM6NAmlC5Wx0dLvfmwXaLhqsL3jSOZzd+2LOCdM7aBQMJ6JeFB0RyYzWztHYblrDxGwDrgO5N&#10;eJQ7YK4EAwL5hST2u3vSd3cjjE1v01Ey8kzsequ0sZdMtsgNABoggE6QnKxCv4HVsMS5hXQEAUaS&#10;N+LAAaB7z4Fadnh9IWD2XYPBXxDN9qgF0XhaHKT/UzT+XO5p40FFk8VZuC+OVfN0+A+Ixt87cDn7&#10;0xF+JO7237dhvP/znP4EUEsDBAoAAAAAAIdO4kAAAAAAAAAAAAAAAAAKAAAAZHJzL21lZGlhL1BL&#10;AwQUAAAACACHTuJAbH2e/aQAAACfAAAAFAAAAGRycy9tZWRpYS9pbWFnZTIucG5nAZ8AYP+JUE5H&#10;DQoaCgAAAA1JSERSAAAAAQAAAIAIBgAAAMr5A/QAAAAGYktHRAD/AP8A/6C9p5MAAAAJcEhZcwAA&#10;DsQAAA7EAZUrDhsAAAA/SURBVCiR7dGhDYBAFATR+dsP/XeD5jfBIDDg75ITZ54YtcminqgGYLMo&#10;FeCYcdQd4ArQL2qnqvrT/qAOWvAAKJEdDhDEauEAAAAASUVORK5CYIJQSwMEFAAAAAgAh07iQBXQ&#10;T4BTAQAATgEAABQAAABkcnMvbWVkaWEvaW1hZ2UxLnBuZwFOAbH+iVBORw0KGgoAAAANSUhEUgAA&#10;AAEAAAFdCAYAAADCLgexAAAABmJLR0QA/wD/AP+gvaeTAAAACXBIWXMAAA7EAAAOxAGVKw4bAAAA&#10;7klEQVQ4jd2SS07DQBBEX5clAom943c1rsdN2HEZh0U+CqC4WFgMnsH2JoCAzVNV9Ugz093YRsA/&#10;xRLbHq2+/3wnYJ/UvN0rIrayve0VsEn4KAwzYMPf6/OFgDqhSahlu1FE1IMMaGR7JWAlYJlUYcvC&#10;9IyAu6nW3eS4Teo6tz1m7/hZRFL3s9t5FPCa42UkK7AR0CoingSsZXutiGh7mwPbi6/cTtsPAs4T&#10;Frnts180j1MmeArOihUVn7Z4kGG7/Y6uPY5O37YUEZUACaimYbvqD9uuBVwmXOW2zOi6bpe68Zxw&#10;yO1YdlBEHIuHvwFGjY6P56k42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lwgAAFtDb250ZW50X1R5&#10;cGVzXS54bWxQSwECFAAKAAAAAACHTuJAAAAAAAAAAAAAAAAABgAAAAAAAAAAABAAAABbBgAAX3Jl&#10;bHMvUEsBAhQAFAAAAAgAh07iQIoUZjzRAAAAlAEAAAsAAAAAAAAAAQAgAAAAfwYAAF9yZWxzLy5y&#10;ZWxzUEsBAhQACgAAAAAAh07iQAAAAAAAAAAAAAAAAAQAAAAAAAAAAAAQAAAAAAAAAGRycy9QSwEC&#10;FAAKAAAAAACHTuJAAAAAAAAAAAAAAAAACgAAAAAAAAAAABAAAAB5BwAAZHJzL19yZWxzL1BLAQIU&#10;ABQAAAAIAIdO4kAubPAAvwAAAKUBAAAZAAAAAAAAAAEAIAAAAKEHAABkcnMvX3JlbHMvZTJvRG9j&#10;LnhtbC5yZWxzUEsBAhQAFAAAAAgAh07iQCgK5hzbAAAADAEAAA8AAAAAAAAAAQAgAAAAIgAAAGRy&#10;cy9kb3ducmV2LnhtbFBLAQIUABQAAAAIAIdO4kBu2A3zggIAAIQHAAAOAAAAAAAAAAEAIAAAACoB&#10;AABkcnMvZTJvRG9jLnhtbFBLAQIUAAoAAAAAAIdO4kAAAAAAAAAAAAAAAAAKAAAAAAAAAAAAEAAA&#10;ANgDAABkcnMvbWVkaWEvUEsBAhQAFAAAAAgAh07iQBXQT4BTAQAATgEAABQAAAAAAAAAAQAgAAAA&#10;1gQAAGRycy9tZWRpYS9pbWFnZTEucG5nUEsBAhQAFAAAAAgAh07iQGx9nv2kAAAAnwAAABQAAAAA&#10;AAAAAQAgAAAAAAQAAGRycy9tZWRpYS9pbWFnZTIucG5nUEsFBgAAAAALAAsAlAIAAMwJAAAAAA==&#10;">
                <o:lock v:ext="edit" aspectratio="f"/>
                <v:shape id="图片 3" o:spid="_x0000_s1026" o:spt="75" type="#_x0000_t75" style="position:absolute;left:10378;top:414;height:2616;width:10;" filled="f" o:preferrelative="t" stroked="f" coordsize="21600,21600" o:gfxdata="UEsDBAoAAAAAAIdO4kAAAAAAAAAAAAAAAAAEAAAAZHJzL1BLAwQUAAAACACHTuJAlbX7vLwAAADb&#10;AAAADwAAAGRycy9kb3ducmV2LnhtbEWPS2sCQRCE7wH/w9CCF4mzayDI6ughICoegg9ybnfanSU7&#10;PctO+/r3mYDgsaiqr6jZ4u4bdaUu1oEN5KMMFHEZbM2VgeNh+T4BFQXZYhOYDDwowmLee5thYcON&#10;d3TdS6UShGOBBpxIW2gdS0ce4yi0xMk7h86jJNlV2nZ4S3Df6HGWfWqPNacFhy19OSp/9xdvYEP6&#10;W8ZutVkNo9+VMjydfuLWmEE/z6aghO7yCj/ba2vgI4f/L+kH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1+7y8AAAA&#10;2wAAAA8AAAAAAAAAAQAgAAAAIgAAAGRycy9kb3ducmV2LnhtbFBLAQIUABQAAAAIAIdO4kAzLwWe&#10;OwAAADkAAAAQAAAAAAAAAAEAIAAAAAsBAABkcnMvc2hhcGV4bWwueG1sUEsFBgAAAAAGAAYAWwEA&#10;ALUDAAAAAA==&#10;">
                  <v:fill on="f" focussize="0,0"/>
                  <v:stroke on="f"/>
                  <v:imagedata r:id="rId23" o:title=""/>
                  <o:lock v:ext="edit" aspectratio="t"/>
                </v:shape>
                <v:shape id="图片 4" o:spid="_x0000_s1026" o:spt="75" type="#_x0000_t75" style="position:absolute;left:10378;top:3030;height:956;width:10;" filled="f" o:preferrelative="t" stroked="f" coordsize="21600,21600" o:gfxdata="UEsDBAoAAAAAAIdO4kAAAAAAAAAAAAAAAAAEAAAAZHJzL1BLAwQUAAAACACHTuJAA3eLUcAAAADb&#10;AAAADwAAAGRycy9kb3ducmV2LnhtbEWPQWsCMRSE74L/ITyhF9GsCrauRg+FluLBqvXi7bl5blY3&#10;L8sm1dVfb4RCj8PMfMPMFo0txYVqXzhWMOgnIIgzpwvOFex+PnpvIHxA1lg6JgU38rCYt1szTLW7&#10;8oYu25CLCGGfogITQpVK6TNDFn3fVcTRO7raYoiyzqWu8RrhtpTDJBlLiwXHBYMVvRvKzttfq+Bo&#10;bpPlpvrcd5vDfXV+3cvTeP2t1EtnkExBBGrCf/iv/aUVjIbw/BJ/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4tR&#10;wAAAANsAAAAPAAAAAAAAAAEAIAAAACIAAABkcnMvZG93bnJldi54bWxQSwECFAAUAAAACACHTuJA&#10;My8FnjsAAAA5AAAAEAAAAAAAAAABACAAAAAPAQAAZHJzL3NoYXBleG1sLnhtbFBLBQYAAAAABgAG&#10;AFsBAAC5AwAAAAA=&#10;">
                  <v:fill on="f" focussize="0,0"/>
                  <v:stroke on="f"/>
                  <v:imagedata r:id="rId24" o:title=""/>
                  <o:lock v:ext="edit" aspectratio="t"/>
                </v:shape>
              </v:group>
            </w:pict>
          </mc:Fallback>
        </mc:AlternateContent>
      </w:r>
      <w:r>
        <w:rPr>
          <w:rFonts w:ascii="Times New Roman" w:hAnsi="Times New Roman" w:cs="Times New Roman"/>
          <w:color w:val="auto"/>
          <w:spacing w:val="0"/>
          <w:position w:val="0"/>
          <w:sz w:val="24"/>
          <w:szCs w:val="24"/>
          <w:lang w:val="en-US" w:eastAsia="zh-CN"/>
        </w:rPr>
        <w:t>表</w:t>
      </w:r>
      <w:r>
        <w:rPr>
          <w:rFonts w:hint="eastAsia" w:ascii="Times New Roman" w:hAnsi="Times New Roman" w:cs="Times New Roman"/>
          <w:color w:val="auto"/>
          <w:spacing w:val="0"/>
          <w:position w:val="0"/>
          <w:sz w:val="24"/>
          <w:szCs w:val="24"/>
          <w:lang w:val="en-US" w:eastAsia="zh-CN"/>
        </w:rPr>
        <w:t>3.7-2</w:t>
      </w:r>
      <w:r>
        <w:rPr>
          <w:rFonts w:ascii="Times New Roman" w:hAnsi="Times New Roman" w:cs="Times New Roman"/>
          <w:color w:val="auto"/>
          <w:spacing w:val="0"/>
          <w:position w:val="0"/>
          <w:sz w:val="24"/>
          <w:szCs w:val="24"/>
          <w:lang w:val="en-US" w:eastAsia="zh-CN"/>
        </w:rPr>
        <w:t>项目与规划环评审查意见符合性分析一览表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23"/>
        <w:gridCol w:w="4720"/>
        <w:gridCol w:w="4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150"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 w:val="21"/>
                <w:szCs w:val="21"/>
              </w:rPr>
            </w:pPr>
            <w:r>
              <w:rPr>
                <w:rFonts w:ascii="Times New Roman" w:hAnsi="Times New Roman" w:cs="Times New Roman"/>
                <w:color w:val="auto"/>
                <w:spacing w:val="0"/>
                <w:position w:val="0"/>
                <w:sz w:val="21"/>
                <w:szCs w:val="21"/>
                <w:lang w:val="en-US" w:eastAsia="zh-CN"/>
              </w:rPr>
              <w:t>《环罗源湾地区工业产业布局规划（2020-2025年）修编环境影响报告书》审查意见（榕环保评[2022]8号）摘录</w:t>
            </w:r>
          </w:p>
        </w:tc>
        <w:tc>
          <w:tcPr>
            <w:tcW w:w="1685" w:type="pc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项目情况</w:t>
            </w:r>
          </w:p>
        </w:tc>
        <w:tc>
          <w:tcPr>
            <w:tcW w:w="164" w:type="pc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150" w:type="pc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（一）</w:t>
            </w:r>
            <w:r>
              <w:rPr>
                <w:rFonts w:ascii="Times New Roman" w:hAnsi="Times New Roman" w:cs="Times New Roman"/>
                <w:color w:val="auto"/>
                <w:spacing w:val="0"/>
                <w:position w:val="0"/>
                <w:szCs w:val="21"/>
                <w:lang w:val="en-US" w:eastAsia="zh-CN"/>
              </w:rPr>
              <w:t>优化产业定位。规划各类产业应符合国家产业政策和上层次产业规划要求，区域立足</w:t>
            </w:r>
            <w:r>
              <w:rPr>
                <w:rFonts w:hint="eastAsia" w:ascii="Times New Roman" w:hAnsi="Times New Roman" w:cs="Times New Roman"/>
                <w:color w:val="auto"/>
                <w:spacing w:val="0"/>
                <w:position w:val="0"/>
                <w:szCs w:val="21"/>
                <w:lang w:val="en-US" w:eastAsia="zh-CN"/>
              </w:rPr>
              <w:t>“</w:t>
            </w:r>
            <w:r>
              <w:rPr>
                <w:rFonts w:ascii="Times New Roman" w:hAnsi="Times New Roman" w:cs="Times New Roman"/>
                <w:color w:val="auto"/>
                <w:spacing w:val="0"/>
                <w:position w:val="0"/>
                <w:szCs w:val="21"/>
                <w:lang w:val="en-US" w:eastAsia="zh-CN"/>
              </w:rPr>
              <w:t>北岸冶金、南岸化工</w:t>
            </w:r>
            <w:r>
              <w:rPr>
                <w:rFonts w:hint="eastAsia" w:ascii="Times New Roman" w:hAnsi="Times New Roman" w:cs="Times New Roman"/>
                <w:color w:val="auto"/>
                <w:spacing w:val="0"/>
                <w:position w:val="0"/>
                <w:szCs w:val="21"/>
                <w:lang w:val="en-US" w:eastAsia="zh-CN"/>
              </w:rPr>
              <w:t>”</w:t>
            </w:r>
            <w:r>
              <w:rPr>
                <w:rFonts w:ascii="Times New Roman" w:hAnsi="Times New Roman" w:cs="Times New Roman"/>
                <w:color w:val="auto"/>
                <w:spacing w:val="0"/>
                <w:position w:val="0"/>
                <w:szCs w:val="21"/>
                <w:lang w:val="en-US" w:eastAsia="zh-CN"/>
              </w:rPr>
              <w:t>的产业发展定位，发展临港产业和地方特色产业，积极融入闽东北协同发展区。其中先进织造染整产业不作为临港主导产业。</w:t>
            </w:r>
          </w:p>
        </w:tc>
        <w:tc>
          <w:tcPr>
            <w:tcW w:w="1685" w:type="pc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拟建项目为先进织造染整产业项目，主要作为聚酰胺一体化产业的下游配套特色产业发展及承接福州市长乐区因滨海新城建设转移的纺织印染产业，不是临港主导产业</w:t>
            </w:r>
          </w:p>
        </w:tc>
        <w:tc>
          <w:tcPr>
            <w:tcW w:w="164" w:type="pct"/>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50"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（二）</w:t>
            </w:r>
            <w:r>
              <w:rPr>
                <w:rFonts w:ascii="Times New Roman" w:hAnsi="Times New Roman" w:cs="Times New Roman"/>
                <w:color w:val="auto"/>
                <w:spacing w:val="0"/>
                <w:position w:val="0"/>
                <w:szCs w:val="21"/>
                <w:lang w:val="en-US" w:eastAsia="zh-CN"/>
              </w:rPr>
              <w:t>优化产业布局及规模</w:t>
            </w:r>
            <w:r>
              <w:rPr>
                <w:rFonts w:hint="eastAsia" w:ascii="Times New Roman" w:hAnsi="Times New Roman" w:cs="Times New Roman"/>
                <w:color w:val="auto"/>
                <w:spacing w:val="0"/>
                <w:position w:val="0"/>
                <w:szCs w:val="21"/>
                <w:lang w:val="en-US" w:eastAsia="zh-CN"/>
              </w:rPr>
              <w:t>。。规划要衔接污染防治攻坚战实施意见和蓝天保卫战行动计划等要求，结合区域资源环境承载能力，优化产业发展。严格控制区域污染物排放总量，有效削减冶金、化工、能源等产业的污染物排放量。确保不突破规划环评确定的控制量。引进的产业项目在生产工艺、装备、污染治理技术、能耗物耗、资源利用率等方面均应达到国内先进水平。港区布局和功能定位须符合《福州港总体规划（2035年）》及其规划环评审查意见。</w:t>
            </w:r>
          </w:p>
        </w:tc>
        <w:tc>
          <w:tcPr>
            <w:tcW w:w="1685" w:type="pct"/>
            <w:vMerge w:val="restar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本项目采用先进适用的数字化智能工艺设备和节能减排技术，在生产工艺、装备、污染治理技术、能耗物耗、资源利用率等方面能达国内先进水平。项目废水经分质收集后排入产业园配套的污水处理厂统一处理达《城镇污水处理厂污染物排放标准》(GB18918-2002)一级A标准后接入湾外排放口排放</w:t>
            </w:r>
          </w:p>
        </w:tc>
        <w:tc>
          <w:tcPr>
            <w:tcW w:w="164" w:type="pct"/>
            <w:vMerge w:val="restart"/>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2" w:hRule="atLeast"/>
          <w:jc w:val="center"/>
        </w:trPr>
        <w:tc>
          <w:tcPr>
            <w:tcW w:w="3150"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大官坂</w:t>
            </w:r>
            <w:r>
              <w:rPr>
                <w:rFonts w:ascii="Times New Roman" w:hAnsi="Times New Roman" w:cs="Times New Roman"/>
                <w:color w:val="auto"/>
                <w:spacing w:val="0"/>
                <w:position w:val="0"/>
                <w:szCs w:val="21"/>
                <w:lang w:val="en-US" w:eastAsia="zh-CN"/>
              </w:rPr>
              <w:t>组团：</w:t>
            </w:r>
            <w:r>
              <w:rPr>
                <w:rFonts w:hint="eastAsia" w:ascii="Times New Roman" w:hAnsi="Times New Roman" w:cs="Times New Roman"/>
                <w:color w:val="auto"/>
                <w:spacing w:val="0"/>
                <w:position w:val="0"/>
                <w:szCs w:val="21"/>
                <w:lang w:val="en-US" w:eastAsia="zh-CN"/>
              </w:rPr>
              <w:t>发展污染相对较低的石化中下游和精细化工产业，打造国内一流的聚酷胺纤维一体化生产基地，适度配套先进织造染整项目；鼓励发展高附加值的机械装备、新材料产业；取消冶金产业布局。先进织造染整项目应集中布局，实行区域集中供热，印染废水集中处理并纳入可门污水厂深度处理后湾外深海排放；印染工艺、装备和废水重复利用率达到国内先进水平。进一步优化化工产业用地布局，加强化工产业区环境风险防控和公共应急池的建设。在符合组团产业链布局，且不突破环罗源湾区域的环节容量和资源承载力的前提下，支持引进国家战略新兴产业</w:t>
            </w:r>
            <w:r>
              <w:rPr>
                <w:rFonts w:ascii="Times New Roman" w:hAnsi="Times New Roman" w:cs="Times New Roman"/>
                <w:color w:val="auto"/>
                <w:spacing w:val="0"/>
                <w:position w:val="0"/>
                <w:szCs w:val="21"/>
                <w:lang w:val="en-US" w:eastAsia="zh-CN"/>
              </w:rPr>
              <w:t>。</w:t>
            </w:r>
          </w:p>
        </w:tc>
        <w:tc>
          <w:tcPr>
            <w:tcW w:w="1685" w:type="pct"/>
            <w:vMerge w:val="continue"/>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p>
        </w:tc>
        <w:tc>
          <w:tcPr>
            <w:tcW w:w="164" w:type="pct"/>
            <w:vMerge w:val="continue"/>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150"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三）在规划层面统筹解决城镇发展与产业园区发展的布局性矛盾，应按照环境风险防范的要求对产业空间布局进行优化调整。工业产业布局与居住区之间应设置环保控制带，环保控制带内不再新增环境敏感目标。根据具体项目环境防护距离的要求，落实环境防护距离内居民的搬迁工作。</w:t>
            </w:r>
          </w:p>
        </w:tc>
        <w:tc>
          <w:tcPr>
            <w:tcW w:w="1685"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拟建项目位于连江可门绿色纺织产业园区内，与周边居民区距离较远，不涉及环境防护距离内居民的搬迁。</w:t>
            </w:r>
          </w:p>
        </w:tc>
        <w:tc>
          <w:tcPr>
            <w:tcW w:w="164"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150"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四）加快环罗源湾区域污水处理厂及工业废水湾外排放工程建设。金港组团污水近期可由白水排污区集中排放，污水量控制在4万吨/日以内；在将军帽排污区排放工程建成后，所有污水集中在该排污口排放，污水量控制在8.5万吨/日以内。大官坂组团化工染整等工业废水应尽快实现湾外排放</w:t>
            </w:r>
          </w:p>
        </w:tc>
        <w:tc>
          <w:tcPr>
            <w:tcW w:w="1685"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可门经济开发区正在加紧湾外排海口的建设。项目废水经分质收集后排入产业园配套的污水处理厂统一处理达《城镇污水处理厂污染物排放标准》(GB18918-2002)一级A标准后接入湾外排放口排放。</w:t>
            </w:r>
          </w:p>
        </w:tc>
        <w:tc>
          <w:tcPr>
            <w:tcW w:w="164"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150"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（五）</w:t>
            </w:r>
            <w:r>
              <w:rPr>
                <w:rFonts w:ascii="Times New Roman" w:hAnsi="Times New Roman" w:cs="Times New Roman"/>
                <w:color w:val="auto"/>
                <w:spacing w:val="0"/>
                <w:position w:val="0"/>
                <w:szCs w:val="21"/>
                <w:lang w:val="en-US" w:eastAsia="zh-CN"/>
              </w:rPr>
              <w:t>严格执行《报告书》制定的生态环境准入清单。按国家要求严格控制围填海，落实节能降碳减排规定。加强区域环境综合整治，加大企业环境整治力度，严格控制粉尘和挥发性有机物等排放。严格控制湾内火电温排水规模并加强跟踪监测，加强固废资源化综合利用和土壤、地下水污染防控工作。加强引进项目的空间布局约束、污染物排放管控、环境风险防控、资源开发利用。</w:t>
            </w:r>
          </w:p>
        </w:tc>
        <w:tc>
          <w:tcPr>
            <w:tcW w:w="1685"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项目</w:t>
            </w:r>
            <w:r>
              <w:rPr>
                <w:rFonts w:hint="eastAsia" w:ascii="Times New Roman" w:hAnsi="Times New Roman" w:cs="Times New Roman"/>
                <w:color w:val="auto"/>
                <w:spacing w:val="0"/>
                <w:position w:val="0"/>
                <w:szCs w:val="21"/>
                <w:lang w:val="en-US" w:eastAsia="zh-CN"/>
              </w:rPr>
              <w:t>严格执行《报告书》提出的</w:t>
            </w:r>
            <w:r>
              <w:rPr>
                <w:rFonts w:ascii="Times New Roman" w:hAnsi="Times New Roman" w:cs="Times New Roman"/>
                <w:color w:val="auto"/>
                <w:spacing w:val="0"/>
                <w:position w:val="0"/>
                <w:szCs w:val="21"/>
                <w:lang w:val="en-US" w:eastAsia="zh-CN"/>
              </w:rPr>
              <w:t>生态环境准入清单。项目不涉及围填海。</w:t>
            </w:r>
            <w:r>
              <w:rPr>
                <w:rFonts w:hint="eastAsia" w:ascii="Times New Roman" w:hAnsi="Times New Roman" w:cs="Times New Roman"/>
                <w:color w:val="auto"/>
                <w:spacing w:val="0"/>
                <w:position w:val="0"/>
                <w:szCs w:val="21"/>
                <w:lang w:val="en-US" w:eastAsia="zh-CN"/>
              </w:rPr>
              <w:t>拟建项目生产过程中挥发性有机物主要来自定型废气，定型废气的排放参照执行浙江省地标《纺织染整工业大气污染物排放标准》（DB33/962-2015）表1新建企业排放限值</w:t>
            </w:r>
            <w:r>
              <w:rPr>
                <w:rFonts w:ascii="Times New Roman" w:hAnsi="Times New Roman" w:cs="Times New Roman"/>
                <w:color w:val="auto"/>
                <w:spacing w:val="0"/>
                <w:position w:val="0"/>
                <w:szCs w:val="21"/>
                <w:lang w:val="en-US" w:eastAsia="zh-CN"/>
              </w:rPr>
              <w:t>。</w:t>
            </w:r>
            <w:r>
              <w:rPr>
                <w:rFonts w:hint="eastAsia" w:ascii="Times New Roman" w:hAnsi="Times New Roman" w:cs="Times New Roman"/>
                <w:color w:val="auto"/>
                <w:spacing w:val="0"/>
                <w:position w:val="0"/>
                <w:szCs w:val="21"/>
                <w:lang w:val="en-US" w:eastAsia="zh-CN"/>
              </w:rPr>
              <w:t>本评价要求项目对土壤、地下水防控措施落实到位。</w:t>
            </w:r>
          </w:p>
        </w:tc>
        <w:tc>
          <w:tcPr>
            <w:tcW w:w="164"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150"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六）建立健全区域环境风险防范体系和生态安全保障体系。加强区内重要环境风险源以及危险化学品储运的管控，建设区域环境风险防控体系，及时制定和修订相关环境风险应急预案，并应与当地政府、部门的相关预案衔接，做好环境应急保障，构建区域环境风险联控机制，提高突发环境事件应急处置能力。</w:t>
            </w:r>
          </w:p>
        </w:tc>
        <w:tc>
          <w:tcPr>
            <w:tcW w:w="1685" w:type="pct"/>
            <w:vMerge w:val="restar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hint="eastAsia"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项目在投入试生产前将按照《突发环境事件应急管理办法》(部令第34号文)和福建省环保厅转发环保部关于印发《企业事业单位突发环境事件应急预案备案管理办法(试行)》的通知(闽环保应急[2015]2号)的要求编制及完善突发环境事件应急预案。并与纺织产业园应急预案做好衔接和联防联控工作。</w:t>
            </w:r>
          </w:p>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p>
        </w:tc>
        <w:tc>
          <w:tcPr>
            <w:tcW w:w="164" w:type="pct"/>
            <w:vMerge w:val="restart"/>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r>
              <w:rPr>
                <w:rFonts w:ascii="Times New Roman" w:hAnsi="Times New Roman" w:cs="Times New Roman"/>
                <w:color w:val="auto"/>
                <w:spacing w:val="0"/>
                <w:position w:val="0"/>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150" w:type="pct"/>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r>
              <w:rPr>
                <w:rFonts w:hint="eastAsia" w:ascii="Times New Roman" w:hAnsi="Times New Roman" w:cs="Times New Roman"/>
                <w:color w:val="auto"/>
                <w:spacing w:val="0"/>
                <w:position w:val="0"/>
                <w:szCs w:val="21"/>
                <w:lang w:val="en-US" w:eastAsia="zh-CN"/>
              </w:rPr>
              <w:t>（七）加强环境监测体系和能力建设。根据组团功能分区、产业布局、重点企业分布、特征污染物的排放种类和状况、环境敏感目标分布等，建立和完善海洋、大气、土壤、地下水等环境要素的监控体系。重点做好湾内海洋生态环境、周边居民区大气环境和地下水封洞库周边地下水环境的长期跟踪监测与管理，根据监测结果及时采取相应措施。</w:t>
            </w:r>
          </w:p>
        </w:tc>
        <w:tc>
          <w:tcPr>
            <w:tcW w:w="1685" w:type="pct"/>
            <w:vMerge w:val="continue"/>
            <w:noWrap w:val="0"/>
            <w:vAlign w:val="center"/>
          </w:tcPr>
          <w:p>
            <w:pPr>
              <w:pStyle w:val="28"/>
              <w:keepNext w:val="0"/>
              <w:keepLines w:val="0"/>
              <w:pageBreakBefore w:val="0"/>
              <w:widowControl/>
              <w:kinsoku/>
              <w:wordWrap/>
              <w:overflowPunct/>
              <w:topLinePunct w:val="0"/>
              <w:autoSpaceDE/>
              <w:autoSpaceDN/>
              <w:bidi w:val="0"/>
              <w:adjustRightInd w:val="0"/>
              <w:snapToGrid w:val="0"/>
              <w:jc w:val="both"/>
              <w:textAlignment w:val="auto"/>
              <w:rPr>
                <w:rFonts w:ascii="Times New Roman" w:hAnsi="Times New Roman" w:cs="Times New Roman"/>
                <w:color w:val="auto"/>
                <w:spacing w:val="0"/>
                <w:position w:val="0"/>
                <w:szCs w:val="21"/>
                <w:lang w:val="en-US" w:eastAsia="zh-CN"/>
              </w:rPr>
            </w:pPr>
          </w:p>
        </w:tc>
        <w:tc>
          <w:tcPr>
            <w:tcW w:w="164" w:type="pct"/>
            <w:vMerge w:val="continue"/>
            <w:noWrap w:val="0"/>
            <w:vAlign w:val="center"/>
          </w:tcPr>
          <w:p>
            <w:pPr>
              <w:pStyle w:val="28"/>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s="Times New Roman"/>
                <w:color w:val="auto"/>
                <w:spacing w:val="0"/>
                <w:position w:val="0"/>
                <w:szCs w:val="21"/>
                <w:lang w:val="en-US" w:eastAsia="zh-CN"/>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3.7.1.3与《福州台商投资区扩区总体规划(2012-2020)环境影响报告书》及其环评审查意见的符合性分析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环境保护部于2015年7月17日出具关于《福州台商投资区扩区总体规划(2012-2020)环境影响报告书》的审查意见（环审[2015]170号）。对照审查小组意见，拟建项目符合《福州台商投资区扩区总体规划(2012-2020)环境影响报告书》审查小组意见要求。本项目与福州台商投资区扩区总体规划位置关系详见图3.7-3。（略）</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center"/>
        <w:textAlignment w:val="auto"/>
        <w:outlineLvl w:val="9"/>
        <w:rPr>
          <w:rFonts w:ascii="Times New Roman" w:hAnsi="Times New Roman" w:cs="Times New Roman"/>
          <w:b/>
          <w:bCs/>
          <w:color w:val="auto"/>
          <w:spacing w:val="0"/>
          <w:position w:val="0"/>
          <w:sz w:val="24"/>
          <w:szCs w:val="24"/>
          <w:lang w:val="en-US" w:eastAsia="zh-CN"/>
        </w:rPr>
      </w:pPr>
      <w:r>
        <w:rPr>
          <w:rFonts w:ascii="Times New Roman" w:hAnsi="Times New Roman" w:cs="Times New Roman"/>
          <w:b/>
          <w:bCs/>
          <w:color w:val="auto"/>
          <w:spacing w:val="0"/>
          <w:position w:val="0"/>
          <w:sz w:val="24"/>
          <w:szCs w:val="24"/>
          <w:lang w:val="en-US" w:eastAsia="zh-CN"/>
        </w:rPr>
        <w:t>表</w:t>
      </w:r>
      <w:r>
        <w:rPr>
          <w:rFonts w:hint="eastAsia" w:cs="Times New Roman"/>
          <w:b/>
          <w:bCs/>
          <w:color w:val="auto"/>
          <w:spacing w:val="0"/>
          <w:position w:val="0"/>
          <w:sz w:val="24"/>
          <w:szCs w:val="24"/>
          <w:lang w:val="en-US" w:eastAsia="zh-CN"/>
        </w:rPr>
        <w:t>3.7</w:t>
      </w:r>
      <w:r>
        <w:rPr>
          <w:rFonts w:hint="eastAsia" w:ascii="Times New Roman" w:hAnsi="Times New Roman" w:cs="Times New Roman"/>
          <w:b/>
          <w:bCs/>
          <w:color w:val="auto"/>
          <w:spacing w:val="0"/>
          <w:position w:val="0"/>
          <w:sz w:val="24"/>
          <w:szCs w:val="24"/>
          <w:lang w:val="en-US" w:eastAsia="zh-CN"/>
        </w:rPr>
        <w:t>-3</w:t>
      </w:r>
      <w:r>
        <w:rPr>
          <w:rFonts w:ascii="Times New Roman" w:hAnsi="Times New Roman" w:cs="Times New Roman"/>
          <w:b/>
          <w:bCs/>
          <w:color w:val="auto"/>
          <w:spacing w:val="0"/>
          <w:position w:val="0"/>
          <w:sz w:val="24"/>
          <w:szCs w:val="24"/>
          <w:lang w:val="en-US" w:eastAsia="zh-CN"/>
        </w:rPr>
        <w:t>项目与</w:t>
      </w:r>
      <w:r>
        <w:rPr>
          <w:rFonts w:hint="eastAsia" w:ascii="Times New Roman" w:hAnsi="Times New Roman" w:cs="Times New Roman"/>
          <w:b/>
          <w:bCs/>
          <w:color w:val="auto"/>
          <w:spacing w:val="0"/>
          <w:position w:val="0"/>
          <w:sz w:val="24"/>
          <w:szCs w:val="24"/>
          <w:lang w:val="en-US" w:eastAsia="zh-CN"/>
        </w:rPr>
        <w:t>《福州台商投资区扩区总体规划(2012-2020)环境影响报告书》及审查意见的</w:t>
      </w:r>
      <w:r>
        <w:rPr>
          <w:rFonts w:ascii="Times New Roman" w:hAnsi="Times New Roman" w:cs="Times New Roman"/>
          <w:b/>
          <w:bCs/>
          <w:color w:val="auto"/>
          <w:spacing w:val="0"/>
          <w:position w:val="0"/>
          <w:sz w:val="24"/>
          <w:szCs w:val="24"/>
          <w:lang w:val="en-US" w:eastAsia="zh-CN"/>
        </w:rPr>
        <w:t>符合性一览表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88"/>
        <w:gridCol w:w="612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088" w:type="dxa"/>
            <w:tcBorders>
              <w:top w:val="single" w:color="auto" w:sz="12" w:space="0"/>
              <w:lef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相关内容</w:t>
            </w:r>
          </w:p>
        </w:tc>
        <w:tc>
          <w:tcPr>
            <w:tcW w:w="6125"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拟建项目情况</w:t>
            </w:r>
          </w:p>
        </w:tc>
        <w:tc>
          <w:tcPr>
            <w:tcW w:w="791" w:type="dxa"/>
            <w:tcBorders>
              <w:top w:val="single" w:color="auto" w:sz="12"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088"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优化区域重点产业结构和规模。大官坂片区重点发展机械装备制造以及污染相对较低的石化中下游产业和精细化工产品。大官坂片区禁止发展污染较大的化工产业。不再扩大聚酰胺一体化及配套产业规模等建议，降低对罗源湾大气和水环境的不利影响。</w:t>
            </w:r>
          </w:p>
        </w:tc>
        <w:tc>
          <w:tcPr>
            <w:tcW w:w="612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拟建项目位于连江可门绿色纺织产业园区内，是“大官坂片区”列入扩区规划的一部分。拟建项目属于先进织造染整产业，作为聚酰胺一体化产业的下游配套特色产业发展及承接福州市长乐区因滨海新城建设转移的纺织印染产业，不作为临港主导产业。</w:t>
            </w:r>
          </w:p>
        </w:tc>
        <w:tc>
          <w:tcPr>
            <w:tcW w:w="791"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088"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进一步优化区域内空间布局，处理好与城镇发展的布局性矛盾。做好大官坂片区规划控制距离内现有居民搬迁，并做好规划控制工作。</w:t>
            </w:r>
          </w:p>
        </w:tc>
        <w:tc>
          <w:tcPr>
            <w:tcW w:w="612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拟建项目位于连江可门绿色纺织产业园区内，与周边居民区距离较远，不涉及环境防护距离内居民的搬迁。</w:t>
            </w:r>
          </w:p>
        </w:tc>
        <w:tc>
          <w:tcPr>
            <w:tcW w:w="791"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088"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严格各片区的产业准入和环境准入。立足承接台湾高端产业转移，引进项目的生产工艺、装备水平、污染治理技术，以及单位产品能耗、物耗、污染物排放和资源利用率应达到同行业国际先进水平，积极推进产业技术进步，提升污染防治水平。加强产业节水、水资源梯级分质及再生利用，降低跨流域调水规模及相应生态环境压力。</w:t>
            </w:r>
          </w:p>
        </w:tc>
        <w:tc>
          <w:tcPr>
            <w:tcW w:w="612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①拟建项目符合《印染行业规范条件》(2017版)和入园准入条件。</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②拟建项目采用先进适用的数字化智能工艺设备和节能减排技术。在生产工艺、装备、污染治理技术、能耗物耗、资源利用率等方面能达国内先进水平。</w:t>
            </w:r>
          </w:p>
        </w:tc>
        <w:tc>
          <w:tcPr>
            <w:tcW w:w="791"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088"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进一步强化污染防治措施。落实污染物排放总量控制要求，采取有效措施减少COD、石油类、总磷、总氮等各类污染物的排放。加快推进污水处理厂及污水管网建设进度，在科学论证的基础上，合理确定湾内、外污水排放口位置，化工废水应全部引至湾外排放；严格污水处理厂尾水排放要求，确保符合近岸海域环境功能，避免对湾口官井洋大黄鱼繁育保护区造成不利影响。统筹规划建设区域工业固体废物的集中处理设置设施；利用现有电厂，加快区域集中供热改造。</w:t>
            </w:r>
          </w:p>
        </w:tc>
        <w:tc>
          <w:tcPr>
            <w:tcW w:w="612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①项目废水经分质收集后排入产业园配套的污水处理厂统一处理达《城镇污水处理厂污染物排放标准》(GB18918-2002)一级A标准后接入湾外排放口排放。</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②拟建项目处于连江可门绿色纺织产业园区内，主要供热依托福建申远新材料有限公司富余蒸汽，满足规划产业供热需求。项目厂区内不设其他供热锅炉。</w:t>
            </w:r>
          </w:p>
        </w:tc>
        <w:tc>
          <w:tcPr>
            <w:tcW w:w="791"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088" w:type="dxa"/>
            <w:tcBorders>
              <w:left w:val="nil"/>
              <w:bottom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加强区域环境管理。组织制定投资区环境保护计划，统筹考虑投资区内污染物排放、生态恢复与建设、环境风险防范等。加强监测体系和能力建设，对排污口周边水环境、水生态和居住区周边大气环境进行长期跟踪监测与管理，建立健全区域环境风险防控体系</w:t>
            </w:r>
          </w:p>
        </w:tc>
        <w:tc>
          <w:tcPr>
            <w:tcW w:w="6125"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拟建项目在投入试生产前应按照《突发环境事件应急管理办法》(部令第34号文)和福建省环保厅转发环保部关于印发《企业事业单位突发环境事件应急预案备案管理办法(试行)》的通知(闽环保应急[2015]2号)的要求编制及完善突发环境事件应急预案。并与纺织产业园应急预案做好衔接和联防联控工作。</w:t>
            </w:r>
          </w:p>
        </w:tc>
        <w:tc>
          <w:tcPr>
            <w:tcW w:w="791" w:type="dxa"/>
            <w:tcBorders>
              <w:bottom w:val="single" w:color="auto" w:sz="12"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cs="Times New Roman"/>
                <w:color w:val="auto"/>
                <w:spacing w:val="0"/>
                <w:position w:val="0"/>
                <w:sz w:val="21"/>
                <w:szCs w:val="21"/>
                <w:vertAlign w:val="baseline"/>
                <w:lang w:val="en-US" w:eastAsia="zh-CN"/>
              </w:rPr>
            </w:pPr>
            <w:r>
              <w:rPr>
                <w:rFonts w:hint="eastAsia" w:ascii="Times New Roman" w:hAnsi="Times New Roman" w:cs="Times New Roman"/>
                <w:color w:val="auto"/>
                <w:spacing w:val="0"/>
                <w:position w:val="0"/>
                <w:sz w:val="21"/>
                <w:szCs w:val="21"/>
                <w:vertAlign w:val="baseline"/>
                <w:lang w:val="en-US" w:eastAsia="zh-CN"/>
              </w:rPr>
              <w:t>符合</w:t>
            </w:r>
          </w:p>
        </w:tc>
      </w:tr>
    </w:tbl>
    <w:p>
      <w:pPr>
        <w:pStyle w:val="2"/>
        <w:rPr>
          <w:rFonts w:hint="default"/>
          <w:spacing w:val="0"/>
          <w:position w:val="0"/>
          <w:lang w:val="en-US" w:eastAsia="zh-CN"/>
        </w:rPr>
        <w:sectPr>
          <w:pgSz w:w="16838" w:h="11906" w:orient="landscape"/>
          <w:pgMar w:top="1417"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3.7.1.4与《连江可门经济开发区总体规划(2012-2030)》的符合性分析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根据《连江可门经济开发区总体规划(2012-2030)》相关内容：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①可门经济开发区产业定位为：重点发展机械装备、海工装备、石油化工、新材料、纺织化纤、金属冶炼及深加工等主导产业，积极引进和培育海洋新兴产业，促进产业规模化、现代化，形成临港工业与新兴产业并重的特色体系。</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②空间布局：总体形成“一轴、三心、三片”的规划结构，如图3.7-4所示。（略）</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图3.7-4空间布局规划图</w:t>
      </w:r>
      <w:r>
        <w:rPr>
          <w:rFonts w:hint="eastAsia"/>
          <w:b w:val="0"/>
          <w:bCs w:val="0"/>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“一轴”：指由横一路串联起开发区一期、二期及港区的东西向城市空间发展轴线。</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“三心”：指开发区的官坂、坑园和塘口-浮泉公共配套中心。为开发区提供商业休闲、居住、教育医疗等公共服务设施的集中区域。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“三片”：指纵三路西部工业片区和官坂镇生活区、纵三路东部工业区和坑园镇生活区及塘口-浮泉生活区和工业区共同构成的三片工业生产生活综合区。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③工业用地布局：规划工业用地分为三片，主要布局在开发区的西北部、纵三路以东和以西两片工业片区，用地合计1885.74公顷，占城市建设用地的49.01%。产业门类重点发展石化产业、金属加工、机械制造、新材料产业、纺织化纤及其它低耗、环保产业等产业制造功能。土地利用规划如图3.7-5所示。</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图3.7-5土地利用规划图</w:t>
      </w:r>
      <w:r>
        <w:rPr>
          <w:rFonts w:hint="eastAsia"/>
          <w:b w:val="0"/>
          <w:bCs w:val="0"/>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位于空间布局规划的坑园工业生产生活综合区内，主要建设内容为智能化高档纺织面料的织造和印染，属于园业产业定位中的纺织化纤类，项目用地类型为工业用地，符合土地利用规划。综上本项目符合《连江可门经济开发区总体规划(2012-2030)》产业规划。</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3.7.1.5与《连江可门经济开发区总体规划(2012-2030)环境影响报告书》及审查意见的符合性分析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val="0"/>
          <w:bCs w:val="0"/>
          <w:spacing w:val="0"/>
          <w:position w:val="0"/>
          <w:sz w:val="24"/>
          <w:szCs w:val="24"/>
          <w:lang w:val="en-US" w:eastAsia="zh-CN"/>
        </w:rPr>
        <w:t>连江县生态环境局于2018年4月2日出具《连江可门经济开发区总体规划(2012-2030)环境影响报告书》的审查意见（连环保[2018]52号）。对照审查小组意见，拟建项目符合《连江可门经济开发区总体规划(2012-2030)环境影响报告书》审查小组意见要求。具体情况如下表3.7-4。</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表3.7-4与连江可门经济开发区总体规划环评审查意见的符合性分析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887"/>
        <w:gridCol w:w="5311"/>
        <w:gridCol w:w="8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78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相关内容</w:t>
            </w:r>
          </w:p>
        </w:tc>
        <w:tc>
          <w:tcPr>
            <w:tcW w:w="53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本项目情况</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8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规划实施过程应坚持生态功能不降低、水土资源不超载、污染物排放总量不突破、环境准入不降低的原则，推动区域生态环境质量改善。《规划》应优化开发功能定位，合理安排建设时序，控制开发强度，严格产业准入，促进开发区可持续发展。</w:t>
            </w:r>
          </w:p>
        </w:tc>
        <w:tc>
          <w:tcPr>
            <w:tcW w:w="53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拟建项目从源头采取清洁生产措施，加强水资源、热能的循环利用，促进企业健康可持续发展。</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8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严格可门经济开发区环保准入。严格控制引进耗水高、水污染严重的产业，控制挥发性有机物和烟粉尘排放。规划区内工业企业应不断提升工艺装备和清洁生产水平，入区项目的清洁生产应达到国内清洁生产先进水平以上。优化能源结构，实施集中供热，鼓励使用电或天然气等清洁能源。</w:t>
            </w:r>
          </w:p>
        </w:tc>
        <w:tc>
          <w:tcPr>
            <w:tcW w:w="53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①拟建项目符合《印染行业规范条件》(2017版)和入园准入条件。</w:t>
            </w: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②拟建项目采用先进适用的数字化智能工艺设备和节能减排技术。在生产工艺、装备、污染治理技术、能耗物耗、资源利用率等方面能达国内先进水平。</w:t>
            </w: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③拟建项目处于内，供热主要依托福建申远新材料有限公司富余蒸汽，实施集中供热。项目厂区内不设其他供热锅炉。</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8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优化区域重点产业结构和规模。可门经济开发区重点产业为机械装备、海工装备、石油化工、新材料、纺织化纤、金属冶炼，同意《报告书》提出的禁止引进大气污染较重的石化上游产品生产项目，禁止引进集中电镀项目及排放重金属和持久性有机污染物的项目等建议。鉴于可门经济开发区引进印染项目现状条件不成熟，同意《报告书》提出暂不引进印染项目，待条件成熟后，再由连江县政府论证引进印染产业的可行性。同意《报告书》提出的根据污水湾外排海工程落实情况、区域大气环境质量和海域生态环境影响跟踪评价结果以及项目清洁生产水平的的提升情况，从资源环境承载力的角度出发，专题论证聚酰胺一体化及配套下游产业扩建规模。</w:t>
            </w:r>
          </w:p>
        </w:tc>
        <w:tc>
          <w:tcPr>
            <w:tcW w:w="531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连江县人民政府会议纪要（[2020]121号）关于连江可门工业园区可门清洁织染一体化产业园规划环评工作有关问题中指出根据环罗源湾地区工业企业布局规划（2020-2025年）要求，可门管委会于2020年9月委托福建省金皇环保科技有限公司开展环评编制工作论证产业园引进印染产业的可行性环评报告，并于2021年6月获得福州市环境生态局审查意见，拟建项目位于连江可门绿色纺织产业园区内，项目符合规划产业布局。</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符合</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hint="eastAsia"/>
          <w:b/>
          <w:bCs/>
          <w:spacing w:val="0"/>
          <w:position w:val="0"/>
          <w:sz w:val="24"/>
          <w:szCs w:val="24"/>
          <w:lang w:val="en-US" w:eastAsia="zh-CN"/>
        </w:rPr>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3.7.1.6与《连江可门绿色纺织产业园规划(一期)》符合性分析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连江可门绿色纺织产业园规划(一期)》中相关内容：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产业定位：把园区建设成为“技术水平先进、产业有序集中、公共设施共享、资源高效利用、环境优美清洁、生态良性循环”的特色园区，为福州地区的纺织业配套，成为福州乃至周边地区高端织造染整基地，成为国内有影响力的绿色纺织产业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规划规模：拟以锦纶化纤及交织针织物为主，规划染整规模18-25万吨/年。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②功能分区：综合考虑园区现状、用地条件、近中期建设重点、远期发展需求、主要交通流向等诸多因素，功能区域相对集中，物流相对顺畅便捷，各片区和地块以道路相连，以防护绿地、生态用地相隔。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A、工业生产区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通过对现状详实的调查与综合分析，针对现代化纺织产业园的特点，规划在上一层次规划的基础上，通过功能细化和重组，实现园区内部以及与周边其他功能区之间的有机联系与过渡。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一期园区规划主入口位于用地南侧横一路上，一期用地北侧为污水处理区域，生产用地布置企业。各企业拟建设染色/定型车间、织造车间、成品库/包装、原料库、食堂/办公、固废、地下回用水池/地下应急用水池、地下污水池等建构筑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B、市政配套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完善给排水、供热、供电、供气、道路、通讯、环境保护等基础设施建设。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C、园区交通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设计环绕纺织园区的路网结构，满足园区高效的对外交通要求。每家印染企业厂区内建筑周围设环行车道以解决交通疏散、物流运输和消防问题，宽度分别为 10m、8m、6m，道路为城市型，混凝土路面，最小纵坡不小于0.3%。整个道路网结构清晰、有效，能较好地保证厂区内生产、生活、物流、消防等功能的通畅运转。产业空间布局如图3.7-6。</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图3.7-6纺织产业园规划平面图</w:t>
      </w:r>
      <w:r>
        <w:rPr>
          <w:rFonts w:hint="eastAsia"/>
          <w:b w:val="0"/>
          <w:bCs w:val="0"/>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拟建项目位于连江可门绿色纺织产业园区内，主要建设内容为智能化高档纺织面料的织造和染整，属于园业产业定位中的高端织造染整产业，即拟建项目符合《连江可门绿色纺织产业园规划(一期)》产业规划。</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3.7.1.7与《连江可门绿色纺织产业园规划(一期)环境影响报告书》及审查意见的符合性分析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2021年7月9日，福州市生态环境局在福州市组织召开了《连江可门绿色纺织产业园规划(一期)环境影响报告书》（以下简称《报告书》）审查会。并形成了《连江可门绿色纺织产业园规划(一期)环境影响报告书》的现场审查意见。对照审查小组意见，针对本项目进行相关内容分析，经分析，拟建项目符合《连江可门绿色纺织产业园规划(一期)环境影响报告书》及其审查小组意见要求。具体情况如下表3.7-5及表3.7-6。</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表3.7-5与连江可门绿色纺织产业园规划环评审查意见的符合性分析</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32"/>
        <w:gridCol w:w="3915"/>
        <w:gridCol w:w="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相关内容</w:t>
            </w:r>
          </w:p>
        </w:tc>
        <w:tc>
          <w:tcPr>
            <w:tcW w:w="3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拟建项目情况</w:t>
            </w:r>
          </w:p>
        </w:tc>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（二）严守环境质量底线。根据国家和福建省、福州市关于大气、水、土壤等污染防治相关政策要求，强化污染物总量控制，采取有效措施减少主要污染物的排放，控制外排废水量及挥发性有机物排放量。</w:t>
            </w:r>
          </w:p>
        </w:tc>
        <w:tc>
          <w:tcPr>
            <w:tcW w:w="3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项目严格执行总量控制指标排放污染物，废气</w:t>
            </w:r>
            <w:r>
              <w:rPr>
                <w:rFonts w:hint="eastAsia"/>
                <w:b w:val="0"/>
                <w:bCs w:val="0"/>
                <w:spacing w:val="0"/>
                <w:position w:val="0"/>
                <w:sz w:val="21"/>
                <w:szCs w:val="21"/>
                <w:vertAlign w:val="baseline"/>
                <w:lang w:val="en-US" w:eastAsia="zh-CN"/>
              </w:rPr>
              <w:t>主要</w:t>
            </w:r>
            <w:r>
              <w:rPr>
                <w:rFonts w:hint="eastAsia" w:ascii="Times New Roman" w:hAnsi="Times New Roman" w:eastAsia="宋体"/>
                <w:b w:val="0"/>
                <w:bCs w:val="0"/>
                <w:spacing w:val="0"/>
                <w:position w:val="0"/>
                <w:sz w:val="21"/>
                <w:szCs w:val="21"/>
                <w:vertAlign w:val="baseline"/>
                <w:lang w:val="en-US" w:eastAsia="zh-CN"/>
              </w:rPr>
              <w:t>采用“热能回收+冷却+静电”装置处理控制挥发性有机排放，废水通过分质分流和中水回用等措施控制废水排放总量。</w:t>
            </w:r>
          </w:p>
        </w:tc>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w:t>
            </w:r>
            <w:r>
              <w:rPr>
                <w:rFonts w:hint="eastAsia" w:ascii="Times New Roman" w:hAnsi="Times New Roman"/>
                <w:b w:val="0"/>
                <w:bCs w:val="0"/>
                <w:spacing w:val="0"/>
                <w:position w:val="0"/>
                <w:sz w:val="21"/>
                <w:szCs w:val="21"/>
                <w:vertAlign w:val="baseline"/>
                <w:lang w:val="en-US" w:eastAsia="zh-CN"/>
              </w:rPr>
              <w:t>三</w:t>
            </w:r>
            <w:r>
              <w:rPr>
                <w:rFonts w:hint="eastAsia" w:ascii="Times New Roman" w:hAnsi="Times New Roman" w:eastAsia="宋体"/>
                <w:b w:val="0"/>
                <w:bCs w:val="0"/>
                <w:spacing w:val="0"/>
                <w:position w:val="0"/>
                <w:sz w:val="21"/>
                <w:szCs w:val="21"/>
                <w:vertAlign w:val="baseline"/>
                <w:lang w:val="en-US" w:eastAsia="zh-CN"/>
              </w:rPr>
              <w:t>）严格生态环境准入。落实《报告书》提出的生态环境准入要求。入驻企业的工艺装备、污染治理技术水平以及单位产品能耗、物耗应达到国内同行业清洁生产先进水平。入驻企业应采用低浴比的染色设备，水重复利用率须达到</w:t>
            </w:r>
            <w:r>
              <w:rPr>
                <w:rFonts w:hint="default" w:ascii="Times New Roman" w:hAnsi="Times New Roman" w:eastAsia="宋体" w:cs="Times New Roman"/>
                <w:b w:val="0"/>
                <w:bCs w:val="0"/>
                <w:spacing w:val="0"/>
                <w:position w:val="0"/>
                <w:sz w:val="21"/>
                <w:szCs w:val="21"/>
                <w:vertAlign w:val="baseline"/>
                <w:lang w:val="en-US" w:eastAsia="zh-CN"/>
              </w:rPr>
              <w:t>55</w:t>
            </w:r>
            <w:r>
              <w:rPr>
                <w:rFonts w:hint="eastAsia" w:ascii="Times New Roman" w:hAnsi="Times New Roman" w:eastAsia="宋体" w:cs="Times New Roman"/>
                <w:b w:val="0"/>
                <w:bCs w:val="0"/>
                <w:spacing w:val="0"/>
                <w:position w:val="0"/>
                <w:sz w:val="21"/>
                <w:szCs w:val="21"/>
                <w:vertAlign w:val="baseline"/>
                <w:lang w:val="en-US" w:eastAsia="zh-CN"/>
              </w:rPr>
              <w:t>%</w:t>
            </w:r>
            <w:r>
              <w:rPr>
                <w:rFonts w:hint="eastAsia" w:ascii="Times New Roman" w:hAnsi="Times New Roman" w:eastAsia="宋体"/>
                <w:b w:val="0"/>
                <w:bCs w:val="0"/>
                <w:spacing w:val="0"/>
                <w:position w:val="0"/>
                <w:sz w:val="21"/>
                <w:szCs w:val="21"/>
                <w:vertAlign w:val="baseline"/>
                <w:lang w:val="en-US" w:eastAsia="zh-CN"/>
              </w:rPr>
              <w:t>以上，禁止采用氯漂工艺，禁止企业自建供热锅炉，应实施集中供热，鼓励使用周边企业余热。</w:t>
            </w:r>
          </w:p>
        </w:tc>
        <w:tc>
          <w:tcPr>
            <w:tcW w:w="3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拟建项目采用先进适用的数字化智能工艺设备和节能减排技术。在生产工艺、装备、污染治理技术、能耗物耗、资源利用率等方面能达国内先进水平。拟建项目采用1：6的低浴比染色设备，水重复利用率达69.99%，满足55%的要求，项目不采用氯漂工艺。拟建项目不新建供热系统，供热依托福建申远新材料有限公司富余蒸汽，实施集中供热。</w:t>
            </w:r>
          </w:p>
        </w:tc>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w:t>
            </w:r>
            <w:r>
              <w:rPr>
                <w:rFonts w:hint="eastAsia" w:ascii="Times New Roman" w:hAnsi="Times New Roman"/>
                <w:b w:val="0"/>
                <w:bCs w:val="0"/>
                <w:spacing w:val="0"/>
                <w:position w:val="0"/>
                <w:sz w:val="21"/>
                <w:szCs w:val="21"/>
                <w:vertAlign w:val="baseline"/>
                <w:lang w:val="en-US" w:eastAsia="zh-CN"/>
              </w:rPr>
              <w:t>四</w:t>
            </w:r>
            <w:r>
              <w:rPr>
                <w:rFonts w:hint="eastAsia" w:ascii="Times New Roman" w:hAnsi="Times New Roman" w:eastAsia="宋体"/>
                <w:b w:val="0"/>
                <w:bCs w:val="0"/>
                <w:spacing w:val="0"/>
                <w:position w:val="0"/>
                <w:sz w:val="21"/>
                <w:szCs w:val="21"/>
                <w:vertAlign w:val="baseline"/>
                <w:lang w:val="en-US" w:eastAsia="zh-CN"/>
              </w:rPr>
              <w:t>）加快环保基础设施建设，强化并落实污染防治措施。按照“清污分流、分质回用”的原则，园区同步配套建设公共污水处理厂、污水收集管网、中水回用系统，并提请当地政府加快推进区域尾水排海工程建设。入园企业外排污水应统一纳入公共污水处理厂集中处理后接入尾水排海管道引至罗源湾外指定海域深海排放。定型机油烟废气应采用热回收和高效的除油烟措施。依法依规做好各类固体废物的分类收集与处理处置。</w:t>
            </w:r>
          </w:p>
        </w:tc>
        <w:tc>
          <w:tcPr>
            <w:tcW w:w="3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拟建项目废水经分质收集后排入产业园配套的污水处理厂统一处理达《城镇污水处理厂污染物排放标准》(GB18918-2002)一级A标准后接入湾外排放口排放。项目蒸汽冷凝水回收利用。定型机油烟废气采用热回收和高效的冷却+静电除油烟措施。项目做好各类固体废物的分类收集与处理处置。</w:t>
            </w:r>
          </w:p>
        </w:tc>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w:t>
            </w:r>
            <w:r>
              <w:rPr>
                <w:rFonts w:hint="eastAsia" w:ascii="Times New Roman" w:hAnsi="Times New Roman"/>
                <w:b w:val="0"/>
                <w:bCs w:val="0"/>
                <w:spacing w:val="0"/>
                <w:position w:val="0"/>
                <w:sz w:val="21"/>
                <w:szCs w:val="21"/>
                <w:vertAlign w:val="baseline"/>
                <w:lang w:val="en-US" w:eastAsia="zh-CN"/>
              </w:rPr>
              <w:t>六</w:t>
            </w:r>
            <w:r>
              <w:rPr>
                <w:rFonts w:hint="eastAsia" w:ascii="Times New Roman" w:hAnsi="Times New Roman" w:eastAsia="宋体"/>
                <w:b w:val="0"/>
                <w:bCs w:val="0"/>
                <w:spacing w:val="0"/>
                <w:position w:val="0"/>
                <w:sz w:val="21"/>
                <w:szCs w:val="21"/>
                <w:vertAlign w:val="baseline"/>
                <w:lang w:val="en-US" w:eastAsia="zh-CN"/>
              </w:rPr>
              <w:t>）建立健全环境风险防范体系。健全园区环境风险防范应急体系，编制突发环境风险应急预案，并与当地政府、相关部门和区域的预案相衔接，园区污水处理厂和企业应设置足够容积的事故应急池，做好环境应急保障，构建区域环境风险联控机制，有效防范环境污染事故发生。</w:t>
            </w:r>
          </w:p>
        </w:tc>
        <w:tc>
          <w:tcPr>
            <w:tcW w:w="3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拟建项目在投入试生产前应按照《突发环境事件应急管理办法》(部令第34号文)和福建省环保厅转发环保部关于印发《企业事业单位突发环境事件应急预案备案管理办法(试行)》的通知(闽环保应急[2015]2号)的要求编制及完善突发环境事件应急预案。并与纺织产业园应急预案做好衔接和联防联控工作。</w:t>
            </w:r>
          </w:p>
        </w:tc>
        <w:tc>
          <w:tcPr>
            <w:tcW w:w="8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符合</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hint="eastAsia"/>
          <w:b w:val="0"/>
          <w:bCs w:val="0"/>
          <w:spacing w:val="0"/>
          <w:position w:val="0"/>
          <w:sz w:val="24"/>
          <w:szCs w:val="24"/>
          <w:lang w:val="en-US" w:eastAsia="zh-CN"/>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0"/>
        <w:ind w:firstLine="0"/>
        <w:jc w:val="center"/>
        <w:rPr>
          <w:rFonts w:ascii="Times New Roman" w:hAnsi="Times New Roman"/>
          <w:b/>
          <w:bCs/>
          <w:spacing w:val="0"/>
          <w:position w:val="0"/>
          <w:szCs w:val="24"/>
        </w:rPr>
      </w:pPr>
      <w:r>
        <w:rPr>
          <w:rFonts w:hint="eastAsia" w:ascii="Times New Roman" w:hAnsi="Times New Roman"/>
          <w:b/>
          <w:bCs/>
          <w:spacing w:val="0"/>
          <w:position w:val="0"/>
          <w:szCs w:val="24"/>
        </w:rPr>
        <w:t>表</w:t>
      </w:r>
      <w:r>
        <w:rPr>
          <w:rFonts w:hint="eastAsia" w:ascii="Times New Roman" w:hAnsi="Times New Roman"/>
          <w:b/>
          <w:bCs/>
          <w:spacing w:val="0"/>
          <w:position w:val="0"/>
          <w:szCs w:val="24"/>
          <w:lang w:eastAsia="zh-CN"/>
        </w:rPr>
        <w:t>3.7</w:t>
      </w:r>
      <w:r>
        <w:rPr>
          <w:rFonts w:hint="eastAsia" w:ascii="Times New Roman" w:hAnsi="Times New Roman"/>
          <w:b/>
          <w:bCs/>
          <w:spacing w:val="0"/>
          <w:position w:val="0"/>
          <w:szCs w:val="24"/>
        </w:rPr>
        <w:t>-</w:t>
      </w:r>
      <w:r>
        <w:rPr>
          <w:rFonts w:hint="eastAsia" w:ascii="Times New Roman" w:hAnsi="Times New Roman"/>
          <w:b/>
          <w:bCs/>
          <w:spacing w:val="0"/>
          <w:position w:val="0"/>
          <w:szCs w:val="24"/>
          <w:lang w:val="en-US" w:eastAsia="zh-CN"/>
        </w:rPr>
        <w:t>6</w:t>
      </w:r>
      <w:r>
        <w:rPr>
          <w:rFonts w:hint="eastAsia" w:ascii="Times New Roman" w:hAnsi="Times New Roman"/>
          <w:b/>
          <w:bCs/>
          <w:spacing w:val="0"/>
          <w:position w:val="0"/>
          <w:szCs w:val="24"/>
        </w:rPr>
        <w:t>本项目与《连江可门绿色纺织产业园规划(一期)环境影响报告书》</w:t>
      </w:r>
      <w:r>
        <w:rPr>
          <w:rFonts w:hint="eastAsia" w:ascii="Times New Roman" w:hAnsi="Times New Roman"/>
          <w:b/>
          <w:bCs/>
          <w:spacing w:val="0"/>
          <w:position w:val="0"/>
          <w:szCs w:val="24"/>
          <w:lang w:val="en-US" w:eastAsia="zh-CN"/>
        </w:rPr>
        <w:t>的</w:t>
      </w:r>
      <w:r>
        <w:rPr>
          <w:rFonts w:hint="eastAsia" w:ascii="Times New Roman" w:hAnsi="Times New Roman"/>
          <w:b/>
          <w:bCs/>
          <w:spacing w:val="0"/>
          <w:position w:val="0"/>
          <w:szCs w:val="24"/>
        </w:rPr>
        <w:t>符合性分析</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9600"/>
        <w:gridCol w:w="3093"/>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项目</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项目准入条件</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本项目具体情况</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产业</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禁止印染棉、麻等耗水量高的产品。</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本项目为化纤染整，不涉及棉、麻印染。</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生产规模和工艺装备水平</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（1）印染企业要采用技术先进、节能环保的设备，主要工艺参数实现在线检测和自动控制。鼓励采用染化料自动配液输送系统。</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（2）禁止使用国家明确规定的淘汰类落后生产工艺和设备，禁止使用达不到节能环保要求的二手设备。</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印染项目设计建设要执行《印染工厂设计规范》（GB50426）。</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连续式水洗装置要密封性好，并配有逆流、高效漂洗及热能回收装置。间歇式染色设备浴比应满足1：8以下工艺要求，鼓励使用低浴比设备。热定形、涂层等工序挥发性有机物（VOCs）废气应收集处理，要求采用溶剂回收和余热回收装置。</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（4）禁止采用碱减量工艺。</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5）推荐符合《产业结构调整指导目录》鼓励类要求：采用数字化智能化印染技术装备、染整清洁生产技术（酶处理、高效短流程前处理、针织物连续平幅前处理、低温前处理及染色、低盐或无盐染色、低尿素印花、小浴比气流或气液染色、数码喷墨印花、泡沫整理等）、功能性整理技术、新型染色加工技术、复合面料加工技术，生产高档纺织面料；智能化筒子纱染色技术装备开发与应用。</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本项目设备采用国内先进的染色机，主要工艺参数可以实现在线检测和自动控制；采用染化料自动配液输送系统、自动化电子信息化技术称量系统、在线采集和控制系统。没有使用淘汰类工艺和设备以及达不到节能环保要求的二手设备。本项目不设连续式水洗装置，间歇式染色设备浴比1:6，</w:t>
            </w:r>
            <w:r>
              <w:rPr>
                <w:rFonts w:hint="eastAsia" w:ascii="Times New Roman" w:hAnsi="Times New Roman"/>
                <w:spacing w:val="0"/>
                <w:position w:val="0"/>
                <w:sz w:val="21"/>
                <w:szCs w:val="21"/>
                <w:lang w:val="en-US" w:eastAsia="zh-CN"/>
              </w:rPr>
              <w:t>印染</w:t>
            </w:r>
            <w:r>
              <w:rPr>
                <w:rFonts w:hint="eastAsia" w:ascii="Times New Roman" w:hAnsi="Times New Roman" w:eastAsia="宋体"/>
                <w:spacing w:val="0"/>
                <w:position w:val="0"/>
                <w:sz w:val="21"/>
                <w:szCs w:val="21"/>
              </w:rPr>
              <w:t>废气收集后采用冷却+静电一体化装置处理后排放，并设热能回收器</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质量与管理</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（1）印染企业要开发生产低消耗、低污染绿色产品，鼓励采用新技术、新工艺、新设备、新材料开发具有知识产权、高附加值的纺织产品。产品质量要符合国家或行业标准要求，产品合格率达到95%以上。</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（2）印染企业应实行三级用能、用水计量管理，设置专门机构或人员对能源、取水、排污情况进行监督，并建立管理考核制度和数据统计系统。</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（3）印染企业要健全企业管理制度，鼓励企业进行质量、环境以及职业健康等管理体系认证，支持企业采用信息化管理手段提高企业管理效率和水平。企业要加强生产现场管理，车间要求干净整洁。</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4）印染企业要规范化学品存储和使用，危险化学品应严格遵循《危险化学品安全管理条例》要求，加强对从业人员化学品使用的岗位技能培训。企业应建立化学品绿色供应链管控体系，避免使用对消费者、环境等有害的化学物质。</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产品合格率</w:t>
            </w:r>
            <w:r>
              <w:rPr>
                <w:rFonts w:hint="eastAsia" w:ascii="Times New Roman" w:hAnsi="Times New Roman" w:eastAsia="宋体"/>
                <w:spacing w:val="0"/>
                <w:position w:val="0"/>
                <w:sz w:val="21"/>
                <w:szCs w:val="21"/>
                <w:lang w:val="en-US" w:eastAsia="zh-CN"/>
              </w:rPr>
              <w:t>99</w:t>
            </w:r>
            <w:r>
              <w:rPr>
                <w:rFonts w:hint="eastAsia" w:ascii="Times New Roman" w:hAnsi="Times New Roman" w:eastAsia="宋体"/>
                <w:spacing w:val="0"/>
                <w:position w:val="0"/>
                <w:sz w:val="21"/>
                <w:szCs w:val="21"/>
              </w:rPr>
              <w:t>%以上，企业将按照要求实行三级用能、用水计量管理，设置专门机构或人员对能源、取水、排污情况进行监督，并建立管理考核制度和数据统计系统。健全企业管理制度，严格遵循《危险化学品安全管理条例》规范化学品存储和使用。</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资源消耗</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印染企业单位产品能耗和新鲜水取水量要达到规定要求。</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4"/>
              <w:gridCol w:w="3125"/>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分类</w:t>
                  </w:r>
                </w:p>
              </w:tc>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综合能耗</w:t>
                  </w:r>
                </w:p>
              </w:tc>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新鲜水取水量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棉、麻、化纤及混纺机织物</w:t>
                  </w:r>
                </w:p>
              </w:tc>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≤30公斤标煤/百米</w:t>
                  </w:r>
                </w:p>
              </w:tc>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≤1.6吨水/百米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纱线、针织物</w:t>
                  </w:r>
                </w:p>
              </w:tc>
              <w:tc>
                <w:tcPr>
                  <w:tcW w:w="3128" w:type="dxa"/>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≤1.1吨标煤/吨</w:t>
                  </w:r>
                </w:p>
              </w:tc>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≤90吨水/吨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真丝绸机织物</w:t>
                  </w:r>
                </w:p>
              </w:tc>
              <w:tc>
                <w:tcPr>
                  <w:tcW w:w="3128" w:type="dxa"/>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≤36公斤标煤/百米</w:t>
                  </w:r>
                </w:p>
              </w:tc>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≤2.2吨水/百米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精梳毛织物</w:t>
                  </w:r>
                </w:p>
              </w:tc>
              <w:tc>
                <w:tcPr>
                  <w:tcW w:w="3128" w:type="dxa"/>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≤150公斤标煤/百米</w:t>
                  </w:r>
                </w:p>
              </w:tc>
              <w:tc>
                <w:tcPr>
                  <w:tcW w:w="3128" w:type="dxa"/>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≤15吨水/百米</w:t>
                  </w:r>
                </w:p>
              </w:tc>
            </w:tr>
          </w:tbl>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注：1.机织物标准品为布幅宽度152cm、布重10-14kg/100m的棉染色合格产品，真丝绸机织物标准品为幅宽度114cm、布重6-8kg/100m的染色合格产品，当产品不同时，可按标准进行换算。</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2.针织或纱线标准品为棉浅色染色产品，当产品不同时，可参照《针织印染产品取水计算办法及单耗基本定额》（FZ/T01105）进行换算。</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精梳毛织物印染加工指从毛条经过条染复精梳、纺纱、织布、染整、成品入库等工序加工成合格毛织品精梳织物的全过程。粗梳毛织物单位产品能耗按精梳毛织物的1.3倍折算，新鲜水取水量按精梳毛织物的1.15倍折算。毛针织绒线、手编绒线单位产品能耗按纱线、针织物的1.3倍折算，新鲜水取水量按纱线、针织物的1.3倍折算。</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4.企业所需蒸汽由申远公司供应，不允许企业建设导热油炉。</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本项目不设导热油炉和锅炉，由园区供热单位申远公司集中供热。拟建项目染整加工单位产品能耗</w:t>
            </w:r>
            <w:r>
              <w:rPr>
                <w:rFonts w:hint="eastAsia" w:ascii="Times New Roman" w:hAnsi="Times New Roman" w:eastAsia="宋体"/>
                <w:color w:val="auto"/>
                <w:spacing w:val="0"/>
                <w:position w:val="0"/>
                <w:sz w:val="21"/>
                <w:szCs w:val="21"/>
                <w:lang w:val="en-US" w:eastAsia="zh-CN"/>
              </w:rPr>
              <w:t>0.983</w:t>
            </w:r>
            <w:r>
              <w:rPr>
                <w:rFonts w:hint="eastAsia" w:ascii="Times New Roman" w:hAnsi="Times New Roman" w:eastAsia="宋体"/>
                <w:spacing w:val="0"/>
                <w:position w:val="0"/>
                <w:sz w:val="21"/>
                <w:szCs w:val="21"/>
              </w:rPr>
              <w:t>吨标煤/吨，新鲜水取水量</w:t>
            </w:r>
            <w:r>
              <w:rPr>
                <w:rFonts w:hint="eastAsia" w:ascii="Times New Roman" w:hAnsi="Times New Roman" w:eastAsia="宋体"/>
                <w:spacing w:val="0"/>
                <w:position w:val="0"/>
                <w:sz w:val="21"/>
                <w:szCs w:val="21"/>
                <w:lang w:val="en-US" w:eastAsia="zh-CN"/>
              </w:rPr>
              <w:t>32.8</w:t>
            </w:r>
            <w:r>
              <w:rPr>
                <w:rFonts w:hint="eastAsia" w:ascii="Times New Roman" w:hAnsi="Times New Roman" w:eastAsia="宋体"/>
                <w:spacing w:val="0"/>
                <w:position w:val="0"/>
                <w:sz w:val="21"/>
                <w:szCs w:val="21"/>
              </w:rPr>
              <w:t>吨/吨，换算成152cm、布重14kg/100m的机织物综合能耗</w:t>
            </w:r>
            <w:r>
              <w:rPr>
                <w:rFonts w:hint="eastAsia" w:ascii="Times New Roman" w:hAnsi="Times New Roman" w:eastAsia="宋体"/>
                <w:spacing w:val="0"/>
                <w:position w:val="0"/>
                <w:sz w:val="21"/>
                <w:szCs w:val="21"/>
                <w:lang w:val="en-US" w:eastAsia="zh-CN"/>
              </w:rPr>
              <w:t>13.76</w:t>
            </w:r>
            <w:r>
              <w:rPr>
                <w:rFonts w:hint="eastAsia" w:ascii="Times New Roman" w:hAnsi="Times New Roman" w:eastAsia="宋体"/>
                <w:spacing w:val="0"/>
                <w:position w:val="0"/>
                <w:sz w:val="21"/>
                <w:szCs w:val="21"/>
              </w:rPr>
              <w:t>公斤标煤/百米，符合30公斤标煤/百米标准要求，新鲜水取水量</w:t>
            </w:r>
            <w:r>
              <w:rPr>
                <w:rFonts w:hint="eastAsia" w:ascii="Times New Roman" w:hAnsi="Times New Roman" w:eastAsia="宋体"/>
                <w:spacing w:val="0"/>
                <w:position w:val="0"/>
                <w:sz w:val="21"/>
                <w:szCs w:val="21"/>
                <w:lang w:val="en-US" w:eastAsia="zh-CN"/>
              </w:rPr>
              <w:t>0.459</w:t>
            </w:r>
            <w:r>
              <w:rPr>
                <w:rFonts w:hint="eastAsia" w:ascii="Times New Roman" w:hAnsi="Times New Roman" w:eastAsia="宋体"/>
                <w:spacing w:val="0"/>
                <w:position w:val="0"/>
                <w:sz w:val="21"/>
                <w:szCs w:val="21"/>
              </w:rPr>
              <w:t>吨水/百米，符合1.6吨水/百米标准要求。</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清洁生产要求</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（1）新建或改扩建印染生产线总体水平都至少要达到国内先进水平。</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（2）漂染浴比满足1:8以下工艺要求；不允许氯漂，采用氧漂工艺。</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（3）按照《印染行业绿色发展技术指南》（2019版），推荐清洁生产技术如下：</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A、自动调浆：通过计算机和自动配比，用工业控制机自动将对应阀门定位到电子称上，并按配比要求来控制阀门加料，实现自动调浆，达到高精度配比。</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电脑自动配色，通过提高来料分析测试的准确性，可以减少染料的使用量。染缸染色过程采用可编程控制技术。</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染化料自动称量、配制和输送系统；印染ERP系统。</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B、针织物连续平幅前处理；涤纶织物少水连续式染色；无水洗印染，平幅水洗轧染烘干联合机。</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C、减少污染物排放工艺：利用高效淀粉酶代替烧碱去除织物上的淀粉浆料，退浆效率高，无损织物，减少对环境的污染；无氯漂白。</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D、气液染色机：采用气液分离技术，结合气流染色和溢流喷射染色的优点，气液染色机比气流染色机能耗低，比溢流、喷射染色机浴比小，适应面料品种较多，可柔性化生产，提高了织物的匀染性，敏感色的染色效果较好。</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E、中压蒸汽替代导热油，禁止入驻企业自建导热油炉；大容量低张力卷染机；连续水洗机水洗除油。</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本项目为化纤针织物印染，生产线总体水平达到国内先进水平；染色设备浴比1:6，没有氯漂工艺；采用国内先进的染色机，主要工艺参数可以实现在线检测和自动控制；采用染化料自动配液输送系统、自动化电子信息化技术称量系统、在线采集和控制系统。采用中压蒸汽定型、连续水洗机水洗除油。</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环境保护与资源利用</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印染企业环保设施要按照《纺织工业企业环保设计规范》（GB50425）的要求进行设计和建设，执行环保设施与主体工程同时设计、同时施工、同时投产的“三同时”制度。印染废水应自行处理或接入集中废水处理设施，并加强废水处理及运行中的水质分析和监控，废水排放实行在线监控，实现稳定达标排放。采用高效节能的固体废弃物处理工艺，实现固体废弃物资源化和无害化处置。依法办理排污许可证，并严格按证排放污染物。</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印染企业要按照环境友好和资源综合利用的原则，选择采用可生物降解（或易回收）浆料的坯布。使用生态环保型、高上染率染料和高性能助剂。完善冷却水、冷凝水及余热回收装置。丝光工艺配备淡碱回收装置。企业水重复利用率达到55%以上。</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（3）印染企业要采用清洁生产技术，提高资源利用效率，从生产的源头控制污染物产生量。印染企业要依法定期实施清洁生产审核，按照有关规定开展能源审计，不断提高企业清洁生产水平。</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本项目将按照《纺织工业企业环保设计规范》（GB50425）的要求进行设计和建设，废水分质分流收集和处理，废水与园区接管前进行监控，按要求办理排污许可；冷凝水收集后全部回用，定型废气安装热能回收，园区污水厂中水回用率达45%，全厂水重复利用率达到</w:t>
            </w:r>
            <w:r>
              <w:rPr>
                <w:rFonts w:hint="eastAsia" w:ascii="Times New Roman" w:hAnsi="Times New Roman" w:eastAsia="宋体"/>
                <w:spacing w:val="0"/>
                <w:position w:val="0"/>
                <w:sz w:val="21"/>
                <w:szCs w:val="21"/>
                <w:lang w:val="en-US" w:eastAsia="zh-CN"/>
              </w:rPr>
              <w:t>69.99</w:t>
            </w:r>
            <w:r>
              <w:rPr>
                <w:rFonts w:hint="eastAsia" w:ascii="Times New Roman" w:hAnsi="Times New Roman" w:eastAsia="宋体"/>
                <w:spacing w:val="0"/>
                <w:position w:val="0"/>
                <w:sz w:val="21"/>
                <w:szCs w:val="21"/>
              </w:rPr>
              <w:t>%；本项目清洁生产水平达到国内先进水平。</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污染物排放管控</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1.引进的印染项目新增水污染物（化学需氧量、氨氮）排放量按不低于1.2倍调剂。</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2.园区内企业污水接管率必须达到100%。</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3.引进的印染项目新增VOCs排放实行区域内倍量替代。</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4.允许排放总量控制：</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①园区污水处理厂外排水量控制在3万t/d，排污口水污染物排放总量COD547.5t/a，氨氮54.8t/a。</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②大气污染物排放总量：VOCs369.4t/a、颗粒物123.1t/a。</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本项目污水按高、低浓度全部接入园区污水厂；本项目VOCs总量由福州市生态环境局在福州市统筹调剂，建设单位在VOCs总量调剂来源落实前不得投产。</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其他</w:t>
            </w:r>
          </w:p>
        </w:tc>
        <w:tc>
          <w:tcPr>
            <w:tcW w:w="960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（1）拟建项目用地必须符合园区土地利用规划要求。</w:t>
            </w:r>
          </w:p>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（2）按照循环经济发展之路，评价建议与当地已有产业或项目能够形成良好循环经济链条的项目可优入园。</w:t>
            </w:r>
          </w:p>
        </w:tc>
        <w:tc>
          <w:tcPr>
            <w:tcW w:w="3093"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项目位于规划的绿色纺织产业园，符合土地利用规划。</w:t>
            </w:r>
          </w:p>
        </w:tc>
        <w:tc>
          <w:tcPr>
            <w:tcW w:w="86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bl>
    <w:p>
      <w:pPr>
        <w:pStyle w:val="2"/>
        <w:rPr>
          <w:rFonts w:hint="eastAsia"/>
          <w:spacing w:val="0"/>
          <w:position w:val="0"/>
          <w:lang w:val="en-US" w:eastAsia="zh-CN"/>
        </w:rPr>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outlineLvl w:val="1"/>
        <w:rPr>
          <w:b/>
          <w:bCs/>
          <w:spacing w:val="0"/>
          <w:position w:val="0"/>
          <w:sz w:val="30"/>
          <w:szCs w:val="30"/>
        </w:rPr>
      </w:pPr>
      <w:r>
        <w:rPr>
          <w:rFonts w:hint="eastAsia"/>
          <w:b/>
          <w:bCs/>
          <w:spacing w:val="0"/>
          <w:position w:val="0"/>
          <w:sz w:val="30"/>
          <w:szCs w:val="30"/>
        </w:rPr>
        <w:t>3.</w:t>
      </w:r>
      <w:r>
        <w:rPr>
          <w:rFonts w:hint="eastAsia"/>
          <w:b/>
          <w:bCs/>
          <w:spacing w:val="0"/>
          <w:position w:val="0"/>
          <w:sz w:val="30"/>
          <w:szCs w:val="30"/>
          <w:lang w:val="en-US" w:eastAsia="zh-CN"/>
        </w:rPr>
        <w:t>7政策</w:t>
      </w:r>
      <w:r>
        <w:rPr>
          <w:rFonts w:hint="eastAsia"/>
          <w:b/>
          <w:bCs/>
          <w:spacing w:val="0"/>
          <w:position w:val="0"/>
          <w:sz w:val="30"/>
          <w:szCs w:val="30"/>
        </w:rPr>
        <w:t>符合性分析</w:t>
      </w:r>
    </w:p>
    <w:p>
      <w:pPr>
        <w:adjustRightInd w:val="0"/>
        <w:snapToGrid w:val="0"/>
        <w:spacing w:line="360" w:lineRule="auto"/>
        <w:outlineLvl w:val="2"/>
        <w:rPr>
          <w:b/>
          <w:bCs/>
          <w:spacing w:val="0"/>
          <w:position w:val="0"/>
          <w:sz w:val="28"/>
          <w:szCs w:val="28"/>
        </w:rPr>
      </w:pPr>
      <w:r>
        <w:rPr>
          <w:rFonts w:hint="eastAsia"/>
          <w:b/>
          <w:bCs/>
          <w:spacing w:val="0"/>
          <w:position w:val="0"/>
          <w:sz w:val="28"/>
          <w:szCs w:val="28"/>
        </w:rPr>
        <w:t>3.</w:t>
      </w:r>
      <w:r>
        <w:rPr>
          <w:rFonts w:hint="eastAsia"/>
          <w:b/>
          <w:bCs/>
          <w:spacing w:val="0"/>
          <w:position w:val="0"/>
          <w:sz w:val="28"/>
          <w:szCs w:val="28"/>
          <w:lang w:val="en-US" w:eastAsia="zh-CN"/>
        </w:rPr>
        <w:t>7</w:t>
      </w:r>
      <w:r>
        <w:rPr>
          <w:rFonts w:hint="eastAsia"/>
          <w:b/>
          <w:bCs/>
          <w:spacing w:val="0"/>
          <w:position w:val="0"/>
          <w:sz w:val="28"/>
          <w:szCs w:val="28"/>
        </w:rPr>
        <w:t>.1</w:t>
      </w:r>
      <w:r>
        <w:rPr>
          <w:rFonts w:hint="eastAsia"/>
          <w:b/>
          <w:bCs/>
          <w:spacing w:val="0"/>
          <w:position w:val="0"/>
          <w:sz w:val="28"/>
          <w:szCs w:val="28"/>
          <w:lang w:val="en-US" w:eastAsia="zh-CN"/>
        </w:rPr>
        <w:t>产业</w:t>
      </w:r>
      <w:r>
        <w:rPr>
          <w:rFonts w:hint="eastAsia"/>
          <w:b/>
          <w:bCs/>
          <w:spacing w:val="0"/>
          <w:position w:val="0"/>
          <w:sz w:val="28"/>
          <w:szCs w:val="28"/>
        </w:rPr>
        <w:t>政策符合性分析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3.7.1.1与《产业结构调整指导目录（2019年本）》符合性分析</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拟建项目主要建设内容为智能化高档纺织面料的织造和印染，采用先进的清洁生产工艺技术，使用污染强度小、节能环保的数字智能化设备，对照《产业结构调整指导目录（2019年本）》，本项目属于“[鼓励类]二十、纺织”中的“7、采用数字化智能化印染技术装备、染整清洁生产技术（酶处理、高效短流程前处理、针织物连续平幅前处理、低温前处理及染色、低盐或无盐染色、低尿素印花、小浴比气流或气液染色、数码喷墨印花、泡沫整理等）、功能性整理技术、新型染色加工技术、复合面料加工技术，生产高档纺织面料；智能化筒子纱染色技术装备开发与应用”，因此，拟建项目建设符合当前国家产业政策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3.7.1.2与《产业发展与转移指导目录（2018年本）》符合性分析</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default" w:eastAsia="宋体"/>
          <w:spacing w:val="0"/>
          <w:position w:val="0"/>
          <w:sz w:val="24"/>
          <w:szCs w:val="24"/>
          <w:lang w:val="en-US" w:eastAsia="zh-CN"/>
        </w:rPr>
        <w:t>《产业发展与转移指导目录（2018年本）》中提出</w:t>
      </w:r>
      <w:r>
        <w:rPr>
          <w:rFonts w:hint="eastAsia"/>
          <w:spacing w:val="0"/>
          <w:position w:val="0"/>
          <w:sz w:val="24"/>
          <w:szCs w:val="24"/>
          <w:lang w:val="en-US" w:eastAsia="zh-CN"/>
        </w:rPr>
        <w:t>，福建省重点承接发展的产业方向之一的消费品工业：以提升科技含量和打造品牌为重点，建设具备国际先进水平的纺织服装技术研发中心、时尚创意中心、高端制造中心和生产性服务体系，率先建设纺织、食品智能制造示范基地，培育世界级纺织服装产业集群。经对照分析，本项目属于福建省优先承接发展的产业，详见下表3.7-1。</w:t>
      </w:r>
    </w:p>
    <w:p>
      <w:pPr>
        <w:pStyle w:val="9"/>
        <w:spacing w:before="0" w:after="0" w:line="240" w:lineRule="auto"/>
        <w:ind w:right="0"/>
        <w:jc w:val="center"/>
        <w:rPr>
          <w:spacing w:val="0"/>
          <w:position w:val="0"/>
        </w:rPr>
      </w:pPr>
      <w:r>
        <w:rPr>
          <w:rFonts w:hint="eastAsia"/>
          <w:b/>
          <w:spacing w:val="0"/>
          <w:position w:val="0"/>
          <w:sz w:val="24"/>
          <w:szCs w:val="24"/>
        </w:rPr>
        <w:t>表</w:t>
      </w:r>
      <w:r>
        <w:rPr>
          <w:rFonts w:hint="eastAsia"/>
          <w:b/>
          <w:spacing w:val="0"/>
          <w:position w:val="0"/>
          <w:sz w:val="24"/>
          <w:szCs w:val="24"/>
          <w:lang w:val="en-US" w:eastAsia="zh-CN"/>
        </w:rPr>
        <w:t>3.7-1</w:t>
      </w:r>
      <w:r>
        <w:rPr>
          <w:rFonts w:hint="eastAsia"/>
          <w:b/>
          <w:spacing w:val="0"/>
          <w:position w:val="0"/>
          <w:sz w:val="24"/>
          <w:szCs w:val="24"/>
        </w:rPr>
        <w:t>与《产业发展与转移指导目录（2018年本）》（摘录）的对比分析</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8"/>
        <w:gridCol w:w="4174"/>
        <w:gridCol w:w="2726"/>
        <w:gridCol w:w="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72" w:type="dxa"/>
            <w:gridSpan w:val="2"/>
            <w:noWrap w:val="0"/>
            <w:vAlign w:val="center"/>
          </w:tcPr>
          <w:p>
            <w:pPr>
              <w:pStyle w:val="9"/>
              <w:spacing w:before="0" w:after="0" w:line="240" w:lineRule="auto"/>
              <w:ind w:right="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福建省</w:t>
            </w:r>
            <w:r>
              <w:rPr>
                <w:rFonts w:hint="eastAsia" w:ascii="Times New Roman" w:hAnsi="Times New Roman" w:eastAsia="宋体"/>
                <w:b/>
                <w:bCs/>
                <w:spacing w:val="0"/>
                <w:position w:val="0"/>
                <w:sz w:val="21"/>
                <w:szCs w:val="21"/>
                <w:lang w:val="en-US" w:eastAsia="zh-CN"/>
              </w:rPr>
              <w:t>优先承接发展</w:t>
            </w:r>
            <w:r>
              <w:rPr>
                <w:rFonts w:hint="eastAsia" w:ascii="Times New Roman" w:hAnsi="Times New Roman" w:eastAsia="宋体"/>
                <w:b/>
                <w:bCs/>
                <w:spacing w:val="0"/>
                <w:position w:val="0"/>
                <w:sz w:val="21"/>
                <w:szCs w:val="21"/>
              </w:rPr>
              <w:t>的产业</w:t>
            </w:r>
          </w:p>
        </w:tc>
        <w:tc>
          <w:tcPr>
            <w:tcW w:w="2726" w:type="dxa"/>
            <w:noWrap w:val="0"/>
            <w:vAlign w:val="center"/>
          </w:tcPr>
          <w:p>
            <w:pPr>
              <w:pStyle w:val="9"/>
              <w:spacing w:before="0" w:after="0" w:line="240" w:lineRule="auto"/>
              <w:ind w:right="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本项目情况</w:t>
            </w:r>
          </w:p>
        </w:tc>
        <w:tc>
          <w:tcPr>
            <w:tcW w:w="724" w:type="dxa"/>
            <w:noWrap w:val="0"/>
            <w:vAlign w:val="center"/>
          </w:tcPr>
          <w:p>
            <w:pPr>
              <w:pStyle w:val="9"/>
              <w:spacing w:before="0" w:after="0" w:line="240" w:lineRule="auto"/>
              <w:ind w:right="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98" w:type="dxa"/>
            <w:vMerge w:val="restart"/>
            <w:noWrap w:val="0"/>
            <w:vAlign w:val="center"/>
          </w:tcPr>
          <w:p>
            <w:pPr>
              <w:pStyle w:val="9"/>
              <w:spacing w:before="0" w:after="0" w:line="240" w:lineRule="auto"/>
              <w:ind w:right="0"/>
              <w:jc w:val="center"/>
              <w:rPr>
                <w:rFonts w:hint="eastAsia" w:ascii="Times New Roman" w:hAnsi="Times New Roman" w:eastAsia="宋体"/>
                <w:spacing w:val="0"/>
                <w:position w:val="0"/>
                <w:sz w:val="21"/>
                <w:szCs w:val="21"/>
                <w:lang w:val="en-US" w:eastAsia="zh-CN"/>
              </w:rPr>
            </w:pPr>
            <w:r>
              <w:rPr>
                <w:rFonts w:hint="eastAsia" w:ascii="Times New Roman" w:hAnsi="Times New Roman" w:eastAsia="宋体"/>
                <w:spacing w:val="0"/>
                <w:position w:val="0"/>
                <w:sz w:val="21"/>
                <w:szCs w:val="21"/>
                <w:lang w:val="en-US" w:eastAsia="zh-CN"/>
              </w:rPr>
              <w:t>十</w:t>
            </w:r>
            <w:r>
              <w:rPr>
                <w:rFonts w:hint="eastAsia" w:ascii="Times New Roman" w:hAnsi="Times New Roman" w:eastAsia="宋体"/>
                <w:spacing w:val="0"/>
                <w:position w:val="0"/>
                <w:sz w:val="21"/>
                <w:szCs w:val="21"/>
              </w:rPr>
              <w:t>、</w:t>
            </w:r>
            <w:r>
              <w:rPr>
                <w:rFonts w:hint="eastAsia" w:ascii="Times New Roman" w:hAnsi="Times New Roman" w:eastAsia="宋体"/>
                <w:spacing w:val="0"/>
                <w:position w:val="0"/>
                <w:sz w:val="21"/>
                <w:szCs w:val="21"/>
                <w:lang w:val="en-US" w:eastAsia="zh-CN"/>
              </w:rPr>
              <w:t>纺织</w:t>
            </w:r>
          </w:p>
        </w:tc>
        <w:tc>
          <w:tcPr>
            <w:tcW w:w="4174" w:type="dxa"/>
            <w:noWrap w:val="0"/>
            <w:vAlign w:val="center"/>
          </w:tcPr>
          <w:p>
            <w:pPr>
              <w:pStyle w:val="9"/>
              <w:spacing w:before="0" w:after="0" w:line="240" w:lineRule="auto"/>
              <w:ind w:right="0"/>
              <w:jc w:val="center"/>
              <w:rPr>
                <w:rFonts w:hint="default" w:ascii="Times New Roman" w:hAnsi="Times New Roman" w:eastAsia="宋体"/>
                <w:spacing w:val="0"/>
                <w:position w:val="0"/>
                <w:sz w:val="21"/>
                <w:szCs w:val="21"/>
                <w:lang w:val="en-US" w:eastAsia="zh-CN"/>
              </w:rPr>
            </w:pPr>
            <w:r>
              <w:rPr>
                <w:rFonts w:ascii="Times New Roman" w:hAnsi="Times New Roman" w:eastAsia="宋体"/>
                <w:spacing w:val="0"/>
                <w:position w:val="0"/>
                <w:sz w:val="21"/>
                <w:szCs w:val="21"/>
              </w:rPr>
              <w:t>1.</w:t>
            </w:r>
            <w:r>
              <w:rPr>
                <w:rFonts w:hint="eastAsia" w:ascii="Times New Roman" w:hAnsi="Times New Roman" w:eastAsia="宋体"/>
                <w:spacing w:val="0"/>
                <w:position w:val="0"/>
                <w:sz w:val="21"/>
                <w:szCs w:val="21"/>
                <w:lang w:val="en-US" w:eastAsia="zh-CN"/>
              </w:rPr>
              <w:t>高品质纺织面料（福州市、厦门市、泉州市、莆田市、三明市）</w:t>
            </w:r>
          </w:p>
        </w:tc>
        <w:tc>
          <w:tcPr>
            <w:tcW w:w="2726" w:type="dxa"/>
            <w:vMerge w:val="restart"/>
            <w:noWrap w:val="0"/>
            <w:vAlign w:val="center"/>
          </w:tcPr>
          <w:p>
            <w:pPr>
              <w:pStyle w:val="9"/>
              <w:spacing w:before="0" w:after="0" w:line="240" w:lineRule="auto"/>
              <w:ind w:right="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本项目主要从事智能化高档纺织面料的织造和印染</w:t>
            </w:r>
            <w:r>
              <w:rPr>
                <w:rFonts w:hint="eastAsia" w:ascii="Times New Roman" w:hAnsi="Times New Roman" w:eastAsia="宋体"/>
                <w:spacing w:val="0"/>
                <w:position w:val="0"/>
                <w:sz w:val="21"/>
                <w:szCs w:val="21"/>
                <w:lang w:eastAsia="zh-CN"/>
              </w:rPr>
              <w:t>，采用数字化智能化印染技术</w:t>
            </w:r>
            <w:r>
              <w:rPr>
                <w:rFonts w:hint="eastAsia" w:ascii="Times New Roman" w:hAnsi="Times New Roman" w:eastAsia="宋体"/>
                <w:spacing w:val="0"/>
                <w:position w:val="0"/>
                <w:sz w:val="21"/>
                <w:szCs w:val="21"/>
                <w:lang w:val="en-US" w:eastAsia="zh-CN"/>
              </w:rPr>
              <w:t>设备，为福建省优先承接发展的产业</w:t>
            </w:r>
            <w:r>
              <w:rPr>
                <w:rFonts w:hint="eastAsia" w:ascii="Times New Roman" w:hAnsi="Times New Roman" w:eastAsia="宋体"/>
                <w:spacing w:val="0"/>
                <w:position w:val="0"/>
                <w:sz w:val="21"/>
                <w:szCs w:val="21"/>
              </w:rPr>
              <w:t>。</w:t>
            </w:r>
          </w:p>
        </w:tc>
        <w:tc>
          <w:tcPr>
            <w:tcW w:w="724" w:type="dxa"/>
            <w:noWrap w:val="0"/>
            <w:vAlign w:val="center"/>
          </w:tcPr>
          <w:p>
            <w:pPr>
              <w:pStyle w:val="9"/>
              <w:spacing w:before="0" w:after="0" w:line="240" w:lineRule="auto"/>
              <w:ind w:right="0" w:rightChars="0"/>
              <w:jc w:val="center"/>
              <w:rPr>
                <w:rFonts w:hint="eastAsia" w:ascii="Times New Roman" w:hAnsi="Times New Roman" w:eastAsia="宋体" w:cs="Times New Roman"/>
                <w:spacing w:val="0"/>
                <w:kern w:val="2"/>
                <w:position w:val="0"/>
                <w:sz w:val="21"/>
                <w:szCs w:val="21"/>
                <w:lang w:val="en-US" w:eastAsia="zh-CN" w:bidi="ar-SA"/>
              </w:rPr>
            </w:pPr>
            <w:r>
              <w:rPr>
                <w:rFonts w:hint="eastAsia" w:ascii="Times New Roman" w:hAnsi="Times New Roman" w:eastAsia="宋体"/>
                <w:spacing w:val="0"/>
                <w:position w:val="0"/>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98"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4174" w:type="dxa"/>
            <w:noWrap w:val="0"/>
            <w:vAlign w:val="center"/>
          </w:tcPr>
          <w:p>
            <w:pPr>
              <w:pStyle w:val="9"/>
              <w:spacing w:before="0" w:after="0" w:line="240" w:lineRule="auto"/>
              <w:ind w:right="0"/>
              <w:jc w:val="center"/>
              <w:rPr>
                <w:rFonts w:hint="default" w:ascii="Times New Roman" w:hAnsi="Times New Roman" w:eastAsia="宋体"/>
                <w:spacing w:val="0"/>
                <w:position w:val="0"/>
                <w:sz w:val="21"/>
                <w:szCs w:val="21"/>
                <w:lang w:val="en-US" w:eastAsia="zh-CN"/>
              </w:rPr>
            </w:pPr>
            <w:r>
              <w:rPr>
                <w:rFonts w:ascii="Times New Roman" w:hAnsi="Times New Roman" w:eastAsia="宋体"/>
                <w:spacing w:val="0"/>
                <w:position w:val="0"/>
                <w:sz w:val="21"/>
                <w:szCs w:val="21"/>
              </w:rPr>
              <w:t>2.</w:t>
            </w:r>
            <w:r>
              <w:rPr>
                <w:rFonts w:hint="eastAsia" w:ascii="Times New Roman" w:hAnsi="Times New Roman" w:eastAsia="宋体"/>
                <w:spacing w:val="0"/>
                <w:position w:val="0"/>
                <w:sz w:val="21"/>
                <w:szCs w:val="21"/>
                <w:lang w:val="en-US" w:eastAsia="zh-CN"/>
              </w:rPr>
              <w:t>品牌服装、家用纺织品（泉州市、福州市、三明市、南平市、龙岩市）</w:t>
            </w:r>
          </w:p>
        </w:tc>
        <w:tc>
          <w:tcPr>
            <w:tcW w:w="2726"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724" w:type="dxa"/>
            <w:noWrap w:val="0"/>
            <w:vAlign w:val="center"/>
          </w:tcPr>
          <w:p>
            <w:pPr>
              <w:pStyle w:val="9"/>
              <w:spacing w:before="0" w:after="0" w:line="240" w:lineRule="auto"/>
              <w:ind w:right="0" w:rightChars="0"/>
              <w:jc w:val="center"/>
              <w:rPr>
                <w:rFonts w:hint="eastAsia" w:ascii="Times New Roman" w:hAnsi="Times New Roman" w:eastAsia="宋体" w:cs="Times New Roman"/>
                <w:spacing w:val="0"/>
                <w:kern w:val="2"/>
                <w:position w:val="0"/>
                <w:sz w:val="21"/>
                <w:szCs w:val="21"/>
                <w:lang w:val="en-US" w:eastAsia="zh-CN" w:bidi="ar-SA"/>
              </w:rPr>
            </w:pPr>
            <w:r>
              <w:rPr>
                <w:rFonts w:hint="eastAsia" w:ascii="Times New Roman" w:hAnsi="Times New Roman" w:eastAsia="宋体"/>
                <w:spacing w:val="0"/>
                <w:position w:val="0"/>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98"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4174" w:type="dxa"/>
            <w:noWrap w:val="0"/>
            <w:vAlign w:val="center"/>
          </w:tcPr>
          <w:p>
            <w:pPr>
              <w:pStyle w:val="9"/>
              <w:spacing w:before="0" w:after="0" w:line="240" w:lineRule="auto"/>
              <w:ind w:right="0"/>
              <w:jc w:val="center"/>
              <w:rPr>
                <w:rFonts w:hint="default" w:ascii="Times New Roman" w:hAnsi="Times New Roman" w:eastAsia="宋体"/>
                <w:spacing w:val="0"/>
                <w:position w:val="0"/>
                <w:sz w:val="21"/>
                <w:szCs w:val="21"/>
                <w:lang w:val="en-US" w:eastAsia="zh-CN"/>
              </w:rPr>
            </w:pPr>
            <w:r>
              <w:rPr>
                <w:rFonts w:ascii="Times New Roman" w:hAnsi="Times New Roman" w:eastAsia="宋体"/>
                <w:spacing w:val="0"/>
                <w:position w:val="0"/>
                <w:sz w:val="21"/>
                <w:szCs w:val="21"/>
              </w:rPr>
              <w:t>3</w:t>
            </w:r>
            <w:r>
              <w:rPr>
                <w:rFonts w:hint="eastAsia" w:ascii="Times New Roman" w:hAnsi="Times New Roman" w:eastAsia="宋体"/>
                <w:spacing w:val="0"/>
                <w:position w:val="0"/>
                <w:sz w:val="21"/>
                <w:szCs w:val="21"/>
                <w:lang w:val="en-US" w:eastAsia="zh-CN"/>
              </w:rPr>
              <w:t>.产业用纺织品（三明市、南平市、厦门市、泉州市、漳州市）</w:t>
            </w:r>
          </w:p>
        </w:tc>
        <w:tc>
          <w:tcPr>
            <w:tcW w:w="2726"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724" w:type="dxa"/>
            <w:noWrap w:val="0"/>
            <w:vAlign w:val="center"/>
          </w:tcPr>
          <w:p>
            <w:pPr>
              <w:pStyle w:val="9"/>
              <w:spacing w:before="0" w:after="0" w:line="240" w:lineRule="auto"/>
              <w:ind w:right="0" w:rightChars="0"/>
              <w:jc w:val="center"/>
              <w:rPr>
                <w:rFonts w:hint="eastAsia" w:ascii="Times New Roman" w:hAnsi="Times New Roman" w:eastAsia="宋体" w:cs="Times New Roman"/>
                <w:spacing w:val="0"/>
                <w:kern w:val="2"/>
                <w:position w:val="0"/>
                <w:sz w:val="21"/>
                <w:szCs w:val="21"/>
                <w:lang w:val="en-US" w:eastAsia="zh-CN" w:bidi="ar-SA"/>
              </w:rPr>
            </w:pPr>
            <w:r>
              <w:rPr>
                <w:rFonts w:hint="eastAsia" w:ascii="Times New Roman" w:hAnsi="Times New Roman" w:eastAsia="宋体"/>
                <w:spacing w:val="0"/>
                <w:position w:val="0"/>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98"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4174" w:type="dxa"/>
            <w:noWrap w:val="0"/>
            <w:vAlign w:val="center"/>
          </w:tcPr>
          <w:p>
            <w:pPr>
              <w:pStyle w:val="9"/>
              <w:spacing w:before="0" w:after="0" w:line="240" w:lineRule="auto"/>
              <w:ind w:right="0"/>
              <w:jc w:val="center"/>
              <w:rPr>
                <w:rFonts w:hint="default" w:ascii="Times New Roman" w:hAnsi="Times New Roman" w:eastAsia="宋体"/>
                <w:spacing w:val="0"/>
                <w:position w:val="0"/>
                <w:sz w:val="21"/>
                <w:szCs w:val="21"/>
                <w:lang w:val="en-US" w:eastAsia="zh-CN"/>
              </w:rPr>
            </w:pPr>
            <w:r>
              <w:rPr>
                <w:rFonts w:ascii="Times New Roman" w:hAnsi="Times New Roman" w:eastAsia="宋体"/>
                <w:spacing w:val="0"/>
                <w:position w:val="0"/>
                <w:sz w:val="21"/>
                <w:szCs w:val="21"/>
              </w:rPr>
              <w:t>4.</w:t>
            </w:r>
            <w:r>
              <w:rPr>
                <w:rFonts w:hint="eastAsia" w:ascii="Times New Roman" w:hAnsi="Times New Roman" w:eastAsia="宋体"/>
                <w:spacing w:val="0"/>
                <w:position w:val="0"/>
                <w:sz w:val="21"/>
                <w:szCs w:val="21"/>
                <w:lang w:val="en-US" w:eastAsia="zh-CN"/>
              </w:rPr>
              <w:t>生物质纤维（泉州市、福州市）</w:t>
            </w:r>
          </w:p>
        </w:tc>
        <w:tc>
          <w:tcPr>
            <w:tcW w:w="2726"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724" w:type="dxa"/>
            <w:noWrap w:val="0"/>
            <w:vAlign w:val="center"/>
          </w:tcPr>
          <w:p>
            <w:pPr>
              <w:pStyle w:val="9"/>
              <w:spacing w:before="0" w:after="0" w:line="240" w:lineRule="auto"/>
              <w:ind w:right="0"/>
              <w:jc w:val="center"/>
              <w:rPr>
                <w:rFonts w:hint="eastAsia" w:ascii="Times New Roman" w:hAnsi="Times New Roman" w:eastAsia="宋体"/>
                <w:spacing w:val="0"/>
                <w:position w:val="0"/>
                <w:sz w:val="21"/>
                <w:szCs w:val="21"/>
                <w:lang w:val="en-US" w:eastAsia="zh-CN"/>
              </w:rPr>
            </w:pPr>
            <w:r>
              <w:rPr>
                <w:rFonts w:hint="eastAsia" w:ascii="Times New Roman" w:hAnsi="Times New Roman" w:eastAsia="宋体"/>
                <w:spacing w:val="0"/>
                <w:position w:val="0"/>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98"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4174" w:type="dxa"/>
            <w:noWrap w:val="0"/>
            <w:vAlign w:val="center"/>
          </w:tcPr>
          <w:p>
            <w:pPr>
              <w:pStyle w:val="9"/>
              <w:spacing w:before="0" w:after="0" w:line="240" w:lineRule="auto"/>
              <w:ind w:right="0"/>
              <w:jc w:val="center"/>
              <w:rPr>
                <w:rFonts w:hint="default" w:ascii="Times New Roman" w:hAnsi="Times New Roman" w:eastAsia="宋体"/>
                <w:spacing w:val="0"/>
                <w:position w:val="0"/>
                <w:sz w:val="21"/>
                <w:szCs w:val="21"/>
                <w:lang w:val="en-US" w:eastAsia="zh-CN"/>
              </w:rPr>
            </w:pPr>
            <w:r>
              <w:rPr>
                <w:rFonts w:hint="eastAsia" w:ascii="Times New Roman" w:hAnsi="Times New Roman" w:eastAsia="宋体"/>
                <w:spacing w:val="0"/>
                <w:position w:val="0"/>
                <w:sz w:val="21"/>
                <w:szCs w:val="21"/>
                <w:lang w:val="en-US" w:eastAsia="zh-CN"/>
              </w:rPr>
              <w:t>5.智能染纱等印染节能减排新技术及设备（福州市、泉州市、三明市）</w:t>
            </w:r>
          </w:p>
        </w:tc>
        <w:tc>
          <w:tcPr>
            <w:tcW w:w="2726" w:type="dxa"/>
            <w:vMerge w:val="continue"/>
            <w:noWrap w:val="0"/>
            <w:vAlign w:val="center"/>
          </w:tcPr>
          <w:p>
            <w:pPr>
              <w:pStyle w:val="9"/>
              <w:spacing w:before="0" w:after="0" w:line="240" w:lineRule="auto"/>
              <w:ind w:right="0"/>
              <w:jc w:val="center"/>
              <w:rPr>
                <w:rFonts w:ascii="Times New Roman" w:hAnsi="Times New Roman" w:eastAsia="宋体"/>
                <w:spacing w:val="0"/>
                <w:position w:val="0"/>
                <w:sz w:val="21"/>
                <w:szCs w:val="21"/>
              </w:rPr>
            </w:pPr>
          </w:p>
        </w:tc>
        <w:tc>
          <w:tcPr>
            <w:tcW w:w="724" w:type="dxa"/>
            <w:noWrap w:val="0"/>
            <w:vAlign w:val="center"/>
          </w:tcPr>
          <w:p>
            <w:pPr>
              <w:pStyle w:val="9"/>
              <w:spacing w:before="0" w:after="0" w:line="240" w:lineRule="auto"/>
              <w:ind w:right="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符合</w:t>
            </w:r>
          </w:p>
        </w:tc>
      </w:tr>
    </w:tbl>
    <w:p>
      <w:pPr>
        <w:adjustRightInd w:val="0"/>
        <w:snapToGrid w:val="0"/>
        <w:spacing w:line="360" w:lineRule="auto"/>
        <w:ind w:firstLine="480" w:firstLineChars="200"/>
        <w:rPr>
          <w:rFonts w:hint="eastAsia"/>
          <w:spacing w:val="0"/>
          <w:position w:val="0"/>
          <w:sz w:val="24"/>
          <w:szCs w:val="24"/>
          <w:lang w:eastAsia="zh-CN"/>
        </w:rPr>
      </w:pPr>
      <w:r>
        <w:rPr>
          <w:rFonts w:hint="eastAsia"/>
          <w:spacing w:val="0"/>
          <w:position w:val="0"/>
          <w:sz w:val="24"/>
          <w:szCs w:val="24"/>
        </w:rPr>
        <w:t>本项目位于连江可门经济区内的绿色纺织产业园内，</w:t>
      </w:r>
      <w:r>
        <w:rPr>
          <w:rFonts w:hint="eastAsia"/>
          <w:spacing w:val="0"/>
          <w:position w:val="0"/>
          <w:sz w:val="24"/>
          <w:szCs w:val="24"/>
          <w:lang w:val="en-US" w:eastAsia="zh-CN"/>
        </w:rPr>
        <w:t>园区</w:t>
      </w:r>
      <w:r>
        <w:rPr>
          <w:rFonts w:hint="eastAsia"/>
          <w:spacing w:val="0"/>
          <w:position w:val="0"/>
          <w:sz w:val="24"/>
          <w:szCs w:val="24"/>
        </w:rPr>
        <w:t>规划产业为</w:t>
      </w:r>
      <w:r>
        <w:rPr>
          <w:rFonts w:hint="eastAsia"/>
          <w:spacing w:val="0"/>
          <w:position w:val="0"/>
          <w:sz w:val="24"/>
          <w:szCs w:val="24"/>
          <w:lang w:eastAsia="zh-CN"/>
        </w:rPr>
        <w:t>“</w:t>
      </w:r>
      <w:r>
        <w:rPr>
          <w:rFonts w:hint="eastAsia"/>
          <w:spacing w:val="0"/>
          <w:position w:val="0"/>
          <w:sz w:val="24"/>
          <w:szCs w:val="24"/>
        </w:rPr>
        <w:t>先进织造染整</w:t>
      </w:r>
      <w:r>
        <w:rPr>
          <w:rFonts w:hint="eastAsia"/>
          <w:spacing w:val="0"/>
          <w:position w:val="0"/>
          <w:sz w:val="24"/>
          <w:szCs w:val="24"/>
          <w:lang w:eastAsia="zh-CN"/>
        </w:rPr>
        <w:t>”</w:t>
      </w:r>
      <w:r>
        <w:rPr>
          <w:rFonts w:hint="eastAsia"/>
          <w:spacing w:val="0"/>
          <w:position w:val="0"/>
          <w:sz w:val="24"/>
          <w:szCs w:val="24"/>
        </w:rPr>
        <w:t>，</w:t>
      </w:r>
      <w:r>
        <w:rPr>
          <w:rFonts w:hint="eastAsia"/>
          <w:spacing w:val="0"/>
          <w:position w:val="0"/>
          <w:sz w:val="24"/>
          <w:szCs w:val="24"/>
          <w:lang w:val="en-US" w:eastAsia="zh-CN"/>
        </w:rPr>
        <w:t>园区</w:t>
      </w:r>
      <w:r>
        <w:rPr>
          <w:rFonts w:hint="eastAsia"/>
          <w:spacing w:val="0"/>
          <w:position w:val="0"/>
          <w:sz w:val="24"/>
          <w:szCs w:val="24"/>
        </w:rPr>
        <w:t>定位</w:t>
      </w:r>
      <w:r>
        <w:rPr>
          <w:rFonts w:hint="eastAsia"/>
          <w:spacing w:val="0"/>
          <w:position w:val="0"/>
          <w:sz w:val="24"/>
          <w:szCs w:val="24"/>
          <w:lang w:val="en-US" w:eastAsia="zh-CN"/>
        </w:rPr>
        <w:t>为：“</w:t>
      </w:r>
      <w:r>
        <w:rPr>
          <w:rFonts w:hint="eastAsia"/>
          <w:spacing w:val="0"/>
          <w:position w:val="0"/>
          <w:sz w:val="24"/>
          <w:szCs w:val="24"/>
        </w:rPr>
        <w:t>技术水平先进、产业有序集中、公共设施共享、资源高效利用、环境优美清洁、生态良性循环</w:t>
      </w:r>
      <w:r>
        <w:rPr>
          <w:rFonts w:hint="eastAsia"/>
          <w:spacing w:val="0"/>
          <w:position w:val="0"/>
          <w:sz w:val="24"/>
          <w:szCs w:val="24"/>
          <w:lang w:val="en-US" w:eastAsia="zh-CN"/>
        </w:rPr>
        <w:t>的特色园区</w:t>
      </w:r>
      <w:r>
        <w:rPr>
          <w:rFonts w:hint="eastAsia"/>
          <w:spacing w:val="0"/>
          <w:position w:val="0"/>
          <w:sz w:val="24"/>
          <w:szCs w:val="24"/>
        </w:rPr>
        <w:t>，</w:t>
      </w:r>
      <w:r>
        <w:rPr>
          <w:rFonts w:hint="eastAsia"/>
          <w:spacing w:val="0"/>
          <w:position w:val="0"/>
          <w:sz w:val="24"/>
          <w:szCs w:val="24"/>
          <w:lang w:val="en-US" w:eastAsia="zh-CN"/>
        </w:rPr>
        <w:t>为福州地区的纺织业配套，</w:t>
      </w:r>
      <w:r>
        <w:rPr>
          <w:rFonts w:hint="eastAsia"/>
          <w:spacing w:val="0"/>
          <w:position w:val="0"/>
          <w:sz w:val="24"/>
          <w:szCs w:val="24"/>
        </w:rPr>
        <w:t>成为福州乃至周边地区高端织造染整基地，成为国内有影响力的绿色纺织产业园”</w:t>
      </w:r>
      <w:r>
        <w:rPr>
          <w:rFonts w:hint="eastAsia"/>
          <w:spacing w:val="0"/>
          <w:position w:val="0"/>
          <w:sz w:val="24"/>
          <w:szCs w:val="24"/>
          <w:lang w:eastAsia="zh-CN"/>
        </w:rPr>
        <w:t>，</w:t>
      </w:r>
      <w:r>
        <w:rPr>
          <w:rFonts w:hint="eastAsia"/>
          <w:spacing w:val="0"/>
          <w:position w:val="0"/>
          <w:sz w:val="24"/>
          <w:szCs w:val="24"/>
          <w:lang w:val="en-US" w:eastAsia="zh-CN"/>
        </w:rPr>
        <w:t>园区</w:t>
      </w:r>
      <w:r>
        <w:rPr>
          <w:rFonts w:hint="eastAsia"/>
          <w:spacing w:val="0"/>
          <w:position w:val="0"/>
          <w:sz w:val="24"/>
          <w:szCs w:val="24"/>
        </w:rPr>
        <w:t>符合《产业转移指导目录</w:t>
      </w:r>
      <w:r>
        <w:rPr>
          <w:rFonts w:hint="eastAsia"/>
          <w:spacing w:val="0"/>
          <w:position w:val="0"/>
          <w:sz w:val="24"/>
          <w:szCs w:val="24"/>
          <w:lang w:eastAsia="zh-CN"/>
        </w:rPr>
        <w:t>（</w:t>
      </w:r>
      <w:r>
        <w:rPr>
          <w:rFonts w:hint="eastAsia"/>
          <w:spacing w:val="0"/>
          <w:position w:val="0"/>
          <w:sz w:val="24"/>
          <w:szCs w:val="24"/>
        </w:rPr>
        <w:t>2018年本</w:t>
      </w:r>
      <w:r>
        <w:rPr>
          <w:rFonts w:hint="eastAsia"/>
          <w:spacing w:val="0"/>
          <w:position w:val="0"/>
          <w:sz w:val="24"/>
          <w:szCs w:val="24"/>
          <w:lang w:eastAsia="zh-CN"/>
        </w:rPr>
        <w:t>）</w:t>
      </w:r>
      <w:r>
        <w:rPr>
          <w:rFonts w:hint="eastAsia"/>
          <w:spacing w:val="0"/>
          <w:position w:val="0"/>
          <w:sz w:val="24"/>
          <w:szCs w:val="24"/>
        </w:rPr>
        <w:t>》中福建省重点承接发展的产业方向要求</w:t>
      </w:r>
      <w:r>
        <w:rPr>
          <w:rFonts w:hint="eastAsia"/>
          <w:spacing w:val="0"/>
          <w:position w:val="0"/>
          <w:sz w:val="24"/>
          <w:szCs w:val="24"/>
          <w:lang w:eastAsia="zh-CN"/>
        </w:rPr>
        <w:t>：</w:t>
      </w:r>
      <w:r>
        <w:rPr>
          <w:rFonts w:hint="eastAsia"/>
          <w:spacing w:val="0"/>
          <w:position w:val="0"/>
          <w:sz w:val="24"/>
          <w:szCs w:val="24"/>
        </w:rPr>
        <w:t>“率先建设纺织制造示范基地”</w:t>
      </w:r>
      <w:r>
        <w:rPr>
          <w:rFonts w:hint="eastAsia"/>
          <w:spacing w:val="0"/>
          <w:position w:val="0"/>
          <w:sz w:val="24"/>
          <w:szCs w:val="24"/>
          <w:lang w:eastAsia="zh-CN"/>
        </w:rPr>
        <w:t>、</w:t>
      </w:r>
      <w:r>
        <w:rPr>
          <w:rFonts w:hint="eastAsia"/>
          <w:spacing w:val="0"/>
          <w:position w:val="0"/>
          <w:sz w:val="24"/>
          <w:szCs w:val="24"/>
        </w:rPr>
        <w:t>“培育世界级纺织服装产业集群”。</w:t>
      </w:r>
      <w:r>
        <w:rPr>
          <w:rFonts w:hint="eastAsia"/>
          <w:spacing w:val="0"/>
          <w:position w:val="0"/>
          <w:sz w:val="24"/>
          <w:szCs w:val="24"/>
          <w:lang w:val="en-US" w:eastAsia="zh-CN"/>
        </w:rPr>
        <w:t>作</w:t>
      </w:r>
      <w:r>
        <w:rPr>
          <w:rFonts w:hint="eastAsia"/>
          <w:spacing w:val="0"/>
          <w:position w:val="0"/>
          <w:sz w:val="24"/>
          <w:szCs w:val="24"/>
        </w:rPr>
        <w:t>为规划园区中的其中企业之一，拟建项目采用清洁生产、污染减排染整技术，符合《产业转移指导目录</w:t>
      </w:r>
      <w:r>
        <w:rPr>
          <w:rFonts w:hint="eastAsia"/>
          <w:spacing w:val="0"/>
          <w:position w:val="0"/>
          <w:sz w:val="24"/>
          <w:szCs w:val="24"/>
          <w:lang w:eastAsia="zh-CN"/>
        </w:rPr>
        <w:t>（</w:t>
      </w:r>
      <w:r>
        <w:rPr>
          <w:rFonts w:hint="eastAsia"/>
          <w:spacing w:val="0"/>
          <w:position w:val="0"/>
          <w:sz w:val="24"/>
          <w:szCs w:val="24"/>
        </w:rPr>
        <w:t>2018年本</w:t>
      </w:r>
      <w:r>
        <w:rPr>
          <w:rFonts w:hint="eastAsia"/>
          <w:spacing w:val="0"/>
          <w:position w:val="0"/>
          <w:sz w:val="24"/>
          <w:szCs w:val="24"/>
          <w:lang w:eastAsia="zh-CN"/>
        </w:rPr>
        <w:t>）</w:t>
      </w:r>
      <w:r>
        <w:rPr>
          <w:rFonts w:hint="eastAsia"/>
          <w:spacing w:val="0"/>
          <w:position w:val="0"/>
          <w:sz w:val="24"/>
          <w:szCs w:val="24"/>
        </w:rPr>
        <w:t>》中福建省优先承接发展的产业要求</w:t>
      </w:r>
      <w:r>
        <w:rPr>
          <w:rFonts w:hint="eastAsia"/>
          <w:spacing w:val="0"/>
          <w:position w:val="0"/>
          <w:sz w:val="24"/>
          <w:szCs w:val="24"/>
          <w:lang w:eastAsia="zh-CN"/>
        </w:rPr>
        <w:t>：</w:t>
      </w:r>
      <w:r>
        <w:rPr>
          <w:rFonts w:hint="eastAsia"/>
          <w:spacing w:val="0"/>
          <w:position w:val="0"/>
          <w:sz w:val="24"/>
          <w:szCs w:val="24"/>
        </w:rPr>
        <w:t>“智能染纱等印染节能减排新技术及设备（福州市、泉州市、三明市）”</w:t>
      </w:r>
      <w:r>
        <w:rPr>
          <w:rFonts w:hint="eastAsia"/>
          <w:spacing w:val="0"/>
          <w:position w:val="0"/>
          <w:sz w:val="24"/>
          <w:szCs w:val="24"/>
          <w:lang w:eastAsia="zh-CN"/>
        </w:rPr>
        <w:t>。</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lang w:val="en-US" w:eastAsia="zh-CN"/>
        </w:rPr>
        <w:t>综上，本项目属于</w:t>
      </w:r>
      <w:r>
        <w:rPr>
          <w:rFonts w:hint="eastAsia"/>
          <w:spacing w:val="0"/>
          <w:position w:val="0"/>
          <w:sz w:val="24"/>
          <w:szCs w:val="24"/>
        </w:rPr>
        <w:t>《产业转移指导目录</w:t>
      </w:r>
      <w:r>
        <w:rPr>
          <w:rFonts w:hint="eastAsia"/>
          <w:spacing w:val="0"/>
          <w:position w:val="0"/>
          <w:sz w:val="24"/>
          <w:szCs w:val="24"/>
          <w:lang w:eastAsia="zh-CN"/>
        </w:rPr>
        <w:t>（</w:t>
      </w:r>
      <w:r>
        <w:rPr>
          <w:rFonts w:hint="eastAsia"/>
          <w:spacing w:val="0"/>
          <w:position w:val="0"/>
          <w:sz w:val="24"/>
          <w:szCs w:val="24"/>
        </w:rPr>
        <w:t>2018年本</w:t>
      </w:r>
      <w:r>
        <w:rPr>
          <w:rFonts w:hint="eastAsia"/>
          <w:spacing w:val="0"/>
          <w:position w:val="0"/>
          <w:sz w:val="24"/>
          <w:szCs w:val="24"/>
          <w:lang w:eastAsia="zh-CN"/>
        </w:rPr>
        <w:t>）</w:t>
      </w:r>
      <w:r>
        <w:rPr>
          <w:rFonts w:hint="eastAsia"/>
          <w:spacing w:val="0"/>
          <w:position w:val="0"/>
          <w:sz w:val="24"/>
          <w:szCs w:val="24"/>
        </w:rPr>
        <w:t>》中福建省优先承接发展的产业。</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3.7.1.3与《印染行业规范条件（2017版）》符合性分析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spacing w:val="0"/>
          <w:position w:val="0"/>
          <w:sz w:val="24"/>
          <w:szCs w:val="24"/>
          <w:lang w:eastAsia="zh-CN"/>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spacing w:val="0"/>
          <w:position w:val="0"/>
          <w:sz w:val="24"/>
          <w:szCs w:val="24"/>
        </w:rPr>
        <w:t>本项目主要从事针织布料印染加工，经分析属于国家当前产业政策鼓励类项目，采用的生产工艺和设备较先进，通过完善环保设施，符合《印染行业规范条件（2017版》的要求。本项目与《印染行业规范条件（2017版）》的分析见表</w:t>
      </w:r>
      <w:r>
        <w:rPr>
          <w:rFonts w:hint="eastAsia"/>
          <w:spacing w:val="0"/>
          <w:position w:val="0"/>
          <w:sz w:val="24"/>
          <w:szCs w:val="24"/>
          <w:lang w:eastAsia="zh-CN"/>
        </w:rPr>
        <w:t>3.7</w:t>
      </w:r>
      <w:r>
        <w:rPr>
          <w:rFonts w:hint="eastAsia"/>
          <w:spacing w:val="0"/>
          <w:position w:val="0"/>
          <w:sz w:val="24"/>
          <w:szCs w:val="24"/>
        </w:rPr>
        <w:t>-</w:t>
      </w:r>
      <w:r>
        <w:rPr>
          <w:rFonts w:hint="eastAsia"/>
          <w:spacing w:val="0"/>
          <w:position w:val="0"/>
          <w:sz w:val="24"/>
          <w:szCs w:val="24"/>
          <w:lang w:val="en-US" w:eastAsia="zh-CN"/>
        </w:rPr>
        <w:t>2</w:t>
      </w:r>
      <w:r>
        <w:rPr>
          <w:rFonts w:hint="eastAsia"/>
          <w:spacing w:val="0"/>
          <w:position w:val="0"/>
          <w:sz w:val="24"/>
          <w:szCs w:val="24"/>
          <w:lang w:eastAsia="zh-CN"/>
        </w:rPr>
        <w:t>。</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Cs w:val="24"/>
        </w:rPr>
      </w:pPr>
      <w:r>
        <w:rPr>
          <w:rFonts w:hint="eastAsia" w:ascii="Times New Roman" w:hAnsi="Times New Roman"/>
          <w:b/>
          <w:bCs/>
          <w:spacing w:val="0"/>
          <w:position w:val="0"/>
          <w:szCs w:val="24"/>
        </w:rPr>
        <w:t>表</w:t>
      </w:r>
      <w:r>
        <w:rPr>
          <w:rFonts w:hint="eastAsia" w:ascii="Times New Roman" w:hAnsi="Times New Roman"/>
          <w:b/>
          <w:bCs/>
          <w:spacing w:val="0"/>
          <w:position w:val="0"/>
          <w:szCs w:val="24"/>
          <w:lang w:eastAsia="zh-CN"/>
        </w:rPr>
        <w:t>3.7</w:t>
      </w:r>
      <w:r>
        <w:rPr>
          <w:rFonts w:hint="eastAsia" w:ascii="Times New Roman" w:hAnsi="Times New Roman"/>
          <w:b/>
          <w:bCs/>
          <w:spacing w:val="0"/>
          <w:position w:val="0"/>
          <w:szCs w:val="24"/>
        </w:rPr>
        <w:t>-</w:t>
      </w:r>
      <w:r>
        <w:rPr>
          <w:rFonts w:hint="eastAsia" w:ascii="Times New Roman" w:hAnsi="Times New Roman"/>
          <w:b/>
          <w:bCs/>
          <w:spacing w:val="0"/>
          <w:position w:val="0"/>
          <w:szCs w:val="24"/>
          <w:lang w:val="en-US" w:eastAsia="zh-CN"/>
        </w:rPr>
        <w:t>2</w:t>
      </w:r>
      <w:r>
        <w:rPr>
          <w:rFonts w:hint="eastAsia" w:ascii="Times New Roman" w:hAnsi="Times New Roman"/>
          <w:b/>
          <w:bCs/>
          <w:spacing w:val="0"/>
          <w:position w:val="0"/>
          <w:szCs w:val="24"/>
        </w:rPr>
        <w:t>本项目与《印染行业规范条件（2017版）》的符合性分析</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095"/>
        <w:gridCol w:w="6447"/>
        <w:gridCol w:w="5165"/>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序号</w:t>
            </w:r>
          </w:p>
        </w:tc>
        <w:tc>
          <w:tcPr>
            <w:tcW w:w="109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主要指标</w:t>
            </w: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《印染行业规范条件（2017版）》</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本项目具体情况</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1</w:t>
            </w:r>
          </w:p>
        </w:tc>
        <w:tc>
          <w:tcPr>
            <w:tcW w:w="1095"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生产企业布局</w:t>
            </w: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建设地点应当符合国家产业规划和产业政策，符合本地区主体功能区规划、城乡规划、土地利用总体规划和生态环境规划要求。七大重点流域干流沿岸，要严格控制印染项目环境风险，合理布局生产装置。</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该项目符合国家产业政策，选址于连江县可门经济开发区，符合环罗源湾地区工业产业布局规划及规划环评要求，选址符合区域环境规划和土地利用规划。</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在国务院、国家有关部门和省（自治区、直辖市）级人民政府规定的风景名胜区、自然保护区、饮用水保护区和主要河流两岸边界外规定范围内不得新建印染项目。</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项目所在区域周边没有风景名胜区、自然保护区、饮用</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水保护区，不涉及主要河流两岸边界。</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缺水或水质较差地区原则上不得新建印染项目。水源相对充足地区新建印染项目，地方政府相关部门要科学规划，合理布局，在工业园区内集中建设，实行集中供热和污染物的集中处理。环境质量不达标区域的建设项目，要在环境质量限期达标规划的基础上，实施水污染物域削减方案。工业园区外企业要逐步搬迁入园。</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项目区不属于缺水和水质较差的区域，项目位于可门经济开发区连江可门绿色纺织产业园，由园区集中供热，污水排入园区污水处理厂集中处理，环境容量可满足项目建设的要求。</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2</w:t>
            </w:r>
          </w:p>
        </w:tc>
        <w:tc>
          <w:tcPr>
            <w:tcW w:w="1095"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工艺装备要求</w:t>
            </w: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企业要采用技术先进、节能环保的设备，主要工艺参数实现在线检测和自动控制。新建或改扩建印染生产线总体水平要达到或接近国际先进水平。鼓励采用染化料自动配液输送系统。禁止使用国家明确规定的淘汰类落后生产工艺和设备，禁止使用达不到节能环保要求的二手设备。棉、化纤及混纺机织物印染项目设计建设要执行《印染工厂设计规范》（GB50426）。</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项目设备采用国内先进的染色机，主要工艺参数可以实现在线检测和自动控制；采用染化料自动配液输送系统、自动化电子信息化技术称量系统、在线采集和控制系统。没有使用淘汰类工艺和设备以及达不到节能环保要求的二手设备。总体水平可以接近国际先进水平。</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连续式水洗装置要密封性好，并配有逆流、高效漂洗及热能回收装置。间歇式染色设备浴比应满足1：8以下工艺要求。热定形、涂层等工序挥发性有机物（VOCs）废气应收集处理，鼓励采用溶剂回收和余热回收装置。</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本项目采用浴比1：6染色机。水洗装置配有逆流、高效漂洗及热回收装置，并设计安装废气净化和余热回收装置。</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3</w:t>
            </w:r>
          </w:p>
        </w:tc>
        <w:tc>
          <w:tcPr>
            <w:tcW w:w="1095"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质量管理</w:t>
            </w: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印染企业要开发生产低消耗、低污染绿色产品，鼓励采用新技术、新工艺、新设备、新材料开发具有知识产权、高附加值的纺织产品。产品质量要符合国家或行业标准要求，产品合格率达到95%以上。</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生产的产品为高档针织服装面料，产品质量符合国家和行业标准，产品合格率达</w:t>
            </w:r>
            <w:r>
              <w:rPr>
                <w:rFonts w:hint="eastAsia" w:ascii="Times New Roman" w:hAnsi="Times New Roman"/>
                <w:spacing w:val="0"/>
                <w:position w:val="0"/>
                <w:sz w:val="21"/>
                <w:szCs w:val="21"/>
                <w:lang w:val="en-US" w:eastAsia="zh-CN"/>
              </w:rPr>
              <w:t>99</w:t>
            </w:r>
            <w:r>
              <w:rPr>
                <w:rFonts w:hint="eastAsia" w:ascii="Times New Roman" w:hAnsi="Times New Roman"/>
                <w:spacing w:val="0"/>
                <w:position w:val="0"/>
                <w:sz w:val="21"/>
                <w:szCs w:val="21"/>
              </w:rPr>
              <w:t>%。</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印染企业应实行三级能源、用水计量管理，设置专门机构或人员对能源、取水、排污情况进行监督，并建立管理考核制度和数据统计系统。</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企业将实行能源、用水管理制度、考核制度，并派专门人员管理、监督，进行数据统计。</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印染企业要健全企业管理制度，鼓励企业进行质量、环境以及职业健康等管理体系认证，支持企业采用信息化管理手段提高企业管理效率和水平。企业要加强生产现场管理，车间要求干净整洁。</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企业将建立完善的企业管理制度，加强生产现场管理，以及质量、环境以及职业健康等管理体系认证。</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企业要规范化学品存储和使用，危险化学品应严格遵循《危险化学品安全管理条例》要求，加强对从业人员化学品使用的岗位技能培训。企业应建立化学品绿色供应链管控体系，避免使用对消费者、环境等有害的化学物质。</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企业将按要求设置危险化学品仓库，对从业人员化学品使用的岗位技能培训。</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4</w:t>
            </w:r>
          </w:p>
        </w:tc>
        <w:tc>
          <w:tcPr>
            <w:tcW w:w="109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资源消耗</w:t>
            </w: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单位产品能耗应≤1.1t标煤/吨、新鲜水取水量应≤90吨水/吨。</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项目由园区集中供热，单位产品新鲜水取水量</w:t>
            </w:r>
            <w:r>
              <w:rPr>
                <w:rFonts w:hint="eastAsia" w:ascii="Times New Roman" w:hAnsi="Times New Roman"/>
                <w:color w:val="000000" w:themeColor="text1"/>
                <w:spacing w:val="0"/>
                <w:position w:val="0"/>
                <w:sz w:val="21"/>
                <w:szCs w:val="21"/>
                <w:lang w:val="en-US" w:eastAsia="zh-CN"/>
                <w14:textFill>
                  <w14:solidFill>
                    <w14:schemeClr w14:val="tx1"/>
                  </w14:solidFill>
                </w14:textFill>
              </w:rPr>
              <w:t>32.80</w:t>
            </w:r>
            <w:r>
              <w:rPr>
                <w:rFonts w:hint="eastAsia" w:ascii="Times New Roman" w:hAnsi="Times New Roman"/>
                <w:color w:val="000000" w:themeColor="text1"/>
                <w:spacing w:val="0"/>
                <w:position w:val="0"/>
                <w:sz w:val="21"/>
                <w:szCs w:val="21"/>
                <w14:textFill>
                  <w14:solidFill>
                    <w14:schemeClr w14:val="tx1"/>
                  </w14:solidFill>
                </w14:textFill>
              </w:rPr>
              <w:t>t</w:t>
            </w:r>
            <w:r>
              <w:rPr>
                <w:rFonts w:hint="eastAsia" w:ascii="Times New Roman" w:hAnsi="Times New Roman"/>
                <w:spacing w:val="0"/>
                <w:position w:val="0"/>
                <w:sz w:val="21"/>
                <w:szCs w:val="21"/>
              </w:rPr>
              <w:t>水/吨。</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5</w:t>
            </w:r>
          </w:p>
        </w:tc>
        <w:tc>
          <w:tcPr>
            <w:tcW w:w="1095"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环境保护与资源综合利用</w:t>
            </w: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企业环保设施要按照《纺织工业企业环保设计规范》的要求进行设计和建设，执行环保设施与主体工程同时设计、同时施工、同时投产的“三同时”制度。</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印染废水应自行处理或接入集中废水处理设施，并加强废水处理及运行中的水质分析和监控，废水排放实行在线监控，实现稳定达标排放。</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采用高效节能的固体废弃物处理工艺，实现固体废弃物资源化和无害化处置。依法办理排污许可证，并严格按证排放污染物。</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本项目环保设施将按照规范的要求进行设计，企业承诺将认真执行环保“三同时”制度。</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企业污水进入园区污水处理厂集中处理废水排放实行在线监控，实现稳定达标排放。项目投运前将依法办理排污许可证，并严格按证排放污染物。</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企业要按照环境友好和资源综合利用的原则，选择可生物降解（或易回收）浆料的坯布；使用生态环保型、高上染率染化料和高性能助剂；完善冷却水、冷凝水及余热回收装置；丝光工艺配备淡碱回收装置，企业水重复利用率要达到40%以上。</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针织坯布无浆料；使用生态环保型、高吸尽率染化料和助剂；无丝光工艺和碱减量工艺，建设冷却水及废水回收装置；做到废水清浊分流、分质回用，工业用水重复利用率达6</w:t>
            </w:r>
            <w:r>
              <w:rPr>
                <w:rFonts w:hint="eastAsia" w:ascii="Times New Roman" w:hAnsi="Times New Roman"/>
                <w:spacing w:val="0"/>
                <w:position w:val="0"/>
                <w:sz w:val="21"/>
                <w:szCs w:val="21"/>
                <w:lang w:val="en-US" w:eastAsia="zh-CN"/>
              </w:rPr>
              <w:t>9.99</w:t>
            </w:r>
            <w:r>
              <w:rPr>
                <w:rFonts w:hint="eastAsia" w:ascii="Times New Roman" w:hAnsi="Times New Roman"/>
                <w:spacing w:val="0"/>
                <w:position w:val="0"/>
                <w:sz w:val="21"/>
                <w:szCs w:val="21"/>
              </w:rPr>
              <w:t>%。</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1095"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6447"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印染企业要采用清洁生产技术，提高资源利用效率，从生产的源头控制污染物产生量。印染企业要依法定期实施清洁生产审核，按照有关规定开展能源审计，不断提高企业清洁生产水平。</w:t>
            </w:r>
          </w:p>
        </w:tc>
        <w:tc>
          <w:tcPr>
            <w:tcW w:w="5165"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项目完成后，将进一步推行清洁生产审核评估和能源审计，改进生产技术和装备，从生产的源头控制污染物产生量，降低生产和末端治理成本。</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bl>
    <w:p>
      <w:pPr>
        <w:rPr>
          <w:rFonts w:hint="eastAsia"/>
          <w:b/>
          <w:bCs/>
          <w:spacing w:val="0"/>
          <w:position w:val="0"/>
          <w:sz w:val="24"/>
          <w:szCs w:val="24"/>
          <w:lang w:val="en-US" w:eastAsia="zh-CN"/>
        </w:rPr>
      </w:pPr>
      <w:r>
        <w:rPr>
          <w:rFonts w:hint="eastAsia"/>
          <w:b/>
          <w:bCs/>
          <w:spacing w:val="0"/>
          <w:position w:val="0"/>
          <w:sz w:val="24"/>
          <w:szCs w:val="24"/>
          <w:lang w:val="en-US" w:eastAsia="zh-CN"/>
        </w:rPr>
        <w:br w:type="page"/>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3.7.1.4与《印染行业绿色发展技术指南》（2019版）符合性分析</w:t>
      </w:r>
    </w:p>
    <w:p>
      <w:pPr>
        <w:pStyle w:val="10"/>
        <w:keepNext w:val="0"/>
        <w:keepLines w:val="0"/>
        <w:pageBreakBefore w:val="0"/>
        <w:widowControl/>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b w:val="0"/>
          <w:bCs w:val="0"/>
          <w:spacing w:val="0"/>
          <w:position w:val="0"/>
          <w:szCs w:val="24"/>
          <w:lang w:val="en-US" w:eastAsia="zh-CN"/>
        </w:rPr>
      </w:pPr>
      <w:r>
        <w:rPr>
          <w:rFonts w:hint="eastAsia" w:ascii="Times New Roman" w:hAnsi="Times New Roman" w:eastAsia="宋体"/>
          <w:b w:val="0"/>
          <w:bCs w:val="0"/>
          <w:spacing w:val="0"/>
          <w:position w:val="0"/>
          <w:szCs w:val="24"/>
          <w:lang w:val="en-US" w:eastAsia="zh-CN"/>
        </w:rPr>
        <w:t>本项目主要</w:t>
      </w:r>
      <w:r>
        <w:rPr>
          <w:rFonts w:hint="eastAsia" w:ascii="Times New Roman" w:hAnsi="Times New Roman"/>
          <w:b w:val="0"/>
          <w:bCs w:val="0"/>
          <w:spacing w:val="0"/>
          <w:position w:val="0"/>
          <w:szCs w:val="24"/>
          <w:lang w:val="en-US" w:eastAsia="zh-CN"/>
        </w:rPr>
        <w:t>从事高</w:t>
      </w:r>
      <w:r>
        <w:rPr>
          <w:rFonts w:hint="eastAsia" w:ascii="Times New Roman" w:hAnsi="Times New Roman" w:eastAsia="宋体"/>
          <w:b w:val="0"/>
          <w:bCs w:val="0"/>
          <w:spacing w:val="0"/>
          <w:position w:val="0"/>
          <w:szCs w:val="24"/>
          <w:lang w:val="en-US" w:eastAsia="zh-CN"/>
        </w:rPr>
        <w:t>档针织面料的印染加工，采取的前处理和后整理技术、节能减排染色、污染物处理与资源综合利用均涉及到指南中的适宜推广应用的技术，有利于印染行业向绿色方向发展，符合《印染行业绿色发展技术指南》（2019版）的要求。本项目与《印染行业绿色发展技术指南》（2019版）的分析见表</w:t>
      </w:r>
      <w:r>
        <w:rPr>
          <w:rFonts w:hint="eastAsia" w:ascii="Times New Roman" w:hAnsi="Times New Roman"/>
          <w:b w:val="0"/>
          <w:bCs w:val="0"/>
          <w:spacing w:val="0"/>
          <w:position w:val="0"/>
          <w:szCs w:val="24"/>
          <w:lang w:val="en-US" w:eastAsia="zh-CN"/>
        </w:rPr>
        <w:t>3.7</w:t>
      </w:r>
      <w:r>
        <w:rPr>
          <w:rFonts w:hint="eastAsia" w:ascii="Times New Roman" w:hAnsi="Times New Roman" w:eastAsia="宋体"/>
          <w:b w:val="0"/>
          <w:bCs w:val="0"/>
          <w:spacing w:val="0"/>
          <w:position w:val="0"/>
          <w:szCs w:val="24"/>
          <w:lang w:val="en-US" w:eastAsia="zh-CN"/>
        </w:rPr>
        <w:t>-</w:t>
      </w:r>
      <w:r>
        <w:rPr>
          <w:rFonts w:hint="eastAsia" w:ascii="Times New Roman" w:hAnsi="Times New Roman"/>
          <w:b w:val="0"/>
          <w:bCs w:val="0"/>
          <w:spacing w:val="0"/>
          <w:position w:val="0"/>
          <w:szCs w:val="24"/>
          <w:lang w:val="en-US" w:eastAsia="zh-CN"/>
        </w:rPr>
        <w:t>3。</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Cs w:val="24"/>
        </w:rPr>
      </w:pPr>
      <w:r>
        <w:rPr>
          <w:rFonts w:hint="eastAsia" w:ascii="Times New Roman" w:hAnsi="Times New Roman"/>
          <w:b/>
          <w:bCs/>
          <w:spacing w:val="0"/>
          <w:position w:val="0"/>
          <w:szCs w:val="24"/>
        </w:rPr>
        <w:t>表</w:t>
      </w:r>
      <w:r>
        <w:rPr>
          <w:rFonts w:hint="eastAsia" w:ascii="Times New Roman" w:hAnsi="Times New Roman"/>
          <w:b/>
          <w:bCs/>
          <w:spacing w:val="0"/>
          <w:position w:val="0"/>
          <w:szCs w:val="24"/>
          <w:lang w:eastAsia="zh-CN"/>
        </w:rPr>
        <w:t>3.7</w:t>
      </w:r>
      <w:r>
        <w:rPr>
          <w:rFonts w:hint="eastAsia" w:ascii="Times New Roman" w:hAnsi="Times New Roman"/>
          <w:b/>
          <w:bCs/>
          <w:spacing w:val="0"/>
          <w:position w:val="0"/>
          <w:szCs w:val="24"/>
        </w:rPr>
        <w:t>-</w:t>
      </w:r>
      <w:r>
        <w:rPr>
          <w:rFonts w:hint="eastAsia" w:ascii="Times New Roman" w:hAnsi="Times New Roman"/>
          <w:b/>
          <w:bCs/>
          <w:spacing w:val="0"/>
          <w:position w:val="0"/>
          <w:szCs w:val="24"/>
          <w:lang w:val="en-US" w:eastAsia="zh-CN"/>
        </w:rPr>
        <w:t>3</w:t>
      </w:r>
      <w:r>
        <w:rPr>
          <w:rFonts w:hint="eastAsia" w:ascii="Times New Roman" w:hAnsi="Times New Roman"/>
          <w:b/>
          <w:bCs/>
          <w:spacing w:val="0"/>
          <w:position w:val="0"/>
          <w:szCs w:val="24"/>
        </w:rPr>
        <w:t>本项目与《印染行业绿色发展技术指南》（2019版）的符合性分析</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212"/>
        <w:gridCol w:w="4050"/>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9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项目</w:t>
            </w:r>
          </w:p>
        </w:tc>
        <w:tc>
          <w:tcPr>
            <w:tcW w:w="821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本项目拟涉及的相关工艺</w:t>
            </w:r>
          </w:p>
        </w:tc>
        <w:tc>
          <w:tcPr>
            <w:tcW w:w="405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本项目具体情况</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b/>
                <w:bCs/>
                <w:spacing w:val="0"/>
                <w:position w:val="0"/>
                <w:sz w:val="21"/>
                <w:szCs w:val="21"/>
              </w:rPr>
            </w:pPr>
            <w:r>
              <w:rPr>
                <w:rFonts w:hint="eastAsia" w:ascii="Times New Roman" w:hAnsi="Times New Roman"/>
                <w:b/>
                <w:bCs/>
                <w:spacing w:val="0"/>
                <w:positio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一、环保</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型前处理</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和后整理</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技术</w:t>
            </w:r>
          </w:p>
        </w:tc>
        <w:tc>
          <w:tcPr>
            <w:tcW w:w="821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中压蒸汽定型</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适用范围：各类织物的定型加工。</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技术特点：用中压（2.5MPa-3.0MPa）蒸汽替代导热油，利用蒸汽的热量对织物进行定型。通过控制蒸汽压力和流量的方式，实现定型温度的精确控制。</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应用效果：中压蒸汽一般由热电联产集中供应，有利于节能减排。相比导热油定型机，企业无需自备导热油锅炉，可根据定型机开机率按需使用热能，同时中压蒸汽可实现能源梯级利用。中压蒸汽定型机综合使用成本低、安全性高，有较好的环境效益和社会效益。中压蒸汽定型对蒸汽压力稳定性要求较高。</w:t>
            </w:r>
          </w:p>
        </w:tc>
        <w:tc>
          <w:tcPr>
            <w:tcW w:w="405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定型机采用中压蒸汽定型，不设导热油锅炉，由园区提供蒸汽，并设置废气热回收装置。</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三、污染</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物处理与</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资源综合</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利用技术</w:t>
            </w:r>
          </w:p>
        </w:tc>
        <w:tc>
          <w:tcPr>
            <w:tcW w:w="821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（1）定型机废气高效收集处理及余热回用</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适用范围：用于定型机废气处理及余热回收利用。</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技术特点：通过均匀高效过滤、喷淋、高压静电处理、自动清洗、消雾、热回收等系统实现废气处理和热量回用。</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应用效果：灰尘、油烟去除率高，实现达标排放。将定型机180℃热风尾气降至60℃以下，回收的热能可生产热风或热水，节约能源，降低生产成本。</w:t>
            </w:r>
          </w:p>
        </w:tc>
        <w:tc>
          <w:tcPr>
            <w:tcW w:w="405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通过热交换器对烘箱所排放的废气中的热量进行回收利用。针对定型废气采取冷却+静电一体化装置处理后排放。</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restart"/>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四、智能</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化信息技</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术</w:t>
            </w:r>
          </w:p>
        </w:tc>
        <w:tc>
          <w:tcPr>
            <w:tcW w:w="821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（1）染化料自动称量、配制和输送系统</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适用范围：印染企业染化料自动称量、化料和输送。</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技术特点：该系统主要由称料、化料、输送三部分构成，根据生产工艺配方按需配制生产所需染化料，根据生产指令将配制好的染料、助剂自动输送到各生产机台，实现印染生产化学品物流、信息流的统一调度和管理。</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应用效果：小样配方和大生产配方的匹配性更高，工艺稳定重现性好；准确统计生产中染料助剂消耗量，减少用工并降低劳动强度，改善作业环境。产品的一等品率提高1%-2%，返工率降低3%-5%，人工成本降低20%-30%。前期投入较大，对职工素质要求较高。</w:t>
            </w:r>
          </w:p>
        </w:tc>
        <w:tc>
          <w:tcPr>
            <w:tcW w:w="405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本项目选用先进的小浴比染色机，配套智能集中控制系统，实现对印染全流程生产控制和管理，优化工艺，缩短工艺时间，达到标准化生产。染色过程中，采用自动化电子信息化技术称量（包括染料自动称量加料系统、液体助剂计量输送系统），高精度地提高染料、助剂称量的准确性。成品面料采用全自动包装系统，精确、高效、自动化、智能化程度较高、操作方便。</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821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（2）工艺参数在线采集和控制系统</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适用范围：印染生产主要工艺参数的采集和控制。</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技术特点：对印染设备的工艺参数传感器进行实时数据采集，将采集数据与工艺参数进行比对分析，精确在线检测和控制关键工艺参数，确保工艺参数在设定范围内。</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应用效果：能自动控制pH值、双氧水浓度、织物密度、轧余率、纬斜等工艺参数，减少人为调整工艺参数时的失误，提高工艺重现性和产品合格率，提升生产自动化水平，节能减排效果较为明显。对系统维护和管理人员的素质要求较高。</w:t>
            </w:r>
          </w:p>
        </w:tc>
        <w:tc>
          <w:tcPr>
            <w:tcW w:w="405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设置在线采集和控制系统，主要工艺参数可以实现在线检测和自动控制。</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p>
        </w:tc>
        <w:tc>
          <w:tcPr>
            <w:tcW w:w="8212"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（3）印染ERP系统</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适用范围：对印染企业生产经营各种数据进行收集、汇总、分析。</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技术特点：印染ERP系统包括生产计划、供应链管理、能源管理、成本分析、绩效考核等内容，用信息化技术整合印染企业各部门数据，经过系统科学的分析，形成决策支持信息。</w:t>
            </w:r>
          </w:p>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应用效果：实时了解跟踪接单、生产订单、坯布仓储、成品发货等情况，可对印染生产中的水、电、汽、染化料、人工等情况进行分析汇总，及时进行成本核算与控制。通过实施ERP管理，提高生产效率、降低生产管理成本，优化工艺和稳定产品质量，提升企业信息化管理水平。需要有印染专业和信息化专业的人员共同配合才能用好ERP系统。</w:t>
            </w:r>
          </w:p>
        </w:tc>
        <w:tc>
          <w:tcPr>
            <w:tcW w:w="4050"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企业拟设置智能制造中控数据中心系统，即智能制造ERP系统定制化应用，建立大数据平台，实现全流程信息化和大数据管理。</w:t>
            </w:r>
          </w:p>
        </w:tc>
        <w:tc>
          <w:tcPr>
            <w:tcW w:w="866" w:type="dxa"/>
            <w:tcBorders>
              <w:tl2br w:val="nil"/>
              <w:tr2bl w:val="nil"/>
            </w:tcBorders>
            <w:vAlign w:val="center"/>
          </w:tcPr>
          <w:p>
            <w:pPr>
              <w:pStyle w:val="1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bl>
    <w:p>
      <w:pPr>
        <w:keepNext w:val="0"/>
        <w:keepLines w:val="0"/>
        <w:pageBreakBefore w:val="0"/>
        <w:widowControl/>
        <w:kinsoku/>
        <w:wordWrap/>
        <w:overflowPunct/>
        <w:topLinePunct w:val="0"/>
        <w:autoSpaceDE/>
        <w:autoSpaceDN/>
        <w:bidi w:val="0"/>
        <w:adjustRightInd/>
        <w:snapToGrid/>
        <w:textAlignment w:val="auto"/>
        <w:outlineLvl w:val="9"/>
        <w:rPr>
          <w:rFonts w:hint="eastAsia"/>
          <w:spacing w:val="0"/>
          <w:position w:val="0"/>
          <w:lang w:eastAsia="zh-CN"/>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3"/>
        <w:rPr>
          <w:rFonts w:hint="eastAsia"/>
          <w:spacing w:val="0"/>
          <w:position w:val="0"/>
          <w:sz w:val="24"/>
          <w:szCs w:val="24"/>
          <w:lang w:eastAsia="zh-CN"/>
        </w:rPr>
        <w:sectPr>
          <w:pgSz w:w="16838" w:h="11906" w:orient="landscape"/>
          <w:pgMar w:top="1417"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3.7.1.5与《关于全省石化等七类产业布局的指导意见》符合性分析</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rPr>
        <w:t>《福建省人民政府关于全省石化等七类产业布局的指导意见》闽政〔2013〕56号</w:t>
      </w:r>
      <w:r>
        <w:rPr>
          <w:rFonts w:hint="eastAsia"/>
          <w:spacing w:val="0"/>
          <w:position w:val="0"/>
          <w:sz w:val="24"/>
          <w:szCs w:val="24"/>
          <w:lang w:val="en-US" w:eastAsia="zh-CN"/>
        </w:rPr>
        <w:t>对印染行业空间发展布局的要求为：</w:t>
      </w:r>
    </w:p>
    <w:p>
      <w:pPr>
        <w:numPr>
          <w:ilvl w:val="0"/>
          <w:numId w:val="0"/>
        </w:numPr>
        <w:adjustRightInd w:val="0"/>
        <w:snapToGrid w:val="0"/>
        <w:spacing w:line="360" w:lineRule="auto"/>
        <w:ind w:firstLine="480" w:firstLineChars="200"/>
        <w:rPr>
          <w:rFonts w:hint="eastAsia"/>
          <w:spacing w:val="0"/>
          <w:position w:val="0"/>
          <w:sz w:val="24"/>
          <w:szCs w:val="24"/>
          <w:lang w:val="en-US" w:eastAsia="zh-CN"/>
        </w:rPr>
      </w:pPr>
      <w:r>
        <w:rPr>
          <w:rFonts w:hint="eastAsia" w:ascii="Times New Roman" w:hAnsi="Times New Roman" w:eastAsia="宋体" w:cs="Times New Roman"/>
          <w:spacing w:val="0"/>
          <w:kern w:val="2"/>
          <w:position w:val="0"/>
          <w:sz w:val="24"/>
          <w:szCs w:val="24"/>
          <w:lang w:val="en-US" w:eastAsia="zh-CN" w:bidi="ar-SA"/>
        </w:rPr>
        <w:t>（1）</w:t>
      </w:r>
      <w:r>
        <w:rPr>
          <w:rFonts w:hint="eastAsia"/>
          <w:spacing w:val="0"/>
          <w:position w:val="0"/>
          <w:sz w:val="24"/>
          <w:szCs w:val="24"/>
          <w:lang w:val="en-US" w:eastAsia="zh-CN"/>
        </w:rPr>
        <w:t>在县级以上风景名胜区、自然保护区、饮用水源保护区和主要河流两岸边界外规定范围内禁止建设印染项目。在九龙江北溪江东北引桥以上、西溪桥闸以上、晋江和洛阳江流域上游流域范围内禁止新建扩建印染项目；在闽江水口库区上游沿江两岸流域范围内严格控制新建扩建印染项目。</w:t>
      </w:r>
    </w:p>
    <w:p>
      <w:pPr>
        <w:numPr>
          <w:ilvl w:val="0"/>
          <w:numId w:val="0"/>
        </w:numPr>
        <w:adjustRightInd w:val="0"/>
        <w:snapToGrid w:val="0"/>
        <w:spacing w:line="360" w:lineRule="auto"/>
        <w:ind w:firstLine="480" w:firstLineChars="200"/>
        <w:rPr>
          <w:rFonts w:hint="default" w:eastAsia="宋体"/>
          <w:spacing w:val="0"/>
          <w:position w:val="0"/>
          <w:sz w:val="24"/>
          <w:szCs w:val="24"/>
          <w:lang w:val="en-US" w:eastAsia="zh-CN"/>
        </w:rPr>
      </w:pPr>
      <w:r>
        <w:rPr>
          <w:rFonts w:hint="default" w:ascii="Times New Roman" w:hAnsi="Times New Roman" w:eastAsia="宋体" w:cs="Times New Roman"/>
          <w:spacing w:val="0"/>
          <w:kern w:val="2"/>
          <w:position w:val="0"/>
          <w:sz w:val="24"/>
          <w:szCs w:val="24"/>
          <w:lang w:val="en-US" w:eastAsia="zh-CN" w:bidi="ar-SA"/>
        </w:rPr>
        <w:t>（2）</w:t>
      </w:r>
      <w:r>
        <w:rPr>
          <w:rFonts w:ascii="宋体" w:hAnsi="宋体" w:eastAsia="宋体" w:cs="宋体"/>
          <w:i w:val="0"/>
          <w:iCs w:val="0"/>
          <w:caps w:val="0"/>
          <w:color w:val="333333"/>
          <w:spacing w:val="0"/>
          <w:position w:val="0"/>
          <w:sz w:val="24"/>
          <w:szCs w:val="24"/>
          <w:shd w:val="clear" w:fill="FFFFFF"/>
        </w:rPr>
        <w:t>缺水或水质较差地区禁止新建印染项目。水源相对充足地区新建扩建印染项目，地方政府相关部门要统筹规划，引导印染行业企业集中布局。缺少环境容量地区，禁止发展印染项目，新建或改扩建项目要与淘汰区域内落后产能相结合，原地技改扩建项目，不得增加污染物排放量。</w:t>
      </w:r>
    </w:p>
    <w:p>
      <w:pPr>
        <w:numPr>
          <w:ilvl w:val="0"/>
          <w:numId w:val="0"/>
        </w:numPr>
        <w:adjustRightInd w:val="0"/>
        <w:snapToGrid w:val="0"/>
        <w:spacing w:line="360" w:lineRule="auto"/>
        <w:ind w:firstLine="480" w:firstLineChars="200"/>
        <w:rPr>
          <w:rFonts w:hint="default" w:eastAsia="宋体"/>
          <w:spacing w:val="0"/>
          <w:position w:val="0"/>
          <w:sz w:val="24"/>
          <w:szCs w:val="24"/>
          <w:lang w:val="en-US" w:eastAsia="zh-CN"/>
        </w:rPr>
      </w:pPr>
      <w:r>
        <w:rPr>
          <w:rFonts w:hint="default" w:ascii="Times New Roman" w:hAnsi="Times New Roman" w:eastAsia="宋体" w:cs="Times New Roman"/>
          <w:spacing w:val="0"/>
          <w:kern w:val="2"/>
          <w:position w:val="0"/>
          <w:sz w:val="24"/>
          <w:szCs w:val="24"/>
          <w:lang w:val="en-US" w:eastAsia="zh-CN" w:bidi="ar-SA"/>
        </w:rPr>
        <w:t>（3）</w:t>
      </w:r>
      <w:r>
        <w:rPr>
          <w:rFonts w:hint="eastAsia"/>
          <w:spacing w:val="0"/>
          <w:position w:val="0"/>
          <w:sz w:val="24"/>
          <w:szCs w:val="24"/>
          <w:lang w:val="en-US" w:eastAsia="zh-CN"/>
        </w:rPr>
        <w:t>集中建设印染产业园。新建印染项目必须进入统一规划的专业园区内，实行集中供水、供热、供气和污染物的集中处理，发展循环经济，延伸产业链。园区外企业要逐步搬迁入园。重点在石狮、晋江、长乐、漳浦、尤溪、永安等纺织集聚区的现有印染集中区推进行业转型升级，建设印染生态工业示范园区。区域印染企业污染物排放量不得突破现有排放总量，并逐步削减。</w:t>
      </w:r>
    </w:p>
    <w:p>
      <w:pPr>
        <w:adjustRightInd w:val="0"/>
        <w:snapToGrid w:val="0"/>
        <w:spacing w:line="360" w:lineRule="auto"/>
        <w:ind w:firstLine="480" w:firstLineChars="200"/>
        <w:rPr>
          <w:spacing w:val="0"/>
          <w:position w:val="0"/>
          <w:sz w:val="24"/>
          <w:szCs w:val="24"/>
        </w:rPr>
      </w:pPr>
      <w:r>
        <w:rPr>
          <w:rFonts w:hint="eastAsia"/>
          <w:spacing w:val="0"/>
          <w:position w:val="0"/>
          <w:sz w:val="24"/>
          <w:szCs w:val="24"/>
          <w:lang w:val="en-US" w:eastAsia="zh-CN"/>
        </w:rPr>
        <w:t>本项目为新建印染项目，选址于连江可门经济区内的绿色纺织产业园内，实行印染企业集中布局，同时园区内实行集中供水、供热、供气，且项目产生的低浓度废水排入园区低浓污水处理装置集中处理后返回各企业回用，高浓度废水进入产业园内规划设置的配套印染行业污水处理厂处理后再引至深海达标排放；拟建项目的单位产品能耗、新鲜水取水量和工业用水重复利用率等指标均可达到《印染行业规范条件（2017版）》、《印染行业绿色发展技术指南（2019版）》和《印染行业清洁生产评价指标体系》的相关要求，故拟建项目符合“关于全省石化等七类产业布局的指导意见”的要求</w:t>
      </w:r>
      <w:r>
        <w:rPr>
          <w:rFonts w:hint="eastAsia"/>
          <w:spacing w:val="0"/>
          <w:position w:val="0"/>
          <w:sz w:val="24"/>
          <w:szCs w:val="24"/>
        </w:rPr>
        <w:t>。</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eastAsia="zh-CN"/>
        </w:rPr>
        <w:t>3.7</w:t>
      </w:r>
      <w:r>
        <w:rPr>
          <w:rFonts w:hint="eastAsia"/>
          <w:b/>
          <w:bCs/>
          <w:spacing w:val="0"/>
          <w:position w:val="0"/>
          <w:sz w:val="28"/>
          <w:szCs w:val="28"/>
        </w:rPr>
        <w:t>.</w:t>
      </w:r>
      <w:r>
        <w:rPr>
          <w:rFonts w:hint="eastAsia"/>
          <w:b/>
          <w:bCs/>
          <w:spacing w:val="0"/>
          <w:position w:val="0"/>
          <w:sz w:val="28"/>
          <w:szCs w:val="28"/>
          <w:lang w:val="en-US" w:eastAsia="zh-CN"/>
        </w:rPr>
        <w:t>2其他</w:t>
      </w:r>
      <w:r>
        <w:rPr>
          <w:rFonts w:hint="eastAsia"/>
          <w:b/>
          <w:bCs/>
          <w:spacing w:val="0"/>
          <w:position w:val="0"/>
          <w:sz w:val="28"/>
          <w:szCs w:val="28"/>
        </w:rPr>
        <w:t>政策符合性分析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3.7.2.1与《福州市大气污染防治行动计划实施细则的通知》符合性分析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rPr>
      </w:pPr>
      <w:r>
        <w:rPr>
          <w:rFonts w:hint="eastAsia"/>
          <w:spacing w:val="0"/>
          <w:position w:val="0"/>
          <w:sz w:val="24"/>
          <w:szCs w:val="24"/>
          <w:lang w:val="en-US" w:eastAsia="zh-CN"/>
        </w:rPr>
        <w:t>根据</w:t>
      </w:r>
      <w:r>
        <w:rPr>
          <w:rFonts w:hint="eastAsia"/>
          <w:spacing w:val="0"/>
          <w:position w:val="0"/>
          <w:sz w:val="24"/>
          <w:szCs w:val="24"/>
        </w:rPr>
        <w:t>2014年1月17日福州市人民政府印发</w:t>
      </w:r>
      <w:r>
        <w:rPr>
          <w:rFonts w:hint="eastAsia"/>
          <w:spacing w:val="0"/>
          <w:position w:val="0"/>
          <w:sz w:val="24"/>
          <w:szCs w:val="24"/>
          <w:lang w:val="en-US" w:eastAsia="zh-CN"/>
        </w:rPr>
        <w:t>的</w:t>
      </w:r>
      <w:r>
        <w:rPr>
          <w:rFonts w:hint="eastAsia"/>
          <w:spacing w:val="0"/>
          <w:position w:val="0"/>
          <w:sz w:val="24"/>
          <w:szCs w:val="24"/>
        </w:rPr>
        <w:t>《福州市大气污染防治行动计划实施细则的通知》（榕政综[2014]27号）</w:t>
      </w:r>
      <w:r>
        <w:rPr>
          <w:rFonts w:hint="eastAsia"/>
          <w:spacing w:val="0"/>
          <w:position w:val="0"/>
          <w:sz w:val="24"/>
          <w:szCs w:val="24"/>
          <w:lang w:val="en-US" w:eastAsia="zh-CN"/>
        </w:rPr>
        <w:t>中的相关内容</w:t>
      </w:r>
      <w:r>
        <w:rPr>
          <w:rFonts w:hint="eastAsia"/>
          <w:spacing w:val="0"/>
          <w:position w:val="0"/>
          <w:sz w:val="24"/>
          <w:szCs w:val="24"/>
        </w:rPr>
        <w:t>，针对</w:t>
      </w:r>
      <w:r>
        <w:rPr>
          <w:rFonts w:hint="eastAsia"/>
          <w:spacing w:val="0"/>
          <w:position w:val="0"/>
          <w:sz w:val="24"/>
          <w:szCs w:val="24"/>
          <w:lang w:val="en-US" w:eastAsia="zh-CN"/>
        </w:rPr>
        <w:t>本</w:t>
      </w:r>
      <w:r>
        <w:rPr>
          <w:rFonts w:hint="eastAsia"/>
          <w:spacing w:val="0"/>
          <w:position w:val="0"/>
          <w:sz w:val="24"/>
          <w:szCs w:val="24"/>
        </w:rPr>
        <w:t>项目进行符合性分析</w:t>
      </w:r>
      <w:r>
        <w:rPr>
          <w:rFonts w:hint="eastAsia"/>
          <w:spacing w:val="0"/>
          <w:position w:val="0"/>
          <w:sz w:val="24"/>
          <w:szCs w:val="24"/>
          <w:lang w:eastAsia="zh-CN"/>
        </w:rPr>
        <w:t>，</w:t>
      </w:r>
      <w:r>
        <w:rPr>
          <w:rFonts w:hint="eastAsia"/>
          <w:spacing w:val="0"/>
          <w:position w:val="0"/>
          <w:sz w:val="24"/>
          <w:szCs w:val="24"/>
        </w:rPr>
        <w:t>分析如下表</w:t>
      </w:r>
      <w:r>
        <w:rPr>
          <w:rFonts w:hint="eastAsia"/>
          <w:spacing w:val="0"/>
          <w:position w:val="0"/>
          <w:sz w:val="24"/>
          <w:szCs w:val="24"/>
          <w:lang w:val="en-US" w:eastAsia="zh-CN"/>
        </w:rPr>
        <w:t>3.7-4</w:t>
      </w:r>
      <w:r>
        <w:rPr>
          <w:rFonts w:hint="eastAsia"/>
          <w:spacing w:val="0"/>
          <w:position w:val="0"/>
          <w:sz w:val="24"/>
          <w:szCs w:val="24"/>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spacing w:val="0"/>
          <w:positio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4"/>
          <w:szCs w:val="24"/>
          <w:lang w:val="en-US" w:eastAsia="zh-CN"/>
        </w:rPr>
      </w:pPr>
      <w:r>
        <w:rPr>
          <w:rFonts w:hint="eastAsia"/>
          <w:b/>
          <w:bCs/>
          <w:spacing w:val="0"/>
          <w:position w:val="0"/>
          <w:sz w:val="24"/>
          <w:szCs w:val="24"/>
          <w:lang w:val="en-US" w:eastAsia="zh-CN"/>
        </w:rPr>
        <w:t>表3.7-4与《福州市大气污染防治行动计划实施细则的通知》（摘录）符合性分析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4"/>
        <w:gridCol w:w="1690"/>
        <w:gridCol w:w="3173"/>
        <w:gridCol w:w="2623"/>
        <w:gridCol w:w="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113" w:type="dxa"/>
            <w:gridSpan w:val="2"/>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章节</w:t>
            </w:r>
          </w:p>
        </w:tc>
        <w:tc>
          <w:tcPr>
            <w:tcW w:w="3112"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相关内容</w:t>
            </w:r>
          </w:p>
        </w:tc>
        <w:tc>
          <w:tcPr>
            <w:tcW w:w="2573"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本项目情况</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5" w:type="dxa"/>
            <w:vMerge w:val="restart"/>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ascii="Times New Roman" w:hAnsi="Times New Roman" w:eastAsia="宋体" w:cs="Times New Roman"/>
                <w:spacing w:val="0"/>
                <w:kern w:val="2"/>
                <w:position w:val="0"/>
                <w:sz w:val="21"/>
                <w:szCs w:val="21"/>
                <w:lang w:val="en-US" w:eastAsia="zh-CN" w:bidi="ar-SA"/>
              </w:rPr>
              <w:t>二、</w:t>
            </w:r>
            <w:r>
              <w:rPr>
                <w:rFonts w:hint="eastAsia"/>
                <w:spacing w:val="0"/>
                <w:position w:val="0"/>
                <w:sz w:val="21"/>
                <w:szCs w:val="21"/>
                <w:lang w:val="en-US" w:eastAsia="zh-CN"/>
              </w:rPr>
              <w:t>重点工作</w:t>
            </w:r>
          </w:p>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1658"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（一）加大综合治理力度，减少多污染物排放</w:t>
            </w:r>
          </w:p>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1</w:t>
            </w:r>
            <w:r>
              <w:rPr>
                <w:rFonts w:hint="eastAsia"/>
                <w:spacing w:val="0"/>
                <w:position w:val="0"/>
                <w:sz w:val="21"/>
                <w:szCs w:val="21"/>
                <w:lang w:val="en-US" w:eastAsia="zh-CN"/>
              </w:rPr>
              <w:t>.</w:t>
            </w:r>
            <w:r>
              <w:rPr>
                <w:rFonts w:hint="default" w:ascii="Times New Roman" w:hAnsi="Times New Roman" w:eastAsia="宋体"/>
                <w:spacing w:val="0"/>
                <w:position w:val="0"/>
                <w:sz w:val="21"/>
                <w:szCs w:val="21"/>
                <w:lang w:val="en-US" w:eastAsia="zh-CN"/>
              </w:rPr>
              <w:t>加强工业企业大气污染综合治理</w:t>
            </w:r>
          </w:p>
        </w:tc>
        <w:tc>
          <w:tcPr>
            <w:tcW w:w="3112"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淘汰分散型工业燃煤锅炉。在化工、印染、造纸、制药等产业集聚区，通过集中建设热电联产机组或大型集中供热设施或实施清洁燃料替代工程，逐步淘汰分散燃煤锅炉。</w:t>
            </w:r>
          </w:p>
        </w:tc>
        <w:tc>
          <w:tcPr>
            <w:tcW w:w="2573"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ascii="Times New Roman" w:hAnsi="Times New Roman" w:eastAsia="宋体"/>
                <w:spacing w:val="0"/>
                <w:position w:val="0"/>
                <w:sz w:val="21"/>
                <w:szCs w:val="21"/>
              </w:rPr>
            </w:pPr>
            <w:r>
              <w:rPr>
                <w:rFonts w:hint="eastAsia"/>
                <w:spacing w:val="0"/>
                <w:position w:val="0"/>
              </w:rPr>
              <w:t>拟建项目处于连江可门绿色纺织产业园区内，</w:t>
            </w:r>
            <w:r>
              <w:rPr>
                <w:rFonts w:hint="eastAsia"/>
                <w:spacing w:val="0"/>
                <w:position w:val="0"/>
                <w:lang w:val="en-US" w:eastAsia="zh-CN"/>
              </w:rPr>
              <w:t>主要热源</w:t>
            </w:r>
            <w:r>
              <w:rPr>
                <w:rFonts w:hint="eastAsia"/>
                <w:spacing w:val="0"/>
                <w:position w:val="0"/>
              </w:rPr>
              <w:t>由申远公司</w:t>
            </w:r>
            <w:r>
              <w:rPr>
                <w:rFonts w:hint="eastAsia"/>
                <w:spacing w:val="0"/>
                <w:position w:val="0"/>
                <w:lang w:val="en-US" w:eastAsia="zh-CN"/>
              </w:rPr>
              <w:t>集中</w:t>
            </w:r>
            <w:r>
              <w:rPr>
                <w:rFonts w:hint="eastAsia"/>
                <w:spacing w:val="0"/>
                <w:position w:val="0"/>
              </w:rPr>
              <w:t>供应，项目厂区内不设其他供热锅炉。</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spacing w:val="0"/>
                <w:kern w:val="2"/>
                <w:position w:val="0"/>
                <w:sz w:val="21"/>
                <w:szCs w:val="21"/>
                <w:lang w:val="en-US" w:eastAsia="zh-CN" w:bidi="ar-SA"/>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5" w:type="dxa"/>
            <w:vMerge w:val="continue"/>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1658"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（三）加快企业技术改造，提高科技创新能力</w:t>
            </w:r>
          </w:p>
        </w:tc>
        <w:tc>
          <w:tcPr>
            <w:tcW w:w="3112"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重点行业全面推行清洁生产。经委、环保部门应按照各自职责积极推进钢铁、水泥、化工、石化、有色金属冶炼等大气污染物排放重点行业清洁生产，针对节能减排关键领域和薄弱环节，督促企业采用先进适用的技术、工艺和装备，实施清洁生产技术改造。</w:t>
            </w:r>
          </w:p>
        </w:tc>
        <w:tc>
          <w:tcPr>
            <w:tcW w:w="2573"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rPr>
            </w:pPr>
            <w:r>
              <w:rPr>
                <w:rFonts w:hint="eastAsia"/>
                <w:spacing w:val="0"/>
                <w:position w:val="0"/>
              </w:rPr>
              <w:t>拟建项目工艺、设备、资源等技术指标按清洁生产先进水平进行规划设计和建设，项目投产后，建设单位定期开展清洁生产审核，不断提高企业清洁生产水平。</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5" w:type="dxa"/>
            <w:vMerge w:val="continue"/>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1658" w:type="dxa"/>
            <w:vMerge w:val="restart"/>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eastAsia" w:ascii="Times New Roman" w:hAnsi="Times New Roman" w:eastAsia="宋体" w:cs="Times New Roman"/>
                <w:spacing w:val="0"/>
                <w:kern w:val="2"/>
                <w:position w:val="0"/>
                <w:sz w:val="21"/>
                <w:szCs w:val="21"/>
                <w:lang w:val="en-US" w:eastAsia="zh-CN" w:bidi="ar-SA"/>
              </w:rPr>
              <w:t>（五）</w:t>
            </w:r>
            <w:r>
              <w:rPr>
                <w:rFonts w:hint="default" w:ascii="Times New Roman" w:hAnsi="Times New Roman" w:eastAsia="宋体"/>
                <w:spacing w:val="0"/>
                <w:position w:val="0"/>
                <w:sz w:val="21"/>
                <w:szCs w:val="21"/>
                <w:lang w:val="en-US" w:eastAsia="zh-CN"/>
              </w:rPr>
              <w:t>严格节能环保准入，优化产业空间布局</w:t>
            </w:r>
          </w:p>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eastAsia" w:ascii="Times New Roman" w:hAnsi="Times New Roman" w:eastAsia="宋体" w:cs="Times New Roman"/>
                <w:spacing w:val="0"/>
                <w:kern w:val="2"/>
                <w:position w:val="0"/>
                <w:sz w:val="21"/>
                <w:szCs w:val="21"/>
                <w:lang w:val="en-US" w:eastAsia="zh-CN" w:bidi="ar-SA"/>
              </w:rPr>
              <w:t>2.强化节能环保指标约束。发改、经委、环保部门严格执行国家节能环保准入门槛。</w:t>
            </w:r>
          </w:p>
        </w:tc>
        <w:tc>
          <w:tcPr>
            <w:tcW w:w="3112"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严格实施污染物排放总量控制，根据国家统一部署，将二氧化硫、氮氧化物、烟粉尘和挥发性有机物排放符合总量控制要求作为建设项目环境影响评价审批的前置条件。</w:t>
            </w:r>
          </w:p>
        </w:tc>
        <w:tc>
          <w:tcPr>
            <w:tcW w:w="2573" w:type="dxa"/>
            <w:vMerge w:val="restart"/>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rPr>
            </w:pPr>
            <w:r>
              <w:rPr>
                <w:rFonts w:hint="eastAsia"/>
                <w:spacing w:val="0"/>
                <w:position w:val="0"/>
              </w:rPr>
              <w:t>拟建项目涉及挥发性有机污染物排放，挥发性有机物排放由福州市通过区域等量消减替代。拟建项目严格按环保部门核准总量进行污染排放。</w:t>
            </w:r>
          </w:p>
        </w:tc>
        <w:tc>
          <w:tcPr>
            <w:tcW w:w="724" w:type="dxa"/>
            <w:vMerge w:val="restart"/>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5"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spacing w:val="0"/>
                <w:position w:val="0"/>
              </w:rPr>
            </w:pPr>
          </w:p>
        </w:tc>
        <w:tc>
          <w:tcPr>
            <w:tcW w:w="1658"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spacing w:val="0"/>
                <w:position w:val="0"/>
              </w:rPr>
            </w:pPr>
          </w:p>
        </w:tc>
        <w:tc>
          <w:tcPr>
            <w:tcW w:w="3112"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全市新建排放二氧化硫、氮氧化物等大气污染物项目，实行污染物排放减量替代，各县（市）区建成区、大气污染源头敏感区、大气聚集敏感区新建项目实行区域内现役源2倍削减量替代，其他地区新建项目实行1.5倍削减量替代。</w:t>
            </w:r>
          </w:p>
        </w:tc>
        <w:tc>
          <w:tcPr>
            <w:tcW w:w="2573"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p>
        </w:tc>
        <w:tc>
          <w:tcPr>
            <w:tcW w:w="724"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5" w:type="dxa"/>
            <w:vMerge w:val="continue"/>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1658" w:type="dxa"/>
            <w:vMerge w:val="continue"/>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3112"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对未通过能评、环评审查的项目，有关部门不得审批、核准、备案，不得提供土地，不得批准开工建设，不得发放生产许可证、安全生产许可证、排污许可证</w:t>
            </w:r>
            <w:r>
              <w:rPr>
                <w:rFonts w:hint="eastAsia"/>
                <w:spacing w:val="0"/>
                <w:position w:val="0"/>
                <w:sz w:val="21"/>
                <w:szCs w:val="21"/>
                <w:lang w:val="en-US" w:eastAsia="zh-CN"/>
              </w:rPr>
              <w:t>；</w:t>
            </w:r>
            <w:r>
              <w:rPr>
                <w:rFonts w:hint="default" w:ascii="Times New Roman" w:hAnsi="Times New Roman" w:eastAsia="宋体"/>
                <w:spacing w:val="0"/>
                <w:position w:val="0"/>
                <w:sz w:val="21"/>
                <w:szCs w:val="21"/>
                <w:lang w:val="en-US" w:eastAsia="zh-CN"/>
              </w:rPr>
              <w:t>金融机构不得提供任何形式的新增授信支持</w:t>
            </w:r>
            <w:r>
              <w:rPr>
                <w:rFonts w:hint="eastAsia"/>
                <w:spacing w:val="0"/>
                <w:position w:val="0"/>
                <w:sz w:val="21"/>
                <w:szCs w:val="21"/>
                <w:lang w:val="en-US" w:eastAsia="zh-CN"/>
              </w:rPr>
              <w:t>；</w:t>
            </w:r>
            <w:r>
              <w:rPr>
                <w:rFonts w:hint="default" w:ascii="Times New Roman" w:hAnsi="Times New Roman" w:eastAsia="宋体"/>
                <w:spacing w:val="0"/>
                <w:position w:val="0"/>
                <w:sz w:val="21"/>
                <w:szCs w:val="21"/>
                <w:lang w:val="en-US" w:eastAsia="zh-CN"/>
              </w:rPr>
              <w:t>有关单位不得供电、供水。</w:t>
            </w:r>
          </w:p>
        </w:tc>
        <w:tc>
          <w:tcPr>
            <w:tcW w:w="2573"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rPr>
            </w:pPr>
            <w:r>
              <w:rPr>
                <w:rFonts w:hint="eastAsia"/>
                <w:spacing w:val="0"/>
                <w:position w:val="0"/>
              </w:rPr>
              <w:t>拟建项目目前场地为空地，未开工建设，按相关要求进行环境影响评价。</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spacing w:val="0"/>
                <w:position w:val="0"/>
                <w:sz w:val="21"/>
                <w:szCs w:val="21"/>
                <w:lang w:val="en-US" w:eastAsia="zh-CN"/>
              </w:rPr>
            </w:pPr>
            <w:r>
              <w:rPr>
                <w:rFonts w:hint="eastAsia"/>
                <w:spacing w:val="0"/>
                <w:position w:val="0"/>
                <w:sz w:val="21"/>
                <w:szCs w:val="21"/>
                <w:lang w:val="en-US" w:eastAsia="zh-CN"/>
              </w:rPr>
              <w:t>符合</w:t>
            </w:r>
          </w:p>
        </w:tc>
      </w:tr>
    </w:tbl>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综上所述，拟建项目符合《福州市大气污染防治行动计划实施细则的通知》的相关要求。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3.7.2.2与《福州市水污染防治行动计划工作方案的通知》符合性分析</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根据2015年12月31日福州市人民政府印发的《福州市水污染防治行动计划工作方案的通知》（榕政综〔2015〕390号）中的相关内容，针对本项目进行符合性分析，分析如下表3.7-5所示。</w:t>
      </w:r>
    </w:p>
    <w:p>
      <w:pPr>
        <w:adjustRightInd w:val="0"/>
        <w:snapToGrid w:val="0"/>
        <w:spacing w:line="360" w:lineRule="auto"/>
        <w:ind w:firstLine="480" w:firstLineChars="200"/>
        <w:rPr>
          <w:rFonts w:hint="eastAsia"/>
          <w:spacing w:val="0"/>
          <w:position w:val="0"/>
          <w:sz w:val="24"/>
          <w:szCs w:val="24"/>
          <w:lang w:val="en-US" w:eastAsia="zh-CN"/>
        </w:rPr>
      </w:pPr>
    </w:p>
    <w:p>
      <w:pPr>
        <w:adjustRightInd w:val="0"/>
        <w:snapToGrid w:val="0"/>
        <w:spacing w:line="360" w:lineRule="auto"/>
        <w:ind w:firstLine="480" w:firstLineChars="200"/>
        <w:rPr>
          <w:rFonts w:hint="eastAsia"/>
          <w:spacing w:val="0"/>
          <w:position w:val="0"/>
          <w:sz w:val="24"/>
          <w:szCs w:val="24"/>
          <w:lang w:val="en-US" w:eastAsia="zh-CN"/>
        </w:rPr>
      </w:pPr>
    </w:p>
    <w:p>
      <w:pPr>
        <w:adjustRightInd w:val="0"/>
        <w:snapToGrid w:val="0"/>
        <w:spacing w:line="360" w:lineRule="auto"/>
        <w:ind w:firstLine="480" w:firstLineChars="200"/>
        <w:rPr>
          <w:rFonts w:hint="eastAsia"/>
          <w:spacing w:val="0"/>
          <w:position w:val="0"/>
          <w:sz w:val="24"/>
          <w:szCs w:val="24"/>
          <w:lang w:val="en-US" w:eastAsia="zh-CN"/>
        </w:rPr>
      </w:pPr>
    </w:p>
    <w:p>
      <w:pPr>
        <w:adjustRightInd w:val="0"/>
        <w:snapToGrid w:val="0"/>
        <w:spacing w:line="360" w:lineRule="auto"/>
        <w:ind w:firstLine="480" w:firstLineChars="200"/>
        <w:rPr>
          <w:rFonts w:hint="default"/>
          <w:spacing w:val="0"/>
          <w:position w:val="0"/>
          <w:sz w:val="24"/>
          <w:szCs w:val="24"/>
          <w:lang w:val="en-US" w:eastAsia="zh-CN"/>
        </w:rPr>
      </w:pPr>
    </w:p>
    <w:p>
      <w:pPr>
        <w:adjustRightInd w:val="0"/>
        <w:snapToGrid w:val="0"/>
        <w:spacing w:line="360" w:lineRule="auto"/>
        <w:jc w:val="center"/>
        <w:rPr>
          <w:rFonts w:hint="eastAsia"/>
          <w:b/>
          <w:bCs/>
          <w:spacing w:val="0"/>
          <w:position w:val="0"/>
          <w:sz w:val="24"/>
          <w:szCs w:val="24"/>
          <w:lang w:val="en-US" w:eastAsia="zh-CN"/>
        </w:rPr>
      </w:pPr>
      <w:r>
        <w:rPr>
          <w:rFonts w:hint="eastAsia"/>
          <w:b/>
          <w:bCs/>
          <w:spacing w:val="0"/>
          <w:position w:val="0"/>
          <w:sz w:val="24"/>
          <w:szCs w:val="24"/>
          <w:lang w:val="en-US" w:eastAsia="zh-CN"/>
        </w:rPr>
        <w:t>表3.7-5与《福州市水污染防治行动计划工作方案的通知》（摘录）符合性分析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6"/>
        <w:gridCol w:w="1347"/>
        <w:gridCol w:w="4198"/>
        <w:gridCol w:w="1910"/>
        <w:gridCol w:w="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808" w:type="dxa"/>
            <w:gridSpan w:val="2"/>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章节</w:t>
            </w:r>
          </w:p>
        </w:tc>
        <w:tc>
          <w:tcPr>
            <w:tcW w:w="411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相关内容</w:t>
            </w:r>
          </w:p>
        </w:tc>
        <w:tc>
          <w:tcPr>
            <w:tcW w:w="1873"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本项目情况</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7" w:type="dxa"/>
            <w:vMerge w:val="restart"/>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三、主要任务</w:t>
            </w:r>
          </w:p>
        </w:tc>
        <w:tc>
          <w:tcPr>
            <w:tcW w:w="1321" w:type="dxa"/>
            <w:vMerge w:val="restart"/>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（一）全面控制污染物排放</w:t>
            </w:r>
          </w:p>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1</w:t>
            </w:r>
            <w:r>
              <w:rPr>
                <w:rFonts w:hint="eastAsia"/>
                <w:spacing w:val="0"/>
                <w:position w:val="0"/>
                <w:sz w:val="21"/>
                <w:szCs w:val="21"/>
                <w:lang w:val="en-US" w:eastAsia="zh-CN"/>
              </w:rPr>
              <w:t>.</w:t>
            </w:r>
            <w:r>
              <w:rPr>
                <w:rFonts w:hint="default" w:ascii="Times New Roman" w:hAnsi="Times New Roman" w:eastAsia="宋体"/>
                <w:spacing w:val="0"/>
                <w:position w:val="0"/>
                <w:sz w:val="21"/>
                <w:szCs w:val="21"/>
                <w:lang w:val="en-US" w:eastAsia="zh-CN"/>
              </w:rPr>
              <w:t>狠抓工业污染防治</w:t>
            </w:r>
          </w:p>
        </w:tc>
        <w:tc>
          <w:tcPr>
            <w:tcW w:w="411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专项整治十大重点行业。编制重点行业专项整治方案；推进造纸、建陶、氮肥、有色金属、印染、钢铁、农副食品加工、原料药制造、农药、电镀等重点行业专项治理。新建、改建、扩建十大重点行业建设项目的，实行主要污染物排放等量或减量置换。</w:t>
            </w:r>
          </w:p>
        </w:tc>
        <w:tc>
          <w:tcPr>
            <w:tcW w:w="1873" w:type="dxa"/>
            <w:vMerge w:val="restart"/>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拟建项目高浓度废水排入园区高浓污水处理装置集中处理、集中排放；低浓度废水排入园区低浓污水处理装置集中处理处理后返回各企业回用</w:t>
            </w:r>
            <w:r>
              <w:rPr>
                <w:rFonts w:hint="eastAsia"/>
                <w:spacing w:val="0"/>
                <w:position w:val="0"/>
                <w:sz w:val="21"/>
                <w:szCs w:val="21"/>
                <w:lang w:eastAsia="zh-CN"/>
              </w:rPr>
              <w:t>，</w:t>
            </w:r>
            <w:r>
              <w:rPr>
                <w:rFonts w:hint="eastAsia" w:ascii="Times New Roman" w:hAnsi="Times New Roman" w:eastAsia="宋体"/>
                <w:spacing w:val="0"/>
                <w:position w:val="0"/>
                <w:sz w:val="21"/>
                <w:szCs w:val="21"/>
              </w:rPr>
              <w:t>高、低浓度排放口均设置在线监测设施</w:t>
            </w:r>
            <w:r>
              <w:rPr>
                <w:rFonts w:hint="eastAsia"/>
                <w:spacing w:val="0"/>
                <w:position w:val="0"/>
                <w:sz w:val="21"/>
                <w:szCs w:val="21"/>
                <w:lang w:eastAsia="zh-CN"/>
              </w:rPr>
              <w:t>，</w:t>
            </w:r>
            <w:r>
              <w:rPr>
                <w:rFonts w:hint="eastAsia" w:ascii="Times New Roman" w:hAnsi="Times New Roman" w:eastAsia="宋体"/>
                <w:spacing w:val="0"/>
                <w:position w:val="0"/>
                <w:sz w:val="21"/>
                <w:szCs w:val="21"/>
              </w:rPr>
              <w:t>主要污染物排放由区域总量调配，拟建项目根据总量控制要求进行排污。</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spacing w:val="0"/>
                <w:kern w:val="2"/>
                <w:position w:val="0"/>
                <w:sz w:val="21"/>
                <w:szCs w:val="21"/>
                <w:lang w:val="en-US" w:eastAsia="zh-CN" w:bidi="ar-SA"/>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7" w:type="dxa"/>
            <w:vMerge w:val="continue"/>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1321" w:type="dxa"/>
            <w:vMerge w:val="continue"/>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411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eastAsia"/>
                <w:spacing w:val="0"/>
                <w:position w:val="0"/>
              </w:rPr>
              <w:t>集中治理工业集聚区水污染。推进电镀、印染行业集控区水污染集中治理，新建企业必须全部进入相应行业的集控区，实施“以大带小”、“以新带老”，坚持涉重污染物排放量“等量置换”或“减量置换”原则，实行主要污染物排放零增长；加强集控区环境监管，区内所有企业必须全面实现废水分流分治、深度处理。含重金属废水必须进行预处理，做到车间或车间处理设施出口达标排放，所有集控区应同步建成污水集中处理设施并安装自动在线监控装置，否则一律不准生产。</w:t>
            </w:r>
          </w:p>
        </w:tc>
        <w:tc>
          <w:tcPr>
            <w:tcW w:w="1873"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rPr>
            </w:pP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 w:hRule="atLeast"/>
        </w:trPr>
        <w:tc>
          <w:tcPr>
            <w:tcW w:w="487" w:type="dxa"/>
            <w:vMerge w:val="continue"/>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p>
        </w:tc>
        <w:tc>
          <w:tcPr>
            <w:tcW w:w="1321"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（二）推动经济结构转型升级</w:t>
            </w:r>
          </w:p>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eastAsia"/>
                <w:spacing w:val="0"/>
                <w:position w:val="0"/>
                <w:sz w:val="21"/>
                <w:szCs w:val="21"/>
                <w:lang w:val="en-US" w:eastAsia="zh-CN"/>
              </w:rPr>
              <w:t>1.</w:t>
            </w:r>
            <w:r>
              <w:rPr>
                <w:rFonts w:hint="default" w:ascii="Times New Roman" w:hAnsi="Times New Roman" w:eastAsia="宋体"/>
                <w:spacing w:val="0"/>
                <w:position w:val="0"/>
                <w:sz w:val="21"/>
                <w:szCs w:val="21"/>
                <w:lang w:val="en-US" w:eastAsia="zh-CN"/>
              </w:rPr>
              <w:t>调整产业结构</w:t>
            </w:r>
          </w:p>
        </w:tc>
        <w:tc>
          <w:tcPr>
            <w:tcW w:w="411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eastAsia"/>
                <w:spacing w:val="0"/>
                <w:position w:val="0"/>
              </w:rPr>
              <w:t>严格环境准入。根据流域水质目标和主体功能区规划生态红线要求，实施差别化环境准入政策。禁止在闽江马尾罗星塔以上流域范围新、扩建制革项目，严控新（扩）建植物制浆、印染、合成革及人造革、电镀项目。建立水资源、水环境承载能力监测评价体系，实行承载能力监测预警，水质不能稳定达标的区域，禁止建设新增相应不达标污染物指标排放量的工业项目，已超过承载能力的地区要实施水污染物削减方案，加快调整发展规划和产业结构。</w:t>
            </w:r>
          </w:p>
        </w:tc>
        <w:tc>
          <w:tcPr>
            <w:tcW w:w="1873"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rPr>
            </w:pPr>
            <w:r>
              <w:rPr>
                <w:rFonts w:hint="eastAsia"/>
                <w:spacing w:val="0"/>
                <w:position w:val="0"/>
              </w:rPr>
              <w:t>根据产业园规划环评文本的水环境调查结果，地表水环境水质达标，项目废水根据总量要求控制排放，对水环境影响较小。</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7" w:hRule="atLeast"/>
        </w:trPr>
        <w:tc>
          <w:tcPr>
            <w:tcW w:w="487"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spacing w:val="0"/>
                <w:position w:val="0"/>
              </w:rPr>
            </w:pPr>
          </w:p>
        </w:tc>
        <w:tc>
          <w:tcPr>
            <w:tcW w:w="1321"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（二）推动经济结构转型升级</w:t>
            </w:r>
          </w:p>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spacing w:val="0"/>
                <w:position w:val="0"/>
              </w:rPr>
            </w:pPr>
            <w:r>
              <w:rPr>
                <w:rFonts w:hint="eastAsia"/>
                <w:spacing w:val="0"/>
                <w:position w:val="0"/>
              </w:rPr>
              <w:t>3</w:t>
            </w:r>
            <w:r>
              <w:rPr>
                <w:rFonts w:hint="eastAsia"/>
                <w:spacing w:val="0"/>
                <w:position w:val="0"/>
                <w:lang w:val="en-US" w:eastAsia="zh-CN"/>
              </w:rPr>
              <w:t>.</w:t>
            </w:r>
            <w:r>
              <w:rPr>
                <w:rFonts w:hint="eastAsia"/>
                <w:spacing w:val="0"/>
                <w:position w:val="0"/>
              </w:rPr>
              <w:t>推进循环发展</w:t>
            </w:r>
          </w:p>
        </w:tc>
        <w:tc>
          <w:tcPr>
            <w:tcW w:w="411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加强工业水循环利用。鼓励钢铁、纺织印染、造纸、石油石化、化工等高耗水企业废水深度处理回用。</w:t>
            </w:r>
          </w:p>
        </w:tc>
        <w:tc>
          <w:tcPr>
            <w:tcW w:w="1873"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eastAsia"/>
                <w:spacing w:val="0"/>
                <w:position w:val="0"/>
                <w:sz w:val="21"/>
                <w:szCs w:val="21"/>
                <w:lang w:val="en-US" w:eastAsia="zh-CN"/>
              </w:rPr>
              <w:t>拟建项目水重复利用率69.99%，中水回用率达45%，满足《印染行业规范条件》（2017年版）中工业用水重复利用率40%的要求及规划环评中中水回用率45%的要求。</w:t>
            </w:r>
          </w:p>
        </w:tc>
        <w:tc>
          <w:tcPr>
            <w:tcW w:w="724"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spacing w:val="0"/>
                <w:position w:val="0"/>
                <w:sz w:val="21"/>
                <w:szCs w:val="21"/>
                <w:lang w:val="en-US" w:eastAsia="zh-CN"/>
              </w:rPr>
            </w:pPr>
            <w:r>
              <w:rPr>
                <w:rFonts w:hint="eastAsia"/>
                <w:spacing w:val="0"/>
                <w:position w:val="0"/>
                <w:sz w:val="21"/>
                <w:szCs w:val="21"/>
                <w:lang w:val="en-US" w:eastAsia="zh-CN"/>
              </w:rPr>
              <w:t>符合</w:t>
            </w:r>
          </w:p>
        </w:tc>
      </w:tr>
    </w:tbl>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综上所述，拟建项目符合《福州市水污染防治行动计划工作方案的通知》的相关要求。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3.7.2.3与《福州市土壤污染防治行动计划实施方案的通知》符合性分析</w:t>
      </w:r>
    </w:p>
    <w:p>
      <w:pPr>
        <w:adjustRightInd w:val="0"/>
        <w:snapToGrid w:val="0"/>
        <w:spacing w:line="360" w:lineRule="auto"/>
        <w:ind w:firstLine="480" w:firstLineChars="200"/>
        <w:jc w:val="both"/>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根据2017年2月4日福州市人民政府印发的《福州市土壤污染防治行动计划实施方案的通知》（榕政综〔2017〕36号）中的相关内容。针对本项目进行符合性分析，分析如下表3.7-6所示。</w:t>
      </w:r>
    </w:p>
    <w:p>
      <w:pPr>
        <w:adjustRightInd w:val="0"/>
        <w:snapToGrid w:val="0"/>
        <w:spacing w:line="360" w:lineRule="auto"/>
        <w:jc w:val="center"/>
        <w:rPr>
          <w:rFonts w:hint="eastAsia"/>
          <w:b w:val="0"/>
          <w:bCs w:val="0"/>
          <w:spacing w:val="0"/>
          <w:positio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spacing w:val="0"/>
          <w:position w:val="0"/>
          <w:sz w:val="24"/>
          <w:szCs w:val="24"/>
          <w:lang w:val="en-US" w:eastAsia="zh-CN"/>
        </w:rPr>
      </w:pPr>
      <w:r>
        <w:rPr>
          <w:rFonts w:hint="eastAsia"/>
          <w:b/>
          <w:bCs/>
          <w:spacing w:val="0"/>
          <w:position w:val="0"/>
          <w:sz w:val="24"/>
          <w:szCs w:val="24"/>
          <w:lang w:val="en-US" w:eastAsia="zh-CN"/>
        </w:rPr>
        <w:t>表3.7-6与《福州市土壤污染防治行动计划实施方案的通知》（摘录）符合性分析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7"/>
        <w:gridCol w:w="778"/>
        <w:gridCol w:w="4428"/>
        <w:gridCol w:w="2248"/>
        <w:gridCol w:w="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275" w:type="dxa"/>
            <w:gridSpan w:val="2"/>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章节</w:t>
            </w:r>
          </w:p>
        </w:tc>
        <w:tc>
          <w:tcPr>
            <w:tcW w:w="442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相关内容</w:t>
            </w:r>
          </w:p>
        </w:tc>
        <w:tc>
          <w:tcPr>
            <w:tcW w:w="224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本项目情况</w:t>
            </w:r>
          </w:p>
        </w:tc>
        <w:tc>
          <w:tcPr>
            <w:tcW w:w="73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97"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rPr>
            </w:pPr>
            <w:r>
              <w:rPr>
                <w:rFonts w:hint="eastAsia"/>
                <w:spacing w:val="0"/>
                <w:position w:val="0"/>
              </w:rPr>
              <w:t>二、加强农用地保护与安全利用</w:t>
            </w:r>
          </w:p>
        </w:tc>
        <w:tc>
          <w:tcPr>
            <w:tcW w:w="778"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rPr>
            </w:pPr>
            <w:r>
              <w:rPr>
                <w:rFonts w:hint="eastAsia"/>
                <w:spacing w:val="0"/>
                <w:position w:val="0"/>
              </w:rPr>
              <w:t>2.优先保护质量较好的农用地</w:t>
            </w:r>
          </w:p>
        </w:tc>
        <w:tc>
          <w:tcPr>
            <w:tcW w:w="442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sz w:val="21"/>
                <w:szCs w:val="21"/>
                <w:lang w:val="en-US" w:eastAsia="zh-CN"/>
              </w:rPr>
            </w:pPr>
            <w:r>
              <w:rPr>
                <w:rFonts w:hint="default" w:ascii="Times New Roman" w:hAnsi="Times New Roman" w:eastAsia="宋体"/>
                <w:spacing w:val="0"/>
                <w:position w:val="0"/>
                <w:sz w:val="21"/>
                <w:szCs w:val="21"/>
                <w:lang w:val="en-US" w:eastAsia="zh-CN"/>
              </w:rPr>
              <w:t>实施严格保护，各县（市）区要将符合条件的优先保护类耕地划为永久基本农田，实行严格保护，确保其面积不减少、土壤环境质量不下降</w:t>
            </w:r>
            <w:r>
              <w:rPr>
                <w:rFonts w:hint="eastAsia"/>
                <w:spacing w:val="0"/>
                <w:position w:val="0"/>
                <w:sz w:val="21"/>
                <w:szCs w:val="21"/>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eastAsia"/>
                <w:spacing w:val="0"/>
                <w:position w:val="0"/>
                <w:sz w:val="21"/>
                <w:szCs w:val="21"/>
                <w:lang w:val="en-US" w:eastAsia="zh-CN"/>
              </w:rPr>
              <w:t>禁止在优先保护类耕地和园地集中区域新建金属冶炼、石油加工、化工、焦化、电镀、制革等行业企业，现有相关行业企业要采取新技术、新工艺，实施提标升级改造</w:t>
            </w:r>
          </w:p>
        </w:tc>
        <w:tc>
          <w:tcPr>
            <w:tcW w:w="224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sz w:val="21"/>
                <w:szCs w:val="21"/>
                <w:lang w:val="en-US" w:eastAsia="zh-CN"/>
              </w:rPr>
            </w:pPr>
            <w:r>
              <w:rPr>
                <w:rFonts w:hint="eastAsia"/>
                <w:spacing w:val="0"/>
                <w:position w:val="0"/>
                <w:sz w:val="21"/>
                <w:szCs w:val="21"/>
                <w:lang w:val="en-US" w:eastAsia="zh-CN"/>
              </w:rPr>
              <w:t>拟建项目处于连江可门绿色纺织产业园区内，评价范围不涉及耕地和园地集中区域。</w:t>
            </w:r>
          </w:p>
        </w:tc>
        <w:tc>
          <w:tcPr>
            <w:tcW w:w="73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97"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eastAsia"/>
                <w:spacing w:val="0"/>
                <w:position w:val="0"/>
              </w:rPr>
              <w:t>四、强化未污染土壤保护</w:t>
            </w:r>
          </w:p>
        </w:tc>
        <w:tc>
          <w:tcPr>
            <w:tcW w:w="778"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eastAsia"/>
                <w:spacing w:val="0"/>
                <w:position w:val="0"/>
              </w:rPr>
              <w:t>1.加强空间布局管控</w:t>
            </w:r>
          </w:p>
        </w:tc>
        <w:tc>
          <w:tcPr>
            <w:tcW w:w="442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严守生态保护红线，在红线管控区域实施最严格的土地用途管制和产业退出机制。产业园区和重点行业企业布局应严格遵循主体功能区规划和生态保护红线，实施规划环评与建设项目环评联动机制，充分考虑土壤环境等资源环境承载能力，科学论证产业园区功能定位和空间布局，建立产业园区重点行业环境准入清单，加强重点项目布局论证。</w:t>
            </w:r>
          </w:p>
        </w:tc>
        <w:tc>
          <w:tcPr>
            <w:tcW w:w="224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ascii="Times New Roman" w:hAnsi="Times New Roman" w:eastAsia="宋体"/>
                <w:spacing w:val="0"/>
                <w:position w:val="0"/>
                <w:sz w:val="21"/>
                <w:szCs w:val="21"/>
              </w:rPr>
            </w:pPr>
            <w:r>
              <w:rPr>
                <w:rFonts w:hint="eastAsia"/>
                <w:spacing w:val="0"/>
                <w:position w:val="0"/>
                <w:sz w:val="21"/>
                <w:szCs w:val="21"/>
                <w:lang w:val="en-US" w:eastAsia="zh-CN"/>
              </w:rPr>
              <w:t>拟</w:t>
            </w:r>
            <w:r>
              <w:rPr>
                <w:rFonts w:hint="eastAsia" w:ascii="Times New Roman" w:hAnsi="Times New Roman" w:eastAsia="宋体"/>
                <w:spacing w:val="0"/>
                <w:position w:val="0"/>
                <w:sz w:val="21"/>
                <w:szCs w:val="21"/>
              </w:rPr>
              <w:t>建项目处于连江可门绿色纺织产业园区内，</w:t>
            </w:r>
            <w:r>
              <w:rPr>
                <w:rFonts w:hint="eastAsia"/>
                <w:spacing w:val="0"/>
                <w:position w:val="0"/>
                <w:sz w:val="21"/>
                <w:szCs w:val="21"/>
                <w:lang w:val="en-US" w:eastAsia="zh-CN"/>
              </w:rPr>
              <w:t>不涉及生态保护红线，</w:t>
            </w:r>
            <w:r>
              <w:rPr>
                <w:rFonts w:hint="eastAsia" w:ascii="Times New Roman" w:hAnsi="Times New Roman" w:eastAsia="宋体"/>
                <w:spacing w:val="0"/>
                <w:position w:val="0"/>
                <w:sz w:val="21"/>
                <w:szCs w:val="21"/>
              </w:rPr>
              <w:t>拟设环境防护距离内无居民区、学校、医疗和养老机构等敏感点。</w:t>
            </w:r>
          </w:p>
        </w:tc>
        <w:tc>
          <w:tcPr>
            <w:tcW w:w="73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spacing w:val="0"/>
                <w:kern w:val="2"/>
                <w:position w:val="0"/>
                <w:sz w:val="21"/>
                <w:szCs w:val="21"/>
                <w:lang w:val="en-US" w:eastAsia="zh-CN" w:bidi="ar-SA"/>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97"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十、落实目标考核</w:t>
            </w:r>
          </w:p>
        </w:tc>
        <w:tc>
          <w:tcPr>
            <w:tcW w:w="778"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3.落实企业责任</w:t>
            </w:r>
          </w:p>
        </w:tc>
        <w:tc>
          <w:tcPr>
            <w:tcW w:w="442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企业是履行土壤污染防治的主体，可能造成土壤污染的企业要将土壤污染防治纳入企业环境风险评估，加强环境安全隐患排查和风险防控，按规定编制和报备突发环境事件应急预案，定期开展环境应急演练。企业和单位因生产、经营活动或突发环境事件导致土壤污染的，应承担相应的法律责任和经济责任。企业环境违法行为将纳入社会信用体系。</w:t>
            </w:r>
          </w:p>
        </w:tc>
        <w:tc>
          <w:tcPr>
            <w:tcW w:w="224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rPr>
            </w:pPr>
            <w:r>
              <w:rPr>
                <w:rFonts w:hint="eastAsia"/>
                <w:spacing w:val="0"/>
                <w:position w:val="0"/>
              </w:rPr>
              <w:t>拟建项目工艺、设备、资源等技术指标按清洁生产先进水平进行规划设计和建设，项目投产后，土壤污染防治工作纳入本项目竣工环境保护验收内容和日常土壤自行检测计划中。</w:t>
            </w:r>
          </w:p>
        </w:tc>
        <w:tc>
          <w:tcPr>
            <w:tcW w:w="73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bl>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综上所述，拟建项目符合《福州市土壤污染防治行动计划实施方案的通知》的相关要求。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3.7.2.4与《福建省打赢蓝天保卫战三年行动计划实施方案》符合性分析</w:t>
      </w:r>
    </w:p>
    <w:p>
      <w:pPr>
        <w:adjustRightInd w:val="0"/>
        <w:snapToGrid w:val="0"/>
        <w:spacing w:line="360" w:lineRule="auto"/>
        <w:ind w:firstLine="480" w:firstLineChars="200"/>
        <w:jc w:val="both"/>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根据2018年11月6日福建省人民政府公开发布的《福建省打赢蓝天保卫战三年行动计划实施方案》（闽政〔2018〕25号）中的相关内容。针对本项目进行符合性分析，分析如表3.7-7所示。</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spacing w:val="0"/>
          <w:position w:val="0"/>
          <w:sz w:val="24"/>
          <w:szCs w:val="24"/>
          <w:lang w:val="en-US" w:eastAsia="zh-CN"/>
        </w:rPr>
      </w:pPr>
      <w:r>
        <w:rPr>
          <w:rFonts w:hint="eastAsia"/>
          <w:b/>
          <w:bCs/>
          <w:spacing w:val="0"/>
          <w:position w:val="0"/>
          <w:sz w:val="24"/>
          <w:szCs w:val="24"/>
          <w:lang w:val="en-US" w:eastAsia="zh-CN"/>
        </w:rPr>
        <w:t>表3.7-7与《福建省打赢蓝天保卫战三年行动计划实施方案》（摘录）符合性分析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0"/>
        <w:gridCol w:w="1075"/>
        <w:gridCol w:w="3527"/>
        <w:gridCol w:w="2248"/>
        <w:gridCol w:w="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175" w:type="dxa"/>
            <w:gridSpan w:val="2"/>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章节</w:t>
            </w:r>
          </w:p>
        </w:tc>
        <w:tc>
          <w:tcPr>
            <w:tcW w:w="352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b/>
                <w:bCs/>
                <w:spacing w:val="0"/>
                <w:position w:val="0"/>
                <w:sz w:val="21"/>
                <w:szCs w:val="21"/>
                <w:lang w:val="en-US" w:eastAsia="zh-CN"/>
              </w:rPr>
            </w:pPr>
            <w:r>
              <w:rPr>
                <w:rFonts w:hint="eastAsia"/>
                <w:b/>
                <w:bCs/>
                <w:spacing w:val="0"/>
                <w:position w:val="0"/>
                <w:sz w:val="21"/>
                <w:szCs w:val="21"/>
                <w:lang w:val="en-US" w:eastAsia="zh-CN"/>
              </w:rPr>
              <w:t>相关内容</w:t>
            </w:r>
          </w:p>
        </w:tc>
        <w:tc>
          <w:tcPr>
            <w:tcW w:w="224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本项目情况</w:t>
            </w:r>
          </w:p>
        </w:tc>
        <w:tc>
          <w:tcPr>
            <w:tcW w:w="739"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00"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rPr>
            </w:pPr>
            <w:r>
              <w:rPr>
                <w:rFonts w:hint="eastAsia"/>
                <w:spacing w:val="0"/>
                <w:position w:val="0"/>
              </w:rPr>
              <w:t>二、调整优化产业结构，推进产业绿色发展</w:t>
            </w:r>
          </w:p>
        </w:tc>
        <w:tc>
          <w:tcPr>
            <w:tcW w:w="1075"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rPr>
            </w:pPr>
            <w:r>
              <w:rPr>
                <w:rFonts w:hint="eastAsia"/>
                <w:spacing w:val="0"/>
                <w:position w:val="0"/>
                <w:lang w:eastAsia="zh-CN"/>
              </w:rPr>
              <w:t>（</w:t>
            </w:r>
            <w:r>
              <w:rPr>
                <w:rFonts w:hint="eastAsia"/>
                <w:spacing w:val="0"/>
                <w:position w:val="0"/>
                <w:lang w:val="en-US" w:eastAsia="zh-CN"/>
              </w:rPr>
              <w:t>三</w:t>
            </w:r>
            <w:r>
              <w:rPr>
                <w:rFonts w:hint="eastAsia"/>
                <w:spacing w:val="0"/>
                <w:position w:val="0"/>
                <w:lang w:eastAsia="zh-CN"/>
              </w:rPr>
              <w:t>）</w:t>
            </w:r>
            <w:r>
              <w:rPr>
                <w:rFonts w:hint="eastAsia"/>
                <w:spacing w:val="0"/>
                <w:position w:val="0"/>
              </w:rPr>
              <w:t>优化产业布局</w:t>
            </w:r>
          </w:p>
        </w:tc>
        <w:tc>
          <w:tcPr>
            <w:tcW w:w="352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积极推行区域、规划环境影响评价，新、改、扩建钢铁、石化、化工、焦化、建材、有色等项目的环境影响评价，应满足区域、规划环评要求。</w:t>
            </w:r>
          </w:p>
        </w:tc>
        <w:tc>
          <w:tcPr>
            <w:tcW w:w="2248"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sz w:val="21"/>
                <w:szCs w:val="21"/>
                <w:lang w:val="en-US" w:eastAsia="zh-CN"/>
              </w:rPr>
            </w:pPr>
            <w:r>
              <w:rPr>
                <w:rFonts w:hint="eastAsia"/>
                <w:spacing w:val="0"/>
                <w:position w:val="0"/>
                <w:sz w:val="21"/>
                <w:szCs w:val="21"/>
                <w:lang w:val="en-US" w:eastAsia="zh-CN"/>
              </w:rPr>
              <w:t>拟建项目处于连江可门绿色纺织产业园区内，园区已开展规划环评，项目满足规划环评要求。</w:t>
            </w:r>
          </w:p>
        </w:tc>
        <w:tc>
          <w:tcPr>
            <w:tcW w:w="739"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00"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三、加快调整能源结构，构建清洁高效能源体系</w:t>
            </w:r>
          </w:p>
        </w:tc>
        <w:tc>
          <w:tcPr>
            <w:tcW w:w="1075"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（十）推进电能替代</w:t>
            </w:r>
          </w:p>
        </w:tc>
        <w:tc>
          <w:tcPr>
            <w:tcW w:w="352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以交通、工业、农业、建筑、餐饮、旅游等领域为重点，加快推进电能替代工作。</w:t>
            </w:r>
          </w:p>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eastAsia"/>
                <w:spacing w:val="0"/>
                <w:position w:val="0"/>
                <w:sz w:val="21"/>
                <w:szCs w:val="21"/>
                <w:lang w:val="en-US" w:eastAsia="zh-CN"/>
              </w:rPr>
              <w:t>除工艺需求外，淘汰分散型工业燃煤燃油炉窑</w:t>
            </w:r>
          </w:p>
        </w:tc>
        <w:tc>
          <w:tcPr>
            <w:tcW w:w="2248" w:type="dxa"/>
            <w:vMerge w:val="restart"/>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拟建项目处于连江可门绿色纺织产业园区内，所需蒸汽由申远公司供应，项目厂区内不新供热锅炉。</w:t>
            </w:r>
          </w:p>
        </w:tc>
        <w:tc>
          <w:tcPr>
            <w:tcW w:w="739"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spacing w:val="0"/>
                <w:kern w:val="2"/>
                <w:position w:val="0"/>
                <w:sz w:val="21"/>
                <w:szCs w:val="21"/>
                <w:lang w:val="en-US" w:eastAsia="zh-CN" w:bidi="ar-SA"/>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00"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六、实施重大专项行动，大幅降低污染排放</w:t>
            </w:r>
          </w:p>
        </w:tc>
        <w:tc>
          <w:tcPr>
            <w:tcW w:w="1075" w:type="dxa"/>
            <w:noWrap w:val="0"/>
            <w:vAlign w:val="center"/>
          </w:tcPr>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（二十五）开展工业炉窑治理专项行动</w:t>
            </w:r>
          </w:p>
        </w:tc>
        <w:tc>
          <w:tcPr>
            <w:tcW w:w="3527"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default" w:ascii="Times New Roman" w:hAnsi="Times New Roman" w:eastAsia="宋体"/>
                <w:spacing w:val="0"/>
                <w:position w:val="0"/>
                <w:sz w:val="21"/>
                <w:szCs w:val="21"/>
                <w:lang w:val="en-US" w:eastAsia="zh-CN"/>
              </w:rPr>
            </w:pPr>
            <w:r>
              <w:rPr>
                <w:rFonts w:hint="default" w:ascii="Times New Roman" w:hAnsi="Times New Roman" w:eastAsia="宋体"/>
                <w:spacing w:val="0"/>
                <w:position w:val="0"/>
                <w:sz w:val="21"/>
                <w:szCs w:val="21"/>
                <w:lang w:val="en-US" w:eastAsia="zh-CN"/>
              </w:rPr>
              <w:t>鼓励工业炉窑使用电、天然气等清洁能源或由周边热电厂供热。基本淘汰热电联产供热管网覆盖范围内的燃煤加热、烘干炉（窑）。</w:t>
            </w:r>
          </w:p>
        </w:tc>
        <w:tc>
          <w:tcPr>
            <w:tcW w:w="2248" w:type="dxa"/>
            <w:vMerge w:val="continue"/>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auto"/>
              <w:rPr>
                <w:rFonts w:hint="eastAsia"/>
                <w:spacing w:val="0"/>
                <w:position w:val="0"/>
              </w:rPr>
            </w:pPr>
          </w:p>
        </w:tc>
        <w:tc>
          <w:tcPr>
            <w:tcW w:w="739"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符合</w:t>
            </w:r>
          </w:p>
        </w:tc>
      </w:tr>
    </w:tbl>
    <w:p>
      <w:pPr>
        <w:adjustRightInd w:val="0"/>
        <w:snapToGrid w:val="0"/>
        <w:spacing w:line="360" w:lineRule="auto"/>
        <w:ind w:firstLine="480" w:firstLineChars="200"/>
        <w:jc w:val="both"/>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综上所述，拟建项目符合《福建省打赢蓝天保卫战三年行动计划实施方案》的相关要求。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3.7.2.5与《“十三五”挥发性有机物污染防治工作方案》符合性分析</w:t>
      </w:r>
    </w:p>
    <w:p>
      <w:pPr>
        <w:adjustRightInd w:val="0"/>
        <w:snapToGrid w:val="0"/>
        <w:spacing w:line="360" w:lineRule="auto"/>
        <w:ind w:firstLine="480" w:firstLineChars="200"/>
        <w:jc w:val="both"/>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2017年9月14日，原环境保护部、国家发展和改革委员会等部门联合发布关于印发《“十三五”挥发性有机物污染防治工作方案》的通知（环大气〔2017〕121号），对照文件内容针对本项目环境准入及污染防治进行符合性分析，分析如下表所示。经分析，本项目符合文件环境准入及污染防治要求</w:t>
      </w:r>
      <w:r>
        <w:rPr>
          <w:rFonts w:hint="eastAsia"/>
          <w:b w:val="0"/>
          <w:bCs w:val="0"/>
          <w:spacing w:val="0"/>
          <w:position w:val="0"/>
          <w:sz w:val="24"/>
          <w:szCs w:val="24"/>
          <w:lang w:val="en-US" w:eastAsia="zh-CN"/>
        </w:rPr>
        <w:t>，详见表3.7-8</w:t>
      </w:r>
      <w:r>
        <w:rPr>
          <w:rFonts w:hint="default"/>
          <w:b w:val="0"/>
          <w:bCs w:val="0"/>
          <w:spacing w:val="0"/>
          <w:position w:val="0"/>
          <w:sz w:val="24"/>
          <w:szCs w:val="24"/>
          <w:lang w:val="en-US" w:eastAsia="zh-CN"/>
        </w:rPr>
        <w:t>。</w:t>
      </w:r>
    </w:p>
    <w:p>
      <w:pPr>
        <w:spacing w:line="240" w:lineRule="auto"/>
        <w:jc w:val="center"/>
        <w:rPr>
          <w:b/>
          <w:bCs/>
          <w:spacing w:val="0"/>
          <w:position w:val="0"/>
          <w:sz w:val="24"/>
          <w:szCs w:val="24"/>
        </w:rPr>
      </w:pPr>
      <w:r>
        <w:rPr>
          <w:rFonts w:hint="eastAsia"/>
          <w:b/>
          <w:bCs/>
          <w:spacing w:val="0"/>
          <w:position w:val="0"/>
          <w:sz w:val="24"/>
          <w:szCs w:val="24"/>
        </w:rPr>
        <w:t>表</w:t>
      </w:r>
      <w:r>
        <w:rPr>
          <w:rFonts w:hint="eastAsia"/>
          <w:b/>
          <w:bCs/>
          <w:spacing w:val="0"/>
          <w:position w:val="0"/>
          <w:sz w:val="24"/>
          <w:szCs w:val="24"/>
          <w:lang w:val="en-US" w:eastAsia="zh-CN"/>
        </w:rPr>
        <w:t>3.7-8</w:t>
      </w:r>
      <w:r>
        <w:rPr>
          <w:rFonts w:hint="eastAsia"/>
          <w:b/>
          <w:bCs/>
          <w:spacing w:val="0"/>
          <w:position w:val="0"/>
          <w:sz w:val="24"/>
          <w:szCs w:val="24"/>
        </w:rPr>
        <w:t>《“十三五”挥发性有机物污染防治工作方案》（摘录）</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89"/>
        <w:gridCol w:w="5155"/>
        <w:gridCol w:w="1964"/>
        <w:gridCol w:w="6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65" w:type="pct"/>
            <w:vAlign w:val="center"/>
          </w:tcPr>
          <w:p>
            <w:pPr>
              <w:adjustRightInd w:val="0"/>
              <w:snapToGrid w:val="0"/>
              <w:spacing w:line="240" w:lineRule="auto"/>
              <w:jc w:val="center"/>
              <w:rPr>
                <w:b/>
                <w:bCs/>
                <w:spacing w:val="0"/>
                <w:position w:val="0"/>
                <w:sz w:val="21"/>
                <w:szCs w:val="21"/>
              </w:rPr>
            </w:pPr>
            <w:r>
              <w:rPr>
                <w:b/>
                <w:bCs/>
                <w:spacing w:val="0"/>
                <w:position w:val="0"/>
                <w:sz w:val="21"/>
                <w:szCs w:val="21"/>
              </w:rPr>
              <w:t>相关文件名称</w:t>
            </w:r>
          </w:p>
        </w:tc>
        <w:tc>
          <w:tcPr>
            <w:tcW w:w="2947" w:type="pct"/>
            <w:tcBorders>
              <w:right w:val="single" w:color="auto" w:sz="4" w:space="0"/>
            </w:tcBorders>
            <w:vAlign w:val="center"/>
          </w:tcPr>
          <w:p>
            <w:pPr>
              <w:adjustRightInd w:val="0"/>
              <w:snapToGrid w:val="0"/>
              <w:spacing w:line="240" w:lineRule="auto"/>
              <w:jc w:val="center"/>
              <w:rPr>
                <w:b/>
                <w:bCs/>
                <w:spacing w:val="0"/>
                <w:position w:val="0"/>
                <w:sz w:val="21"/>
                <w:szCs w:val="21"/>
              </w:rPr>
            </w:pPr>
            <w:r>
              <w:rPr>
                <w:b/>
                <w:bCs/>
                <w:spacing w:val="0"/>
                <w:position w:val="0"/>
                <w:sz w:val="21"/>
                <w:szCs w:val="21"/>
              </w:rPr>
              <w:t>相关内容</w:t>
            </w:r>
          </w:p>
        </w:tc>
        <w:tc>
          <w:tcPr>
            <w:tcW w:w="1122" w:type="pct"/>
            <w:tcBorders>
              <w:left w:val="single" w:color="auto" w:sz="4" w:space="0"/>
              <w:right w:val="single" w:color="auto" w:sz="4" w:space="0"/>
            </w:tcBorders>
            <w:vAlign w:val="center"/>
          </w:tcPr>
          <w:p>
            <w:pPr>
              <w:adjustRightInd w:val="0"/>
              <w:snapToGrid w:val="0"/>
              <w:spacing w:line="240" w:lineRule="auto"/>
              <w:jc w:val="center"/>
              <w:rPr>
                <w:b/>
                <w:bCs/>
                <w:spacing w:val="0"/>
                <w:position w:val="0"/>
                <w:sz w:val="21"/>
                <w:szCs w:val="21"/>
              </w:rPr>
            </w:pPr>
            <w:r>
              <w:rPr>
                <w:b/>
                <w:bCs/>
                <w:spacing w:val="0"/>
                <w:position w:val="0"/>
                <w:sz w:val="21"/>
                <w:szCs w:val="21"/>
              </w:rPr>
              <w:t>项目情况</w:t>
            </w:r>
          </w:p>
        </w:tc>
        <w:tc>
          <w:tcPr>
            <w:tcW w:w="364" w:type="pct"/>
            <w:tcBorders>
              <w:left w:val="single" w:color="auto" w:sz="4" w:space="0"/>
            </w:tcBorders>
            <w:vAlign w:val="center"/>
          </w:tcPr>
          <w:p>
            <w:pPr>
              <w:adjustRightInd w:val="0"/>
              <w:snapToGrid w:val="0"/>
              <w:spacing w:line="240" w:lineRule="auto"/>
              <w:jc w:val="center"/>
              <w:rPr>
                <w:b/>
                <w:bCs/>
                <w:spacing w:val="0"/>
                <w:position w:val="0"/>
                <w:sz w:val="21"/>
                <w:szCs w:val="21"/>
              </w:rPr>
            </w:pPr>
            <w:r>
              <w:rPr>
                <w:b/>
                <w:bCs/>
                <w:spacing w:val="0"/>
                <w:positio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65" w:type="pct"/>
            <w:vMerge w:val="restart"/>
            <w:vAlign w:val="center"/>
          </w:tcPr>
          <w:p>
            <w:pPr>
              <w:adjustRightInd w:val="0"/>
              <w:snapToGrid w:val="0"/>
              <w:spacing w:line="240" w:lineRule="auto"/>
              <w:rPr>
                <w:spacing w:val="0"/>
                <w:position w:val="0"/>
                <w:sz w:val="21"/>
                <w:szCs w:val="21"/>
              </w:rPr>
            </w:pPr>
            <w:r>
              <w:rPr>
                <w:rFonts w:hint="eastAsia"/>
                <w:spacing w:val="0"/>
                <w:position w:val="0"/>
                <w:sz w:val="21"/>
                <w:szCs w:val="21"/>
              </w:rPr>
              <w:t>关于印发《“十三五”挥发性有机物污染防治工作方案》的通知（环大气〔2017〕121号）</w:t>
            </w:r>
          </w:p>
        </w:tc>
        <w:tc>
          <w:tcPr>
            <w:tcW w:w="2947" w:type="pct"/>
            <w:tcBorders>
              <w:right w:val="single" w:color="auto" w:sz="4" w:space="0"/>
            </w:tcBorders>
            <w:vAlign w:val="center"/>
          </w:tcPr>
          <w:p>
            <w:pPr>
              <w:adjustRightInd w:val="0"/>
              <w:snapToGrid w:val="0"/>
              <w:spacing w:line="240" w:lineRule="auto"/>
              <w:jc w:val="both"/>
              <w:rPr>
                <w:spacing w:val="0"/>
                <w:position w:val="0"/>
                <w:sz w:val="21"/>
                <w:szCs w:val="21"/>
              </w:rPr>
            </w:pPr>
            <w:r>
              <w:rPr>
                <w:spacing w:val="0"/>
                <w:position w:val="0"/>
                <w:sz w:val="21"/>
                <w:szCs w:val="21"/>
              </w:rPr>
              <w:t>（一）加大产业结构调整力度。</w:t>
            </w:r>
          </w:p>
          <w:p>
            <w:pPr>
              <w:adjustRightInd w:val="0"/>
              <w:snapToGrid w:val="0"/>
              <w:spacing w:line="240" w:lineRule="auto"/>
              <w:jc w:val="both"/>
              <w:rPr>
                <w:spacing w:val="0"/>
                <w:position w:val="0"/>
                <w:sz w:val="21"/>
                <w:szCs w:val="21"/>
              </w:rPr>
            </w:pPr>
            <w:r>
              <w:rPr>
                <w:spacing w:val="0"/>
                <w:position w:val="0"/>
                <w:sz w:val="21"/>
                <w:szCs w:val="21"/>
              </w:rPr>
              <w:t>2.严格建设项目环境准入。</w:t>
            </w:r>
          </w:p>
          <w:p>
            <w:pPr>
              <w:adjustRightInd w:val="0"/>
              <w:snapToGrid w:val="0"/>
              <w:spacing w:line="240" w:lineRule="auto"/>
              <w:jc w:val="both"/>
              <w:rPr>
                <w:spacing w:val="0"/>
                <w:position w:val="0"/>
                <w:sz w:val="21"/>
                <w:szCs w:val="21"/>
              </w:rPr>
            </w:pPr>
            <w:r>
              <w:rPr>
                <w:rFonts w:hint="eastAsia"/>
                <w:spacing w:val="0"/>
                <w:position w:val="0"/>
                <w:sz w:val="21"/>
                <w:szCs w:val="21"/>
              </w:rPr>
              <w:t>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1122" w:type="pct"/>
            <w:vMerge w:val="restart"/>
            <w:tcBorders>
              <w:left w:val="single" w:color="auto" w:sz="4" w:space="0"/>
              <w:right w:val="single" w:color="auto" w:sz="4" w:space="0"/>
            </w:tcBorders>
            <w:vAlign w:val="center"/>
          </w:tcPr>
          <w:p>
            <w:pPr>
              <w:adjustRightInd w:val="0"/>
              <w:snapToGrid w:val="0"/>
              <w:spacing w:line="240" w:lineRule="auto"/>
              <w:rPr>
                <w:spacing w:val="0"/>
                <w:position w:val="0"/>
                <w:sz w:val="21"/>
                <w:szCs w:val="21"/>
              </w:rPr>
            </w:pPr>
            <w:r>
              <w:rPr>
                <w:rFonts w:hint="eastAsia"/>
                <w:spacing w:val="0"/>
                <w:position w:val="0"/>
                <w:sz w:val="21"/>
                <w:szCs w:val="21"/>
                <w:lang w:val="en-US" w:eastAsia="zh-CN"/>
              </w:rPr>
              <w:t>拟建</w:t>
            </w:r>
            <w:r>
              <w:rPr>
                <w:spacing w:val="0"/>
                <w:position w:val="0"/>
                <w:sz w:val="21"/>
                <w:szCs w:val="21"/>
              </w:rPr>
              <w:t>项目</w:t>
            </w:r>
            <w:r>
              <w:rPr>
                <w:rFonts w:hint="eastAsia"/>
                <w:spacing w:val="0"/>
                <w:position w:val="0"/>
                <w:sz w:val="21"/>
                <w:szCs w:val="21"/>
              </w:rPr>
              <w:t>位于</w:t>
            </w:r>
            <w:r>
              <w:rPr>
                <w:rFonts w:hint="eastAsia"/>
                <w:spacing w:val="0"/>
                <w:kern w:val="0"/>
                <w:position w:val="0"/>
                <w:sz w:val="21"/>
                <w:szCs w:val="21"/>
              </w:rPr>
              <w:t>连江可门绿色纺织产业园区内</w:t>
            </w:r>
            <w:r>
              <w:rPr>
                <w:spacing w:val="0"/>
                <w:kern w:val="0"/>
                <w:position w:val="0"/>
                <w:sz w:val="21"/>
                <w:szCs w:val="21"/>
              </w:rPr>
              <w:t>，</w:t>
            </w:r>
            <w:r>
              <w:rPr>
                <w:rFonts w:hint="eastAsia"/>
                <w:spacing w:val="0"/>
                <w:kern w:val="0"/>
                <w:position w:val="0"/>
                <w:sz w:val="21"/>
                <w:szCs w:val="21"/>
              </w:rPr>
              <w:t>本</w:t>
            </w:r>
            <w:r>
              <w:rPr>
                <w:spacing w:val="0"/>
                <w:position w:val="0"/>
                <w:sz w:val="21"/>
                <w:szCs w:val="21"/>
              </w:rPr>
              <w:t>项目</w:t>
            </w:r>
            <w:r>
              <w:rPr>
                <w:rFonts w:hint="eastAsia"/>
                <w:spacing w:val="0"/>
                <w:position w:val="0"/>
                <w:sz w:val="21"/>
                <w:szCs w:val="21"/>
              </w:rPr>
              <w:t>VOCs</w:t>
            </w:r>
            <w:r>
              <w:rPr>
                <w:rFonts w:hint="eastAsia"/>
                <w:spacing w:val="0"/>
                <w:position w:val="0"/>
                <w:sz w:val="21"/>
                <w:szCs w:val="21"/>
                <w:lang w:eastAsia="zh-CN"/>
              </w:rPr>
              <w:t>（以非甲烷总烃表征）</w:t>
            </w:r>
            <w:r>
              <w:rPr>
                <w:rFonts w:hint="eastAsia"/>
                <w:spacing w:val="0"/>
                <w:position w:val="0"/>
                <w:sz w:val="21"/>
                <w:szCs w:val="21"/>
              </w:rPr>
              <w:t>排放将严格执行等量或倍量削减替代，本项目</w:t>
            </w:r>
            <w:r>
              <w:rPr>
                <w:rFonts w:hint="eastAsia"/>
                <w:spacing w:val="0"/>
                <w:position w:val="0"/>
                <w:sz w:val="21"/>
                <w:szCs w:val="21"/>
                <w:lang w:val="en-US" w:eastAsia="zh-CN"/>
              </w:rPr>
              <w:t>非甲烷总烃</w:t>
            </w:r>
            <w:r>
              <w:rPr>
                <w:rFonts w:hint="eastAsia"/>
                <w:spacing w:val="0"/>
                <w:position w:val="0"/>
                <w:sz w:val="21"/>
                <w:szCs w:val="21"/>
                <w:lang w:eastAsia="zh-CN"/>
              </w:rPr>
              <w:t>有组织</w:t>
            </w:r>
            <w:r>
              <w:rPr>
                <w:rFonts w:hint="eastAsia"/>
                <w:spacing w:val="0"/>
                <w:position w:val="0"/>
                <w:sz w:val="21"/>
                <w:szCs w:val="21"/>
              </w:rPr>
              <w:t>最高允许排放浓度</w:t>
            </w:r>
            <w:r>
              <w:rPr>
                <w:rFonts w:hint="eastAsia"/>
                <w:spacing w:val="0"/>
                <w:position w:val="0"/>
                <w:sz w:val="21"/>
                <w:szCs w:val="21"/>
                <w:lang w:eastAsia="zh-CN"/>
              </w:rPr>
              <w:t>为</w:t>
            </w:r>
            <w:r>
              <w:rPr>
                <w:rFonts w:hint="eastAsia"/>
                <w:spacing w:val="0"/>
                <w:position w:val="0"/>
                <w:sz w:val="21"/>
                <w:szCs w:val="21"/>
                <w:lang w:val="en-US" w:eastAsia="zh-CN"/>
              </w:rPr>
              <w:t>40</w:t>
            </w:r>
            <w:r>
              <w:rPr>
                <w:rFonts w:hint="eastAsia"/>
                <w:spacing w:val="0"/>
                <w:position w:val="0"/>
                <w:sz w:val="21"/>
                <w:szCs w:val="21"/>
              </w:rPr>
              <w:t>mg/m</w:t>
            </w:r>
            <w:r>
              <w:rPr>
                <w:rFonts w:hint="eastAsia"/>
                <w:spacing w:val="0"/>
                <w:position w:val="0"/>
                <w:sz w:val="21"/>
                <w:szCs w:val="21"/>
                <w:vertAlign w:val="superscript"/>
              </w:rPr>
              <w:t>3</w:t>
            </w:r>
            <w:r>
              <w:rPr>
                <w:rFonts w:hint="eastAsia"/>
                <w:spacing w:val="0"/>
                <w:position w:val="0"/>
                <w:sz w:val="21"/>
                <w:szCs w:val="21"/>
                <w:lang w:val="en-US" w:eastAsia="zh-CN"/>
              </w:rPr>
              <w:t>，项目设置</w:t>
            </w:r>
            <w:r>
              <w:rPr>
                <w:rFonts w:hint="eastAsia"/>
                <w:spacing w:val="0"/>
                <w:position w:val="0"/>
                <w:sz w:val="21"/>
                <w:szCs w:val="21"/>
              </w:rPr>
              <w:t>废气处理</w:t>
            </w:r>
            <w:r>
              <w:rPr>
                <w:rFonts w:hint="eastAsia"/>
                <w:spacing w:val="0"/>
                <w:position w:val="0"/>
                <w:sz w:val="21"/>
                <w:szCs w:val="21"/>
                <w:lang w:eastAsia="zh-CN"/>
              </w:rPr>
              <w:t>设施，</w:t>
            </w:r>
            <w:r>
              <w:rPr>
                <w:rFonts w:hint="eastAsia"/>
                <w:spacing w:val="0"/>
                <w:position w:val="0"/>
                <w:sz w:val="21"/>
                <w:szCs w:val="21"/>
                <w:lang w:val="en-US" w:eastAsia="zh-CN"/>
              </w:rPr>
              <w:t>定型废气采用“热能回收+冷却+静电”的废气处理工艺，处理达标后通过高30m的DA001排气筒及高30m的DA002排气筒排放，定型</w:t>
            </w:r>
            <w:r>
              <w:rPr>
                <w:rFonts w:hint="eastAsia"/>
                <w:spacing w:val="0"/>
                <w:position w:val="0"/>
                <w:sz w:val="21"/>
                <w:szCs w:val="21"/>
                <w:lang w:eastAsia="zh-CN"/>
              </w:rPr>
              <w:t>废气经处理后按</w:t>
            </w:r>
            <w:r>
              <w:rPr>
                <w:rFonts w:hint="eastAsia"/>
                <w:spacing w:val="0"/>
                <w:position w:val="0"/>
                <w:sz w:val="21"/>
                <w:szCs w:val="21"/>
                <w:lang w:val="en-US" w:eastAsia="zh-CN"/>
              </w:rPr>
              <w:t>80%的</w:t>
            </w:r>
            <w:r>
              <w:rPr>
                <w:rFonts w:hint="eastAsia"/>
                <w:spacing w:val="0"/>
                <w:position w:val="0"/>
                <w:sz w:val="21"/>
                <w:szCs w:val="21"/>
                <w:lang w:eastAsia="zh-CN"/>
              </w:rPr>
              <w:t>处理</w:t>
            </w:r>
            <w:r>
              <w:rPr>
                <w:rFonts w:hint="eastAsia"/>
                <w:spacing w:val="0"/>
                <w:position w:val="0"/>
                <w:sz w:val="21"/>
                <w:szCs w:val="21"/>
                <w:lang w:val="en-US" w:eastAsia="zh-CN"/>
              </w:rPr>
              <w:t>效率计算</w:t>
            </w:r>
            <w:r>
              <w:rPr>
                <w:rFonts w:hint="eastAsia"/>
                <w:spacing w:val="0"/>
                <w:position w:val="0"/>
                <w:sz w:val="21"/>
                <w:szCs w:val="21"/>
                <w:lang w:eastAsia="zh-CN"/>
              </w:rPr>
              <w:t>能够达到排放</w:t>
            </w:r>
            <w:r>
              <w:rPr>
                <w:rFonts w:hint="eastAsia"/>
                <w:spacing w:val="0"/>
                <w:position w:val="0"/>
                <w:sz w:val="21"/>
                <w:szCs w:val="21"/>
                <w:lang w:val="en-US" w:eastAsia="zh-CN"/>
              </w:rPr>
              <w:t>浓度</w:t>
            </w:r>
            <w:r>
              <w:rPr>
                <w:rFonts w:hint="eastAsia"/>
                <w:spacing w:val="0"/>
                <w:position w:val="0"/>
                <w:sz w:val="21"/>
                <w:szCs w:val="21"/>
                <w:lang w:eastAsia="zh-CN"/>
              </w:rPr>
              <w:t>限值</w:t>
            </w:r>
            <w:r>
              <w:rPr>
                <w:rFonts w:hint="eastAsia"/>
                <w:spacing w:val="0"/>
                <w:position w:val="0"/>
                <w:sz w:val="21"/>
                <w:szCs w:val="21"/>
              </w:rPr>
              <w:t>。</w:t>
            </w:r>
          </w:p>
        </w:tc>
        <w:tc>
          <w:tcPr>
            <w:tcW w:w="364" w:type="pct"/>
            <w:tcBorders>
              <w:left w:val="single" w:color="auto" w:sz="4" w:space="0"/>
            </w:tcBorders>
            <w:vAlign w:val="center"/>
          </w:tcPr>
          <w:p>
            <w:pPr>
              <w:adjustRightInd w:val="0"/>
              <w:snapToGrid w:val="0"/>
              <w:spacing w:line="240" w:lineRule="auto"/>
              <w:jc w:val="center"/>
              <w:rPr>
                <w:spacing w:val="0"/>
                <w:position w:val="0"/>
                <w:sz w:val="21"/>
                <w:szCs w:val="21"/>
              </w:rPr>
            </w:pPr>
            <w:r>
              <w:rPr>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65" w:type="pct"/>
            <w:vMerge w:val="continue"/>
            <w:vAlign w:val="center"/>
          </w:tcPr>
          <w:p>
            <w:pPr>
              <w:adjustRightInd w:val="0"/>
              <w:snapToGrid w:val="0"/>
              <w:spacing w:line="240" w:lineRule="auto"/>
              <w:jc w:val="center"/>
              <w:rPr>
                <w:spacing w:val="0"/>
                <w:position w:val="0"/>
              </w:rPr>
            </w:pPr>
          </w:p>
        </w:tc>
        <w:tc>
          <w:tcPr>
            <w:tcW w:w="2947" w:type="pct"/>
            <w:tcBorders>
              <w:right w:val="single" w:color="auto" w:sz="4" w:space="0"/>
            </w:tcBorders>
            <w:vAlign w:val="center"/>
          </w:tcPr>
          <w:p>
            <w:pPr>
              <w:adjustRightInd w:val="0"/>
              <w:snapToGrid w:val="0"/>
              <w:spacing w:line="240" w:lineRule="auto"/>
              <w:jc w:val="both"/>
              <w:rPr>
                <w:rFonts w:hint="eastAsia"/>
                <w:spacing w:val="0"/>
                <w:position w:val="0"/>
                <w:sz w:val="21"/>
                <w:szCs w:val="21"/>
              </w:rPr>
            </w:pPr>
            <w:r>
              <w:rPr>
                <w:rFonts w:hint="eastAsia"/>
                <w:spacing w:val="0"/>
                <w:position w:val="0"/>
                <w:sz w:val="21"/>
                <w:szCs w:val="21"/>
              </w:rPr>
              <w:t>（二）加快实施工业源VOCs污染防治。</w:t>
            </w:r>
          </w:p>
          <w:p>
            <w:pPr>
              <w:adjustRightInd w:val="0"/>
              <w:snapToGrid w:val="0"/>
              <w:spacing w:line="240" w:lineRule="auto"/>
              <w:jc w:val="both"/>
              <w:rPr>
                <w:rFonts w:hint="eastAsia"/>
                <w:spacing w:val="0"/>
                <w:position w:val="0"/>
                <w:sz w:val="21"/>
                <w:szCs w:val="21"/>
              </w:rPr>
            </w:pPr>
            <w:r>
              <w:rPr>
                <w:rFonts w:hint="eastAsia"/>
                <w:spacing w:val="0"/>
                <w:position w:val="0"/>
                <w:sz w:val="21"/>
                <w:szCs w:val="21"/>
              </w:rPr>
              <w:t>5.因地制宜推进其他工业行业VOCs综合治理。</w:t>
            </w:r>
          </w:p>
          <w:p>
            <w:pPr>
              <w:adjustRightInd w:val="0"/>
              <w:snapToGrid w:val="0"/>
              <w:spacing w:line="240" w:lineRule="auto"/>
              <w:jc w:val="both"/>
              <w:rPr>
                <w:spacing w:val="0"/>
                <w:position w:val="0"/>
                <w:sz w:val="21"/>
                <w:szCs w:val="21"/>
              </w:rPr>
            </w:pPr>
            <w:r>
              <w:rPr>
                <w:rFonts w:hint="eastAsia"/>
                <w:spacing w:val="0"/>
                <w:position w:val="0"/>
                <w:sz w:val="21"/>
                <w:szCs w:val="21"/>
              </w:rPr>
              <w:t>各地应结合本地产业结构特征和VOCs治理重点，因地制宜选择其他工业行业开展VOCs治理。电子行业应重点加强溶剂清洗、光刻、涂胶、涂装等工序VOCs排放控制；制鞋行业应重点加强鞋面拼接、成型、组底、喷漆、发泡、注塑、印刷、清洗等工序VOCs排放治理；纺织印染行业应重点加强化纤纺丝、热定型、涂层等工序VOCs排放治理；木材加工行业应重点加强干燥、涂胶、热压过程VOCs排放治理。</w:t>
            </w:r>
          </w:p>
        </w:tc>
        <w:tc>
          <w:tcPr>
            <w:tcW w:w="1122" w:type="pct"/>
            <w:vMerge w:val="continue"/>
            <w:tcBorders>
              <w:left w:val="single" w:color="auto" w:sz="4" w:space="0"/>
              <w:right w:val="single" w:color="auto" w:sz="4" w:space="0"/>
            </w:tcBorders>
            <w:vAlign w:val="center"/>
          </w:tcPr>
          <w:p>
            <w:pPr>
              <w:adjustRightInd w:val="0"/>
              <w:snapToGrid w:val="0"/>
              <w:spacing w:line="240" w:lineRule="auto"/>
              <w:jc w:val="center"/>
              <w:rPr>
                <w:spacing w:val="0"/>
                <w:position w:val="0"/>
                <w:sz w:val="21"/>
                <w:szCs w:val="21"/>
              </w:rPr>
            </w:pPr>
          </w:p>
        </w:tc>
        <w:tc>
          <w:tcPr>
            <w:tcW w:w="364" w:type="pct"/>
            <w:tcBorders>
              <w:left w:val="single" w:color="auto" w:sz="4" w:space="0"/>
            </w:tcBorders>
            <w:vAlign w:val="center"/>
          </w:tcPr>
          <w:p>
            <w:pPr>
              <w:adjustRightInd w:val="0"/>
              <w:snapToGrid w:val="0"/>
              <w:spacing w:line="240" w:lineRule="auto"/>
              <w:jc w:val="center"/>
              <w:rPr>
                <w:spacing w:val="0"/>
                <w:position w:val="0"/>
                <w:sz w:val="21"/>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3.7.2.6与《福州市人民政府办公厅关于印发福州市“十四五”节能减排综合工作实施方案的通知》符合性分析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val="0"/>
          <w:bCs w:val="0"/>
          <w:spacing w:val="0"/>
          <w:position w:val="0"/>
          <w:sz w:val="24"/>
          <w:szCs w:val="24"/>
          <w:lang w:val="en-US" w:eastAsia="zh-CN"/>
        </w:rPr>
      </w:pPr>
      <w:r>
        <w:rPr>
          <w:rFonts w:hint="default" w:eastAsia="宋体"/>
          <w:b w:val="0"/>
          <w:bCs w:val="0"/>
          <w:spacing w:val="0"/>
          <w:position w:val="0"/>
          <w:sz w:val="24"/>
          <w:szCs w:val="24"/>
          <w:lang w:val="en-US" w:eastAsia="zh-CN"/>
        </w:rPr>
        <w:t>根据《福州市人民政府办公厅关于印发福州市“十四五”节能减排综合工作实施方案的通知》（榕政办〔2022〕127号）中提及的“实施节能减排重点工程”相关内容，针对本项目进行符合性分析，详见下表。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val="0"/>
          <w:bCs w:val="0"/>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val="0"/>
          <w:bCs w:val="0"/>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val="0"/>
          <w:bCs w:val="0"/>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b w:val="0"/>
          <w:bCs w:val="0"/>
          <w:spacing w:val="0"/>
          <w:position w:val="0"/>
          <w:sz w:val="24"/>
          <w:szCs w:val="24"/>
          <w:lang w:val="en-US" w:eastAsia="zh-CN"/>
        </w:rPr>
      </w:pPr>
      <w:r>
        <w:rPr>
          <w:rFonts w:hint="eastAsia"/>
          <w:b/>
          <w:bCs/>
          <w:spacing w:val="0"/>
          <w:position w:val="0"/>
          <w:sz w:val="24"/>
          <w:szCs w:val="24"/>
        </w:rPr>
        <w:t>表</w:t>
      </w:r>
      <w:r>
        <w:rPr>
          <w:rFonts w:hint="eastAsia"/>
          <w:b/>
          <w:bCs/>
          <w:spacing w:val="0"/>
          <w:position w:val="0"/>
          <w:sz w:val="24"/>
          <w:szCs w:val="24"/>
          <w:lang w:val="en-US" w:eastAsia="zh-CN"/>
        </w:rPr>
        <w:t>3.7-9与</w:t>
      </w:r>
      <w:r>
        <w:rPr>
          <w:rFonts w:hint="eastAsia"/>
          <w:b/>
          <w:bCs/>
          <w:spacing w:val="0"/>
          <w:position w:val="0"/>
          <w:sz w:val="24"/>
          <w:szCs w:val="24"/>
        </w:rPr>
        <w:t>《福州市“十四五”节能减排综合工作实施方案》（摘录）</w:t>
      </w:r>
      <w:r>
        <w:rPr>
          <w:rFonts w:hint="eastAsia"/>
          <w:b/>
          <w:bCs/>
          <w:spacing w:val="0"/>
          <w:position w:val="0"/>
          <w:sz w:val="24"/>
          <w:szCs w:val="24"/>
          <w:lang w:val="en-US" w:eastAsia="zh-CN"/>
        </w:rPr>
        <w:t>符合性分析</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62"/>
        <w:gridCol w:w="4859"/>
        <w:gridCol w:w="2124"/>
        <w:gridCol w:w="8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jc w:val="center"/>
        </w:trPr>
        <w:tc>
          <w:tcPr>
            <w:tcW w:w="550" w:type="pct"/>
            <w:vAlign w:val="center"/>
          </w:tcPr>
          <w:p>
            <w:pPr>
              <w:adjustRightInd w:val="0"/>
              <w:snapToGrid w:val="0"/>
              <w:spacing w:line="240" w:lineRule="auto"/>
              <w:jc w:val="center"/>
              <w:rPr>
                <w:b/>
                <w:bCs/>
                <w:spacing w:val="0"/>
                <w:position w:val="0"/>
                <w:sz w:val="21"/>
                <w:szCs w:val="21"/>
              </w:rPr>
            </w:pPr>
            <w:r>
              <w:rPr>
                <w:rFonts w:hint="eastAsia"/>
                <w:b/>
                <w:bCs/>
                <w:spacing w:val="0"/>
                <w:position w:val="0"/>
                <w:sz w:val="21"/>
                <w:szCs w:val="21"/>
              </w:rPr>
              <w:t>主要目标</w:t>
            </w:r>
          </w:p>
        </w:tc>
        <w:tc>
          <w:tcPr>
            <w:tcW w:w="2777" w:type="pct"/>
            <w:tcBorders>
              <w:right w:val="single" w:color="auto" w:sz="4" w:space="0"/>
            </w:tcBorders>
            <w:vAlign w:val="center"/>
          </w:tcPr>
          <w:p>
            <w:pPr>
              <w:adjustRightInd w:val="0"/>
              <w:snapToGrid w:val="0"/>
              <w:spacing w:line="240" w:lineRule="auto"/>
              <w:jc w:val="center"/>
              <w:rPr>
                <w:b/>
                <w:bCs/>
                <w:spacing w:val="0"/>
                <w:position w:val="0"/>
                <w:sz w:val="21"/>
                <w:szCs w:val="21"/>
              </w:rPr>
            </w:pPr>
            <w:r>
              <w:rPr>
                <w:b/>
                <w:bCs/>
                <w:spacing w:val="0"/>
                <w:position w:val="0"/>
                <w:sz w:val="21"/>
                <w:szCs w:val="21"/>
              </w:rPr>
              <w:t>相关内容</w:t>
            </w:r>
          </w:p>
        </w:tc>
        <w:tc>
          <w:tcPr>
            <w:tcW w:w="1214" w:type="pct"/>
            <w:tcBorders>
              <w:left w:val="single" w:color="auto" w:sz="4" w:space="0"/>
              <w:right w:val="single" w:color="auto" w:sz="4" w:space="0"/>
            </w:tcBorders>
            <w:vAlign w:val="center"/>
          </w:tcPr>
          <w:p>
            <w:pPr>
              <w:adjustRightInd w:val="0"/>
              <w:snapToGrid w:val="0"/>
              <w:spacing w:line="240" w:lineRule="auto"/>
              <w:jc w:val="center"/>
              <w:rPr>
                <w:b/>
                <w:bCs/>
                <w:spacing w:val="0"/>
                <w:position w:val="0"/>
                <w:sz w:val="21"/>
                <w:szCs w:val="21"/>
              </w:rPr>
            </w:pPr>
            <w:r>
              <w:rPr>
                <w:b/>
                <w:bCs/>
                <w:spacing w:val="0"/>
                <w:position w:val="0"/>
                <w:sz w:val="21"/>
                <w:szCs w:val="21"/>
              </w:rPr>
              <w:t>项目情况</w:t>
            </w:r>
          </w:p>
        </w:tc>
        <w:tc>
          <w:tcPr>
            <w:tcW w:w="457" w:type="pct"/>
            <w:tcBorders>
              <w:left w:val="single" w:color="auto" w:sz="4" w:space="0"/>
            </w:tcBorders>
            <w:vAlign w:val="center"/>
          </w:tcPr>
          <w:p>
            <w:pPr>
              <w:adjustRightInd w:val="0"/>
              <w:snapToGrid w:val="0"/>
              <w:spacing w:line="240" w:lineRule="auto"/>
              <w:jc w:val="center"/>
              <w:rPr>
                <w:b/>
                <w:bCs/>
                <w:spacing w:val="0"/>
                <w:position w:val="0"/>
                <w:sz w:val="21"/>
                <w:szCs w:val="21"/>
              </w:rPr>
            </w:pPr>
            <w:r>
              <w:rPr>
                <w:b/>
                <w:bCs/>
                <w:spacing w:val="0"/>
                <w:positio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jc w:val="center"/>
        </w:trPr>
        <w:tc>
          <w:tcPr>
            <w:tcW w:w="550" w:type="pct"/>
            <w:vAlign w:val="center"/>
          </w:tcPr>
          <w:p>
            <w:pPr>
              <w:adjustRightInd w:val="0"/>
              <w:snapToGrid w:val="0"/>
              <w:spacing w:line="240" w:lineRule="auto"/>
              <w:jc w:val="center"/>
              <w:rPr>
                <w:spacing w:val="0"/>
                <w:position w:val="0"/>
                <w:sz w:val="21"/>
                <w:szCs w:val="21"/>
              </w:rPr>
            </w:pPr>
            <w:r>
              <w:rPr>
                <w:rFonts w:hint="eastAsia"/>
                <w:spacing w:val="0"/>
                <w:position w:val="0"/>
                <w:sz w:val="21"/>
                <w:szCs w:val="21"/>
              </w:rPr>
              <w:t>重点行业绿色转型工程</w:t>
            </w:r>
          </w:p>
        </w:tc>
        <w:tc>
          <w:tcPr>
            <w:tcW w:w="2777" w:type="pct"/>
            <w:tcBorders>
              <w:right w:val="single" w:color="auto" w:sz="4" w:space="0"/>
            </w:tcBorders>
            <w:vAlign w:val="center"/>
          </w:tcPr>
          <w:p>
            <w:pPr>
              <w:adjustRightInd w:val="0"/>
              <w:snapToGrid w:val="0"/>
              <w:spacing w:line="240" w:lineRule="auto"/>
              <w:rPr>
                <w:rFonts w:hint="eastAsia"/>
                <w:spacing w:val="0"/>
                <w:position w:val="0"/>
                <w:sz w:val="21"/>
                <w:szCs w:val="21"/>
              </w:rPr>
            </w:pPr>
            <w:r>
              <w:rPr>
                <w:rFonts w:hint="eastAsia"/>
                <w:spacing w:val="0"/>
                <w:position w:val="0"/>
                <w:sz w:val="21"/>
                <w:szCs w:val="21"/>
              </w:rPr>
              <w:t>以钢铁、建材、化工等行业为重点，提高行业准入门槛，对拟（在）建项目严格对标能效标杆水平，促进行业整体能效水平提升，系统梳理能效低于基准水平的重点企业清单，组织实施节能降碳改造升级行动，推动行业高质量发展。</w:t>
            </w:r>
          </w:p>
          <w:p>
            <w:pPr>
              <w:adjustRightInd w:val="0"/>
              <w:snapToGrid w:val="0"/>
              <w:spacing w:line="240" w:lineRule="auto"/>
              <w:rPr>
                <w:rFonts w:hint="eastAsia" w:eastAsia="宋体"/>
                <w:spacing w:val="0"/>
                <w:position w:val="0"/>
                <w:sz w:val="21"/>
                <w:szCs w:val="21"/>
                <w:lang w:val="en-US" w:eastAsia="zh-CN"/>
              </w:rPr>
            </w:pPr>
            <w:r>
              <w:rPr>
                <w:rFonts w:hint="eastAsia" w:eastAsia="宋体"/>
                <w:spacing w:val="0"/>
                <w:position w:val="0"/>
                <w:sz w:val="21"/>
                <w:szCs w:val="21"/>
                <w:lang w:val="en-US" w:eastAsia="zh-CN"/>
              </w:rPr>
              <w:t>实施涂装类、化工类等产业集群分类治理，鼓励行业、企业加快工艺革新，开展工业废水资源化利用改造，推动重点行业清洁生产，依法开展强制性清洁生产审核，探索开展行业整体审核模式。</w:t>
            </w:r>
          </w:p>
        </w:tc>
        <w:tc>
          <w:tcPr>
            <w:tcW w:w="1214" w:type="pct"/>
            <w:tcBorders>
              <w:left w:val="single" w:color="auto" w:sz="4" w:space="0"/>
              <w:right w:val="single" w:color="auto" w:sz="4" w:space="0"/>
            </w:tcBorders>
            <w:vAlign w:val="center"/>
          </w:tcPr>
          <w:p>
            <w:pPr>
              <w:adjustRightInd w:val="0"/>
              <w:snapToGrid w:val="0"/>
              <w:spacing w:line="240" w:lineRule="auto"/>
              <w:rPr>
                <w:spacing w:val="0"/>
                <w:position w:val="0"/>
                <w:sz w:val="21"/>
                <w:szCs w:val="21"/>
              </w:rPr>
            </w:pPr>
            <w:r>
              <w:rPr>
                <w:rFonts w:hint="eastAsia"/>
                <w:spacing w:val="0"/>
                <w:position w:val="0"/>
              </w:rPr>
              <w:t>拟建项目工艺、设备、资源等技术指标按清洁生产先进水平进行规划设计和建设，项目投产后，建设单位定期开展清洁生产审核，不断提高企业清洁生产水平。</w:t>
            </w:r>
          </w:p>
        </w:tc>
        <w:tc>
          <w:tcPr>
            <w:tcW w:w="457" w:type="pct"/>
            <w:tcBorders>
              <w:left w:val="single" w:color="auto" w:sz="4" w:space="0"/>
            </w:tcBorders>
            <w:vAlign w:val="center"/>
          </w:tcPr>
          <w:p>
            <w:pPr>
              <w:adjustRightInd w:val="0"/>
              <w:snapToGrid w:val="0"/>
              <w:spacing w:line="240" w:lineRule="auto"/>
              <w:jc w:val="center"/>
              <w:rPr>
                <w:spacing w:val="0"/>
                <w:position w:val="0"/>
                <w:sz w:val="21"/>
                <w:szCs w:val="21"/>
              </w:rPr>
            </w:pPr>
            <w:r>
              <w:rPr>
                <w:rFonts w:hint="eastAsia"/>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jc w:val="center"/>
        </w:trPr>
        <w:tc>
          <w:tcPr>
            <w:tcW w:w="550" w:type="pct"/>
            <w:vAlign w:val="center"/>
          </w:tcPr>
          <w:p>
            <w:pPr>
              <w:adjustRightInd w:val="0"/>
              <w:snapToGrid w:val="0"/>
              <w:spacing w:line="240" w:lineRule="auto"/>
              <w:jc w:val="center"/>
              <w:rPr>
                <w:rFonts w:hint="eastAsia"/>
                <w:spacing w:val="0"/>
                <w:position w:val="0"/>
                <w:sz w:val="21"/>
                <w:szCs w:val="21"/>
              </w:rPr>
            </w:pPr>
            <w:r>
              <w:rPr>
                <w:rFonts w:hint="eastAsia"/>
                <w:spacing w:val="0"/>
                <w:position w:val="0"/>
                <w:sz w:val="21"/>
                <w:szCs w:val="21"/>
              </w:rPr>
              <w:t>园区节能环保提升工程</w:t>
            </w:r>
          </w:p>
        </w:tc>
        <w:tc>
          <w:tcPr>
            <w:tcW w:w="2777" w:type="pct"/>
            <w:tcBorders>
              <w:right w:val="single" w:color="auto" w:sz="4" w:space="0"/>
            </w:tcBorders>
            <w:vAlign w:val="center"/>
          </w:tcPr>
          <w:p>
            <w:pPr>
              <w:adjustRightInd w:val="0"/>
              <w:snapToGrid w:val="0"/>
              <w:spacing w:line="240" w:lineRule="auto"/>
              <w:rPr>
                <w:rFonts w:hint="eastAsia"/>
                <w:spacing w:val="0"/>
                <w:position w:val="0"/>
                <w:sz w:val="21"/>
                <w:szCs w:val="21"/>
              </w:rPr>
            </w:pPr>
            <w:r>
              <w:rPr>
                <w:rFonts w:hint="eastAsia"/>
                <w:spacing w:val="0"/>
                <w:position w:val="0"/>
                <w:sz w:val="21"/>
                <w:szCs w:val="21"/>
              </w:rPr>
              <w:t>按照布局集中、产业集聚、用地集约的原则，科学合理布局工业项目，重点领域新建工业项目原则上应入驻工业园区。以省级以上工业园区为重点，加快实施工业（产业）园区标准化建设，推动能源系统优化提升，促进能源梯级利用和余热余压回收利用，建设园区智慧综合能源，鼓励优先利用可再生能源。完善化工、造纸、印染、制革等产业集聚和供热需求大的园区集中供热设施，逐步实现天然气管网全覆盖。</w:t>
            </w:r>
          </w:p>
        </w:tc>
        <w:tc>
          <w:tcPr>
            <w:tcW w:w="1214" w:type="pct"/>
            <w:tcBorders>
              <w:left w:val="single" w:color="auto" w:sz="4" w:space="0"/>
              <w:right w:val="single" w:color="auto" w:sz="4" w:space="0"/>
            </w:tcBorders>
            <w:vAlign w:val="center"/>
          </w:tcPr>
          <w:p>
            <w:pPr>
              <w:adjustRightInd w:val="0"/>
              <w:snapToGrid w:val="0"/>
              <w:spacing w:line="240" w:lineRule="auto"/>
              <w:rPr>
                <w:rFonts w:hint="default" w:eastAsia="宋体"/>
                <w:spacing w:val="0"/>
                <w:position w:val="0"/>
                <w:sz w:val="21"/>
                <w:szCs w:val="21"/>
                <w:lang w:val="en-US" w:eastAsia="zh-CN"/>
              </w:rPr>
            </w:pPr>
            <w:r>
              <w:rPr>
                <w:rFonts w:hint="eastAsia"/>
                <w:spacing w:val="0"/>
                <w:position w:val="0"/>
                <w:sz w:val="21"/>
                <w:szCs w:val="21"/>
                <w:lang w:val="en-US" w:eastAsia="zh-CN"/>
              </w:rPr>
              <w:t>本项目属于纺织染整工业，项目位于连江可门绿色纺织产业园区内，由园区集中供热，污水排入园区污水处理厂集中处理，有利于推动园区循环化改造。</w:t>
            </w:r>
          </w:p>
        </w:tc>
        <w:tc>
          <w:tcPr>
            <w:tcW w:w="457" w:type="pct"/>
            <w:tcBorders>
              <w:left w:val="single" w:color="auto" w:sz="4" w:space="0"/>
            </w:tcBorders>
            <w:vAlign w:val="center"/>
          </w:tcPr>
          <w:p>
            <w:pPr>
              <w:adjustRightInd w:val="0"/>
              <w:snapToGrid w:val="0"/>
              <w:spacing w:line="240" w:lineRule="auto"/>
              <w:jc w:val="center"/>
              <w:rPr>
                <w:rFonts w:hint="eastAsia" w:eastAsia="宋体"/>
                <w:spacing w:val="0"/>
                <w:position w:val="0"/>
                <w:sz w:val="21"/>
                <w:szCs w:val="21"/>
                <w:lang w:val="en-US" w:eastAsia="zh-CN"/>
              </w:rPr>
            </w:pPr>
            <w:r>
              <w:rPr>
                <w:rFonts w:hint="eastAsia"/>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jc w:val="center"/>
        </w:trPr>
        <w:tc>
          <w:tcPr>
            <w:tcW w:w="550" w:type="pct"/>
            <w:vAlign w:val="center"/>
          </w:tcPr>
          <w:p>
            <w:pPr>
              <w:adjustRightInd w:val="0"/>
              <w:snapToGrid w:val="0"/>
              <w:spacing w:line="240" w:lineRule="auto"/>
              <w:jc w:val="center"/>
              <w:rPr>
                <w:spacing w:val="0"/>
                <w:position w:val="0"/>
                <w:sz w:val="21"/>
                <w:szCs w:val="21"/>
              </w:rPr>
            </w:pPr>
            <w:r>
              <w:rPr>
                <w:rFonts w:hint="eastAsia"/>
                <w:spacing w:val="0"/>
                <w:position w:val="0"/>
                <w:sz w:val="21"/>
                <w:szCs w:val="21"/>
              </w:rPr>
              <w:t>重点领域污染物减排工程</w:t>
            </w:r>
          </w:p>
        </w:tc>
        <w:tc>
          <w:tcPr>
            <w:tcW w:w="2777" w:type="pct"/>
            <w:tcBorders>
              <w:right w:val="single" w:color="auto" w:sz="4" w:space="0"/>
            </w:tcBorders>
            <w:vAlign w:val="center"/>
          </w:tcPr>
          <w:p>
            <w:pPr>
              <w:adjustRightInd w:val="0"/>
              <w:snapToGrid w:val="0"/>
              <w:spacing w:line="240" w:lineRule="auto"/>
              <w:rPr>
                <w:spacing w:val="0"/>
                <w:position w:val="0"/>
                <w:sz w:val="21"/>
                <w:szCs w:val="21"/>
              </w:rPr>
            </w:pPr>
            <w:r>
              <w:rPr>
                <w:rFonts w:hint="eastAsia"/>
                <w:spacing w:val="0"/>
                <w:position w:val="0"/>
                <w:sz w:val="21"/>
                <w:szCs w:val="21"/>
              </w:rPr>
              <w:t>以石化、化工、化纤、制药、涂装、印刷、制鞋、家具、油品储运销等行业为重点，推进挥发性有机物全过程治理。</w:t>
            </w:r>
          </w:p>
        </w:tc>
        <w:tc>
          <w:tcPr>
            <w:tcW w:w="1214" w:type="pct"/>
            <w:tcBorders>
              <w:left w:val="single" w:color="auto" w:sz="4" w:space="0"/>
              <w:right w:val="single" w:color="auto" w:sz="4" w:space="0"/>
            </w:tcBorders>
            <w:vAlign w:val="center"/>
          </w:tcPr>
          <w:p>
            <w:pPr>
              <w:adjustRightInd w:val="0"/>
              <w:snapToGrid w:val="0"/>
              <w:spacing w:line="240" w:lineRule="auto"/>
              <w:rPr>
                <w:spacing w:val="0"/>
                <w:position w:val="0"/>
                <w:sz w:val="21"/>
                <w:szCs w:val="21"/>
              </w:rPr>
            </w:pPr>
            <w:r>
              <w:rPr>
                <w:rFonts w:hint="eastAsia"/>
                <w:spacing w:val="0"/>
                <w:position w:val="0"/>
                <w:sz w:val="21"/>
                <w:szCs w:val="21"/>
              </w:rPr>
              <w:t>本项目</w:t>
            </w:r>
            <w:r>
              <w:rPr>
                <w:rFonts w:hint="eastAsia"/>
                <w:spacing w:val="0"/>
                <w:position w:val="0"/>
                <w:sz w:val="21"/>
                <w:szCs w:val="21"/>
                <w:lang w:val="en-US" w:eastAsia="zh-CN"/>
              </w:rPr>
              <w:t>挥发性有机物</w:t>
            </w:r>
            <w:r>
              <w:rPr>
                <w:rFonts w:hint="eastAsia"/>
                <w:spacing w:val="0"/>
                <w:position w:val="0"/>
                <w:sz w:val="21"/>
                <w:szCs w:val="21"/>
                <w:lang w:eastAsia="zh-CN"/>
              </w:rPr>
              <w:t>均通过废气处理设施进行治理，治理后通过</w:t>
            </w:r>
            <w:r>
              <w:rPr>
                <w:rFonts w:hint="eastAsia"/>
                <w:spacing w:val="0"/>
                <w:position w:val="0"/>
                <w:sz w:val="21"/>
                <w:szCs w:val="21"/>
                <w:lang w:val="en-US" w:eastAsia="zh-CN"/>
              </w:rPr>
              <w:t>30m高排气筒排放，按80%处理效率计算能</w:t>
            </w:r>
            <w:r>
              <w:rPr>
                <w:rFonts w:hint="eastAsia"/>
                <w:spacing w:val="0"/>
                <w:position w:val="0"/>
                <w:sz w:val="21"/>
                <w:szCs w:val="21"/>
                <w:lang w:eastAsia="zh-CN"/>
              </w:rPr>
              <w:t>达到排放</w:t>
            </w:r>
            <w:r>
              <w:rPr>
                <w:rFonts w:hint="eastAsia"/>
                <w:spacing w:val="0"/>
                <w:position w:val="0"/>
                <w:sz w:val="21"/>
                <w:szCs w:val="21"/>
                <w:lang w:val="en-US" w:eastAsia="zh-CN"/>
              </w:rPr>
              <w:t>浓度</w:t>
            </w:r>
            <w:r>
              <w:rPr>
                <w:rFonts w:hint="eastAsia"/>
                <w:spacing w:val="0"/>
                <w:position w:val="0"/>
                <w:sz w:val="21"/>
                <w:szCs w:val="21"/>
                <w:lang w:eastAsia="zh-CN"/>
              </w:rPr>
              <w:t>限值</w:t>
            </w:r>
            <w:r>
              <w:rPr>
                <w:rFonts w:hint="eastAsia"/>
                <w:spacing w:val="0"/>
                <w:position w:val="0"/>
                <w:sz w:val="21"/>
                <w:szCs w:val="21"/>
              </w:rPr>
              <w:t>。</w:t>
            </w:r>
          </w:p>
        </w:tc>
        <w:tc>
          <w:tcPr>
            <w:tcW w:w="457" w:type="pct"/>
            <w:tcBorders>
              <w:left w:val="single" w:color="auto" w:sz="4" w:space="0"/>
            </w:tcBorders>
            <w:vAlign w:val="center"/>
          </w:tcPr>
          <w:p>
            <w:pPr>
              <w:adjustRightInd w:val="0"/>
              <w:snapToGrid w:val="0"/>
              <w:spacing w:line="240" w:lineRule="auto"/>
              <w:jc w:val="center"/>
              <w:rPr>
                <w:spacing w:val="0"/>
                <w:position w:val="0"/>
                <w:sz w:val="21"/>
                <w:szCs w:val="21"/>
              </w:rPr>
            </w:pPr>
            <w:r>
              <w:rPr>
                <w:rFonts w:hint="eastAsia"/>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jc w:val="center"/>
        </w:trPr>
        <w:tc>
          <w:tcPr>
            <w:tcW w:w="550" w:type="pct"/>
            <w:vAlign w:val="center"/>
          </w:tcPr>
          <w:p>
            <w:pPr>
              <w:adjustRightInd w:val="0"/>
              <w:snapToGrid w:val="0"/>
              <w:spacing w:line="240" w:lineRule="auto"/>
              <w:jc w:val="center"/>
              <w:rPr>
                <w:spacing w:val="0"/>
                <w:position w:val="0"/>
                <w:sz w:val="21"/>
                <w:szCs w:val="21"/>
              </w:rPr>
            </w:pPr>
            <w:r>
              <w:rPr>
                <w:rFonts w:hint="eastAsia"/>
                <w:spacing w:val="0"/>
                <w:position w:val="0"/>
                <w:sz w:val="21"/>
                <w:szCs w:val="21"/>
              </w:rPr>
              <w:t>挥发性有机物综合整治工程</w:t>
            </w:r>
          </w:p>
        </w:tc>
        <w:tc>
          <w:tcPr>
            <w:tcW w:w="2777" w:type="pct"/>
            <w:tcBorders>
              <w:right w:val="single" w:color="auto" w:sz="4" w:space="0"/>
            </w:tcBorders>
            <w:vAlign w:val="center"/>
          </w:tcPr>
          <w:p>
            <w:pPr>
              <w:adjustRightInd w:val="0"/>
              <w:snapToGrid w:val="0"/>
              <w:spacing w:line="240" w:lineRule="auto"/>
              <w:rPr>
                <w:rFonts w:hint="eastAsia"/>
                <w:spacing w:val="0"/>
                <w:position w:val="0"/>
                <w:sz w:val="21"/>
                <w:szCs w:val="21"/>
              </w:rPr>
            </w:pPr>
            <w:r>
              <w:rPr>
                <w:rFonts w:hint="eastAsia"/>
                <w:spacing w:val="0"/>
                <w:position w:val="0"/>
                <w:sz w:val="21"/>
                <w:szCs w:val="21"/>
              </w:rPr>
              <w:t>以石化、化工、化纤、纺织染整等行业为重点，实施涉挥发性有机物提标改造综合整治工程，全面提升废气收集率、治理设施同步运行率和去除率。</w:t>
            </w:r>
          </w:p>
          <w:p>
            <w:pPr>
              <w:adjustRightInd w:val="0"/>
              <w:snapToGrid w:val="0"/>
              <w:spacing w:line="240" w:lineRule="auto"/>
              <w:rPr>
                <w:spacing w:val="0"/>
                <w:position w:val="0"/>
                <w:sz w:val="21"/>
                <w:szCs w:val="21"/>
              </w:rPr>
            </w:pPr>
            <w:r>
              <w:rPr>
                <w:rFonts w:hint="eastAsia"/>
                <w:spacing w:val="0"/>
                <w:position w:val="0"/>
                <w:sz w:val="21"/>
                <w:szCs w:val="21"/>
              </w:rPr>
              <w:t>严格涉VOCs建设项目准入，新、改、扩建涉VOCs排放项目，应使用低（无）VOCs涂料、粘胶剂等，实行新建项目挥发性有机物排放区域内1.2及以上倍量替代。VOCs年排放量大于5吨的新建项目投运前应安装VOCs在线监控设备，并接入市生态云平台。</w:t>
            </w:r>
          </w:p>
        </w:tc>
        <w:tc>
          <w:tcPr>
            <w:tcW w:w="1214" w:type="pct"/>
            <w:tcBorders>
              <w:left w:val="single" w:color="auto" w:sz="4" w:space="0"/>
              <w:right w:val="single" w:color="auto" w:sz="4" w:space="0"/>
            </w:tcBorders>
            <w:vAlign w:val="center"/>
          </w:tcPr>
          <w:p>
            <w:pPr>
              <w:adjustRightInd w:val="0"/>
              <w:snapToGrid w:val="0"/>
              <w:spacing w:line="240" w:lineRule="auto"/>
              <w:rPr>
                <w:spacing w:val="0"/>
                <w:position w:val="0"/>
                <w:sz w:val="21"/>
                <w:szCs w:val="21"/>
              </w:rPr>
            </w:pPr>
            <w:r>
              <w:rPr>
                <w:rFonts w:hint="eastAsia"/>
                <w:spacing w:val="0"/>
                <w:kern w:val="0"/>
                <w:position w:val="0"/>
                <w:sz w:val="21"/>
                <w:szCs w:val="21"/>
              </w:rPr>
              <w:t>本</w:t>
            </w:r>
            <w:r>
              <w:rPr>
                <w:spacing w:val="0"/>
                <w:position w:val="0"/>
                <w:sz w:val="21"/>
                <w:szCs w:val="21"/>
              </w:rPr>
              <w:t>项目</w:t>
            </w:r>
            <w:r>
              <w:rPr>
                <w:rFonts w:hint="eastAsia"/>
                <w:spacing w:val="0"/>
                <w:position w:val="0"/>
                <w:sz w:val="21"/>
                <w:szCs w:val="21"/>
              </w:rPr>
              <w:t>未取得总量控制指标之前，不投入生产，本项目VOCs</w:t>
            </w:r>
            <w:r>
              <w:rPr>
                <w:rFonts w:hint="eastAsia"/>
                <w:spacing w:val="0"/>
                <w:position w:val="0"/>
                <w:sz w:val="21"/>
                <w:szCs w:val="21"/>
                <w:lang w:val="en-US" w:eastAsia="zh-CN"/>
              </w:rPr>
              <w:t>排放</w:t>
            </w:r>
            <w:r>
              <w:rPr>
                <w:rFonts w:hint="eastAsia"/>
                <w:spacing w:val="0"/>
                <w:position w:val="0"/>
                <w:sz w:val="21"/>
                <w:szCs w:val="21"/>
                <w:lang w:eastAsia="zh-CN"/>
              </w:rPr>
              <w:t>按照区域管理要求实行倍量替代，</w:t>
            </w:r>
            <w:r>
              <w:rPr>
                <w:rFonts w:hint="eastAsia"/>
                <w:spacing w:val="0"/>
                <w:position w:val="0"/>
                <w:sz w:val="21"/>
                <w:szCs w:val="21"/>
                <w:lang w:val="en-US" w:eastAsia="zh-CN"/>
              </w:rPr>
              <w:t>并按要求安装VOCs在线监控设备</w:t>
            </w:r>
            <w:r>
              <w:rPr>
                <w:rFonts w:hint="eastAsia"/>
                <w:spacing w:val="0"/>
                <w:position w:val="0"/>
                <w:sz w:val="21"/>
                <w:szCs w:val="21"/>
              </w:rPr>
              <w:t>。</w:t>
            </w:r>
          </w:p>
        </w:tc>
        <w:tc>
          <w:tcPr>
            <w:tcW w:w="457" w:type="pct"/>
            <w:tcBorders>
              <w:left w:val="single" w:color="auto" w:sz="4" w:space="0"/>
            </w:tcBorders>
            <w:vAlign w:val="center"/>
          </w:tcPr>
          <w:p>
            <w:pPr>
              <w:adjustRightInd w:val="0"/>
              <w:snapToGrid w:val="0"/>
              <w:spacing w:line="240" w:lineRule="auto"/>
              <w:jc w:val="center"/>
              <w:rPr>
                <w:spacing w:val="0"/>
                <w:position w:val="0"/>
                <w:sz w:val="21"/>
                <w:szCs w:val="21"/>
              </w:rPr>
            </w:pPr>
            <w:r>
              <w:rPr>
                <w:rFonts w:hint="eastAsia"/>
                <w:spacing w:val="0"/>
                <w:position w:val="0"/>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val="0"/>
          <w:bCs w:val="0"/>
          <w:spacing w:val="0"/>
          <w:position w:val="0"/>
          <w:sz w:val="24"/>
          <w:szCs w:val="24"/>
          <w:lang w:val="en-US" w:eastAsia="zh-CN"/>
        </w:rPr>
      </w:pPr>
      <w:r>
        <w:rPr>
          <w:rFonts w:hint="eastAsia"/>
          <w:b w:val="0"/>
          <w:bCs w:val="0"/>
          <w:spacing w:val="0"/>
          <w:position w:val="0"/>
          <w:sz w:val="24"/>
          <w:szCs w:val="24"/>
          <w:lang w:val="en-US" w:eastAsia="zh-CN"/>
        </w:rPr>
        <w:t>综上所述，拟建项目符合《福州市“十四五”节能减排综合工作实施方案》的相关要求。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3.7.2.7与《福州市生态环境局关于开展福州市重点行业挥发性有机物综合治理工作（VOCs2.0）的通知》符合性分析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val="0"/>
          <w:bCs w:val="0"/>
          <w:spacing w:val="0"/>
          <w:position w:val="0"/>
          <w:sz w:val="24"/>
          <w:szCs w:val="24"/>
          <w:lang w:val="en-US" w:eastAsia="zh-CN"/>
        </w:rPr>
      </w:pPr>
      <w:r>
        <w:rPr>
          <w:rFonts w:hint="default" w:eastAsia="宋体"/>
          <w:b w:val="0"/>
          <w:bCs w:val="0"/>
          <w:spacing w:val="0"/>
          <w:position w:val="0"/>
          <w:sz w:val="24"/>
          <w:szCs w:val="24"/>
          <w:lang w:val="en-US" w:eastAsia="zh-CN"/>
        </w:rPr>
        <w:t>根据《福州市生态环境局关于开展福州市重点行业挥发性有机物综合治理工作（VOCs2.0）的通知》榕环保综〔2021〕100号，工作方案指出以石化、化工、工业涂装、包装印刷、制鞋、橡胶和塑料制品、油品储运销、涂料油墨胶黏剂清洗剂使用、农副食品加工、半导体、印染、合成革、钢铁等13个行业为重点，开展全市挥发性有机物综合治理，实现十四五期间挥发性有机物排放量下降6%的目标，有效提升全市挥发性有机物治理体系和治理能力。工作内容主要为：（一）全面对标对表，落实综合治理；（二）先行先试，创新减排；（三）严格审批，加强管控。根据其附件3《福州市重点行业挥发性有机物治理任务对照表》</w:t>
      </w:r>
      <w:r>
        <w:rPr>
          <w:rFonts w:hint="eastAsia"/>
          <w:b w:val="0"/>
          <w:bCs w:val="0"/>
          <w:spacing w:val="0"/>
          <w:position w:val="0"/>
          <w:sz w:val="24"/>
          <w:szCs w:val="24"/>
          <w:lang w:val="en-US" w:eastAsia="zh-CN"/>
        </w:rPr>
        <w:t>中11、印染行业必要要求</w:t>
      </w:r>
      <w:r>
        <w:rPr>
          <w:rFonts w:hint="default" w:eastAsia="宋体"/>
          <w:b w:val="0"/>
          <w:bCs w:val="0"/>
          <w:spacing w:val="0"/>
          <w:position w:val="0"/>
          <w:sz w:val="24"/>
          <w:szCs w:val="24"/>
          <w:lang w:val="en-US" w:eastAsia="zh-CN"/>
        </w:rPr>
        <w:t>进行符合性分析。</w:t>
      </w:r>
    </w:p>
    <w:p>
      <w:pPr>
        <w:spacing w:line="240" w:lineRule="auto"/>
        <w:jc w:val="center"/>
        <w:rPr>
          <w:rFonts w:hint="eastAsia" w:eastAsia="宋体"/>
          <w:b/>
          <w:bCs/>
          <w:spacing w:val="0"/>
          <w:position w:val="0"/>
          <w:lang w:eastAsia="zh-CN"/>
        </w:rPr>
      </w:pPr>
      <w:r>
        <w:rPr>
          <w:rFonts w:hint="eastAsia"/>
          <w:b/>
          <w:bCs/>
          <w:spacing w:val="0"/>
          <w:position w:val="0"/>
          <w:sz w:val="24"/>
          <w:szCs w:val="24"/>
        </w:rPr>
        <w:t>表</w:t>
      </w:r>
      <w:r>
        <w:rPr>
          <w:rFonts w:hint="eastAsia"/>
          <w:b/>
          <w:bCs/>
          <w:spacing w:val="0"/>
          <w:position w:val="0"/>
          <w:sz w:val="24"/>
          <w:szCs w:val="24"/>
          <w:lang w:val="en-US" w:eastAsia="zh-CN"/>
        </w:rPr>
        <w:t>3.7-10</w:t>
      </w:r>
      <w:r>
        <w:rPr>
          <w:rFonts w:hint="eastAsia"/>
          <w:b/>
          <w:bCs/>
          <w:spacing w:val="0"/>
          <w:position w:val="0"/>
          <w:sz w:val="24"/>
          <w:szCs w:val="24"/>
        </w:rPr>
        <w:t>福州市重点行业挥发性有机物治理任务对照表</w:t>
      </w:r>
      <w:r>
        <w:rPr>
          <w:rFonts w:hint="eastAsia"/>
          <w:b/>
          <w:bCs/>
          <w:spacing w:val="0"/>
          <w:position w:val="0"/>
          <w:sz w:val="24"/>
          <w:szCs w:val="24"/>
          <w:lang w:eastAsia="zh-CN"/>
        </w:rPr>
        <w:t>（摘录）</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1"/>
        <w:gridCol w:w="894"/>
        <w:gridCol w:w="1537"/>
        <w:gridCol w:w="1980"/>
        <w:gridCol w:w="1198"/>
        <w:gridCol w:w="2115"/>
        <w:gridCol w:w="4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vertAlign w:val="baseline"/>
                <w:lang w:val="en-US" w:eastAsia="zh-CN"/>
              </w:rPr>
            </w:pPr>
            <w:r>
              <w:rPr>
                <w:rFonts w:hint="eastAsia" w:ascii="Times New Roman" w:hAnsi="Times New Roman" w:eastAsia="宋体"/>
                <w:b/>
                <w:bCs/>
                <w:spacing w:val="0"/>
                <w:position w:val="0"/>
                <w:sz w:val="21"/>
                <w:vertAlign w:val="baseline"/>
                <w:lang w:val="en-US" w:eastAsia="zh-CN"/>
              </w:rPr>
              <w:t>序号</w:t>
            </w:r>
          </w:p>
        </w:tc>
        <w:tc>
          <w:tcPr>
            <w:tcW w:w="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vertAlign w:val="baseline"/>
                <w:lang w:val="en-US" w:eastAsia="zh-CN"/>
              </w:rPr>
            </w:pPr>
            <w:r>
              <w:rPr>
                <w:rFonts w:hint="eastAsia" w:ascii="Times New Roman" w:hAnsi="Times New Roman" w:eastAsia="宋体"/>
                <w:b/>
                <w:bCs/>
                <w:spacing w:val="0"/>
                <w:position w:val="0"/>
                <w:sz w:val="21"/>
                <w:vertAlign w:val="baseline"/>
                <w:lang w:val="en-US" w:eastAsia="zh-CN"/>
              </w:rPr>
              <w:t>环节</w:t>
            </w:r>
          </w:p>
        </w:tc>
        <w:tc>
          <w:tcPr>
            <w:tcW w:w="471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vertAlign w:val="baseline"/>
                <w:lang w:val="en-US" w:eastAsia="zh-CN"/>
              </w:rPr>
            </w:pPr>
            <w:r>
              <w:rPr>
                <w:rFonts w:hint="eastAsia" w:ascii="Times New Roman" w:hAnsi="Times New Roman" w:eastAsia="宋体"/>
                <w:b/>
                <w:bCs/>
                <w:spacing w:val="0"/>
                <w:position w:val="0"/>
                <w:sz w:val="21"/>
                <w:vertAlign w:val="baseline"/>
                <w:lang w:val="en-US" w:eastAsia="zh-CN"/>
              </w:rPr>
              <w:t>治理任务</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vertAlign w:val="baseline"/>
                <w:lang w:val="en-US" w:eastAsia="zh-CN"/>
              </w:rPr>
            </w:pPr>
            <w:r>
              <w:rPr>
                <w:rFonts w:hint="eastAsia" w:ascii="Times New Roman" w:hAnsi="Times New Roman" w:eastAsia="宋体"/>
                <w:b/>
                <w:bCs/>
                <w:spacing w:val="0"/>
                <w:position w:val="0"/>
                <w:sz w:val="21"/>
                <w:vertAlign w:val="baseline"/>
                <w:lang w:val="en-US" w:eastAsia="zh-CN"/>
              </w:rPr>
              <w:t>本项目情况</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vertAlign w:val="baseline"/>
                <w:lang w:val="en-US" w:eastAsia="zh-CN"/>
              </w:rPr>
            </w:pPr>
            <w:r>
              <w:rPr>
                <w:rFonts w:hint="eastAsia" w:ascii="Times New Roman" w:hAnsi="Times New Roman" w:eastAsia="宋体"/>
                <w:b/>
                <w:bCs/>
                <w:spacing w:val="0"/>
                <w:position w:val="0"/>
                <w:sz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689"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过程控制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w:t>
            </w:r>
          </w:p>
        </w:tc>
        <w:tc>
          <w:tcPr>
            <w:tcW w:w="89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装载</w:t>
            </w:r>
          </w:p>
        </w:tc>
        <w:tc>
          <w:tcPr>
            <w:tcW w:w="471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统计装卸的物料类型、装载量、油气回收量，装载方式、密封型式、压紧方式及治理设施建设情况、工艺类型和运行情况（排放浓度、排放速率和去除效率），建立装卸统计清单</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本评价要求建设单位建立装卸统计清单</w:t>
            </w:r>
          </w:p>
        </w:tc>
        <w:tc>
          <w:tcPr>
            <w:tcW w:w="4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2</w:t>
            </w:r>
          </w:p>
        </w:tc>
        <w:tc>
          <w:tcPr>
            <w:tcW w:w="8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spacing w:val="0"/>
                <w:position w:val="0"/>
                <w:sz w:val="21"/>
                <w:szCs w:val="21"/>
              </w:rPr>
            </w:pPr>
          </w:p>
        </w:tc>
        <w:tc>
          <w:tcPr>
            <w:tcW w:w="471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spacing w:val="0"/>
                <w:position w:val="0"/>
                <w:sz w:val="21"/>
              </w:rPr>
              <w:t>挥发性有机液体采用底部装载方式；采用顶部浸没式装载，出料管口距离槽（罐）底部高度小于200mm</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本项目挥发性有机液体均</w:t>
            </w:r>
            <w:r>
              <w:rPr>
                <w:rFonts w:hint="default" w:ascii="Times New Roman" w:hAnsi="Times New Roman" w:eastAsia="宋体"/>
                <w:spacing w:val="0"/>
                <w:position w:val="0"/>
                <w:sz w:val="21"/>
                <w:vertAlign w:val="baseline"/>
                <w:lang w:val="en-US" w:eastAsia="zh-CN"/>
              </w:rPr>
              <w:t>采用底部装载方式</w:t>
            </w:r>
          </w:p>
        </w:tc>
        <w:tc>
          <w:tcPr>
            <w:tcW w:w="4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3</w:t>
            </w:r>
          </w:p>
        </w:tc>
        <w:tc>
          <w:tcPr>
            <w:tcW w:w="89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spacing w:val="0"/>
                <w:position w:val="0"/>
                <w:sz w:val="21"/>
                <w:szCs w:val="21"/>
                <w:lang w:val="en-US" w:eastAsia="zh-CN"/>
              </w:rPr>
            </w:pPr>
            <w:r>
              <w:rPr>
                <w:rFonts w:hint="eastAsia" w:ascii="Times New Roman" w:hAnsi="Times New Roman" w:eastAsia="宋体" w:cs="宋体"/>
                <w:spacing w:val="0"/>
                <w:position w:val="0"/>
                <w:sz w:val="21"/>
                <w:szCs w:val="21"/>
                <w:lang w:val="en-US" w:eastAsia="zh-CN"/>
              </w:rPr>
              <w:t>投料</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粉状、粒状VOCs物料采用气力输送方式或采用密闭固体投料器等给料方式密闭投加；</w:t>
            </w:r>
          </w:p>
          <w:p>
            <w:pPr>
              <w:keepNext w:val="0"/>
              <w:keepLines w:val="0"/>
              <w:pageBreakBefore w:val="0"/>
              <w:widowControl/>
              <w:kinsoku/>
              <w:wordWrap/>
              <w:overflowPunct/>
              <w:topLinePunct w:val="0"/>
              <w:bidi w:val="0"/>
              <w:adjustRightInd w:val="0"/>
              <w:snapToGrid w:val="0"/>
              <w:spacing w:line="280" w:lineRule="exact"/>
              <w:textAlignment w:val="center"/>
              <w:rPr>
                <w:rFonts w:hint="eastAsia" w:ascii="Times New Roman" w:hAnsi="Times New Roman" w:eastAsia="宋体"/>
                <w:spacing w:val="0"/>
                <w:position w:val="0"/>
                <w:sz w:val="21"/>
              </w:rPr>
            </w:pPr>
            <w:r>
              <w:rPr>
                <w:rFonts w:hint="eastAsia" w:ascii="Times New Roman" w:hAnsi="Times New Roman" w:eastAsia="宋体" w:cs="宋体"/>
                <w:spacing w:val="0"/>
                <w:position w:val="0"/>
                <w:sz w:val="21"/>
                <w:szCs w:val="21"/>
              </w:rPr>
              <w:t>无法密闭投加的，在密闭空间内操作，或进行局部气体收集，废气排至除尘设施、VOCs废气收集处理系统</w:t>
            </w:r>
          </w:p>
        </w:tc>
        <w:tc>
          <w:tcPr>
            <w:tcW w:w="211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本项目设置助剂输送系统，其为密闭空间，本项目粉状VOCs物料与液体在染料桶内进行调配后，再通过桶泵方式密闭投加至染缸内，其操作均在密闭空间内进行。</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4</w:t>
            </w:r>
          </w:p>
        </w:tc>
        <w:tc>
          <w:tcPr>
            <w:tcW w:w="8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spacing w:val="0"/>
                <w:position w:val="0"/>
                <w:sz w:val="21"/>
                <w:szCs w:val="21"/>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液态VOCs物料采用密闭管道输送方式或采用高位槽（罐）、桶泵等给料方式密闭投加；</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spacing w:val="0"/>
                <w:position w:val="0"/>
                <w:sz w:val="21"/>
              </w:rPr>
            </w:pPr>
            <w:r>
              <w:rPr>
                <w:rFonts w:hint="eastAsia" w:ascii="Times New Roman" w:hAnsi="Times New Roman" w:eastAsia="宋体" w:cs="宋体"/>
                <w:spacing w:val="0"/>
                <w:position w:val="0"/>
                <w:sz w:val="21"/>
                <w:szCs w:val="21"/>
              </w:rPr>
              <w:t>无法密闭投加的，在密闭空间内操作，或进行局部气体收集，废气排至VOCs废气收集处理系统</w:t>
            </w:r>
          </w:p>
        </w:tc>
        <w:tc>
          <w:tcPr>
            <w:tcW w:w="21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5</w:t>
            </w:r>
          </w:p>
        </w:tc>
        <w:tc>
          <w:tcPr>
            <w:tcW w:w="89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调配、印刷、印染、涂胶、复合、贴合、热压、干燥、清洗</w:t>
            </w:r>
          </w:p>
        </w:tc>
        <w:tc>
          <w:tcPr>
            <w:tcW w:w="471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Times New Roman" w:hAnsi="Times New Roman" w:eastAsia="宋体"/>
                <w:spacing w:val="0"/>
                <w:position w:val="0"/>
                <w:sz w:val="21"/>
              </w:rPr>
            </w:pPr>
            <w:r>
              <w:rPr>
                <w:rFonts w:hint="eastAsia" w:ascii="Times New Roman" w:hAnsi="Times New Roman" w:eastAsia="宋体"/>
                <w:spacing w:val="0"/>
                <w:position w:val="0"/>
                <w:sz w:val="21"/>
              </w:rPr>
              <w:t>使用VOCs质量占比大于等于10%的含VOCs产品，其使用过程采用密闭设备或在密闭空间内操作，废气排至VOCs废气收集处理系统；</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Times New Roman" w:hAnsi="Times New Roman" w:eastAsia="宋体"/>
                <w:spacing w:val="0"/>
                <w:position w:val="0"/>
                <w:sz w:val="21"/>
              </w:rPr>
            </w:pPr>
            <w:r>
              <w:rPr>
                <w:rFonts w:hint="eastAsia" w:ascii="Times New Roman" w:hAnsi="Times New Roman" w:eastAsia="宋体"/>
                <w:spacing w:val="0"/>
                <w:position w:val="0"/>
                <w:sz w:val="21"/>
              </w:rPr>
              <w:t>无法密闭的，采取局部气体收集措施，废气排至VOCs废气收集处理系统</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本项目无法密闭的工艺，如印花、蒸化环节，其采取集气罩方式收集废气，废气收集后进入废气处理设施进行处理。</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689"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末端治理设施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6</w:t>
            </w:r>
          </w:p>
        </w:tc>
        <w:tc>
          <w:tcPr>
            <w:tcW w:w="8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收集净化</w:t>
            </w:r>
          </w:p>
        </w:tc>
        <w:tc>
          <w:tcPr>
            <w:tcW w:w="471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产生大气污染物的生产工艺和装置设立局部或整体气体收集系统和净化处理装置</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本项目产生的废气均能进行有效治理</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7</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cs="宋体"/>
                <w:spacing w:val="0"/>
                <w:position w:val="0"/>
                <w:sz w:val="21"/>
                <w:szCs w:val="21"/>
              </w:rPr>
              <w:t>治理设施较生产设备“先启后停"，即在治理设施达到正常运行条件后方可启动生产设备，在生产设备停止、残留VOCs废气收集处理完毕后，方可停运治理设施</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本评价要求建设单位做到</w:t>
            </w:r>
            <w:r>
              <w:rPr>
                <w:rFonts w:hint="eastAsia" w:ascii="Times New Roman" w:hAnsi="Times New Roman" w:eastAsia="宋体" w:cs="宋体"/>
                <w:spacing w:val="0"/>
                <w:position w:val="0"/>
                <w:sz w:val="21"/>
                <w:szCs w:val="21"/>
              </w:rPr>
              <w:t>治理设施较生产设备“先启后停</w:t>
            </w:r>
            <w:r>
              <w:rPr>
                <w:rFonts w:hint="eastAsia" w:cs="宋体"/>
                <w:spacing w:val="0"/>
                <w:position w:val="0"/>
                <w:sz w:val="21"/>
                <w:szCs w:val="21"/>
                <w:lang w:eastAsia="zh-CN"/>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9"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8</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cs="宋体"/>
                <w:spacing w:val="0"/>
                <w:position w:val="0"/>
                <w:sz w:val="21"/>
                <w:szCs w:val="21"/>
              </w:rPr>
              <w:t>及时清理、更换吸附剂、吸收剂、催化剂、蓄热体、过滤棉、灯管、电器元件等治理设施耗材，确保设施能够稳定高效运行</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本项目定期对治理设施耗材进行清理，确保设施高效运行</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69"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9</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cs="宋体"/>
                <w:spacing w:val="0"/>
                <w:position w:val="0"/>
                <w:sz w:val="21"/>
                <w:szCs w:val="21"/>
              </w:rPr>
              <w:t>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本评价要求建设单位做好相关台账记录，产生的危险废物应交有资质的单位处理处置</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10</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对采用局部收集方式的企业，距废气收集系统排风罩开口面最远处的VOCs无组织排放位置控制风速不低于0.3m/s</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本评价要求无组织排放控制风速不低于</w:t>
            </w:r>
            <w:r>
              <w:rPr>
                <w:rFonts w:hint="eastAsia" w:ascii="Times New Roman" w:hAnsi="Times New Roman" w:eastAsia="宋体" w:cs="宋体"/>
                <w:spacing w:val="0"/>
                <w:position w:val="0"/>
                <w:sz w:val="21"/>
                <w:szCs w:val="21"/>
              </w:rPr>
              <w:t>0.3m/s</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11</w:t>
            </w:r>
          </w:p>
        </w:tc>
        <w:tc>
          <w:tcPr>
            <w:tcW w:w="8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有机废气</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对治理设施建设情况、工艺类型、处理能力、运行时间、运行参数、耗材或药剂更换情况、能源消耗情况和废过滤棉、废催化剂、废吸附剂、废吸收剂、废有机溶剂等二次污染物规范化处置情况进行检查，建立VOCs治理设施清单</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w:t>
            </w:r>
            <w:r>
              <w:rPr>
                <w:rFonts w:hint="default" w:ascii="Times New Roman" w:hAnsi="Times New Roman" w:eastAsia="宋体"/>
                <w:spacing w:val="0"/>
                <w:position w:val="0"/>
                <w:sz w:val="21"/>
                <w:vertAlign w:val="baseline"/>
                <w:lang w:val="en-US" w:eastAsia="zh-CN"/>
              </w:rPr>
              <w:t>评价要求建设单位定期对项目生产设备、更换的耗材、生产情况、废气处理设备进行检查，建立VOCs治理设施清单</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7"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12</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eastAsia" w:ascii="Times New Roman" w:hAnsi="Times New Roman" w:eastAsia="宋体" w:cs="宋体"/>
                <w:spacing w:val="0"/>
                <w:position w:val="0"/>
                <w:sz w:val="21"/>
                <w:szCs w:val="21"/>
                <w:vertAlign w:val="superscript"/>
              </w:rPr>
              <w:t>2</w:t>
            </w:r>
            <w:r>
              <w:rPr>
                <w:rFonts w:hint="eastAsia" w:ascii="Times New Roman" w:hAnsi="Times New Roman" w:eastAsia="宋体" w:cs="宋体"/>
                <w:spacing w:val="0"/>
                <w:position w:val="0"/>
                <w:sz w:val="21"/>
                <w:szCs w:val="21"/>
              </w:rPr>
              <w:t>/g（BET法）。一次性活性炭吸附工艺宜采用颗粒活性炭作为吸附剂。活性炭、活性炭纤维产品销售时应提供产品质量证明材料</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w:t>
            </w:r>
            <w:r>
              <w:rPr>
                <w:rFonts w:hint="eastAsia"/>
                <w:spacing w:val="0"/>
                <w:position w:val="0"/>
                <w:sz w:val="21"/>
                <w:vertAlign w:val="baseline"/>
                <w:lang w:val="en-US" w:eastAsia="zh-CN"/>
              </w:rPr>
              <w:t>印染</w:t>
            </w:r>
            <w:r>
              <w:rPr>
                <w:rFonts w:hint="eastAsia" w:ascii="Times New Roman" w:hAnsi="Times New Roman" w:eastAsia="宋体"/>
                <w:spacing w:val="0"/>
                <w:position w:val="0"/>
                <w:sz w:val="21"/>
                <w:vertAlign w:val="baseline"/>
                <w:lang w:val="en-US" w:eastAsia="zh-CN"/>
              </w:rPr>
              <w:t>废气采取“热能回收+冷却+静电”工艺进行处理，暂不采取</w:t>
            </w:r>
            <w:r>
              <w:rPr>
                <w:rFonts w:hint="eastAsia" w:ascii="Times New Roman" w:hAnsi="Times New Roman" w:eastAsia="宋体" w:cs="宋体"/>
                <w:spacing w:val="0"/>
                <w:position w:val="0"/>
                <w:sz w:val="21"/>
                <w:szCs w:val="21"/>
              </w:rPr>
              <w:t>活性炭吸附工艺</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90"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13</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采用催化燃烧工艺的企业应使用合格的催化剂并足额添加，催化剂床层的设计空速宜低于40000h</w:t>
            </w:r>
            <w:r>
              <w:rPr>
                <w:rFonts w:hint="eastAsia" w:ascii="Times New Roman" w:hAnsi="Times New Roman" w:eastAsia="宋体" w:cs="宋体"/>
                <w:spacing w:val="0"/>
                <w:position w:val="0"/>
                <w:sz w:val="21"/>
                <w:szCs w:val="21"/>
                <w:vertAlign w:val="superscript"/>
              </w:rPr>
              <w:t>-1</w:t>
            </w:r>
            <w:r>
              <w:rPr>
                <w:rFonts w:hint="eastAsia" w:ascii="Times New Roman" w:hAnsi="Times New Roman" w:eastAsia="宋体" w:cs="宋体"/>
                <w:spacing w:val="0"/>
                <w:position w:val="0"/>
                <w:sz w:val="21"/>
                <w:szCs w:val="21"/>
              </w:rPr>
              <w:t>。采用非连续吸脱附治理工艺的，应按设计要求及时解吸吸附的VOCs，解吸气体应保证采用高效处理工艺处理后达标排放。蓄热式燃烧装置（RTO）燃烧温度一般不低于760℃,催化燃烧装置（CO）燃烧温度一般不低于300℃,相关温度参数应自动记录存储。</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w:t>
            </w:r>
            <w:r>
              <w:rPr>
                <w:rFonts w:hint="eastAsia"/>
                <w:spacing w:val="0"/>
                <w:position w:val="0"/>
                <w:sz w:val="21"/>
                <w:vertAlign w:val="baseline"/>
                <w:lang w:val="en-US" w:eastAsia="zh-CN"/>
              </w:rPr>
              <w:t>印染</w:t>
            </w:r>
            <w:r>
              <w:rPr>
                <w:rFonts w:hint="eastAsia" w:ascii="Times New Roman" w:hAnsi="Times New Roman" w:eastAsia="宋体"/>
                <w:spacing w:val="0"/>
                <w:position w:val="0"/>
                <w:sz w:val="21"/>
                <w:vertAlign w:val="baseline"/>
                <w:lang w:val="en-US" w:eastAsia="zh-CN"/>
              </w:rPr>
              <w:t>废气采取“热能回收+冷却+静电”工艺进行处理，暂不采取催化燃烧</w:t>
            </w:r>
            <w:r>
              <w:rPr>
                <w:rFonts w:hint="eastAsia" w:ascii="Times New Roman" w:hAnsi="Times New Roman" w:eastAsia="宋体" w:cs="宋体"/>
                <w:spacing w:val="0"/>
                <w:position w:val="0"/>
                <w:sz w:val="21"/>
                <w:szCs w:val="21"/>
              </w:rPr>
              <w:t>工艺</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41"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14</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废气处理设施吸附剂应及时再生或更换，冷凝温度以及系统压力、气体流量、装载量等相关参数应满足设计要求，装载作业排气经过回收处理后不能稳定达标的，应进一步优化治理设施或实施深度治理</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w:t>
            </w:r>
            <w:r>
              <w:rPr>
                <w:rFonts w:hint="default" w:ascii="Times New Roman" w:hAnsi="Times New Roman" w:eastAsia="宋体"/>
                <w:spacing w:val="0"/>
                <w:position w:val="0"/>
                <w:sz w:val="21"/>
                <w:vertAlign w:val="baseline"/>
                <w:lang w:val="en-US" w:eastAsia="zh-CN"/>
              </w:rPr>
              <w:t>评价要求废气处理设</w:t>
            </w:r>
            <w:r>
              <w:rPr>
                <w:rFonts w:hint="eastAsia" w:ascii="Times New Roman" w:hAnsi="Times New Roman" w:eastAsia="宋体"/>
                <w:spacing w:val="0"/>
                <w:position w:val="0"/>
                <w:sz w:val="21"/>
                <w:vertAlign w:val="baseline"/>
                <w:lang w:val="en-US" w:eastAsia="zh-CN"/>
              </w:rPr>
              <w:t>施</w:t>
            </w:r>
            <w:r>
              <w:rPr>
                <w:rFonts w:hint="default" w:ascii="Times New Roman" w:hAnsi="Times New Roman" w:eastAsia="宋体"/>
                <w:spacing w:val="0"/>
                <w:position w:val="0"/>
                <w:sz w:val="21"/>
                <w:vertAlign w:val="baseline"/>
                <w:lang w:val="en-US" w:eastAsia="zh-CN"/>
              </w:rPr>
              <w:t>相关</w:t>
            </w:r>
            <w:r>
              <w:rPr>
                <w:rFonts w:hint="eastAsia" w:ascii="Times New Roman" w:hAnsi="Times New Roman" w:eastAsia="宋体"/>
                <w:spacing w:val="0"/>
                <w:position w:val="0"/>
                <w:sz w:val="21"/>
                <w:vertAlign w:val="baseline"/>
                <w:lang w:val="en-US" w:eastAsia="zh-CN"/>
              </w:rPr>
              <w:t>设计</w:t>
            </w:r>
            <w:r>
              <w:rPr>
                <w:rFonts w:hint="default" w:ascii="Times New Roman" w:hAnsi="Times New Roman" w:eastAsia="宋体"/>
                <w:spacing w:val="0"/>
                <w:position w:val="0"/>
                <w:sz w:val="21"/>
                <w:vertAlign w:val="baseline"/>
                <w:lang w:val="en-US" w:eastAsia="zh-CN"/>
              </w:rPr>
              <w:t>参数应满足</w:t>
            </w:r>
            <w:r>
              <w:rPr>
                <w:rFonts w:hint="eastAsia" w:ascii="Times New Roman" w:hAnsi="Times New Roman" w:eastAsia="宋体"/>
                <w:spacing w:val="0"/>
                <w:position w:val="0"/>
                <w:sz w:val="21"/>
                <w:vertAlign w:val="baseline"/>
                <w:lang w:val="en-US" w:eastAsia="zh-CN"/>
              </w:rPr>
              <w:t>治理</w:t>
            </w:r>
            <w:r>
              <w:rPr>
                <w:rFonts w:hint="default" w:ascii="Times New Roman" w:hAnsi="Times New Roman" w:eastAsia="宋体"/>
                <w:spacing w:val="0"/>
                <w:position w:val="0"/>
                <w:sz w:val="21"/>
                <w:vertAlign w:val="baseline"/>
                <w:lang w:val="en-US" w:eastAsia="zh-CN"/>
              </w:rPr>
              <w:t>要求</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689"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特别控制要求与特别排放限值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15</w:t>
            </w:r>
          </w:p>
        </w:tc>
        <w:tc>
          <w:tcPr>
            <w:tcW w:w="8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储罐</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储存真实蒸气压≥76.6kPa的挥发性有机液体储罐，采用低压罐、压力罐或其他等效措施</w:t>
            </w:r>
          </w:p>
        </w:tc>
        <w:tc>
          <w:tcPr>
            <w:tcW w:w="211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本项目涉及储罐的设施为染料桶，染料桶内为常温常压，且体积不足75m</w:t>
            </w:r>
            <w:r>
              <w:rPr>
                <w:rFonts w:hint="eastAsia" w:ascii="Times New Roman" w:hAnsi="Times New Roman" w:eastAsia="宋体"/>
                <w:spacing w:val="0"/>
                <w:position w:val="0"/>
                <w:sz w:val="21"/>
                <w:vertAlign w:val="superscript"/>
                <w:lang w:val="en-US" w:eastAsia="zh-CN"/>
              </w:rPr>
              <w:t>3</w:t>
            </w:r>
            <w:r>
              <w:rPr>
                <w:rFonts w:hint="eastAsia" w:ascii="Times New Roman" w:hAnsi="Times New Roman" w:eastAsia="宋体"/>
                <w:spacing w:val="0"/>
                <w:position w:val="0"/>
                <w:sz w:val="21"/>
                <w:vertAlign w:val="baseline"/>
                <w:lang w:val="en-US" w:eastAsia="zh-CN"/>
              </w:rPr>
              <w:t>，因此无需执行该项规定</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1"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16</w:t>
            </w:r>
          </w:p>
        </w:tc>
        <w:tc>
          <w:tcPr>
            <w:tcW w:w="8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储存真实蒸气压≥27.6kPa但＜76.6kPa且储罐容积≥75m</w:t>
            </w:r>
            <w:r>
              <w:rPr>
                <w:rFonts w:hint="eastAsia" w:ascii="Times New Roman" w:hAnsi="Times New Roman" w:eastAsia="宋体" w:cs="宋体"/>
                <w:spacing w:val="0"/>
                <w:position w:val="0"/>
                <w:sz w:val="21"/>
                <w:szCs w:val="21"/>
                <w:vertAlign w:val="superscript"/>
              </w:rPr>
              <w:t>3</w:t>
            </w:r>
            <w:r>
              <w:rPr>
                <w:rFonts w:hint="eastAsia" w:ascii="Times New Roman" w:hAnsi="Times New Roman" w:eastAsia="宋体" w:cs="宋体"/>
                <w:spacing w:val="0"/>
                <w:position w:val="0"/>
                <w:sz w:val="21"/>
                <w:szCs w:val="21"/>
              </w:rPr>
              <w:t>的挥发性有机液体储罐，以及储存真实蒸气压≥5.2kPa但＜27.6kPa且储罐容积≥150m</w:t>
            </w:r>
            <w:r>
              <w:rPr>
                <w:rFonts w:hint="eastAsia" w:ascii="Times New Roman" w:hAnsi="Times New Roman" w:eastAsia="宋体" w:cs="宋体"/>
                <w:spacing w:val="0"/>
                <w:position w:val="0"/>
                <w:sz w:val="21"/>
                <w:szCs w:val="21"/>
                <w:vertAlign w:val="superscript"/>
              </w:rPr>
              <w:t>3</w:t>
            </w:r>
            <w:r>
              <w:rPr>
                <w:rFonts w:hint="eastAsia" w:ascii="Times New Roman" w:hAnsi="Times New Roman" w:eastAsia="宋体" w:cs="宋体"/>
                <w:spacing w:val="0"/>
                <w:position w:val="0"/>
                <w:sz w:val="21"/>
                <w:szCs w:val="21"/>
              </w:rPr>
              <w:t>的挥发性有机液体储罐，符合下列规定之一：</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a）采用固定顶罐，排放的废气收集处理达标排放，或者处理效率不低于90%；</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b）采用气相平衡系统</w:t>
            </w:r>
          </w:p>
        </w:tc>
        <w:tc>
          <w:tcPr>
            <w:tcW w:w="21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17</w:t>
            </w:r>
          </w:p>
        </w:tc>
        <w:tc>
          <w:tcPr>
            <w:tcW w:w="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装载</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textAlignment w:val="center"/>
              <w:rPr>
                <w:rFonts w:hint="eastAsia" w:ascii="Times New Roman" w:hAnsi="Times New Roman" w:eastAsia="宋体" w:cs="宋体"/>
                <w:spacing w:val="0"/>
                <w:position w:val="0"/>
                <w:sz w:val="21"/>
                <w:szCs w:val="21"/>
                <w:lang w:eastAsia="zh-CN"/>
              </w:rPr>
            </w:pPr>
            <w:r>
              <w:rPr>
                <w:rFonts w:hint="eastAsia" w:ascii="Times New Roman" w:hAnsi="Times New Roman" w:eastAsia="宋体" w:cs="宋体"/>
                <w:spacing w:val="0"/>
                <w:position w:val="0"/>
                <w:sz w:val="21"/>
                <w:szCs w:val="21"/>
              </w:rPr>
              <w:t>装载物料真实蒸气压≥27.6kPa且单一装载设施的年装载量≥500m</w:t>
            </w:r>
            <w:r>
              <w:rPr>
                <w:rFonts w:hint="eastAsia" w:ascii="Times New Roman" w:hAnsi="Times New Roman" w:eastAsia="宋体" w:cs="宋体"/>
                <w:spacing w:val="0"/>
                <w:position w:val="0"/>
                <w:sz w:val="21"/>
                <w:szCs w:val="21"/>
                <w:vertAlign w:val="superscript"/>
              </w:rPr>
              <w:t>3</w:t>
            </w:r>
            <w:r>
              <w:rPr>
                <w:rFonts w:hint="eastAsia" w:ascii="Times New Roman" w:hAnsi="Times New Roman" w:eastAsia="宋体" w:cs="宋体"/>
                <w:spacing w:val="0"/>
                <w:position w:val="0"/>
                <w:sz w:val="21"/>
                <w:szCs w:val="21"/>
              </w:rPr>
              <w:t>，以及装载物料真实蒸气压≥5.2kPa但＜27.6kPa且单一装载设施的年装载量≥2500m</w:t>
            </w:r>
            <w:r>
              <w:rPr>
                <w:rFonts w:hint="eastAsia" w:ascii="Times New Roman" w:hAnsi="Times New Roman" w:eastAsia="宋体" w:cs="宋体"/>
                <w:spacing w:val="0"/>
                <w:position w:val="0"/>
                <w:sz w:val="21"/>
                <w:szCs w:val="21"/>
                <w:vertAlign w:val="superscript"/>
              </w:rPr>
              <w:t>3</w:t>
            </w:r>
            <w:r>
              <w:rPr>
                <w:rFonts w:hint="eastAsia" w:ascii="Times New Roman" w:hAnsi="Times New Roman" w:eastAsia="宋体" w:cs="宋体"/>
                <w:spacing w:val="0"/>
                <w:position w:val="0"/>
                <w:sz w:val="21"/>
                <w:szCs w:val="21"/>
              </w:rPr>
              <w:t>的，装载过程符合下列规定之一：</w:t>
            </w:r>
          </w:p>
          <w:p>
            <w:pPr>
              <w:keepNext w:val="0"/>
              <w:keepLines w:val="0"/>
              <w:pageBreakBefore w:val="0"/>
              <w:widowControl/>
              <w:kinsoku/>
              <w:wordWrap/>
              <w:overflowPunct/>
              <w:topLinePunct w:val="0"/>
              <w:bidi w:val="0"/>
              <w:adjustRightInd w:val="0"/>
              <w:snapToGrid w:val="0"/>
              <w:spacing w:line="280" w:lineRule="exact"/>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a）排放的废气收集处理达标排放，或者处理效率不低于90%；</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b）排放的废气连接至气相平衡系统</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本项目单一装载设施的年装载量均不足500m</w:t>
            </w:r>
            <w:r>
              <w:rPr>
                <w:rFonts w:hint="eastAsia" w:ascii="Times New Roman" w:hAnsi="Times New Roman" w:eastAsia="宋体"/>
                <w:spacing w:val="0"/>
                <w:position w:val="0"/>
                <w:sz w:val="21"/>
                <w:vertAlign w:val="superscript"/>
                <w:lang w:val="en-US" w:eastAsia="zh-CN"/>
              </w:rPr>
              <w:t>3</w:t>
            </w:r>
            <w:r>
              <w:rPr>
                <w:rFonts w:hint="eastAsia" w:ascii="Times New Roman" w:hAnsi="Times New Roman" w:eastAsia="宋体"/>
                <w:spacing w:val="0"/>
                <w:position w:val="0"/>
                <w:sz w:val="21"/>
                <w:vertAlign w:val="baseline"/>
                <w:lang w:val="en-US" w:eastAsia="zh-CN"/>
              </w:rPr>
              <w:t>，因此无需执行该项规定</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18</w:t>
            </w:r>
          </w:p>
        </w:tc>
        <w:tc>
          <w:tcPr>
            <w:tcW w:w="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废水集输</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对于工艺过程排放的含VOCs废水，集输系统符合下列规定之一：</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a）采用密闭管道输送，接入口和排出口采取与环境空气隔离的措施；</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b）采用沟渠输送，若敞开液面上方100mm处VOCs检测浓度≥100</w:t>
            </w:r>
            <w:r>
              <w:rPr>
                <w:rFonts w:hint="default" w:ascii="Times New Roman" w:hAnsi="Times New Roman" w:eastAsia="宋体" w:cs="Times New Roman"/>
                <w:spacing w:val="0"/>
                <w:position w:val="0"/>
                <w:sz w:val="21"/>
                <w:szCs w:val="21"/>
              </w:rPr>
              <w:t>μ</w:t>
            </w:r>
            <w:r>
              <w:rPr>
                <w:rFonts w:hint="eastAsia" w:ascii="Times New Roman" w:hAnsi="Times New Roman" w:eastAsia="宋体" w:cs="宋体"/>
                <w:spacing w:val="0"/>
                <w:position w:val="0"/>
                <w:sz w:val="21"/>
                <w:szCs w:val="21"/>
              </w:rPr>
              <w:t>mol/mol，加盖密闭，接入口和排出口采取与环境空气隔离的措施</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本项目废水均为密闭管道输送，高、低浓度废水分别收集至生产厂房地下1层的高、低浓度废水收集池再统一泵送产业园污水处理厂处理，废水收集池均加盖密闭。</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19</w:t>
            </w:r>
          </w:p>
        </w:tc>
        <w:tc>
          <w:tcPr>
            <w:tcW w:w="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废水储存、处理</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含VOCs废水储存和处理设施敞开液面上方100mm处VOCs检测浓度≥100</w:t>
            </w:r>
            <w:r>
              <w:rPr>
                <w:rFonts w:hint="default" w:ascii="Times New Roman" w:hAnsi="Times New Roman" w:eastAsia="宋体" w:cs="Times New Roman"/>
                <w:spacing w:val="0"/>
                <w:position w:val="0"/>
                <w:sz w:val="21"/>
                <w:szCs w:val="21"/>
              </w:rPr>
              <w:t>μ</w:t>
            </w:r>
            <w:r>
              <w:rPr>
                <w:rFonts w:hint="eastAsia" w:ascii="Times New Roman" w:hAnsi="Times New Roman" w:eastAsia="宋体" w:cs="宋体"/>
                <w:spacing w:val="0"/>
                <w:position w:val="0"/>
                <w:sz w:val="21"/>
                <w:szCs w:val="21"/>
              </w:rPr>
              <w:t>mol/mol，符合下列规定之一：</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a）采用浮动顶盖；</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b）采用固定顶盖，收集废气至VOCs废气收集处理系统</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本项目无废水处理设施，仅有高、低浓度废水收集池，其收集的污水在场内暂存时间很短，边进边出，几乎没有VOCs废气的影响。</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20</w:t>
            </w:r>
          </w:p>
        </w:tc>
        <w:tc>
          <w:tcPr>
            <w:tcW w:w="8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有机废气</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收集的废气中NMHC初始排放速率≥2kg/h时，配置VOCs处理设施，处理效率不低于80%；</w:t>
            </w:r>
          </w:p>
          <w:p>
            <w:pPr>
              <w:keepNext w:val="0"/>
              <w:keepLines w:val="0"/>
              <w:pageBreakBefore w:val="0"/>
              <w:widowControl/>
              <w:kinsoku/>
              <w:wordWrap/>
              <w:overflowPunct/>
              <w:topLinePunct w:val="0"/>
              <w:bidi w:val="0"/>
              <w:adjustRightInd w:val="0"/>
              <w:snapToGrid w:val="0"/>
              <w:spacing w:line="280" w:lineRule="exact"/>
              <w:jc w:val="both"/>
              <w:textAlignment w:val="center"/>
              <w:rPr>
                <w:rFonts w:hint="eastAsia" w:ascii="Times New Roman" w:hAnsi="Times New Roman" w:eastAsia="宋体" w:cs="宋体"/>
                <w:spacing w:val="0"/>
                <w:kern w:val="2"/>
                <w:position w:val="0"/>
                <w:sz w:val="21"/>
                <w:szCs w:val="21"/>
                <w:lang w:val="en-US" w:eastAsia="zh-CN" w:bidi="ar-SA"/>
              </w:rPr>
            </w:pPr>
            <w:r>
              <w:rPr>
                <w:rFonts w:hint="eastAsia" w:ascii="Times New Roman" w:hAnsi="Times New Roman" w:eastAsia="宋体" w:cs="宋体"/>
                <w:spacing w:val="0"/>
                <w:position w:val="0"/>
                <w:sz w:val="21"/>
                <w:szCs w:val="21"/>
              </w:rPr>
              <w:t>采用的原辅材料符合国家有关低VOCs含量产品规定的除外</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经理论计算，本项目非甲烷总烃排放速率最大的为DA001排气筒，排气速率为1.8</w:t>
            </w:r>
            <w:r>
              <w:rPr>
                <w:rFonts w:hint="eastAsia"/>
                <w:spacing w:val="0"/>
                <w:position w:val="0"/>
                <w:sz w:val="21"/>
                <w:vertAlign w:val="baseline"/>
                <w:lang w:val="en-US" w:eastAsia="zh-CN"/>
              </w:rPr>
              <w:t>3</w:t>
            </w:r>
            <w:r>
              <w:rPr>
                <w:rFonts w:hint="eastAsia" w:ascii="Times New Roman" w:hAnsi="Times New Roman" w:eastAsia="宋体"/>
                <w:spacing w:val="0"/>
                <w:position w:val="0"/>
                <w:sz w:val="21"/>
                <w:vertAlign w:val="baseline"/>
                <w:lang w:val="en-US" w:eastAsia="zh-CN"/>
              </w:rPr>
              <w:t>kg/h。</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21</w:t>
            </w:r>
          </w:p>
        </w:tc>
        <w:tc>
          <w:tcPr>
            <w:tcW w:w="8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有机废气</w:t>
            </w: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污染物项目</w:t>
            </w:r>
          </w:p>
        </w:tc>
        <w:tc>
          <w:tcPr>
            <w:tcW w:w="19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jc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适用工序或生产工艺</w:t>
            </w: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限值</w:t>
            </w:r>
          </w:p>
          <w:p>
            <w:pPr>
              <w:pStyle w:val="50"/>
              <w:keepNext w:val="0"/>
              <w:keepLines w:val="0"/>
              <w:pageBreakBefore w:val="0"/>
              <w:widowControl w:val="0"/>
              <w:kinsoku/>
              <w:wordWrap/>
              <w:overflowPunct/>
              <w:topLinePunct w:val="0"/>
              <w:bidi w:val="0"/>
              <w:adjustRightInd w:val="0"/>
              <w:snapToGrid w:val="0"/>
              <w:spacing w:line="280" w:lineRule="exact"/>
              <w:jc w:val="center"/>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（mg/m</w:t>
            </w:r>
            <w:r>
              <w:rPr>
                <w:rFonts w:hint="eastAsia" w:ascii="Times New Roman" w:hAnsi="Times New Roman" w:eastAsia="宋体" w:cs="宋体"/>
                <w:spacing w:val="0"/>
                <w:position w:val="0"/>
                <w:sz w:val="21"/>
                <w:szCs w:val="21"/>
                <w:vertAlign w:val="superscript"/>
              </w:rPr>
              <w:t>3</w:t>
            </w:r>
            <w:r>
              <w:rPr>
                <w:rFonts w:hint="eastAsia" w:ascii="Times New Roman" w:hAnsi="Times New Roman" w:eastAsia="宋体" w:cs="宋体"/>
                <w:spacing w:val="0"/>
                <w:position w:val="0"/>
                <w:sz w:val="21"/>
                <w:szCs w:val="21"/>
              </w:rPr>
              <w:t>）</w:t>
            </w:r>
          </w:p>
        </w:tc>
        <w:tc>
          <w:tcPr>
            <w:tcW w:w="211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本项目参照执行浙江省地标参照浙江省地标《纺织染整工业大气污染物排放标准》（DB33/962-2015）（颗粒物≤15</w:t>
            </w:r>
            <w:r>
              <w:rPr>
                <w:rFonts w:ascii="Times New Roman" w:hAnsi="Times New Roman" w:eastAsia="宋体"/>
                <w:spacing w:val="0"/>
                <w:w w:val="100"/>
                <w:kern w:val="21"/>
                <w:position w:val="0"/>
                <w:sz w:val="21"/>
                <w:szCs w:val="21"/>
              </w:rPr>
              <w:t>mg/m</w:t>
            </w:r>
            <w:r>
              <w:rPr>
                <w:rFonts w:ascii="Times New Roman" w:hAnsi="Times New Roman" w:eastAsia="宋体"/>
                <w:spacing w:val="0"/>
                <w:w w:val="100"/>
                <w:kern w:val="21"/>
                <w:position w:val="0"/>
                <w:sz w:val="21"/>
                <w:szCs w:val="21"/>
                <w:vertAlign w:val="superscript"/>
              </w:rPr>
              <w:t>3</w:t>
            </w:r>
            <w:r>
              <w:rPr>
                <w:rFonts w:hint="eastAsia" w:ascii="Times New Roman" w:hAnsi="Times New Roman" w:eastAsia="宋体"/>
                <w:spacing w:val="0"/>
                <w:position w:val="0"/>
                <w:sz w:val="21"/>
                <w:vertAlign w:val="baseline"/>
                <w:lang w:val="en-US" w:eastAsia="zh-CN"/>
              </w:rPr>
              <w:t>，染整油烟≤15</w:t>
            </w:r>
            <w:r>
              <w:rPr>
                <w:rFonts w:ascii="Times New Roman" w:hAnsi="Times New Roman" w:eastAsia="宋体"/>
                <w:spacing w:val="0"/>
                <w:w w:val="100"/>
                <w:kern w:val="21"/>
                <w:position w:val="0"/>
                <w:sz w:val="21"/>
                <w:szCs w:val="21"/>
              </w:rPr>
              <w:t>mg/m</w:t>
            </w:r>
            <w:r>
              <w:rPr>
                <w:rFonts w:ascii="Times New Roman" w:hAnsi="Times New Roman" w:eastAsia="宋体"/>
                <w:spacing w:val="0"/>
                <w:w w:val="100"/>
                <w:kern w:val="21"/>
                <w:position w:val="0"/>
                <w:sz w:val="21"/>
                <w:szCs w:val="21"/>
                <w:vertAlign w:val="superscript"/>
              </w:rPr>
              <w:t>3</w:t>
            </w:r>
            <w:r>
              <w:rPr>
                <w:rFonts w:hint="eastAsia" w:ascii="Times New Roman" w:hAnsi="Times New Roman" w:eastAsia="宋体"/>
                <w:spacing w:val="0"/>
                <w:w w:val="100"/>
                <w:kern w:val="21"/>
                <w:position w:val="0"/>
                <w:sz w:val="21"/>
                <w:szCs w:val="21"/>
                <w:vertAlign w:val="baseline"/>
                <w:lang w:eastAsia="zh-CN"/>
              </w:rPr>
              <w:t>，</w:t>
            </w:r>
            <w:r>
              <w:rPr>
                <w:rFonts w:hint="eastAsia" w:ascii="Times New Roman" w:hAnsi="Times New Roman" w:eastAsia="宋体"/>
                <w:spacing w:val="0"/>
                <w:w w:val="100"/>
                <w:kern w:val="21"/>
                <w:position w:val="0"/>
                <w:sz w:val="21"/>
                <w:szCs w:val="21"/>
                <w:vertAlign w:val="baseline"/>
                <w:lang w:val="en-US" w:eastAsia="zh-CN"/>
              </w:rPr>
              <w:t>VOCs≤40</w:t>
            </w:r>
            <w:r>
              <w:rPr>
                <w:rFonts w:ascii="Times New Roman" w:hAnsi="Times New Roman" w:eastAsia="宋体"/>
                <w:spacing w:val="0"/>
                <w:w w:val="100"/>
                <w:kern w:val="21"/>
                <w:position w:val="0"/>
                <w:sz w:val="21"/>
                <w:szCs w:val="21"/>
              </w:rPr>
              <w:t>mg/m</w:t>
            </w:r>
            <w:r>
              <w:rPr>
                <w:rFonts w:ascii="Times New Roman" w:hAnsi="Times New Roman" w:eastAsia="宋体"/>
                <w:spacing w:val="0"/>
                <w:w w:val="100"/>
                <w:kern w:val="21"/>
                <w:position w:val="0"/>
                <w:sz w:val="21"/>
                <w:szCs w:val="21"/>
                <w:vertAlign w:val="superscript"/>
              </w:rPr>
              <w:t>3</w:t>
            </w:r>
            <w:r>
              <w:rPr>
                <w:rFonts w:hint="eastAsia" w:ascii="Times New Roman" w:hAnsi="Times New Roman" w:eastAsia="宋体"/>
                <w:spacing w:val="0"/>
                <w:position w:val="0"/>
                <w:sz w:val="21"/>
                <w:vertAlign w:val="baseline"/>
                <w:lang w:val="en-US" w:eastAsia="zh-CN"/>
              </w:rPr>
              <w:t>）</w:t>
            </w:r>
            <w:r>
              <w:rPr>
                <w:rFonts w:hint="eastAsia" w:ascii="Times New Roman" w:hAnsi="Times New Roman" w:eastAsia="宋体"/>
                <w:spacing w:val="0"/>
                <w:w w:val="100"/>
                <w:kern w:val="21"/>
                <w:position w:val="0"/>
                <w:sz w:val="21"/>
                <w:szCs w:val="21"/>
                <w:vertAlign w:val="baseline"/>
                <w:lang w:eastAsia="zh-CN"/>
              </w:rPr>
              <w:t>，</w:t>
            </w:r>
            <w:r>
              <w:rPr>
                <w:rFonts w:hint="eastAsia" w:ascii="Times New Roman" w:hAnsi="Times New Roman" w:eastAsia="宋体"/>
                <w:spacing w:val="0"/>
                <w:w w:val="100"/>
                <w:kern w:val="21"/>
                <w:position w:val="0"/>
                <w:sz w:val="21"/>
                <w:szCs w:val="21"/>
                <w:vertAlign w:val="baseline"/>
                <w:lang w:val="en-US" w:eastAsia="zh-CN"/>
              </w:rPr>
              <w:t>其排放标准较福州市重点行业挥发性有机物综合治理工作（VOCs2.0）文件更为严格。</w:t>
            </w:r>
          </w:p>
        </w:tc>
        <w:tc>
          <w:tcPr>
            <w:tcW w:w="4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染整油烟</w:t>
            </w:r>
          </w:p>
        </w:tc>
        <w:tc>
          <w:tcPr>
            <w:tcW w:w="1980"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定型（含焙烘，烫光）</w:t>
            </w: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30</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TVOC</w:t>
            </w:r>
            <w:r>
              <w:rPr>
                <w:rFonts w:hint="eastAsia" w:ascii="Times New Roman" w:hAnsi="Times New Roman" w:eastAsia="宋体" w:cs="宋体"/>
                <w:spacing w:val="0"/>
                <w:position w:val="0"/>
                <w:sz w:val="21"/>
                <w:szCs w:val="21"/>
                <w:vertAlign w:val="superscript"/>
              </w:rPr>
              <w:t>a</w:t>
            </w:r>
          </w:p>
        </w:tc>
        <w:tc>
          <w:tcPr>
            <w:tcW w:w="1980" w:type="dxa"/>
            <w:vMerge w:val="restart"/>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定型（含焙烘，烫光），涂层</w:t>
            </w: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hint="eastAsia" w:ascii="Times New Roman" w:hAnsi="Times New Roman" w:eastAsia="宋体"/>
                <w:spacing w:val="0"/>
                <w:position w:val="0"/>
                <w:sz w:val="21"/>
                <w:lang w:val="en-US" w:eastAsia="zh-CN"/>
              </w:rPr>
            </w:pPr>
            <w:r>
              <w:rPr>
                <w:rFonts w:hint="eastAsia" w:ascii="Times New Roman" w:hAnsi="Times New Roman" w:eastAsia="宋体" w:cs="宋体"/>
                <w:spacing w:val="0"/>
                <w:position w:val="0"/>
                <w:sz w:val="21"/>
                <w:szCs w:val="21"/>
              </w:rPr>
              <w:t>60(120)</w:t>
            </w:r>
            <w:r>
              <w:rPr>
                <w:rFonts w:hint="eastAsia" w:ascii="Times New Roman" w:hAnsi="Times New Roman" w:eastAsia="宋体" w:cs="宋体"/>
                <w:spacing w:val="0"/>
                <w:position w:val="0"/>
                <w:sz w:val="21"/>
                <w:szCs w:val="21"/>
                <w:vertAlign w:val="superscript"/>
              </w:rPr>
              <w:t>b</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NMHC</w:t>
            </w:r>
          </w:p>
        </w:tc>
        <w:tc>
          <w:tcPr>
            <w:tcW w:w="1980" w:type="dxa"/>
            <w:vMerge w:val="continue"/>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40(80)</w:t>
            </w:r>
            <w:r>
              <w:rPr>
                <w:rFonts w:hint="eastAsia" w:ascii="Times New Roman" w:hAnsi="Times New Roman" w:eastAsia="宋体" w:cs="宋体"/>
                <w:spacing w:val="0"/>
                <w:position w:val="0"/>
                <w:sz w:val="21"/>
                <w:szCs w:val="21"/>
                <w:vertAlign w:val="superscript"/>
              </w:rPr>
              <w:t>b</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苯</w:t>
            </w:r>
          </w:p>
        </w:tc>
        <w:tc>
          <w:tcPr>
            <w:tcW w:w="1980" w:type="dxa"/>
            <w:vMerge w:val="restart"/>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印花、定型（含焙烘，烫光），涂层</w:t>
            </w: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1</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苯系物</w:t>
            </w:r>
          </w:p>
        </w:tc>
        <w:tc>
          <w:tcPr>
            <w:tcW w:w="1980" w:type="dxa"/>
            <w:vMerge w:val="continue"/>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5</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甲醛</w:t>
            </w:r>
          </w:p>
        </w:tc>
        <w:tc>
          <w:tcPr>
            <w:tcW w:w="1980"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（含焙烘，烫光），涂层</w:t>
            </w: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5</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1537"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二甲基甲酰胺</w:t>
            </w:r>
          </w:p>
        </w:tc>
        <w:tc>
          <w:tcPr>
            <w:tcW w:w="1980"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涂层</w:t>
            </w:r>
          </w:p>
        </w:tc>
        <w:tc>
          <w:tcPr>
            <w:tcW w:w="1198" w:type="dxa"/>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jc w:val="center"/>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rPr>
              <w:t>30</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89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15" w:type="dxa"/>
            <w:gridSpan w:val="3"/>
            <w:tcBorders>
              <w:tl2br w:val="nil"/>
              <w:tr2bl w:val="nil"/>
            </w:tcBorders>
            <w:vAlign w:val="center"/>
          </w:tcPr>
          <w:p>
            <w:pPr>
              <w:pStyle w:val="50"/>
              <w:keepNext w:val="0"/>
              <w:keepLines w:val="0"/>
              <w:pageBreakBefore w:val="0"/>
              <w:widowControl w:val="0"/>
              <w:kinsoku/>
              <w:wordWrap/>
              <w:overflowPunct/>
              <w:topLinePunct w:val="0"/>
              <w:bidi w:val="0"/>
              <w:adjustRightInd w:val="0"/>
              <w:snapToGrid w:val="0"/>
              <w:spacing w:line="280" w:lineRule="exact"/>
              <w:ind w:firstLine="210" w:firstLineChars="100"/>
              <w:jc w:val="both"/>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lang w:val="en-US" w:eastAsia="zh-CN"/>
              </w:rPr>
              <w:t>a</w:t>
            </w:r>
            <w:r>
              <w:rPr>
                <w:rFonts w:hint="eastAsia" w:ascii="Times New Roman" w:hAnsi="Times New Roman" w:eastAsia="宋体" w:cs="宋体"/>
                <w:spacing w:val="0"/>
                <w:position w:val="0"/>
                <w:sz w:val="21"/>
                <w:szCs w:val="21"/>
              </w:rPr>
              <w:t>对于现有企业，应根据使用原料、生产工艺过程、生产的产品、副产品，结合环境影响评价文件，筛选并上报所需要控制的特征挥发性有机物的种类及排放浓度限值，经环境保护主管部门确认执行。对新建企业，其特征挥发性有机物应根据经批复后的环境影响评价文件来确定。</w:t>
            </w:r>
          </w:p>
          <w:p>
            <w:pPr>
              <w:pStyle w:val="50"/>
              <w:keepNext w:val="0"/>
              <w:keepLines w:val="0"/>
              <w:pageBreakBefore w:val="0"/>
              <w:widowControl w:val="0"/>
              <w:kinsoku/>
              <w:wordWrap/>
              <w:overflowPunct/>
              <w:topLinePunct w:val="0"/>
              <w:bidi w:val="0"/>
              <w:adjustRightInd w:val="0"/>
              <w:snapToGrid w:val="0"/>
              <w:spacing w:line="280" w:lineRule="exact"/>
              <w:ind w:firstLine="210" w:firstLineChars="100"/>
              <w:jc w:val="both"/>
              <w:rPr>
                <w:rFonts w:ascii="Times New Roman" w:hAnsi="Times New Roman" w:eastAsia="宋体"/>
                <w:spacing w:val="0"/>
                <w:position w:val="0"/>
                <w:sz w:val="21"/>
              </w:rPr>
            </w:pPr>
            <w:r>
              <w:rPr>
                <w:rFonts w:hint="eastAsia" w:ascii="Times New Roman" w:hAnsi="Times New Roman" w:eastAsia="宋体" w:cs="宋体"/>
                <w:spacing w:val="0"/>
                <w:position w:val="0"/>
                <w:sz w:val="21"/>
                <w:szCs w:val="21"/>
                <w:lang w:val="en-US" w:eastAsia="zh-CN"/>
              </w:rPr>
              <w:t>b</w:t>
            </w:r>
            <w:r>
              <w:rPr>
                <w:rFonts w:hint="eastAsia" w:ascii="Times New Roman" w:hAnsi="Times New Roman" w:eastAsia="宋体" w:cs="宋体"/>
                <w:spacing w:val="0"/>
                <w:position w:val="0"/>
                <w:sz w:val="21"/>
                <w:szCs w:val="21"/>
              </w:rPr>
              <w:t>括号内限值适用于涂层整理企业及其涂层工艺生产设施。</w:t>
            </w:r>
          </w:p>
        </w:tc>
        <w:tc>
          <w:tcPr>
            <w:tcW w:w="2115"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c>
          <w:tcPr>
            <w:tcW w:w="474" w:type="dxa"/>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center"/>
              <w:rPr>
                <w:rFonts w:ascii="Times New Roman" w:hAnsi="Times New Roman" w:eastAsia="宋体"/>
                <w:spacing w:val="0"/>
                <w:positio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689"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22</w:t>
            </w:r>
          </w:p>
        </w:tc>
        <w:tc>
          <w:tcPr>
            <w:tcW w:w="894" w:type="dxa"/>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center"/>
              <w:textAlignment w:val="center"/>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cs="宋体"/>
                <w:spacing w:val="0"/>
                <w:position w:val="0"/>
                <w:sz w:val="21"/>
                <w:szCs w:val="21"/>
              </w:rPr>
              <w:t>台账管理</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top"/>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建立环境管理台账，记录基本信息、生产设施运行管理信息、污染防治设施运行管理信息、监测记录信息及其他环境管理信息等</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spacing w:val="0"/>
                <w:position w:val="0"/>
                <w:sz w:val="21"/>
                <w:vertAlign w:val="baseline"/>
                <w:lang w:val="en-US" w:eastAsia="zh-CN"/>
              </w:rPr>
            </w:pPr>
            <w:r>
              <w:rPr>
                <w:rFonts w:hint="default" w:ascii="Times New Roman" w:hAnsi="Times New Roman" w:eastAsia="宋体"/>
                <w:spacing w:val="0"/>
                <w:position w:val="0"/>
                <w:sz w:val="21"/>
                <w:vertAlign w:val="baseline"/>
                <w:lang w:val="en-US" w:eastAsia="zh-CN"/>
              </w:rPr>
              <w:t>本评价要求建设单位建立环境管理台账，记录基本信息、生产设施运行管理信息、污染防治设施运行管理信息、监测</w:t>
            </w:r>
            <w:r>
              <w:rPr>
                <w:rFonts w:hint="eastAsia" w:ascii="Times New Roman" w:hAnsi="Times New Roman" w:eastAsia="宋体"/>
                <w:spacing w:val="0"/>
                <w:position w:val="0"/>
                <w:sz w:val="21"/>
                <w:vertAlign w:val="baseline"/>
                <w:lang w:val="en-US" w:eastAsia="zh-CN"/>
              </w:rPr>
              <w:t>记录</w:t>
            </w:r>
            <w:r>
              <w:rPr>
                <w:rFonts w:hint="default" w:ascii="Times New Roman" w:hAnsi="Times New Roman" w:eastAsia="宋体"/>
                <w:spacing w:val="0"/>
                <w:position w:val="0"/>
                <w:sz w:val="21"/>
                <w:vertAlign w:val="baseline"/>
                <w:lang w:val="en-US" w:eastAsia="zh-CN"/>
              </w:rPr>
              <w:t>等信息</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23</w:t>
            </w:r>
          </w:p>
        </w:tc>
        <w:tc>
          <w:tcPr>
            <w:tcW w:w="894" w:type="dxa"/>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center"/>
              <w:textAlignment w:val="center"/>
              <w:rPr>
                <w:rFonts w:hint="eastAsia" w:ascii="Times New Roman" w:hAnsi="Times New Roman" w:eastAsia="宋体"/>
                <w:spacing w:val="0"/>
                <w:position w:val="0"/>
                <w:sz w:val="21"/>
                <w:vertAlign w:val="baseline"/>
                <w:lang w:val="en-US" w:eastAsia="zh-CN"/>
              </w:rPr>
            </w:pPr>
            <w:r>
              <w:rPr>
                <w:rFonts w:hint="eastAsia" w:ascii="Times New Roman" w:hAnsi="Times New Roman" w:eastAsia="宋体" w:cs="宋体"/>
                <w:spacing w:val="0"/>
                <w:position w:val="0"/>
                <w:sz w:val="21"/>
                <w:szCs w:val="21"/>
              </w:rPr>
              <w:t>目标任务</w:t>
            </w:r>
          </w:p>
        </w:tc>
        <w:tc>
          <w:tcPr>
            <w:tcW w:w="4715" w:type="dxa"/>
            <w:gridSpan w:val="3"/>
            <w:tcBorders>
              <w:tl2br w:val="nil"/>
              <w:tr2bl w:val="nil"/>
            </w:tcBorders>
            <w:vAlign w:val="center"/>
          </w:tcPr>
          <w:p>
            <w:pPr>
              <w:keepNext w:val="0"/>
              <w:keepLines w:val="0"/>
              <w:pageBreakBefore w:val="0"/>
              <w:widowControl/>
              <w:kinsoku/>
              <w:wordWrap/>
              <w:overflowPunct/>
              <w:topLinePunct w:val="0"/>
              <w:bidi w:val="0"/>
              <w:adjustRightInd w:val="0"/>
              <w:snapToGrid w:val="0"/>
              <w:spacing w:line="280" w:lineRule="exact"/>
              <w:jc w:val="both"/>
              <w:textAlignment w:val="top"/>
              <w:rPr>
                <w:rFonts w:hint="eastAsia" w:ascii="Times New Roman" w:hAnsi="Times New Roman" w:eastAsia="宋体" w:cs="宋体"/>
                <w:spacing w:val="0"/>
                <w:position w:val="0"/>
                <w:sz w:val="21"/>
                <w:szCs w:val="21"/>
              </w:rPr>
            </w:pPr>
            <w:r>
              <w:rPr>
                <w:rFonts w:hint="eastAsia" w:ascii="Times New Roman" w:hAnsi="Times New Roman" w:eastAsia="宋体" w:cs="宋体"/>
                <w:spacing w:val="0"/>
                <w:position w:val="0"/>
                <w:sz w:val="21"/>
                <w:szCs w:val="21"/>
              </w:rPr>
              <w:t>从源头替代、过程管控、末端治理等方面入手，开展全流程排查，强化全天候管理，实施全过程治理，细化“一厂一策”实施方案，系统科学制定整治方案，明确减排目标、进度安排、工程清单、完成时限等，确保减排成效可监测、可报告、可核实。</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spacing w:val="0"/>
                <w:position w:val="0"/>
                <w:sz w:val="21"/>
                <w:vertAlign w:val="baseline"/>
                <w:lang w:val="en-US" w:eastAsia="zh-CN"/>
              </w:rPr>
            </w:pPr>
            <w:r>
              <w:rPr>
                <w:rFonts w:hint="default" w:ascii="Times New Roman" w:hAnsi="Times New Roman" w:eastAsia="宋体"/>
                <w:spacing w:val="0"/>
                <w:position w:val="0"/>
                <w:sz w:val="21"/>
                <w:vertAlign w:val="baseline"/>
                <w:lang w:val="en-US" w:eastAsia="zh-CN"/>
              </w:rPr>
              <w:t>本评价要求建设单位应从源头替代、过程管理、末端治理等方面开展全流程排查，强化管理，实施全过程治理</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pacing w:val="0"/>
                <w:position w:val="0"/>
                <w:sz w:val="21"/>
                <w:vertAlign w:val="baseline"/>
                <w:lang w:val="en-US" w:eastAsia="zh-CN"/>
              </w:rPr>
            </w:pPr>
            <w:r>
              <w:rPr>
                <w:rFonts w:hint="eastAsia" w:ascii="Times New Roman" w:hAnsi="Times New Roman" w:eastAsia="宋体"/>
                <w:spacing w:val="0"/>
                <w:position w:val="0"/>
                <w:sz w:val="21"/>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val="0"/>
          <w:bCs w:val="0"/>
          <w:spacing w:val="0"/>
          <w:position w:val="0"/>
          <w:sz w:val="24"/>
          <w:szCs w:val="24"/>
          <w:lang w:val="en-US" w:eastAsia="zh-CN"/>
        </w:rPr>
      </w:pPr>
      <w:r>
        <w:rPr>
          <w:rFonts w:hint="default" w:eastAsia="宋体"/>
          <w:b w:val="0"/>
          <w:bCs w:val="0"/>
          <w:spacing w:val="0"/>
          <w:position w:val="0"/>
          <w:sz w:val="24"/>
          <w:szCs w:val="24"/>
          <w:lang w:val="en-US" w:eastAsia="zh-CN"/>
        </w:rPr>
        <w:t>综上所述，在建设单位落实本评价提出的各项要求后，能够满足《福州市生态环境局关于开展福州市重点行业挥发性有机物综合治理工作（VOCs2.0）的通知》榕环保综〔2021〕10</w:t>
      </w:r>
      <w:r>
        <w:rPr>
          <w:rFonts w:hint="eastAsia"/>
          <w:b w:val="0"/>
          <w:bCs w:val="0"/>
          <w:spacing w:val="0"/>
          <w:position w:val="0"/>
          <w:sz w:val="24"/>
          <w:szCs w:val="24"/>
          <w:lang w:val="en-US" w:eastAsia="zh-CN"/>
        </w:rPr>
        <w:t>0号的要求。</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eastAsia="zh-CN"/>
        </w:rPr>
        <w:t>3.7</w:t>
      </w:r>
      <w:r>
        <w:rPr>
          <w:rFonts w:hint="eastAsia"/>
          <w:b/>
          <w:bCs/>
          <w:spacing w:val="0"/>
          <w:position w:val="0"/>
          <w:sz w:val="28"/>
          <w:szCs w:val="28"/>
        </w:rPr>
        <w:t>.</w:t>
      </w:r>
      <w:r>
        <w:rPr>
          <w:b/>
          <w:bCs/>
          <w:spacing w:val="0"/>
          <w:position w:val="0"/>
          <w:sz w:val="28"/>
          <w:szCs w:val="28"/>
        </w:rPr>
        <w:t>3</w:t>
      </w:r>
      <w:r>
        <w:rPr>
          <w:rFonts w:hint="eastAsia"/>
          <w:b/>
          <w:bCs/>
          <w:spacing w:val="0"/>
          <w:position w:val="0"/>
          <w:sz w:val="28"/>
          <w:szCs w:val="28"/>
        </w:rPr>
        <w:t>“三线一单”</w:t>
      </w:r>
      <w:r>
        <w:rPr>
          <w:rFonts w:hint="eastAsia"/>
          <w:b/>
          <w:bCs/>
          <w:spacing w:val="0"/>
          <w:position w:val="0"/>
          <w:sz w:val="28"/>
          <w:szCs w:val="28"/>
          <w:lang w:val="en-US" w:eastAsia="zh-CN"/>
        </w:rPr>
        <w:t>控制要求</w:t>
      </w:r>
      <w:r>
        <w:rPr>
          <w:rFonts w:hint="eastAsia"/>
          <w:b/>
          <w:bCs/>
          <w:spacing w:val="0"/>
          <w:position w:val="0"/>
          <w:sz w:val="28"/>
          <w:szCs w:val="28"/>
        </w:rPr>
        <w:t>符合性分析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3.7.3.1生态红线符合性分析</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本项目地块位于福建省福州市连江县坑园镇（连江可门经济开发区内的可门绿色纺织产业园区一期内5号地块），属于工业用地。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植资源保护区的核心区和其他需要特别保护或法律法规禁止开发建设的区域。因此，项目建设符合生态红线控制的要求</w:t>
      </w:r>
      <w:r>
        <w:rPr>
          <w:rFonts w:hint="eastAsia"/>
          <w:spacing w:val="0"/>
          <w:position w:val="0"/>
          <w:sz w:val="24"/>
          <w:szCs w:val="24"/>
          <w:lang w:eastAsia="zh-CN"/>
        </w:rPr>
        <w:t>，</w:t>
      </w:r>
      <w:r>
        <w:rPr>
          <w:rFonts w:hint="eastAsia"/>
          <w:spacing w:val="0"/>
          <w:position w:val="0"/>
          <w:sz w:val="24"/>
          <w:szCs w:val="24"/>
          <w:lang w:val="en-US" w:eastAsia="zh-CN"/>
        </w:rPr>
        <w:t>详见附图3</w:t>
      </w:r>
      <w:r>
        <w:rPr>
          <w:rFonts w:hint="eastAsia"/>
          <w:spacing w:val="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3.7.3.2环境质量底线符合性分析</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本项目所在地区的环境质量底线为：大气环境质量目标为《环境空气质量标准》（GB3095-2012）及其修改单中二级标准；地表水环境目标为《海水水质标准》（GB3097-1997）第三类水质标准；地下水环境目标</w:t>
      </w:r>
      <w:r>
        <w:rPr>
          <w:rFonts w:hint="eastAsia"/>
          <w:b w:val="0"/>
          <w:bCs w:val="0"/>
          <w:spacing w:val="0"/>
          <w:position w:val="0"/>
          <w:sz w:val="24"/>
          <w:szCs w:val="24"/>
          <w:lang w:eastAsia="zh-CN"/>
        </w:rPr>
        <w:t>参照执行《地下水质量标准》（GB/T14848-2017）中Ⅲ类水质标准；</w:t>
      </w:r>
      <w:r>
        <w:rPr>
          <w:rFonts w:hint="eastAsia"/>
          <w:spacing w:val="0"/>
          <w:position w:val="0"/>
          <w:sz w:val="24"/>
          <w:szCs w:val="24"/>
          <w:lang w:val="en-US" w:eastAsia="zh-CN"/>
        </w:rPr>
        <w:t>声环境质量目标为《声环境质量标准》（GB3096-2008）3类标准；土壤环境质量目标为《土壤环境质量 建设用地土壤污染风险管控标准（试行）》（GB36600-2018）表1、表2中第二类用地筛选值。</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eastAsia="zh-CN"/>
        </w:rPr>
        <w:t>（</w:t>
      </w:r>
      <w:r>
        <w:rPr>
          <w:rFonts w:hint="eastAsia"/>
          <w:spacing w:val="0"/>
          <w:position w:val="0"/>
          <w:sz w:val="24"/>
          <w:szCs w:val="24"/>
          <w:lang w:val="en-US" w:eastAsia="zh-CN"/>
        </w:rPr>
        <w:t>1</w:t>
      </w:r>
      <w:r>
        <w:rPr>
          <w:rFonts w:hint="eastAsia"/>
          <w:spacing w:val="0"/>
          <w:position w:val="0"/>
          <w:sz w:val="24"/>
          <w:szCs w:val="24"/>
          <w:lang w:eastAsia="zh-CN"/>
        </w:rPr>
        <w:t>）</w:t>
      </w:r>
      <w:r>
        <w:rPr>
          <w:rFonts w:hint="eastAsia"/>
          <w:spacing w:val="0"/>
          <w:position w:val="0"/>
          <w:sz w:val="24"/>
          <w:szCs w:val="24"/>
          <w:lang w:val="en-US" w:eastAsia="zh-CN"/>
        </w:rPr>
        <w:t>大气环境质量底线</w:t>
      </w:r>
    </w:p>
    <w:p>
      <w:pPr>
        <w:adjustRightInd w:val="0"/>
        <w:snapToGrid w:val="0"/>
        <w:spacing w:line="360" w:lineRule="auto"/>
        <w:ind w:firstLine="480" w:firstLineChars="200"/>
        <w:rPr>
          <w:rFonts w:hint="default"/>
          <w:spacing w:val="0"/>
          <w:position w:val="0"/>
          <w:sz w:val="24"/>
          <w:szCs w:val="24"/>
          <w:lang w:val="en-US" w:eastAsia="zh-CN"/>
        </w:rPr>
      </w:pPr>
      <w:r>
        <w:rPr>
          <w:rFonts w:hint="default"/>
          <w:spacing w:val="0"/>
          <w:position w:val="0"/>
          <w:sz w:val="24"/>
          <w:szCs w:val="24"/>
          <w:lang w:val="en-US" w:eastAsia="zh-CN"/>
        </w:rPr>
        <w:t>根据《福州市人民政府关于实施“三线一单”生态分区管控的通知》，大气环境质量底线目标为：到2025年，地级以上城市空气质量PM</w:t>
      </w:r>
      <w:r>
        <w:rPr>
          <w:rFonts w:hint="default"/>
          <w:spacing w:val="0"/>
          <w:position w:val="0"/>
          <w:sz w:val="24"/>
          <w:szCs w:val="24"/>
          <w:vertAlign w:val="subscript"/>
          <w:lang w:val="en-US" w:eastAsia="zh-CN"/>
        </w:rPr>
        <w:t>2.5</w:t>
      </w:r>
      <w:r>
        <w:rPr>
          <w:rFonts w:hint="default"/>
          <w:spacing w:val="0"/>
          <w:position w:val="0"/>
          <w:sz w:val="24"/>
          <w:szCs w:val="24"/>
          <w:lang w:val="en-US" w:eastAsia="zh-CN"/>
        </w:rPr>
        <w:t>年平均浓度不高于23μg/m</w:t>
      </w:r>
      <w:r>
        <w:rPr>
          <w:rFonts w:hint="default"/>
          <w:spacing w:val="0"/>
          <w:position w:val="0"/>
          <w:sz w:val="24"/>
          <w:szCs w:val="24"/>
          <w:vertAlign w:val="superscript"/>
          <w:lang w:val="en-US" w:eastAsia="zh-CN"/>
        </w:rPr>
        <w:t>3</w:t>
      </w:r>
      <w:r>
        <w:rPr>
          <w:rFonts w:hint="default"/>
          <w:spacing w:val="0"/>
          <w:position w:val="0"/>
          <w:sz w:val="24"/>
          <w:szCs w:val="24"/>
          <w:lang w:val="en-US" w:eastAsia="zh-CN"/>
        </w:rPr>
        <w:t>。到2035年，县级以上地区空气质量PM</w:t>
      </w:r>
      <w:r>
        <w:rPr>
          <w:rFonts w:hint="default"/>
          <w:spacing w:val="0"/>
          <w:position w:val="0"/>
          <w:sz w:val="24"/>
          <w:szCs w:val="24"/>
          <w:vertAlign w:val="subscript"/>
          <w:lang w:val="en-US" w:eastAsia="zh-CN"/>
        </w:rPr>
        <w:t>2.5</w:t>
      </w:r>
      <w:r>
        <w:rPr>
          <w:rFonts w:hint="default"/>
          <w:spacing w:val="0"/>
          <w:position w:val="0"/>
          <w:sz w:val="24"/>
          <w:szCs w:val="24"/>
          <w:lang w:val="en-US" w:eastAsia="zh-CN"/>
        </w:rPr>
        <w:t>年平均浓度不高于18μg/m</w:t>
      </w:r>
      <w:r>
        <w:rPr>
          <w:rFonts w:hint="default"/>
          <w:spacing w:val="0"/>
          <w:position w:val="0"/>
          <w:sz w:val="24"/>
          <w:szCs w:val="24"/>
          <w:vertAlign w:val="superscript"/>
          <w:lang w:val="en-US" w:eastAsia="zh-CN"/>
        </w:rPr>
        <w:t>3</w:t>
      </w:r>
      <w:r>
        <w:rPr>
          <w:rFonts w:hint="default"/>
          <w:spacing w:val="0"/>
          <w:position w:val="0"/>
          <w:sz w:val="24"/>
          <w:szCs w:val="24"/>
          <w:lang w:val="en-US" w:eastAsia="zh-CN"/>
        </w:rPr>
        <w:t>。</w:t>
      </w:r>
    </w:p>
    <w:p>
      <w:pPr>
        <w:adjustRightInd w:val="0"/>
        <w:snapToGrid w:val="0"/>
        <w:spacing w:line="360" w:lineRule="auto"/>
        <w:ind w:firstLine="480" w:firstLineChars="200"/>
        <w:rPr>
          <w:rFonts w:hint="default"/>
          <w:spacing w:val="0"/>
          <w:position w:val="0"/>
          <w:sz w:val="24"/>
          <w:szCs w:val="24"/>
          <w:vertAlign w:val="baseline"/>
          <w:lang w:val="en-US" w:eastAsia="zh-CN"/>
        </w:rPr>
      </w:pPr>
      <w:r>
        <w:rPr>
          <w:rFonts w:hint="eastAsia"/>
          <w:spacing w:val="0"/>
          <w:position w:val="0"/>
          <w:sz w:val="24"/>
          <w:szCs w:val="24"/>
          <w:lang w:val="en-US" w:eastAsia="zh-CN"/>
        </w:rPr>
        <w:t>通过预测，本项目大气环境污染物中，后整理车间的污染物PM</w:t>
      </w:r>
      <w:r>
        <w:rPr>
          <w:rFonts w:hint="eastAsia"/>
          <w:spacing w:val="0"/>
          <w:position w:val="0"/>
          <w:sz w:val="24"/>
          <w:szCs w:val="24"/>
          <w:vertAlign w:val="subscript"/>
          <w:lang w:val="en-US" w:eastAsia="zh-CN"/>
        </w:rPr>
        <w:t>10</w:t>
      </w:r>
      <w:r>
        <w:rPr>
          <w:rFonts w:hint="eastAsia"/>
          <w:spacing w:val="0"/>
          <w:position w:val="0"/>
          <w:sz w:val="24"/>
          <w:szCs w:val="24"/>
          <w:lang w:val="en-US" w:eastAsia="zh-CN"/>
        </w:rPr>
        <w:t>占标率最大，为</w:t>
      </w:r>
      <w:r>
        <w:rPr>
          <w:rFonts w:hint="eastAsia"/>
          <w:spacing w:val="0"/>
          <w:position w:val="0"/>
          <w:sz w:val="24"/>
          <w:szCs w:val="24"/>
          <w:vertAlign w:val="baseline"/>
          <w:lang w:val="en-US" w:eastAsia="zh-CN"/>
        </w:rPr>
        <w:t>5.41%，即P</w:t>
      </w:r>
      <w:r>
        <w:rPr>
          <w:rFonts w:hint="eastAsia"/>
          <w:spacing w:val="0"/>
          <w:position w:val="0"/>
          <w:sz w:val="24"/>
          <w:szCs w:val="24"/>
          <w:vertAlign w:val="subscript"/>
          <w:lang w:val="en-US" w:eastAsia="zh-CN"/>
        </w:rPr>
        <w:t>max</w:t>
      </w:r>
      <w:r>
        <w:rPr>
          <w:rFonts w:hint="eastAsia"/>
          <w:spacing w:val="0"/>
          <w:position w:val="0"/>
          <w:sz w:val="24"/>
          <w:szCs w:val="24"/>
          <w:vertAlign w:val="baseline"/>
          <w:lang w:val="en-US" w:eastAsia="zh-CN"/>
        </w:rPr>
        <w:t>=5.41%，项目大气环境影响评价等级为二级，其余污染物占标率均在1%左右，项目产生的污染物在采取合理的大气污染防治措施后，对周围大气环境影响满足《环境影响评价技术导则 大气环境》（HJ2.2-2018）中10.1.1判定标准，环境影响属可接受水平，不会突破大气环境质量底线。</w:t>
      </w:r>
    </w:p>
    <w:p>
      <w:pPr>
        <w:numPr>
          <w:ilvl w:val="0"/>
          <w:numId w:val="0"/>
        </w:numPr>
        <w:adjustRightInd w:val="0"/>
        <w:snapToGrid w:val="0"/>
        <w:spacing w:line="360" w:lineRule="auto"/>
        <w:ind w:firstLine="480" w:firstLineChars="200"/>
        <w:rPr>
          <w:rFonts w:hint="eastAsia"/>
          <w:spacing w:val="0"/>
          <w:position w:val="0"/>
          <w:sz w:val="24"/>
          <w:szCs w:val="24"/>
          <w:lang w:eastAsia="zh-CN"/>
        </w:rPr>
      </w:pPr>
      <w:r>
        <w:rPr>
          <w:rFonts w:hint="eastAsia" w:ascii="Times New Roman" w:hAnsi="Times New Roman" w:eastAsia="宋体" w:cs="Times New Roman"/>
          <w:spacing w:val="0"/>
          <w:kern w:val="2"/>
          <w:position w:val="0"/>
          <w:sz w:val="24"/>
          <w:szCs w:val="24"/>
          <w:lang w:val="en-US" w:eastAsia="zh-CN" w:bidi="ar-SA"/>
        </w:rPr>
        <w:t>（2）</w:t>
      </w:r>
      <w:r>
        <w:rPr>
          <w:rFonts w:hint="eastAsia"/>
          <w:spacing w:val="0"/>
          <w:position w:val="0"/>
          <w:sz w:val="24"/>
          <w:szCs w:val="24"/>
          <w:lang w:val="en-US" w:eastAsia="zh-CN"/>
        </w:rPr>
        <w:t>地表水</w:t>
      </w:r>
      <w:r>
        <w:rPr>
          <w:rFonts w:hint="eastAsia"/>
          <w:spacing w:val="0"/>
          <w:position w:val="0"/>
          <w:sz w:val="24"/>
          <w:szCs w:val="24"/>
          <w:lang w:eastAsia="zh-CN"/>
        </w:rPr>
        <w:t>环境质量底线</w:t>
      </w:r>
    </w:p>
    <w:p>
      <w:pPr>
        <w:numPr>
          <w:ilvl w:val="0"/>
          <w:numId w:val="0"/>
        </w:numPr>
        <w:adjustRightInd w:val="0"/>
        <w:snapToGrid w:val="0"/>
        <w:spacing w:line="360" w:lineRule="auto"/>
        <w:ind w:firstLine="480" w:firstLineChars="200"/>
        <w:rPr>
          <w:rFonts w:hint="default"/>
          <w:spacing w:val="0"/>
          <w:position w:val="0"/>
          <w:sz w:val="24"/>
          <w:szCs w:val="24"/>
          <w:lang w:val="en-US" w:eastAsia="zh-CN"/>
        </w:rPr>
      </w:pPr>
      <w:r>
        <w:rPr>
          <w:rFonts w:hint="eastAsia"/>
          <w:spacing w:val="0"/>
          <w:position w:val="0"/>
          <w:sz w:val="24"/>
          <w:szCs w:val="24"/>
          <w:lang w:val="en-US" w:eastAsia="zh-CN"/>
        </w:rPr>
        <w:t>根据</w:t>
      </w:r>
      <w:r>
        <w:rPr>
          <w:rFonts w:hint="default"/>
          <w:spacing w:val="0"/>
          <w:position w:val="0"/>
          <w:sz w:val="24"/>
          <w:szCs w:val="24"/>
          <w:lang w:val="en-US" w:eastAsia="zh-CN"/>
        </w:rPr>
        <w:t>《福州市人民政府关于实施“三线一单”生态分区管控的通知》</w:t>
      </w:r>
      <w:r>
        <w:rPr>
          <w:rFonts w:hint="eastAsia"/>
          <w:spacing w:val="0"/>
          <w:position w:val="0"/>
          <w:sz w:val="24"/>
          <w:szCs w:val="24"/>
          <w:lang w:val="en-US" w:eastAsia="zh-CN"/>
        </w:rPr>
        <w:t>，</w:t>
      </w:r>
      <w:r>
        <w:rPr>
          <w:rFonts w:hint="default"/>
          <w:spacing w:val="0"/>
          <w:position w:val="0"/>
          <w:sz w:val="24"/>
          <w:szCs w:val="24"/>
          <w:lang w:val="en-US" w:eastAsia="zh-CN"/>
        </w:rPr>
        <w:t>水环境质量底线目标为：到2025年，国省控断面水质优良(达到或优于Ⅲ类)比例总体达到90.0%，福清海口桥断面水质稳定达到Ⅳ类；县级以上集中式饮用水水源水质达标率达100%。到2030年，国省控断面水质优良(达到或优于Ⅲ类)比例总体达到90.0%；县级以上城市建成区黑臭水体总体得到消除；县级以上集中式饮用水水源水质达标率达100%。到2035年，国省考断面水质优良(达到或优于Ⅲ类)比例总体达到95.0%；生态系统实现良性循环。</w:t>
      </w:r>
    </w:p>
    <w:p>
      <w:pPr>
        <w:numPr>
          <w:ilvl w:val="0"/>
          <w:numId w:val="0"/>
        </w:numPr>
        <w:adjustRightInd w:val="0"/>
        <w:snapToGrid w:val="0"/>
        <w:spacing w:line="360" w:lineRule="auto"/>
        <w:ind w:firstLine="480" w:firstLineChars="200"/>
        <w:rPr>
          <w:rFonts w:hint="default"/>
          <w:spacing w:val="0"/>
          <w:position w:val="0"/>
          <w:sz w:val="24"/>
          <w:szCs w:val="24"/>
          <w:lang w:val="en-US" w:eastAsia="zh-CN"/>
        </w:rPr>
      </w:pPr>
      <w:r>
        <w:rPr>
          <w:rFonts w:hint="default"/>
          <w:spacing w:val="0"/>
          <w:position w:val="0"/>
          <w:sz w:val="24"/>
          <w:szCs w:val="24"/>
          <w:lang w:val="en-US" w:eastAsia="zh-CN"/>
        </w:rPr>
        <w:t>本项目废水主要包括印染废水、软水站再生废水、循环冷却排水、车间冲洗废水</w:t>
      </w:r>
      <w:r>
        <w:rPr>
          <w:rFonts w:hint="eastAsia"/>
          <w:spacing w:val="0"/>
          <w:position w:val="0"/>
          <w:sz w:val="24"/>
          <w:szCs w:val="24"/>
          <w:lang w:val="en-US" w:eastAsia="zh-CN"/>
        </w:rPr>
        <w:t>及生活污水</w:t>
      </w:r>
      <w:r>
        <w:rPr>
          <w:rFonts w:hint="default"/>
          <w:spacing w:val="0"/>
          <w:position w:val="0"/>
          <w:sz w:val="24"/>
          <w:szCs w:val="24"/>
          <w:lang w:val="en-US" w:eastAsia="zh-CN"/>
        </w:rPr>
        <w:t>，主要有COD、NH</w:t>
      </w:r>
      <w:r>
        <w:rPr>
          <w:rFonts w:hint="default"/>
          <w:spacing w:val="0"/>
          <w:position w:val="0"/>
          <w:sz w:val="24"/>
          <w:szCs w:val="24"/>
          <w:vertAlign w:val="subscript"/>
          <w:lang w:val="en-US" w:eastAsia="zh-CN"/>
        </w:rPr>
        <w:t>3</w:t>
      </w:r>
      <w:r>
        <w:rPr>
          <w:rFonts w:hint="default"/>
          <w:spacing w:val="0"/>
          <w:position w:val="0"/>
          <w:sz w:val="24"/>
          <w:szCs w:val="24"/>
          <w:lang w:val="en-US" w:eastAsia="zh-CN"/>
        </w:rPr>
        <w:t>-N、SS等污染物，</w:t>
      </w:r>
      <w:r>
        <w:rPr>
          <w:rFonts w:hint="eastAsia"/>
          <w:spacing w:val="0"/>
          <w:position w:val="0"/>
          <w:sz w:val="24"/>
          <w:szCs w:val="24"/>
          <w:lang w:val="en-US" w:eastAsia="zh-CN"/>
        </w:rPr>
        <w:t>其中生活污水经化粪池处理后通过低浓度管网系统排入园区污水处理厂处理，</w:t>
      </w:r>
      <w:r>
        <w:rPr>
          <w:rFonts w:hint="default"/>
          <w:spacing w:val="0"/>
          <w:position w:val="0"/>
          <w:sz w:val="24"/>
          <w:szCs w:val="24"/>
          <w:lang w:val="en-US" w:eastAsia="zh-CN"/>
        </w:rPr>
        <w:t>项目</w:t>
      </w:r>
      <w:r>
        <w:rPr>
          <w:rFonts w:hint="eastAsia"/>
          <w:spacing w:val="0"/>
          <w:position w:val="0"/>
          <w:sz w:val="24"/>
          <w:szCs w:val="24"/>
          <w:lang w:val="en-US" w:eastAsia="zh-CN"/>
        </w:rPr>
        <w:t>其他</w:t>
      </w:r>
      <w:r>
        <w:rPr>
          <w:rFonts w:hint="default"/>
          <w:spacing w:val="0"/>
          <w:position w:val="0"/>
          <w:sz w:val="24"/>
          <w:szCs w:val="24"/>
          <w:lang w:val="en-US" w:eastAsia="zh-CN"/>
        </w:rPr>
        <w:t>废水按照“一企两管”分高浓度水和低浓度水分别收集用泵排入产业园建设的高低浓度“两管”输送至产业园污水处理厂集中处理。项目废水经产业园污水处理厂集中处理，有效控制，统一管理，稳定达标排放和保障45%中水回用，项目污水不直接排入周边地表水体，几乎不会改变区域水环境质量现状，因此，项目建设不会突破区域水环境质量底线。</w:t>
      </w:r>
    </w:p>
    <w:p>
      <w:pPr>
        <w:numPr>
          <w:ilvl w:val="0"/>
          <w:numId w:val="0"/>
        </w:numPr>
        <w:adjustRightInd w:val="0"/>
        <w:snapToGrid w:val="0"/>
        <w:spacing w:line="360" w:lineRule="auto"/>
        <w:ind w:firstLine="480" w:firstLineChars="200"/>
        <w:rPr>
          <w:rFonts w:hint="eastAsia"/>
          <w:spacing w:val="0"/>
          <w:position w:val="0"/>
          <w:sz w:val="24"/>
          <w:szCs w:val="24"/>
          <w:lang w:val="en-US" w:eastAsia="zh-CN"/>
        </w:rPr>
      </w:pPr>
      <w:r>
        <w:rPr>
          <w:rFonts w:hint="eastAsia" w:ascii="Times New Roman" w:hAnsi="Times New Roman" w:eastAsia="宋体" w:cs="Times New Roman"/>
          <w:spacing w:val="0"/>
          <w:kern w:val="2"/>
          <w:position w:val="0"/>
          <w:sz w:val="24"/>
          <w:szCs w:val="24"/>
          <w:lang w:val="en-US" w:eastAsia="zh-CN" w:bidi="ar-SA"/>
        </w:rPr>
        <w:t>（3）</w:t>
      </w:r>
      <w:r>
        <w:rPr>
          <w:rFonts w:hint="eastAsia"/>
          <w:spacing w:val="0"/>
          <w:position w:val="0"/>
          <w:sz w:val="24"/>
          <w:szCs w:val="24"/>
          <w:lang w:val="en-US" w:eastAsia="zh-CN"/>
        </w:rPr>
        <w:t>地下水环境质量底线</w:t>
      </w:r>
    </w:p>
    <w:p>
      <w:pPr>
        <w:numPr>
          <w:ilvl w:val="0"/>
          <w:numId w:val="0"/>
        </w:numPr>
        <w:adjustRightInd w:val="0"/>
        <w:snapToGrid w:val="0"/>
        <w:spacing w:line="360" w:lineRule="auto"/>
        <w:ind w:firstLine="480" w:firstLineChars="200"/>
        <w:rPr>
          <w:rFonts w:hint="eastAsia"/>
          <w:spacing w:val="0"/>
          <w:position w:val="0"/>
          <w:sz w:val="24"/>
          <w:szCs w:val="24"/>
          <w:lang w:val="en-US" w:eastAsia="zh-CN"/>
        </w:rPr>
      </w:pPr>
      <w:r>
        <w:rPr>
          <w:rFonts w:hint="default"/>
          <w:spacing w:val="0"/>
          <w:position w:val="0"/>
          <w:sz w:val="24"/>
          <w:szCs w:val="24"/>
          <w:lang w:val="en-US" w:eastAsia="zh-CN"/>
        </w:rPr>
        <w:t>本项目易发生地下水污染的生产单位按要求采取了防渗、防腐等措施，正常状况下不会出现污染物泄漏进入地下水的情况</w:t>
      </w:r>
      <w:r>
        <w:rPr>
          <w:rFonts w:hint="eastAsia"/>
          <w:spacing w:val="0"/>
          <w:position w:val="0"/>
          <w:sz w:val="24"/>
          <w:szCs w:val="24"/>
          <w:lang w:val="en-US" w:eastAsia="zh-CN"/>
        </w:rPr>
        <w:t>。</w:t>
      </w:r>
    </w:p>
    <w:p>
      <w:pPr>
        <w:numPr>
          <w:ilvl w:val="0"/>
          <w:numId w:val="0"/>
        </w:numPr>
        <w:adjustRightInd w:val="0"/>
        <w:snapToGrid w:val="0"/>
        <w:spacing w:line="360" w:lineRule="auto"/>
        <w:ind w:firstLine="480" w:firstLineChars="200"/>
        <w:rPr>
          <w:rFonts w:hint="default"/>
          <w:spacing w:val="0"/>
          <w:position w:val="0"/>
          <w:sz w:val="24"/>
          <w:szCs w:val="24"/>
          <w:lang w:val="en-US" w:eastAsia="zh-CN"/>
        </w:rPr>
      </w:pPr>
      <w:r>
        <w:rPr>
          <w:rFonts w:hint="eastAsia"/>
          <w:spacing w:val="0"/>
          <w:position w:val="0"/>
          <w:sz w:val="24"/>
          <w:szCs w:val="24"/>
          <w:lang w:val="en-US" w:eastAsia="zh-CN"/>
        </w:rPr>
        <w:t>地下水污染具有隐蔽性和难以逆转性，一旦受污染，治理及恢复的成本很高，难度很大。因此建设单位要按照“源头控制、分区防控、污染监控、应急响应”的原则，严格落实本次评价提出的地下水污染防治措施。项目生产装置区、废水调节池、仓库、固废暂存库、污水管道、事故应急池等要严格按照《环境影响评价技术导则 地下水环境》（HJ 610-2016）的相关要求设置防渗层，采用防水、防腐、防冲击、耐磨的面层材料，杜绝地下水污染事故的发生。</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eastAsia="zh-CN"/>
        </w:rPr>
        <w:t>（</w:t>
      </w:r>
      <w:r>
        <w:rPr>
          <w:rFonts w:hint="eastAsia"/>
          <w:spacing w:val="0"/>
          <w:position w:val="0"/>
          <w:sz w:val="24"/>
          <w:szCs w:val="24"/>
          <w:lang w:val="en-US" w:eastAsia="zh-CN"/>
        </w:rPr>
        <w:t>4</w:t>
      </w:r>
      <w:r>
        <w:rPr>
          <w:rFonts w:hint="eastAsia"/>
          <w:spacing w:val="0"/>
          <w:position w:val="0"/>
          <w:sz w:val="24"/>
          <w:szCs w:val="24"/>
          <w:lang w:eastAsia="zh-CN"/>
        </w:rPr>
        <w:t>）</w:t>
      </w:r>
      <w:r>
        <w:rPr>
          <w:rFonts w:hint="eastAsia"/>
          <w:spacing w:val="0"/>
          <w:position w:val="0"/>
          <w:sz w:val="24"/>
          <w:szCs w:val="24"/>
          <w:lang w:val="en-US" w:eastAsia="zh-CN"/>
        </w:rPr>
        <w:t>声环境质量底线</w:t>
      </w:r>
    </w:p>
    <w:p>
      <w:pPr>
        <w:adjustRightInd w:val="0"/>
        <w:snapToGrid w:val="0"/>
        <w:spacing w:line="360" w:lineRule="auto"/>
        <w:ind w:firstLine="480" w:firstLineChars="200"/>
        <w:rPr>
          <w:rFonts w:hint="default"/>
          <w:spacing w:val="0"/>
          <w:position w:val="0"/>
          <w:sz w:val="24"/>
          <w:szCs w:val="24"/>
          <w:lang w:val="en-US" w:eastAsia="zh-CN"/>
        </w:rPr>
      </w:pPr>
      <w:r>
        <w:rPr>
          <w:rFonts w:hint="eastAsia"/>
          <w:spacing w:val="0"/>
          <w:position w:val="0"/>
          <w:sz w:val="24"/>
          <w:szCs w:val="24"/>
          <w:lang w:val="en-US" w:eastAsia="zh-CN"/>
        </w:rPr>
        <w:t>通过噪声预测，在采取相应的隔声降噪措施处理后，本项目生产过程中厂内各种设备运转产生的噪声，对厂界噪声的影响值均能满足《工业企业厂界环境噪声排放标准》（GB12348-2008）中3类标准的要求，不会对周边造成噪声影响。</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eastAsia="zh-CN"/>
        </w:rPr>
        <w:t>（</w:t>
      </w:r>
      <w:r>
        <w:rPr>
          <w:rFonts w:hint="eastAsia"/>
          <w:spacing w:val="0"/>
          <w:position w:val="0"/>
          <w:sz w:val="24"/>
          <w:szCs w:val="24"/>
          <w:lang w:val="en-US" w:eastAsia="zh-CN"/>
        </w:rPr>
        <w:t>5</w:t>
      </w:r>
      <w:r>
        <w:rPr>
          <w:rFonts w:hint="eastAsia"/>
          <w:spacing w:val="0"/>
          <w:position w:val="0"/>
          <w:sz w:val="24"/>
          <w:szCs w:val="24"/>
          <w:lang w:eastAsia="zh-CN"/>
        </w:rPr>
        <w:t>）</w:t>
      </w:r>
      <w:r>
        <w:rPr>
          <w:rFonts w:hint="eastAsia"/>
          <w:spacing w:val="0"/>
          <w:position w:val="0"/>
          <w:sz w:val="24"/>
          <w:szCs w:val="24"/>
          <w:lang w:val="en-US" w:eastAsia="zh-CN"/>
        </w:rPr>
        <w:t>土壤环境质量底线</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default" w:eastAsia="宋体"/>
          <w:spacing w:val="0"/>
          <w:position w:val="0"/>
          <w:sz w:val="24"/>
          <w:szCs w:val="24"/>
          <w:lang w:val="en-US" w:eastAsia="zh-CN"/>
        </w:rPr>
        <w:t>根据《福州市人民政府关于实施“三线一单”生态分区管控的通知》</w:t>
      </w:r>
      <w:r>
        <w:rPr>
          <w:rFonts w:hint="eastAsia"/>
          <w:spacing w:val="0"/>
          <w:position w:val="0"/>
          <w:sz w:val="24"/>
          <w:szCs w:val="24"/>
          <w:lang w:val="en-US" w:eastAsia="zh-CN"/>
        </w:rPr>
        <w:t>，</w:t>
      </w:r>
      <w:r>
        <w:rPr>
          <w:rFonts w:hint="default" w:eastAsia="宋体"/>
          <w:spacing w:val="0"/>
          <w:position w:val="0"/>
          <w:sz w:val="24"/>
          <w:szCs w:val="24"/>
          <w:lang w:val="en-US" w:eastAsia="zh-CN"/>
        </w:rPr>
        <w:t>到2025年，全省土壤环境质量保持稳定，土壤环境风险得到管控，受污染耕地安全利用率达到93</w:t>
      </w:r>
      <w:r>
        <w:rPr>
          <w:rFonts w:hint="eastAsia"/>
          <w:spacing w:val="0"/>
          <w:position w:val="0"/>
          <w:sz w:val="24"/>
          <w:szCs w:val="24"/>
          <w:lang w:val="en-US" w:eastAsia="zh-CN"/>
        </w:rPr>
        <w:t>%</w:t>
      </w:r>
      <w:r>
        <w:rPr>
          <w:rFonts w:hint="default" w:eastAsia="宋体"/>
          <w:spacing w:val="0"/>
          <w:position w:val="0"/>
          <w:sz w:val="24"/>
          <w:szCs w:val="24"/>
          <w:lang w:val="en-US" w:eastAsia="zh-CN"/>
        </w:rPr>
        <w:t>，污染地块安全利用率达到93</w:t>
      </w:r>
      <w:r>
        <w:rPr>
          <w:rFonts w:hint="eastAsia"/>
          <w:spacing w:val="0"/>
          <w:position w:val="0"/>
          <w:sz w:val="24"/>
          <w:szCs w:val="24"/>
          <w:lang w:val="en-US" w:eastAsia="zh-CN"/>
        </w:rPr>
        <w:t>%</w:t>
      </w:r>
      <w:r>
        <w:rPr>
          <w:rFonts w:hint="default" w:eastAsia="宋体"/>
          <w:spacing w:val="0"/>
          <w:position w:val="0"/>
          <w:sz w:val="24"/>
          <w:szCs w:val="24"/>
          <w:lang w:val="en-US" w:eastAsia="zh-CN"/>
        </w:rPr>
        <w:t>。到2035年，全省土壤环境质量稳中向好，土壤环境风险得到全面管控，受污染耕地安全利用率达95</w:t>
      </w:r>
      <w:r>
        <w:rPr>
          <w:rFonts w:hint="eastAsia"/>
          <w:spacing w:val="0"/>
          <w:position w:val="0"/>
          <w:sz w:val="24"/>
          <w:szCs w:val="24"/>
          <w:lang w:val="en-US" w:eastAsia="zh-CN"/>
        </w:rPr>
        <w:t>%</w:t>
      </w:r>
      <w:r>
        <w:rPr>
          <w:rFonts w:hint="default" w:eastAsia="宋体"/>
          <w:spacing w:val="0"/>
          <w:position w:val="0"/>
          <w:sz w:val="24"/>
          <w:szCs w:val="24"/>
          <w:lang w:val="en-US" w:eastAsia="zh-CN"/>
        </w:rPr>
        <w:t>以上，污染地块安全利用率达95</w:t>
      </w:r>
      <w:r>
        <w:rPr>
          <w:rFonts w:hint="eastAsia"/>
          <w:spacing w:val="0"/>
          <w:position w:val="0"/>
          <w:sz w:val="24"/>
          <w:szCs w:val="24"/>
          <w:lang w:val="en-US" w:eastAsia="zh-CN"/>
        </w:rPr>
        <w:t>%</w:t>
      </w:r>
      <w:r>
        <w:rPr>
          <w:rFonts w:hint="default" w:eastAsia="宋体"/>
          <w:spacing w:val="0"/>
          <w:position w:val="0"/>
          <w:sz w:val="24"/>
          <w:szCs w:val="24"/>
          <w:lang w:val="en-US" w:eastAsia="zh-CN"/>
        </w:rPr>
        <w:t>以上。</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default" w:eastAsia="宋体"/>
          <w:spacing w:val="0"/>
          <w:position w:val="0"/>
          <w:sz w:val="24"/>
          <w:szCs w:val="24"/>
          <w:lang w:val="en-US" w:eastAsia="zh-CN"/>
        </w:rPr>
        <w:t>本项目可能对土壤环境影响主要途径为地面漫流和垂直入渗。项目通过采取分区防渗措施，正常情况下不会通过地面漫流、垂直入渗等形式对厂区内及周边土壤造成影响。但若发生防渗层开裂、废水泄漏等事故，相关污染物将进入土壤中，对土壤环境造成污染，并随着持续泄漏，进而影响地下水。因此，企业应落实分区防渗措施，加强日常环境管理以及对环保设施及相关防渗系统的检修维护，设置地下水监测井进行跟踪监测，一旦发生污染物泄漏和地下水水质异常，</w:t>
      </w:r>
      <w:r>
        <w:rPr>
          <w:rFonts w:hint="eastAsia"/>
          <w:spacing w:val="0"/>
          <w:position w:val="0"/>
          <w:sz w:val="24"/>
          <w:szCs w:val="24"/>
          <w:lang w:val="en-US" w:eastAsia="zh-CN"/>
        </w:rPr>
        <w:t>将</w:t>
      </w:r>
      <w:r>
        <w:rPr>
          <w:rFonts w:hint="default" w:eastAsia="宋体"/>
          <w:spacing w:val="0"/>
          <w:position w:val="0"/>
          <w:sz w:val="24"/>
          <w:szCs w:val="24"/>
          <w:lang w:val="en-US" w:eastAsia="zh-CN"/>
        </w:rPr>
        <w:t>及时采取措施。</w:t>
      </w:r>
      <w:r>
        <w:rPr>
          <w:rFonts w:hint="eastAsia"/>
          <w:spacing w:val="0"/>
          <w:position w:val="0"/>
          <w:sz w:val="24"/>
          <w:szCs w:val="24"/>
          <w:lang w:val="en-US" w:eastAsia="zh-CN"/>
        </w:rPr>
        <w:t>故项目建设</w:t>
      </w:r>
      <w:r>
        <w:rPr>
          <w:rFonts w:hint="default" w:eastAsia="宋体"/>
          <w:spacing w:val="0"/>
          <w:position w:val="0"/>
          <w:sz w:val="24"/>
          <w:szCs w:val="24"/>
          <w:lang w:val="en-US" w:eastAsia="zh-CN"/>
        </w:rPr>
        <w:t>几乎不存在土壤环境风险，符合土壤环境风险防控底线要求。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3.7.3.3资源利用上线符合性分析</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eastAsia="宋体"/>
          <w:spacing w:val="0"/>
          <w:position w:val="0"/>
          <w:sz w:val="24"/>
          <w:szCs w:val="24"/>
          <w:lang w:eastAsia="zh-CN"/>
        </w:rPr>
        <w:t>本项目为</w:t>
      </w:r>
      <w:r>
        <w:rPr>
          <w:rFonts w:hint="eastAsia"/>
          <w:spacing w:val="0"/>
          <w:position w:val="0"/>
          <w:sz w:val="24"/>
          <w:szCs w:val="24"/>
          <w:lang w:val="en-US" w:eastAsia="zh-CN"/>
        </w:rPr>
        <w:t>纺织印染工业</w:t>
      </w:r>
      <w:r>
        <w:rPr>
          <w:rFonts w:hint="eastAsia" w:eastAsia="宋体"/>
          <w:spacing w:val="0"/>
          <w:position w:val="0"/>
          <w:sz w:val="24"/>
          <w:szCs w:val="24"/>
          <w:lang w:eastAsia="zh-CN"/>
        </w:rPr>
        <w:t>，项目所利用的资源主要为自来水、电</w:t>
      </w:r>
      <w:r>
        <w:rPr>
          <w:rFonts w:hint="eastAsia"/>
          <w:spacing w:val="0"/>
          <w:position w:val="0"/>
          <w:sz w:val="24"/>
          <w:szCs w:val="24"/>
          <w:lang w:eastAsia="zh-CN"/>
        </w:rPr>
        <w:t>、</w:t>
      </w:r>
      <w:r>
        <w:rPr>
          <w:rFonts w:hint="eastAsia"/>
          <w:spacing w:val="0"/>
          <w:position w:val="0"/>
          <w:sz w:val="24"/>
          <w:szCs w:val="24"/>
          <w:lang w:val="en-US" w:eastAsia="zh-CN"/>
        </w:rPr>
        <w:t>天然气</w:t>
      </w:r>
      <w:r>
        <w:rPr>
          <w:rFonts w:hint="eastAsia" w:eastAsia="宋体"/>
          <w:spacing w:val="0"/>
          <w:position w:val="0"/>
          <w:sz w:val="24"/>
          <w:szCs w:val="24"/>
          <w:lang w:eastAsia="zh-CN"/>
        </w:rPr>
        <w:t>等资源，本项目用水、用电</w:t>
      </w:r>
      <w:r>
        <w:rPr>
          <w:rFonts w:hint="eastAsia"/>
          <w:spacing w:val="0"/>
          <w:position w:val="0"/>
          <w:sz w:val="24"/>
          <w:szCs w:val="24"/>
          <w:lang w:eastAsia="zh-CN"/>
        </w:rPr>
        <w:t>、</w:t>
      </w:r>
      <w:r>
        <w:rPr>
          <w:rFonts w:hint="eastAsia"/>
          <w:spacing w:val="0"/>
          <w:position w:val="0"/>
          <w:sz w:val="24"/>
          <w:szCs w:val="24"/>
          <w:lang w:val="en-US" w:eastAsia="zh-CN"/>
        </w:rPr>
        <w:t>用气均为园区</w:t>
      </w:r>
      <w:r>
        <w:rPr>
          <w:rFonts w:hint="eastAsia" w:eastAsia="宋体"/>
          <w:spacing w:val="0"/>
          <w:position w:val="0"/>
          <w:sz w:val="24"/>
          <w:szCs w:val="24"/>
          <w:lang w:eastAsia="zh-CN"/>
        </w:rPr>
        <w:t>集中供应，项目运营期间通过内部管理、设备选择、原辅材料的选用和管理、</w:t>
      </w:r>
      <w:r>
        <w:rPr>
          <w:rFonts w:hint="eastAsia"/>
          <w:spacing w:val="0"/>
          <w:position w:val="0"/>
          <w:sz w:val="24"/>
          <w:szCs w:val="24"/>
          <w:lang w:val="en-US" w:eastAsia="zh-CN"/>
        </w:rPr>
        <w:t>中水</w:t>
      </w:r>
      <w:r>
        <w:rPr>
          <w:rFonts w:hint="eastAsia" w:eastAsia="宋体"/>
          <w:spacing w:val="0"/>
          <w:position w:val="0"/>
          <w:sz w:val="24"/>
          <w:szCs w:val="24"/>
          <w:lang w:eastAsia="zh-CN"/>
        </w:rPr>
        <w:t>回用</w:t>
      </w:r>
      <w:r>
        <w:rPr>
          <w:rFonts w:hint="eastAsia"/>
          <w:spacing w:val="0"/>
          <w:position w:val="0"/>
          <w:sz w:val="24"/>
          <w:szCs w:val="24"/>
          <w:lang w:eastAsia="zh-CN"/>
        </w:rPr>
        <w:t>、</w:t>
      </w:r>
      <w:r>
        <w:rPr>
          <w:rFonts w:hint="eastAsia"/>
          <w:spacing w:val="0"/>
          <w:position w:val="0"/>
          <w:sz w:val="24"/>
          <w:szCs w:val="24"/>
          <w:lang w:val="en-US" w:eastAsia="zh-CN"/>
        </w:rPr>
        <w:t>蒸汽冷凝回收利用</w:t>
      </w:r>
      <w:r>
        <w:rPr>
          <w:rFonts w:hint="eastAsia" w:eastAsia="宋体"/>
          <w:spacing w:val="0"/>
          <w:position w:val="0"/>
          <w:sz w:val="24"/>
          <w:szCs w:val="24"/>
          <w:lang w:eastAsia="zh-CN"/>
        </w:rPr>
        <w:t>、污染治理等多方面采取合理可行的防治措施，以“节能、降耗、减污”为目标，有效的控制污染。项目的水、</w:t>
      </w:r>
      <w:r>
        <w:rPr>
          <w:rFonts w:hint="eastAsia"/>
          <w:spacing w:val="0"/>
          <w:position w:val="0"/>
          <w:sz w:val="24"/>
          <w:szCs w:val="24"/>
          <w:lang w:val="en-US" w:eastAsia="zh-CN"/>
        </w:rPr>
        <w:t>天然</w:t>
      </w:r>
      <w:r>
        <w:rPr>
          <w:rFonts w:hint="eastAsia" w:eastAsia="宋体"/>
          <w:spacing w:val="0"/>
          <w:position w:val="0"/>
          <w:sz w:val="24"/>
          <w:szCs w:val="24"/>
          <w:lang w:eastAsia="zh-CN"/>
        </w:rPr>
        <w:t>气等资源利用不会突破区域的资源利用上线。</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3.7.3.4环境准入负面清单符合性分析</w:t>
      </w:r>
    </w:p>
    <w:p>
      <w:pPr>
        <w:adjustRightInd w:val="0"/>
        <w:snapToGrid w:val="0"/>
        <w:spacing w:line="360" w:lineRule="auto"/>
        <w:ind w:firstLine="480" w:firstLineChars="200"/>
        <w:rPr>
          <w:rFonts w:hint="eastAsia" w:eastAsia="宋体"/>
          <w:spacing w:val="0"/>
          <w:position w:val="0"/>
          <w:sz w:val="24"/>
          <w:szCs w:val="24"/>
          <w:lang w:eastAsia="zh-CN"/>
        </w:rPr>
      </w:pPr>
      <w:r>
        <w:rPr>
          <w:rFonts w:hint="eastAsia"/>
          <w:spacing w:val="0"/>
          <w:position w:val="0"/>
          <w:sz w:val="24"/>
          <w:szCs w:val="24"/>
          <w:lang w:eastAsia="zh-CN"/>
        </w:rPr>
        <w:t>（</w:t>
      </w:r>
      <w:r>
        <w:rPr>
          <w:rFonts w:hint="eastAsia"/>
          <w:spacing w:val="0"/>
          <w:position w:val="0"/>
          <w:sz w:val="24"/>
          <w:szCs w:val="24"/>
          <w:lang w:val="en-US" w:eastAsia="zh-CN"/>
        </w:rPr>
        <w:t>1</w:t>
      </w:r>
      <w:r>
        <w:rPr>
          <w:rFonts w:hint="eastAsia"/>
          <w:spacing w:val="0"/>
          <w:position w:val="0"/>
          <w:sz w:val="24"/>
          <w:szCs w:val="24"/>
          <w:lang w:eastAsia="zh-CN"/>
        </w:rPr>
        <w:t>）与《市场准入负面清单（2022年版）》符合性分析</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根据《关于进一步做好&lt;市场准入负面清单（2022）年版&gt;相关工作的通知》（榕发改体改〔2022〕14号），福州市全面贯彻实施市场准入负面清单制度，经查《市场准入负面清单（2022年版）》，本项目不属于规定内的禁止准入类和需许可准入类。</w:t>
      </w:r>
    </w:p>
    <w:p>
      <w:pPr>
        <w:adjustRightInd w:val="0"/>
        <w:snapToGrid w:val="0"/>
        <w:spacing w:line="360" w:lineRule="auto"/>
        <w:ind w:firstLine="480" w:firstLineChars="200"/>
        <w:rPr>
          <w:rFonts w:hint="default" w:eastAsia="宋体"/>
          <w:spacing w:val="0"/>
          <w:position w:val="0"/>
          <w:sz w:val="24"/>
          <w:szCs w:val="24"/>
          <w:lang w:val="en-US" w:eastAsia="zh-CN"/>
        </w:rPr>
      </w:pPr>
      <w:r>
        <w:rPr>
          <w:rFonts w:hint="eastAsia"/>
          <w:spacing w:val="0"/>
          <w:position w:val="0"/>
          <w:sz w:val="24"/>
          <w:szCs w:val="24"/>
          <w:lang w:eastAsia="zh-CN"/>
        </w:rPr>
        <w:t>（</w:t>
      </w:r>
      <w:r>
        <w:rPr>
          <w:rFonts w:hint="eastAsia"/>
          <w:spacing w:val="0"/>
          <w:position w:val="0"/>
          <w:sz w:val="24"/>
          <w:szCs w:val="24"/>
          <w:lang w:val="en-US" w:eastAsia="zh-CN"/>
        </w:rPr>
        <w:t>2</w:t>
      </w:r>
      <w:r>
        <w:rPr>
          <w:rFonts w:hint="eastAsia"/>
          <w:spacing w:val="0"/>
          <w:position w:val="0"/>
          <w:sz w:val="24"/>
          <w:szCs w:val="24"/>
          <w:lang w:eastAsia="zh-CN"/>
        </w:rPr>
        <w:t>）与《福州市人民政府关于实施“三线一单”生态分区管控的通知》相符性分析</w:t>
      </w:r>
    </w:p>
    <w:p>
      <w:pPr>
        <w:adjustRightInd w:val="0"/>
        <w:snapToGrid w:val="0"/>
        <w:spacing w:line="360" w:lineRule="auto"/>
        <w:ind w:firstLine="480" w:firstLineChars="200"/>
        <w:rPr>
          <w:rFonts w:hint="eastAsia"/>
          <w:spacing w:val="0"/>
          <w:position w:val="0"/>
          <w:sz w:val="24"/>
          <w:szCs w:val="24"/>
        </w:rPr>
      </w:pPr>
      <w:r>
        <w:rPr>
          <w:rFonts w:hint="eastAsia"/>
          <w:spacing w:val="0"/>
          <w:position w:val="0"/>
          <w:sz w:val="24"/>
          <w:szCs w:val="24"/>
        </w:rPr>
        <w:t>根据《福州市人民政府关于实施“三线一单”生态分区管控的通知》(榕政综〔2021〕178号)相关要求进行分析。本项目位于连江可门绿色纺织产业园区内，</w:t>
      </w:r>
      <w:r>
        <w:rPr>
          <w:rFonts w:hint="eastAsia"/>
          <w:spacing w:val="0"/>
          <w:position w:val="0"/>
          <w:sz w:val="24"/>
          <w:szCs w:val="24"/>
          <w:lang w:val="en-US" w:eastAsia="zh-CN"/>
        </w:rPr>
        <w:t>其属于</w:t>
      </w:r>
      <w:r>
        <w:rPr>
          <w:rFonts w:hint="eastAsia"/>
          <w:spacing w:val="0"/>
          <w:position w:val="0"/>
          <w:sz w:val="24"/>
          <w:szCs w:val="24"/>
        </w:rPr>
        <w:t>连江可门经济开发区重点管控单元（编码ZH35012220003），项目</w:t>
      </w:r>
      <w:r>
        <w:rPr>
          <w:rFonts w:hint="eastAsia"/>
          <w:spacing w:val="0"/>
          <w:position w:val="0"/>
          <w:sz w:val="24"/>
          <w:szCs w:val="24"/>
          <w:lang w:val="en-US" w:eastAsia="zh-CN"/>
        </w:rPr>
        <w:t>与福州市生态环境总体准入要求符合性分析详见3.7-11，与连江可门经济开发区重点管控单元准入要求符合性分析详见表3.7-12</w:t>
      </w:r>
      <w:r>
        <w:rPr>
          <w:rFonts w:hint="eastAsia"/>
          <w:spacing w:val="0"/>
          <w:position w:val="0"/>
          <w:sz w:val="24"/>
          <w:szCs w:val="24"/>
        </w:rPr>
        <w:t>。</w:t>
      </w:r>
    </w:p>
    <w:p>
      <w:pPr>
        <w:adjustRightInd w:val="0"/>
        <w:snapToGrid w:val="0"/>
        <w:spacing w:line="360" w:lineRule="auto"/>
        <w:rPr>
          <w:rFonts w:hint="eastAsia" w:eastAsia="宋体"/>
          <w:spacing w:val="0"/>
          <w:position w:val="0"/>
          <w:sz w:val="24"/>
          <w:szCs w:val="24"/>
          <w:lang w:eastAsia="zh-CN"/>
        </w:rPr>
      </w:pPr>
    </w:p>
    <w:p>
      <w:pPr>
        <w:adjustRightInd w:val="0"/>
        <w:snapToGrid w:val="0"/>
        <w:spacing w:line="360" w:lineRule="auto"/>
        <w:ind w:firstLine="480" w:firstLineChars="200"/>
        <w:rPr>
          <w:rFonts w:hint="default" w:eastAsia="宋体"/>
          <w:spacing w:val="0"/>
          <w:position w:val="0"/>
          <w:sz w:val="24"/>
          <w:szCs w:val="24"/>
          <w:lang w:val="en-US" w:eastAsia="zh-CN"/>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2660"/>
        </w:tabs>
        <w:spacing w:line="240" w:lineRule="auto"/>
        <w:jc w:val="center"/>
        <w:rPr>
          <w:rFonts w:hAnsi="宋体"/>
          <w:b w:val="0"/>
          <w:bCs w:val="0"/>
          <w:spacing w:val="0"/>
          <w:position w:val="0"/>
          <w:sz w:val="24"/>
          <w:szCs w:val="24"/>
        </w:rPr>
      </w:pPr>
      <w:r>
        <w:rPr>
          <w:rFonts w:hint="eastAsia" w:hAnsi="宋体"/>
          <w:b/>
          <w:bCs/>
          <w:spacing w:val="0"/>
          <w:position w:val="0"/>
          <w:sz w:val="24"/>
          <w:szCs w:val="24"/>
        </w:rPr>
        <w:t>表</w:t>
      </w:r>
      <w:r>
        <w:rPr>
          <w:rFonts w:hint="eastAsia" w:hAnsi="宋体"/>
          <w:b/>
          <w:bCs/>
          <w:spacing w:val="0"/>
          <w:position w:val="0"/>
          <w:sz w:val="24"/>
          <w:szCs w:val="24"/>
          <w:lang w:val="en-US" w:eastAsia="zh-CN"/>
        </w:rPr>
        <w:t>3.7-11</w:t>
      </w:r>
      <w:r>
        <w:rPr>
          <w:rFonts w:hint="eastAsia" w:hAnsi="宋体"/>
          <w:b/>
          <w:bCs/>
          <w:spacing w:val="0"/>
          <w:position w:val="0"/>
          <w:sz w:val="24"/>
          <w:szCs w:val="24"/>
        </w:rPr>
        <w:t>项目与福州市生态环境总体准入要求符合性分析</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8"/>
        <w:gridCol w:w="525"/>
        <w:gridCol w:w="469"/>
        <w:gridCol w:w="9344"/>
        <w:gridCol w:w="2725"/>
        <w:gridCol w:w="6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98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bCs w:val="0"/>
                <w:spacing w:val="0"/>
                <w:kern w:val="0"/>
                <w:position w:val="0"/>
                <w:sz w:val="21"/>
                <w:szCs w:val="21"/>
              </w:rPr>
            </w:pPr>
            <w:r>
              <w:rPr>
                <w:rFonts w:hint="eastAsia" w:ascii="Times New Roman" w:hAnsi="Times New Roman" w:eastAsia="宋体" w:cs="宋体"/>
                <w:b/>
                <w:bCs w:val="0"/>
                <w:spacing w:val="0"/>
                <w:kern w:val="0"/>
                <w:position w:val="0"/>
                <w:sz w:val="21"/>
                <w:szCs w:val="21"/>
              </w:rPr>
              <w:t>适用范围</w:t>
            </w:r>
          </w:p>
        </w:tc>
        <w:tc>
          <w:tcPr>
            <w:tcW w:w="981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bCs w:val="0"/>
                <w:spacing w:val="0"/>
                <w:kern w:val="0"/>
                <w:position w:val="0"/>
                <w:sz w:val="21"/>
                <w:szCs w:val="21"/>
              </w:rPr>
            </w:pPr>
            <w:r>
              <w:rPr>
                <w:rFonts w:hint="eastAsia" w:ascii="Times New Roman" w:hAnsi="Times New Roman" w:eastAsia="宋体" w:cs="宋体"/>
                <w:b/>
                <w:bCs w:val="0"/>
                <w:spacing w:val="0"/>
                <w:kern w:val="0"/>
                <w:position w:val="0"/>
                <w:sz w:val="21"/>
                <w:szCs w:val="21"/>
              </w:rPr>
              <w:t>准入要求</w:t>
            </w:r>
          </w:p>
        </w:tc>
        <w:tc>
          <w:tcPr>
            <w:tcW w:w="2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bCs w:val="0"/>
                <w:spacing w:val="0"/>
                <w:kern w:val="0"/>
                <w:position w:val="0"/>
                <w:sz w:val="21"/>
                <w:szCs w:val="21"/>
                <w:lang w:val="en-US" w:eastAsia="zh-CN"/>
              </w:rPr>
            </w:pPr>
            <w:r>
              <w:rPr>
                <w:rFonts w:hint="eastAsia" w:ascii="Times New Roman" w:hAnsi="Times New Roman" w:eastAsia="宋体" w:cs="宋体"/>
                <w:b/>
                <w:bCs w:val="0"/>
                <w:spacing w:val="0"/>
                <w:kern w:val="0"/>
                <w:position w:val="0"/>
                <w:sz w:val="21"/>
                <w:szCs w:val="21"/>
                <w:lang w:val="en-US" w:eastAsia="zh-CN"/>
              </w:rPr>
              <w:t>本项目情况</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bCs w:val="0"/>
                <w:spacing w:val="0"/>
                <w:kern w:val="0"/>
                <w:position w:val="0"/>
                <w:sz w:val="21"/>
                <w:szCs w:val="21"/>
                <w:lang w:val="en-US" w:eastAsia="zh-CN"/>
              </w:rPr>
            </w:pPr>
            <w:r>
              <w:rPr>
                <w:rFonts w:hint="eastAsia" w:ascii="Times New Roman" w:hAnsi="Times New Roman" w:eastAsia="宋体" w:cs="宋体"/>
                <w:b/>
                <w:bCs w:val="0"/>
                <w:spacing w:val="0"/>
                <w:kern w:val="0"/>
                <w:position w:val="0"/>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福州市</w:t>
            </w:r>
          </w:p>
        </w:tc>
        <w:tc>
          <w:tcPr>
            <w:tcW w:w="5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陆域</w:t>
            </w:r>
          </w:p>
        </w:tc>
        <w:tc>
          <w:tcPr>
            <w:tcW w:w="4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position w:val="0"/>
                <w:sz w:val="21"/>
                <w:szCs w:val="21"/>
              </w:rPr>
              <w:t>空间布局约束</w:t>
            </w:r>
          </w:p>
        </w:tc>
        <w:tc>
          <w:tcPr>
            <w:tcW w:w="93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1.福州市石化中上游项目重点在江阴化工新材料专区、连江可门化工新材料产业园布局。</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2.鼓楼区内福州高新技术产业开发区洪山片禁止生产型企业的引入；仓山区内福州高新技术产业开发区仓山片不再新增生物医药原料药制造类企业。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3.罗源县内福州台商投资区松山片区禁止引进、建设集中电镀、制浆、医药、农药、酿造等重污染项目；连江县内福州台商投资区大官坂片区不再扩大聚酰胺一体化项目规模。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4.禁止在闽江马尾罗星塔以上流域范围新、扩建制革项目，严控新（扩）建植物制浆、印染、合成革及人造革、电镀项目。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5.禁止在通风廊道和主导风向的上风向布局大气重污染企业，逐步将大气重污染企业和环境风险企业搬出城市建成区和生态保护红线范围。</w:t>
            </w:r>
          </w:p>
        </w:tc>
        <w:tc>
          <w:tcPr>
            <w:tcW w:w="2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本项目位于连江可行经济区的绿色纺织产业园内，属于近岸海域，不属于陆域范围。</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lang w:val="en-US" w:eastAsia="zh-CN"/>
              </w:rPr>
            </w:pPr>
            <w:r>
              <w:rPr>
                <w:rFonts w:hint="eastAsia" w:ascii="Times New Roman" w:hAnsi="Times New Roman" w:eastAsia="宋体" w:cs="宋体"/>
                <w:b w:val="0"/>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深入推进闽江流域上生态环境综合治理工作方案</w:t>
            </w:r>
          </w:p>
        </w:tc>
        <w:tc>
          <w:tcPr>
            <w:tcW w:w="5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p>
        </w:tc>
        <w:tc>
          <w:tcPr>
            <w:tcW w:w="4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污染物排放管控</w:t>
            </w:r>
          </w:p>
        </w:tc>
        <w:tc>
          <w:tcPr>
            <w:tcW w:w="93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2.省级（含）以上工业园区外的工业企业新增主要污染物排放量（不含使用天然气、液化石油气等作为燃料的非火电锅炉和工业炉窑的工业企业新增的二氧化硫、氮氧化物排放量），按不低于1.2倍交易。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3.涉新增VOCs排放项目，VOCs排放实行区域内倍量替代。</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5.氟化工、印染、电镀等行业企业实行水污染物特别排放限值。</w:t>
            </w:r>
          </w:p>
        </w:tc>
        <w:tc>
          <w:tcPr>
            <w:tcW w:w="2725"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p>
        </w:tc>
        <w:tc>
          <w:tcPr>
            <w:tcW w:w="699"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p>
        </w:tc>
        <w:tc>
          <w:tcPr>
            <w:tcW w:w="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海岸线</w:t>
            </w:r>
          </w:p>
        </w:tc>
        <w:tc>
          <w:tcPr>
            <w:tcW w:w="4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空间布局约束</w:t>
            </w:r>
          </w:p>
        </w:tc>
        <w:tc>
          <w:tcPr>
            <w:tcW w:w="93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1.适时搬迁或取消松门、长安、小长门等闽江口内港作业区的油品、液体化工品码头功能，适度控制新建企业专用码头，推行码头共用。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2.实施港口建设分类引导和约束，严控港口重复建设。闽江口内港区重点准入对台“三通”客运项目，兼顾能源、集装箱等货运项目；福州（连江）国家远洋渔业基地核心区远洋渔业母港重点准入远洋渔业装卸码头、渔港、锚地、航道建设项目；江阴港区重点准入集装箱运输项目，兼顾散杂货、化工品和商品汽车运输项目；松下港区重点准入粮食、散杂货运输项目；罗源湾港区重点准入煤炭、矿石运输项目。</w:t>
            </w:r>
          </w:p>
        </w:tc>
        <w:tc>
          <w:tcPr>
            <w:tcW w:w="2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本项目位于连江可行经济区的绿色纺织产业园内，属于近岸海域，不属于海岸范围。</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lang w:val="en-US" w:eastAsia="zh-CN"/>
              </w:rPr>
            </w:pPr>
            <w:r>
              <w:rPr>
                <w:rFonts w:hint="eastAsia" w:ascii="Times New Roman" w:hAnsi="Times New Roman" w:eastAsia="宋体" w:cs="宋体"/>
                <w:b w:val="0"/>
                <w:spacing w:val="0"/>
                <w:kern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p>
        </w:tc>
        <w:tc>
          <w:tcPr>
            <w:tcW w:w="5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近岸海域</w:t>
            </w:r>
          </w:p>
        </w:tc>
        <w:tc>
          <w:tcPr>
            <w:tcW w:w="4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空间布局约束</w:t>
            </w:r>
          </w:p>
        </w:tc>
        <w:tc>
          <w:tcPr>
            <w:tcW w:w="93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1.落实国家围填海管控规定，除国家重大项目外，全面禁止围填海。</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2.禁止开展可能改变海域自然属性、破坏湿地生态系统功能和生态保护对象、破坏河口生态系统和泄洪通道功能的开发活动。禁止破坏芦苇荡等植被群落，生产设施与水禽筑巢区、觅食及栖息地等集中分布区须保留安全距离；禁止高噪音等惊扰鸟类的作业，禁止大面积使用栖息水鸟害怕的颜色。</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3.限制江阴和涵江工业与城镇用海区排污口建设，污水处理厂排污口严格论证并执行污水达标排放和设置深水排放口，不得影响临近的萩芦溪河口生态系统、兴化湾新厝重要滨海湿地和木兰溪重要渔业水域。</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4.优化调整环罗源湾区域发展定位和产业布局。大官坂组团发展污染相对较低的石化中下游产业和精细化工产品，并适当控制其发展规模，不再扩大聚酰胺一体化及配套项目规模。松山片区禁止引进、建设集中电镀、制浆、医药、农药、酿造等重污染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position w:val="0"/>
                <w:sz w:val="21"/>
                <w:szCs w:val="21"/>
              </w:rPr>
              <w:t>5.</w:t>
            </w:r>
            <w:r>
              <w:rPr>
                <w:rFonts w:hint="eastAsia" w:ascii="Times New Roman" w:hAnsi="Times New Roman" w:eastAsia="宋体" w:cs="宋体"/>
                <w:b w:val="0"/>
                <w:spacing w:val="0"/>
                <w:kern w:val="0"/>
                <w:position w:val="0"/>
                <w:sz w:val="21"/>
                <w:szCs w:val="21"/>
              </w:rPr>
              <w:t>禁止破坏性捕捞方式，合理有序开展捕捞作业。</w:t>
            </w:r>
            <w:r>
              <w:rPr>
                <w:rFonts w:hint="eastAsia" w:ascii="Times New Roman" w:hAnsi="Times New Roman" w:eastAsia="宋体" w:cs="宋体"/>
                <w:b w:val="0"/>
                <w:spacing w:val="0"/>
                <w:position w:val="0"/>
                <w:sz w:val="21"/>
                <w:szCs w:val="21"/>
              </w:rPr>
              <w:t>罗源湾禁养区禁止开展水产养殖，限养区不得开展网箱养殖。</w:t>
            </w:r>
          </w:p>
        </w:tc>
        <w:tc>
          <w:tcPr>
            <w:tcW w:w="2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rPr>
            </w:pPr>
            <w:r>
              <w:rPr>
                <w:rFonts w:hint="eastAsia" w:ascii="Times New Roman" w:hAnsi="Times New Roman" w:eastAsia="宋体" w:cs="宋体"/>
                <w:b w:val="0"/>
                <w:spacing w:val="0"/>
                <w:position w:val="0"/>
                <w:sz w:val="21"/>
                <w:szCs w:val="21"/>
              </w:rPr>
              <w:t>本项目位于连江可行经济区的绿色纺织产业园内，项目用地属于已批复工业用地，不需围填海。</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position w:val="0"/>
                <w:sz w:val="21"/>
                <w:szCs w:val="21"/>
                <w:lang w:val="en-US" w:eastAsia="zh-CN"/>
              </w:rPr>
            </w:pPr>
            <w:r>
              <w:rPr>
                <w:rFonts w:hint="eastAsia" w:ascii="Times New Roman" w:hAnsi="Times New Roman" w:eastAsia="宋体" w:cs="宋体"/>
                <w:b w:val="0"/>
                <w:spacing w:val="0"/>
                <w:positio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p>
        </w:tc>
        <w:tc>
          <w:tcPr>
            <w:tcW w:w="5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p>
        </w:tc>
        <w:tc>
          <w:tcPr>
            <w:tcW w:w="4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污染物排放管控</w:t>
            </w:r>
          </w:p>
        </w:tc>
        <w:tc>
          <w:tcPr>
            <w:tcW w:w="93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1.各类保护区内禁止排放有害有毒的污水、油类、油性混合物、热污染物及其他污染物和废弃物，禁止新设污染物集中排放口，禁止倾废。</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2.罗源湾实行主要污染物入海总量控制。合理设置湾内排污口，化工废水应全部引至湾外排放，可门经济区污水排放落实湾外深海排放。开展罗源湾入海排污口专项排查整治和起步溪等入海溪流综合整治。提升罗源湾港口污染物接收处理能力。</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3.实行闽江口主要污染物入海总量控制，控制闽江入海断面水质，削减氮磷入海总量。全面整治闽江口周边入海溪流，开展入海排放口专项排查整治。优化闽江口以北连江东部海域养殖结构和布局，控制养殖密度和规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4.开展福清湾入海排污口专项整治，加强福清湾及龙江沿岸农村生活污水、生活垃圾的收集处理处置。严格控制湾内投饵型网箱养殖规模和密度，实行生态养殖，强化养殖污染防治和养殖尾水治理监管。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5.兴化湾实行主要污染物入海总量控制，开展兴化湾福州段入海排污口专项排查整治。加快推动沿岸乡镇配套污水管网建设及江阴工业区污水处理厂提标改造，湾内严格控制投饵型网箱养殖规模和密度，实行生态养殖，强化养殖污染防治和养殖尾水治理监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6.近岸海域汇水区域内城镇污水处理设施执行不低于一级A排放标准，推进沿海农村生活污水收集处理。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7.出台福州市养殖尾水排放标准，强化养殖尾水治理和排放监测监管。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8.采取措施，综合运用生态廊道、退养还湿、植被恢复、海岸生态防护等手段，整治修复受损的滨海湿地区，恢复湿地生态系统功能。</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9.强化陆海污染联防联控，推动“蓝色海湾”整治项目、海岸带生态保护修复工程等重大工程建设，推进沿海岸线自然化和生态保护修复。</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10.闽江口内港区现有油品和危险品（液化石油气）码头搬迁前应切实保障现有油污水处理设施的有效性，搬迁后由江阴港区、罗源湾港区在对应码头设立油污水接收处理系统。其他港区的生产性油污水由码头自建油污水处理设施处理达标后排入依托城市污水处理厂，杜绝港区油污水散排。</w:t>
            </w:r>
          </w:p>
        </w:tc>
        <w:tc>
          <w:tcPr>
            <w:tcW w:w="2725"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rPr>
            </w:pPr>
            <w:r>
              <w:rPr>
                <w:rFonts w:hint="eastAsia" w:ascii="Times New Roman" w:hAnsi="Times New Roman" w:eastAsia="宋体" w:cs="宋体"/>
                <w:b w:val="0"/>
                <w:spacing w:val="0"/>
                <w:kern w:val="0"/>
                <w:position w:val="0"/>
                <w:sz w:val="21"/>
                <w:szCs w:val="21"/>
              </w:rPr>
              <w:t>本项目产生的废水由绿色纺织产业园污水处理厂统一处理，处理后深海排放，不新设排放口。绿色纺织产业园污水处理执行一级A排放标准。</w:t>
            </w:r>
          </w:p>
        </w:tc>
        <w:tc>
          <w:tcPr>
            <w:tcW w:w="699"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宋体"/>
                <w:b w:val="0"/>
                <w:spacing w:val="0"/>
                <w:kern w:val="0"/>
                <w:position w:val="0"/>
                <w:sz w:val="21"/>
                <w:szCs w:val="21"/>
                <w:lang w:val="en-US" w:eastAsia="zh-CN"/>
              </w:rPr>
            </w:pPr>
            <w:r>
              <w:rPr>
                <w:rFonts w:hint="eastAsia" w:ascii="Times New Roman" w:hAnsi="Times New Roman" w:cs="宋体"/>
                <w:b w:val="0"/>
                <w:spacing w:val="0"/>
                <w:kern w:val="0"/>
                <w:position w:val="0"/>
                <w:sz w:val="21"/>
                <w:szCs w:val="21"/>
                <w:lang w:val="en-US" w:eastAsia="zh-CN"/>
              </w:rPr>
              <w:t>符合</w:t>
            </w:r>
          </w:p>
        </w:tc>
      </w:tr>
    </w:tbl>
    <w:p>
      <w:pPr>
        <w:tabs>
          <w:tab w:val="left" w:pos="2660"/>
        </w:tabs>
        <w:spacing w:line="240" w:lineRule="auto"/>
        <w:jc w:val="center"/>
        <w:rPr>
          <w:rFonts w:hAnsi="宋体"/>
          <w:b w:val="0"/>
          <w:bCs w:val="0"/>
          <w:spacing w:val="0"/>
          <w:position w:val="0"/>
          <w:sz w:val="24"/>
          <w:szCs w:val="24"/>
        </w:rPr>
      </w:pPr>
      <w:r>
        <w:rPr>
          <w:rFonts w:hint="eastAsia" w:hAnsi="宋体"/>
          <w:b/>
          <w:bCs/>
          <w:spacing w:val="0"/>
          <w:position w:val="0"/>
          <w:sz w:val="24"/>
          <w:szCs w:val="24"/>
        </w:rPr>
        <w:t>表</w:t>
      </w:r>
      <w:r>
        <w:rPr>
          <w:rFonts w:hint="eastAsia" w:hAnsi="宋体"/>
          <w:b/>
          <w:bCs/>
          <w:spacing w:val="0"/>
          <w:position w:val="0"/>
          <w:sz w:val="24"/>
          <w:szCs w:val="24"/>
          <w:lang w:val="en-US" w:eastAsia="zh-CN"/>
        </w:rPr>
        <w:t>3.7-12</w:t>
      </w:r>
      <w:r>
        <w:rPr>
          <w:rFonts w:hint="eastAsia" w:hAnsi="宋体"/>
          <w:b/>
          <w:bCs/>
          <w:spacing w:val="0"/>
          <w:position w:val="0"/>
          <w:sz w:val="24"/>
          <w:szCs w:val="24"/>
        </w:rPr>
        <w:t>项目与福州市陆域环境管控单元准入要求相符性分析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7"/>
        <w:gridCol w:w="500"/>
        <w:gridCol w:w="911"/>
        <w:gridCol w:w="5929"/>
        <w:gridCol w:w="5142"/>
        <w:gridCol w:w="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7"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b/>
                <w:bCs/>
                <w:spacing w:val="0"/>
                <w:position w:val="0"/>
                <w:sz w:val="21"/>
                <w:szCs w:val="21"/>
              </w:rPr>
            </w:pPr>
            <w:r>
              <w:rPr>
                <w:rFonts w:hint="eastAsia" w:hAnsi="宋体"/>
                <w:b/>
                <w:bCs/>
                <w:spacing w:val="0"/>
                <w:position w:val="0"/>
                <w:sz w:val="21"/>
                <w:szCs w:val="21"/>
              </w:rPr>
              <w:t>环境管控单元名称及编码</w:t>
            </w:r>
          </w:p>
        </w:tc>
        <w:tc>
          <w:tcPr>
            <w:tcW w:w="500"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b/>
                <w:bCs/>
                <w:spacing w:val="0"/>
                <w:position w:val="0"/>
                <w:sz w:val="21"/>
                <w:szCs w:val="21"/>
              </w:rPr>
            </w:pPr>
            <w:r>
              <w:rPr>
                <w:rFonts w:hint="eastAsia" w:hAnsi="宋体"/>
                <w:b/>
                <w:bCs/>
                <w:spacing w:val="0"/>
                <w:position w:val="0"/>
                <w:sz w:val="21"/>
                <w:szCs w:val="21"/>
              </w:rPr>
              <w:t>管控单元类别</w:t>
            </w:r>
          </w:p>
        </w:tc>
        <w:tc>
          <w:tcPr>
            <w:tcW w:w="6840" w:type="dxa"/>
            <w:gridSpan w:val="2"/>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b/>
                <w:bCs/>
                <w:spacing w:val="0"/>
                <w:position w:val="0"/>
                <w:sz w:val="21"/>
                <w:szCs w:val="21"/>
              </w:rPr>
            </w:pPr>
            <w:r>
              <w:rPr>
                <w:rFonts w:hint="eastAsia" w:hAnsi="宋体"/>
                <w:b/>
                <w:bCs/>
                <w:spacing w:val="0"/>
                <w:position w:val="0"/>
                <w:sz w:val="21"/>
                <w:szCs w:val="21"/>
              </w:rPr>
              <w:t>准入要求</w:t>
            </w:r>
          </w:p>
        </w:tc>
        <w:tc>
          <w:tcPr>
            <w:tcW w:w="5142"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b/>
                <w:bCs/>
                <w:spacing w:val="0"/>
                <w:position w:val="0"/>
                <w:sz w:val="21"/>
                <w:szCs w:val="21"/>
              </w:rPr>
            </w:pPr>
            <w:r>
              <w:rPr>
                <w:rFonts w:hint="eastAsia" w:hAnsi="宋体"/>
                <w:b/>
                <w:bCs/>
                <w:spacing w:val="0"/>
                <w:position w:val="0"/>
                <w:sz w:val="21"/>
                <w:szCs w:val="21"/>
              </w:rPr>
              <w:t>本项目情况</w:t>
            </w:r>
          </w:p>
        </w:tc>
        <w:tc>
          <w:tcPr>
            <w:tcW w:w="655"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b/>
                <w:bCs/>
                <w:spacing w:val="0"/>
                <w:position w:val="0"/>
                <w:sz w:val="21"/>
                <w:szCs w:val="21"/>
              </w:rPr>
            </w:pPr>
            <w:r>
              <w:rPr>
                <w:rFonts w:hint="eastAsia" w:hAnsi="宋体"/>
                <w:b/>
                <w:bCs/>
                <w:spacing w:val="0"/>
                <w:position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7" w:type="dxa"/>
            <w:vMerge w:val="restart"/>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int="eastAsia" w:hAnsi="宋体" w:eastAsia="宋体"/>
                <w:spacing w:val="0"/>
                <w:position w:val="0"/>
                <w:sz w:val="21"/>
                <w:szCs w:val="21"/>
                <w:lang w:val="en-US" w:eastAsia="zh-CN"/>
              </w:rPr>
            </w:pPr>
            <w:r>
              <w:rPr>
                <w:rFonts w:hint="eastAsia" w:hAnsi="宋体"/>
                <w:spacing w:val="0"/>
                <w:position w:val="0"/>
                <w:sz w:val="21"/>
                <w:szCs w:val="21"/>
              </w:rPr>
              <w:t>连江可门经济开发区</w:t>
            </w:r>
            <w:r>
              <w:rPr>
                <w:rFonts w:hint="eastAsia" w:hAnsi="宋体"/>
                <w:spacing w:val="0"/>
                <w:position w:val="0"/>
                <w:sz w:val="21"/>
                <w:szCs w:val="21"/>
                <w:lang w:val="en-US" w:eastAsia="zh-CN"/>
              </w:rPr>
              <w:t>(</w:t>
            </w:r>
            <w:r>
              <w:rPr>
                <w:rFonts w:hint="eastAsia" w:hAnsi="宋体"/>
                <w:spacing w:val="0"/>
                <w:position w:val="0"/>
                <w:sz w:val="21"/>
                <w:szCs w:val="21"/>
              </w:rPr>
              <w:t>ZH35012220003</w:t>
            </w:r>
            <w:r>
              <w:rPr>
                <w:rFonts w:hint="eastAsia" w:hAnsi="宋体"/>
                <w:spacing w:val="0"/>
                <w:position w:val="0"/>
                <w:sz w:val="21"/>
                <w:szCs w:val="21"/>
                <w:lang w:val="en-US" w:eastAsia="zh-CN"/>
              </w:rPr>
              <w:t>)</w:t>
            </w:r>
          </w:p>
        </w:tc>
        <w:tc>
          <w:tcPr>
            <w:tcW w:w="500" w:type="dxa"/>
            <w:vMerge w:val="restart"/>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重点管控单元</w:t>
            </w:r>
          </w:p>
        </w:tc>
        <w:tc>
          <w:tcPr>
            <w:tcW w:w="911"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空间布局约束</w:t>
            </w:r>
          </w:p>
        </w:tc>
        <w:tc>
          <w:tcPr>
            <w:tcW w:w="5929"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rFonts w:hint="eastAsia" w:hAnsi="宋体"/>
                <w:spacing w:val="0"/>
                <w:position w:val="0"/>
                <w:sz w:val="21"/>
                <w:szCs w:val="21"/>
              </w:rPr>
            </w:pPr>
            <w:r>
              <w:rPr>
                <w:rFonts w:hint="eastAsia" w:hAnsi="宋体"/>
                <w:spacing w:val="0"/>
                <w:position w:val="0"/>
                <w:sz w:val="21"/>
                <w:szCs w:val="21"/>
              </w:rPr>
              <w:t>1.禁止引进集中电镀项目，企业配套电镀工序必须达到废水零排放。</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rFonts w:hint="eastAsia" w:hAnsi="宋体"/>
                <w:spacing w:val="0"/>
                <w:position w:val="0"/>
                <w:sz w:val="21"/>
                <w:szCs w:val="21"/>
              </w:rPr>
            </w:pPr>
            <w:r>
              <w:rPr>
                <w:rFonts w:hint="eastAsia" w:hAnsi="宋体"/>
                <w:spacing w:val="0"/>
                <w:position w:val="0"/>
                <w:sz w:val="21"/>
                <w:szCs w:val="21"/>
              </w:rPr>
              <w:t>2.可适度布局建设己内酰胺（CPL）项目。</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int="eastAsia" w:hAnsi="宋体"/>
                <w:spacing w:val="0"/>
                <w:position w:val="0"/>
                <w:sz w:val="21"/>
                <w:szCs w:val="21"/>
              </w:rPr>
            </w:pPr>
            <w:r>
              <w:rPr>
                <w:rFonts w:hint="eastAsia" w:hAnsi="宋体"/>
                <w:spacing w:val="0"/>
                <w:position w:val="0"/>
                <w:sz w:val="21"/>
                <w:szCs w:val="21"/>
              </w:rPr>
              <w:t>3.居住用地周边禁止布局潜在废气扰民的建设项目。</w:t>
            </w:r>
          </w:p>
        </w:tc>
        <w:tc>
          <w:tcPr>
            <w:tcW w:w="5142"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int="eastAsia" w:hAnsi="宋体"/>
                <w:spacing w:val="0"/>
                <w:position w:val="0"/>
                <w:sz w:val="21"/>
                <w:szCs w:val="21"/>
              </w:rPr>
            </w:pPr>
            <w:r>
              <w:rPr>
                <w:rFonts w:hint="eastAsia" w:hAnsi="宋体"/>
                <w:spacing w:val="0"/>
                <w:position w:val="0"/>
                <w:sz w:val="21"/>
                <w:szCs w:val="21"/>
              </w:rPr>
              <w:t>本项目为纺织染整行业，不属于管控约束的禁止引进项目</w:t>
            </w:r>
            <w:r>
              <w:rPr>
                <w:rFonts w:hint="eastAsia" w:hAnsi="宋体"/>
                <w:spacing w:val="0"/>
                <w:position w:val="0"/>
                <w:sz w:val="21"/>
                <w:szCs w:val="21"/>
                <w:lang w:eastAsia="zh-CN"/>
              </w:rPr>
              <w:t>。</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int="eastAsia" w:hAnsi="宋体"/>
                <w:spacing w:val="0"/>
                <w:position w:val="0"/>
                <w:sz w:val="21"/>
                <w:szCs w:val="21"/>
              </w:rPr>
            </w:pPr>
            <w:r>
              <w:rPr>
                <w:rFonts w:hint="eastAsia" w:hAnsi="宋体"/>
                <w:spacing w:val="0"/>
                <w:position w:val="0"/>
                <w:sz w:val="21"/>
                <w:szCs w:val="21"/>
                <w:lang w:val="en-US" w:eastAsia="zh-CN"/>
              </w:rPr>
              <w:t>本项目运营期建设单位</w:t>
            </w:r>
            <w:r>
              <w:rPr>
                <w:rFonts w:hint="eastAsia" w:hAnsi="宋体"/>
                <w:spacing w:val="0"/>
                <w:position w:val="0"/>
                <w:sz w:val="21"/>
                <w:szCs w:val="21"/>
              </w:rPr>
              <w:t>对</w:t>
            </w:r>
            <w:r>
              <w:rPr>
                <w:rFonts w:hint="eastAsia" w:hAnsi="宋体"/>
                <w:spacing w:val="0"/>
                <w:position w:val="0"/>
                <w:sz w:val="21"/>
                <w:szCs w:val="21"/>
                <w:lang w:val="en-US" w:eastAsia="zh-CN"/>
              </w:rPr>
              <w:t>产生的</w:t>
            </w:r>
            <w:r>
              <w:rPr>
                <w:rFonts w:hint="eastAsia" w:hAnsi="宋体"/>
                <w:spacing w:val="0"/>
                <w:position w:val="0"/>
                <w:sz w:val="21"/>
                <w:szCs w:val="21"/>
              </w:rPr>
              <w:t>废气进行有效处理</w:t>
            </w:r>
            <w:r>
              <w:rPr>
                <w:rFonts w:hint="eastAsia" w:hAnsi="宋体"/>
                <w:spacing w:val="0"/>
                <w:position w:val="0"/>
                <w:sz w:val="21"/>
                <w:szCs w:val="21"/>
                <w:lang w:val="en-US" w:eastAsia="zh-CN"/>
              </w:rPr>
              <w:t>并</w:t>
            </w:r>
            <w:r>
              <w:rPr>
                <w:rFonts w:hint="eastAsia" w:hAnsi="宋体"/>
                <w:spacing w:val="0"/>
                <w:position w:val="0"/>
                <w:sz w:val="21"/>
                <w:szCs w:val="21"/>
              </w:rPr>
              <w:t>达标排放。经预测项目实施对区域环境空气影响程度可以接受，不存在潜在废气扰民。</w:t>
            </w:r>
          </w:p>
        </w:tc>
        <w:tc>
          <w:tcPr>
            <w:tcW w:w="655"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7" w:type="dxa"/>
            <w:vMerge w:val="continue"/>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p>
        </w:tc>
        <w:tc>
          <w:tcPr>
            <w:tcW w:w="500" w:type="dxa"/>
            <w:vMerge w:val="continue"/>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p>
        </w:tc>
        <w:tc>
          <w:tcPr>
            <w:tcW w:w="911"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污染物排放管控</w:t>
            </w:r>
          </w:p>
        </w:tc>
        <w:tc>
          <w:tcPr>
            <w:tcW w:w="5929"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rFonts w:hint="eastAsia"/>
                <w:spacing w:val="0"/>
                <w:position w:val="0"/>
              </w:rPr>
            </w:pPr>
            <w:r>
              <w:rPr>
                <w:rFonts w:hint="eastAsia"/>
                <w:spacing w:val="0"/>
                <w:position w:val="0"/>
              </w:rPr>
              <w:t>1.完善建设污水收集管网，确保园区内所有工业废水、生活污水纳入污水处理厂处理并达标排放。</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rFonts w:hint="eastAsia"/>
                <w:spacing w:val="0"/>
                <w:position w:val="0"/>
              </w:rPr>
            </w:pPr>
            <w:r>
              <w:rPr>
                <w:rFonts w:hint="eastAsia"/>
                <w:spacing w:val="0"/>
                <w:position w:val="0"/>
              </w:rPr>
              <w:t>2.涉新增VOCs排放项目，VOCs排放实行区域内倍量替代。</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rFonts w:hAnsi="宋体"/>
                <w:spacing w:val="0"/>
                <w:position w:val="0"/>
                <w:sz w:val="21"/>
                <w:szCs w:val="21"/>
              </w:rPr>
            </w:pPr>
            <w:r>
              <w:rPr>
                <w:rFonts w:hint="eastAsia"/>
                <w:spacing w:val="0"/>
                <w:position w:val="0"/>
              </w:rPr>
              <w:t>3.石油化工行业全面推行LDAR（泄漏检测与修复）技术。</w:t>
            </w:r>
          </w:p>
        </w:tc>
        <w:tc>
          <w:tcPr>
            <w:tcW w:w="5142"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int="eastAsia" w:hAnsi="宋体"/>
                <w:spacing w:val="0"/>
                <w:position w:val="0"/>
                <w:sz w:val="21"/>
                <w:szCs w:val="21"/>
              </w:rPr>
            </w:pPr>
            <w:r>
              <w:rPr>
                <w:rFonts w:hint="eastAsia" w:hAnsi="宋体"/>
                <w:spacing w:val="0"/>
                <w:position w:val="0"/>
                <w:sz w:val="21"/>
                <w:szCs w:val="21"/>
              </w:rPr>
              <w:t>厂区建设高、低浓度污水收集管网和收集池，确保各类废水均能收集分质分流排入园区污水处理厂集中处理。</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int="eastAsia" w:hAnsi="宋体" w:eastAsia="宋体"/>
                <w:spacing w:val="0"/>
                <w:position w:val="0"/>
                <w:sz w:val="21"/>
                <w:szCs w:val="21"/>
                <w:lang w:val="en-US" w:eastAsia="zh-CN"/>
              </w:rPr>
            </w:pPr>
            <w:r>
              <w:rPr>
                <w:rFonts w:hint="eastAsia" w:hAnsi="宋体"/>
                <w:spacing w:val="0"/>
                <w:position w:val="0"/>
                <w:sz w:val="21"/>
                <w:szCs w:val="21"/>
                <w:lang w:val="en-US" w:eastAsia="zh-CN"/>
              </w:rPr>
              <w:t>本项目</w:t>
            </w:r>
            <w:r>
              <w:rPr>
                <w:rFonts w:hint="eastAsia"/>
                <w:spacing w:val="0"/>
                <w:position w:val="0"/>
              </w:rPr>
              <w:t>VOCs排放</w:t>
            </w:r>
            <w:r>
              <w:rPr>
                <w:rFonts w:hint="eastAsia"/>
                <w:spacing w:val="0"/>
                <w:position w:val="0"/>
                <w:lang w:val="en-US" w:eastAsia="zh-CN"/>
              </w:rPr>
              <w:t>严格按照要求</w:t>
            </w:r>
            <w:r>
              <w:rPr>
                <w:rFonts w:hint="eastAsia"/>
                <w:spacing w:val="0"/>
                <w:position w:val="0"/>
              </w:rPr>
              <w:t>实行区域内倍量替代</w:t>
            </w:r>
            <w:r>
              <w:rPr>
                <w:rFonts w:hint="eastAsia"/>
                <w:spacing w:val="0"/>
                <w:position w:val="0"/>
                <w:lang w:eastAsia="zh-CN"/>
              </w:rPr>
              <w:t>。</w:t>
            </w:r>
          </w:p>
        </w:tc>
        <w:tc>
          <w:tcPr>
            <w:tcW w:w="655"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7" w:type="dxa"/>
            <w:vMerge w:val="continue"/>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p>
        </w:tc>
        <w:tc>
          <w:tcPr>
            <w:tcW w:w="500" w:type="dxa"/>
            <w:vMerge w:val="continue"/>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p>
        </w:tc>
        <w:tc>
          <w:tcPr>
            <w:tcW w:w="911"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环境风险防控</w:t>
            </w:r>
          </w:p>
        </w:tc>
        <w:tc>
          <w:tcPr>
            <w:tcW w:w="5929"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rFonts w:hint="eastAsia"/>
                <w:spacing w:val="0"/>
                <w:position w:val="0"/>
                <w:sz w:val="21"/>
                <w:szCs w:val="21"/>
              </w:rPr>
            </w:pPr>
            <w:r>
              <w:rPr>
                <w:rFonts w:hint="eastAsia"/>
                <w:spacing w:val="0"/>
                <w:position w:val="0"/>
                <w:sz w:val="21"/>
                <w:szCs w:val="21"/>
              </w:rPr>
              <w:t>1.切实加强化工等重污染行业、企业污染及应急防控，所有化工企业企业，要配套建设事故应急池和雨水总排口切换阀，配备应急救援物资，安装特征污染物在线监控设施。</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rFonts w:hint="eastAsia"/>
                <w:spacing w:val="0"/>
                <w:position w:val="0"/>
                <w:sz w:val="21"/>
                <w:szCs w:val="21"/>
              </w:rPr>
            </w:pPr>
            <w:r>
              <w:rPr>
                <w:rFonts w:hint="eastAsia"/>
                <w:spacing w:val="0"/>
                <w:position w:val="0"/>
                <w:sz w:val="21"/>
                <w:szCs w:val="21"/>
              </w:rPr>
              <w:t>2.建设企业、园区和周边水系三级环境风险防控工程，确保有效拦截、降污和导流；受园区排污影响的周边水系应建设应急闸门，防止泄漏物和消防水等排入外环境。</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spacing w:val="0"/>
                <w:position w:val="0"/>
                <w:sz w:val="21"/>
                <w:szCs w:val="21"/>
              </w:rPr>
            </w:pPr>
            <w:r>
              <w:rPr>
                <w:rFonts w:hint="eastAsia"/>
                <w:spacing w:val="0"/>
                <w:position w:val="0"/>
                <w:sz w:val="21"/>
                <w:szCs w:val="21"/>
              </w:rPr>
              <w:t>3.应采取有效措施防止园区建设对区域地下水、土壤造成污染。</w:t>
            </w:r>
          </w:p>
        </w:tc>
        <w:tc>
          <w:tcPr>
            <w:tcW w:w="5142"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int="eastAsia" w:hAnsi="宋体"/>
                <w:spacing w:val="0"/>
                <w:position w:val="0"/>
                <w:sz w:val="21"/>
                <w:szCs w:val="21"/>
              </w:rPr>
            </w:pPr>
            <w:r>
              <w:rPr>
                <w:rFonts w:hint="eastAsia" w:hAnsi="宋体"/>
                <w:spacing w:val="0"/>
                <w:position w:val="0"/>
                <w:sz w:val="21"/>
                <w:szCs w:val="21"/>
              </w:rPr>
              <w:t>本项目事故应急池</w:t>
            </w:r>
            <w:r>
              <w:rPr>
                <w:rFonts w:hint="eastAsia" w:hAnsi="宋体"/>
                <w:spacing w:val="0"/>
                <w:position w:val="0"/>
                <w:sz w:val="21"/>
                <w:szCs w:val="21"/>
                <w:lang w:eastAsia="zh-CN"/>
              </w:rPr>
              <w:t>、</w:t>
            </w:r>
            <w:r>
              <w:rPr>
                <w:rFonts w:hint="eastAsia" w:hAnsi="宋体"/>
                <w:spacing w:val="0"/>
                <w:position w:val="0"/>
                <w:sz w:val="21"/>
                <w:szCs w:val="21"/>
              </w:rPr>
              <w:t>雨水总排口设切换阀，高</w:t>
            </w:r>
            <w:r>
              <w:rPr>
                <w:rFonts w:hint="eastAsia" w:hAnsi="宋体"/>
                <w:spacing w:val="0"/>
                <w:position w:val="0"/>
                <w:sz w:val="21"/>
                <w:szCs w:val="21"/>
                <w:lang w:eastAsia="zh-CN"/>
              </w:rPr>
              <w:t>、</w:t>
            </w:r>
            <w:r>
              <w:rPr>
                <w:rFonts w:hint="eastAsia" w:hAnsi="宋体"/>
                <w:spacing w:val="0"/>
                <w:position w:val="0"/>
                <w:sz w:val="21"/>
                <w:szCs w:val="21"/>
              </w:rPr>
              <w:t>低浓度废水出口安装在线监控设施。</w:t>
            </w:r>
          </w:p>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Ansi="宋体"/>
                <w:spacing w:val="0"/>
                <w:position w:val="0"/>
                <w:sz w:val="21"/>
                <w:szCs w:val="21"/>
              </w:rPr>
            </w:pPr>
            <w:r>
              <w:rPr>
                <w:rFonts w:hint="eastAsia" w:hAnsi="宋体"/>
                <w:spacing w:val="0"/>
                <w:position w:val="0"/>
                <w:sz w:val="21"/>
                <w:szCs w:val="21"/>
              </w:rPr>
              <w:t>企业将按要求编制突发环境事件应急预案、建设环境应急体系、配备应急救援物资，与周边企业、产业园做好三级防控体系，防止污染海水、地下水和土壤。</w:t>
            </w:r>
          </w:p>
        </w:tc>
        <w:tc>
          <w:tcPr>
            <w:tcW w:w="655"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7" w:type="dxa"/>
            <w:vMerge w:val="continue"/>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p>
        </w:tc>
        <w:tc>
          <w:tcPr>
            <w:tcW w:w="500" w:type="dxa"/>
            <w:vMerge w:val="continue"/>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p>
        </w:tc>
        <w:tc>
          <w:tcPr>
            <w:tcW w:w="911"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资源开发效率要求</w:t>
            </w:r>
          </w:p>
        </w:tc>
        <w:tc>
          <w:tcPr>
            <w:tcW w:w="5929"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textAlignment w:val="auto"/>
              <w:rPr>
                <w:spacing w:val="0"/>
                <w:position w:val="0"/>
                <w:sz w:val="21"/>
                <w:szCs w:val="21"/>
              </w:rPr>
            </w:pPr>
            <w:r>
              <w:rPr>
                <w:rFonts w:hint="eastAsia"/>
                <w:spacing w:val="0"/>
                <w:position w:val="0"/>
              </w:rPr>
              <w:t>实施集中供热，鼓励使用电或天然气等清洁能源。</w:t>
            </w:r>
          </w:p>
        </w:tc>
        <w:tc>
          <w:tcPr>
            <w:tcW w:w="5142"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both"/>
              <w:textAlignment w:val="auto"/>
              <w:rPr>
                <w:rFonts w:hAnsi="宋体"/>
                <w:spacing w:val="0"/>
                <w:position w:val="0"/>
                <w:sz w:val="21"/>
                <w:szCs w:val="21"/>
              </w:rPr>
            </w:pPr>
            <w:r>
              <w:rPr>
                <w:rFonts w:hint="eastAsia" w:hAnsi="宋体"/>
                <w:spacing w:val="0"/>
                <w:position w:val="0"/>
                <w:sz w:val="21"/>
                <w:szCs w:val="21"/>
                <w:lang w:val="en-US" w:eastAsia="zh-CN"/>
              </w:rPr>
              <w:t>项目由产业园集中供热</w:t>
            </w:r>
            <w:r>
              <w:rPr>
                <w:rFonts w:hint="eastAsia" w:hAnsi="宋体"/>
                <w:spacing w:val="0"/>
                <w:position w:val="0"/>
                <w:sz w:val="21"/>
                <w:szCs w:val="21"/>
              </w:rPr>
              <w:t>，项目</w:t>
            </w:r>
            <w:r>
              <w:rPr>
                <w:rFonts w:hint="eastAsia" w:hAnsi="宋体"/>
                <w:spacing w:val="0"/>
                <w:position w:val="0"/>
                <w:sz w:val="21"/>
                <w:szCs w:val="21"/>
                <w:lang w:val="en-US" w:eastAsia="zh-CN"/>
              </w:rPr>
              <w:t>使用电能及</w:t>
            </w:r>
            <w:r>
              <w:rPr>
                <w:rFonts w:hint="eastAsia" w:hAnsi="宋体"/>
                <w:spacing w:val="0"/>
                <w:position w:val="0"/>
                <w:sz w:val="21"/>
                <w:szCs w:val="21"/>
              </w:rPr>
              <w:t>天然气</w:t>
            </w:r>
            <w:r>
              <w:rPr>
                <w:rFonts w:hint="eastAsia" w:hAnsi="宋体"/>
                <w:spacing w:val="0"/>
                <w:position w:val="0"/>
                <w:sz w:val="21"/>
                <w:szCs w:val="21"/>
                <w:lang w:val="en-US" w:eastAsia="zh-CN"/>
              </w:rPr>
              <w:t>等清洁能源</w:t>
            </w:r>
            <w:r>
              <w:rPr>
                <w:rFonts w:hint="eastAsia" w:hAnsi="宋体"/>
                <w:spacing w:val="0"/>
                <w:position w:val="0"/>
                <w:sz w:val="21"/>
                <w:szCs w:val="21"/>
              </w:rPr>
              <w:t>，项目厂区内不设其他供热锅炉。</w:t>
            </w:r>
          </w:p>
        </w:tc>
        <w:tc>
          <w:tcPr>
            <w:tcW w:w="655" w:type="dxa"/>
            <w:vAlign w:val="center"/>
          </w:tcPr>
          <w:p>
            <w:pPr>
              <w:keepNext w:val="0"/>
              <w:keepLines w:val="0"/>
              <w:pageBreakBefore w:val="0"/>
              <w:widowControl/>
              <w:tabs>
                <w:tab w:val="left" w:pos="2660"/>
              </w:tabs>
              <w:kinsoku/>
              <w:wordWrap/>
              <w:overflowPunct/>
              <w:topLinePunct w:val="0"/>
              <w:autoSpaceDE/>
              <w:autoSpaceDN/>
              <w:bidi w:val="0"/>
              <w:adjustRightInd w:val="0"/>
              <w:snapToGrid w:val="0"/>
              <w:spacing w:line="240" w:lineRule="auto"/>
              <w:jc w:val="center"/>
              <w:textAlignment w:val="auto"/>
              <w:rPr>
                <w:rFonts w:hAnsi="宋体"/>
                <w:spacing w:val="0"/>
                <w:position w:val="0"/>
                <w:sz w:val="21"/>
                <w:szCs w:val="21"/>
              </w:rPr>
            </w:pPr>
            <w:r>
              <w:rPr>
                <w:rFonts w:hint="eastAsia" w:hAnsi="宋体"/>
                <w:spacing w:val="0"/>
                <w:position w:val="0"/>
                <w:sz w:val="21"/>
                <w:szCs w:val="21"/>
              </w:rPr>
              <w:t>符合</w:t>
            </w:r>
          </w:p>
        </w:tc>
      </w:tr>
    </w:tbl>
    <w:p>
      <w:pPr>
        <w:keepNext w:val="0"/>
        <w:keepLines w:val="0"/>
        <w:pageBreakBefore w:val="0"/>
        <w:widowControl/>
        <w:tabs>
          <w:tab w:val="left" w:pos="2660"/>
        </w:tabs>
        <w:kinsoku/>
        <w:wordWrap/>
        <w:overflowPunct/>
        <w:topLinePunct w:val="0"/>
        <w:autoSpaceDE/>
        <w:autoSpaceDN/>
        <w:bidi w:val="0"/>
        <w:adjustRightInd w:val="0"/>
        <w:snapToGrid w:val="0"/>
        <w:spacing w:line="360" w:lineRule="auto"/>
        <w:ind w:firstLine="480" w:firstLineChars="200"/>
        <w:textAlignment w:val="auto"/>
        <w:rPr>
          <w:rFonts w:hint="eastAsia" w:hAnsi="宋体"/>
          <w:spacing w:val="0"/>
          <w:position w:val="0"/>
          <w:sz w:val="24"/>
          <w:szCs w:val="24"/>
        </w:rPr>
      </w:pPr>
      <w:r>
        <w:rPr>
          <w:rFonts w:hint="eastAsia" w:hAnsi="宋体"/>
          <w:spacing w:val="0"/>
          <w:position w:val="0"/>
          <w:sz w:val="24"/>
          <w:szCs w:val="24"/>
        </w:rPr>
        <w:t>根据上述分析，本项目符合《福州市人民政府关于实施“三线一单”生态分区管控的通知》(榕政综〔2021〕178号)中的相关规定。</w:t>
      </w:r>
    </w:p>
    <w:p>
      <w:pPr>
        <w:keepNext w:val="0"/>
        <w:keepLines w:val="0"/>
        <w:pageBreakBefore w:val="0"/>
        <w:widowControl/>
        <w:tabs>
          <w:tab w:val="left" w:pos="2660"/>
        </w:tabs>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spacing w:val="0"/>
          <w:position w:val="0"/>
          <w:sz w:val="24"/>
          <w:szCs w:val="24"/>
          <w:lang w:val="en-US" w:eastAsia="zh-CN"/>
        </w:rPr>
      </w:pPr>
      <w:r>
        <w:rPr>
          <w:rFonts w:hint="eastAsia" w:hAnsi="宋体"/>
          <w:spacing w:val="0"/>
          <w:position w:val="0"/>
          <w:sz w:val="24"/>
          <w:szCs w:val="24"/>
          <w:lang w:eastAsia="zh-CN"/>
        </w:rPr>
        <w:t>（</w:t>
      </w:r>
      <w:r>
        <w:rPr>
          <w:rFonts w:hint="eastAsia" w:hAnsi="宋体"/>
          <w:spacing w:val="0"/>
          <w:position w:val="0"/>
          <w:sz w:val="24"/>
          <w:szCs w:val="24"/>
          <w:lang w:val="en-US" w:eastAsia="zh-CN"/>
        </w:rPr>
        <w:t>3</w:t>
      </w:r>
      <w:r>
        <w:rPr>
          <w:rFonts w:hint="eastAsia" w:hAnsi="宋体"/>
          <w:spacing w:val="0"/>
          <w:position w:val="0"/>
          <w:sz w:val="24"/>
          <w:szCs w:val="24"/>
          <w:lang w:eastAsia="zh-CN"/>
        </w:rPr>
        <w:t>）与园区企业入驻标准的符合性分析</w:t>
      </w:r>
    </w:p>
    <w:p>
      <w:pPr>
        <w:adjustRightInd w:val="0"/>
        <w:snapToGrid w:val="0"/>
        <w:spacing w:line="360" w:lineRule="auto"/>
        <w:ind w:firstLine="480" w:firstLineChars="200"/>
        <w:rPr>
          <w:rFonts w:hint="eastAsia"/>
          <w:spacing w:val="0"/>
          <w:position w:val="0"/>
          <w:sz w:val="24"/>
          <w:szCs w:val="24"/>
          <w:lang w:val="en-US" w:eastAsia="zh-CN"/>
        </w:rPr>
      </w:pPr>
      <w:r>
        <w:rPr>
          <w:rFonts w:hint="eastAsia"/>
          <w:spacing w:val="0"/>
          <w:position w:val="0"/>
          <w:sz w:val="24"/>
          <w:szCs w:val="24"/>
          <w:lang w:val="en-US" w:eastAsia="zh-CN"/>
        </w:rPr>
        <w:t>可门经济开发区管委会及福建申远新材料有限公司共同成立福建申远产业园管理有限公司作为可门绿色纺织产业园的环境管理机构。福建申远产业园管理有限公司印发了《关于规范连江可门绿色纺织产业园企业入驻标准的通知》（申管〔2021〕41号），通过表3.7-13分析，本项目符合园区入驻要求。</w:t>
      </w:r>
    </w:p>
    <w:p>
      <w:pPr>
        <w:pStyle w:val="10"/>
        <w:ind w:firstLine="0"/>
        <w:jc w:val="center"/>
        <w:rPr>
          <w:rFonts w:ascii="Times New Roman" w:hAnsi="Times New Roman"/>
          <w:b/>
          <w:bCs/>
          <w:spacing w:val="0"/>
          <w:position w:val="0"/>
          <w:szCs w:val="24"/>
        </w:rPr>
      </w:pPr>
      <w:r>
        <w:rPr>
          <w:rFonts w:hint="eastAsia" w:ascii="Times New Roman" w:hAnsi="Times New Roman"/>
          <w:b/>
          <w:bCs/>
          <w:spacing w:val="0"/>
          <w:position w:val="0"/>
          <w:szCs w:val="24"/>
        </w:rPr>
        <w:t>表3.7-13本项目与园区企业入驻标准的符合性分析</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723"/>
        <w:gridCol w:w="3970"/>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序号</w:t>
            </w:r>
          </w:p>
        </w:tc>
        <w:tc>
          <w:tcPr>
            <w:tcW w:w="8723"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环保相关的入驻标准</w:t>
            </w:r>
          </w:p>
        </w:tc>
        <w:tc>
          <w:tcPr>
            <w:tcW w:w="3970"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本项目具体情况</w:t>
            </w:r>
          </w:p>
        </w:tc>
        <w:tc>
          <w:tcPr>
            <w:tcW w:w="866"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一</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企业不得在地块上新建食堂、员工宿舍等；</w:t>
            </w: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本项目厂区内不设食堂、员工宿舍等</w:t>
            </w:r>
          </w:p>
        </w:tc>
        <w:tc>
          <w:tcPr>
            <w:tcW w:w="866"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二</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企业需在地块中设计并自建消防水池，其中需有一路生活水管连接至主干道上的公共消防设施中；</w:t>
            </w: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本项目厂房地下一层拟建设消防水池</w:t>
            </w:r>
          </w:p>
        </w:tc>
        <w:tc>
          <w:tcPr>
            <w:tcW w:w="8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三</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园区企业雨水排污口前端需设置雨水收集池，检测合格后方可从雨水排放口排出，左侧（1、2、3、4、5、6号地块）企业雨水排入西侧排洪沟，右侧（7、8、9、10、11、12、13号地块）企业雨水接入东侧申园路上的市政雨水管，接入申请由企业自行向可门管委会提出；</w:t>
            </w: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本项目位于</w:t>
            </w:r>
            <w:r>
              <w:rPr>
                <w:rFonts w:hint="eastAsia" w:ascii="Times New Roman" w:hAnsi="Times New Roman"/>
                <w:spacing w:val="0"/>
                <w:position w:val="0"/>
                <w:sz w:val="21"/>
                <w:szCs w:val="21"/>
                <w:lang w:val="en-US" w:eastAsia="zh-CN"/>
              </w:rPr>
              <w:t>园区</w:t>
            </w:r>
            <w:r>
              <w:rPr>
                <w:rFonts w:hint="eastAsia" w:ascii="Times New Roman" w:hAnsi="Times New Roman"/>
                <w:spacing w:val="0"/>
                <w:position w:val="0"/>
                <w:sz w:val="21"/>
                <w:szCs w:val="21"/>
              </w:rPr>
              <w:t>左侧地块，厂内设置了雨水收集池，雨水排入西侧排洪沟。</w:t>
            </w:r>
          </w:p>
        </w:tc>
        <w:tc>
          <w:tcPr>
            <w:tcW w:w="8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四</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企业在园区供其规划的排污口、蒸汽供应点附近预留一块地（面积15m</w:t>
            </w:r>
            <w:r>
              <w:rPr>
                <w:rFonts w:hint="eastAsia" w:ascii="Times New Roman" w:hAnsi="Times New Roman"/>
                <w:spacing w:val="0"/>
                <w:position w:val="0"/>
                <w:sz w:val="21"/>
                <w:szCs w:val="21"/>
                <w:vertAlign w:val="superscript"/>
              </w:rPr>
              <w:t>2</w:t>
            </w:r>
            <w:r>
              <w:rPr>
                <w:rFonts w:hint="eastAsia" w:ascii="Times New Roman" w:hAnsi="Times New Roman"/>
                <w:spacing w:val="0"/>
                <w:position w:val="0"/>
                <w:sz w:val="21"/>
                <w:szCs w:val="21"/>
              </w:rPr>
              <w:t>以上），用于后期建设监测站房和数据房，监测站房用于放置环保部门规定的监测设备（由产业园管理公司统一采购，相关费用以及后期维护费用由企业承担），数据房用于放置其他数据采集设备，监测站房需按照水污染在线监测系统（CODCr、NH</w:t>
            </w:r>
            <w:r>
              <w:rPr>
                <w:rFonts w:hint="eastAsia" w:ascii="Times New Roman" w:hAnsi="Times New Roman"/>
                <w:spacing w:val="0"/>
                <w:position w:val="0"/>
                <w:sz w:val="21"/>
                <w:szCs w:val="21"/>
                <w:vertAlign w:val="subscript"/>
              </w:rPr>
              <w:t>3</w:t>
            </w:r>
            <w:r>
              <w:rPr>
                <w:rFonts w:hint="eastAsia" w:ascii="Times New Roman" w:hAnsi="Times New Roman"/>
                <w:spacing w:val="0"/>
                <w:position w:val="0"/>
                <w:sz w:val="21"/>
                <w:szCs w:val="21"/>
              </w:rPr>
              <w:t>-N等）安装技术规范要求建设（相关国家标准由产业园管理公司提供），数据厂家在企业地块内进行数据线路建设时，企业应提供施工条件配合厂家安装（如电缆、光纤穿线施工等），以及免费提供安装、调试与正式运营期间所必需的水电等基本保障；</w:t>
            </w: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厂区靠近主出入口处已预留了15m</w:t>
            </w:r>
            <w:r>
              <w:rPr>
                <w:rFonts w:hint="eastAsia" w:ascii="Times New Roman" w:hAnsi="Times New Roman"/>
                <w:spacing w:val="0"/>
                <w:position w:val="0"/>
                <w:sz w:val="21"/>
                <w:szCs w:val="21"/>
                <w:vertAlign w:val="superscript"/>
              </w:rPr>
              <w:t>2</w:t>
            </w:r>
            <w:r>
              <w:rPr>
                <w:rFonts w:hint="eastAsia" w:ascii="Times New Roman" w:hAnsi="Times New Roman"/>
                <w:spacing w:val="0"/>
                <w:position w:val="0"/>
                <w:sz w:val="21"/>
                <w:szCs w:val="21"/>
              </w:rPr>
              <w:t>以上的空地，用于建设监测站房和数据房。</w:t>
            </w:r>
          </w:p>
        </w:tc>
        <w:tc>
          <w:tcPr>
            <w:tcW w:w="8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五</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企业必须建设原水池或沉淀池，同时必须设计回用中水的接收；</w:t>
            </w: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厂内拟建设原水池和中水池，并配套相应管道。</w:t>
            </w:r>
          </w:p>
        </w:tc>
        <w:tc>
          <w:tcPr>
            <w:tcW w:w="8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六</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企业设计生产污水排放管道时必须分成高浓度污水管与低浓度污水管，生活污水由各企业自建化粪池，过滤残渣后排入低浓度污水管；</w:t>
            </w: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厂内分别建设一套高浓度污水管和一套低浓度污水管，生活污水经化粪池预处理后排入低浓度污水管。</w:t>
            </w:r>
          </w:p>
        </w:tc>
        <w:tc>
          <w:tcPr>
            <w:tcW w:w="8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十</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各入驻企业设计污水排水条件：</w:t>
            </w:r>
          </w:p>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废水来源：锦纶、锦纶/氨纶、涤纶、涤纶/氨纶的经编、纬编和花边圆机针织、经编机面料为素材的染色去油水洗、印染废水及整理废水，无退浆减量废水，生活污水等。</w:t>
            </w:r>
          </w:p>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主要设计排水水质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626"/>
              <w:gridCol w:w="1695"/>
              <w:gridCol w:w="1692"/>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序号</w:t>
                  </w:r>
                </w:p>
              </w:tc>
              <w:tc>
                <w:tcPr>
                  <w:tcW w:w="2831" w:type="dxa"/>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控制项目</w:t>
                  </w:r>
                </w:p>
              </w:tc>
              <w:tc>
                <w:tcPr>
                  <w:tcW w:w="1837" w:type="dxa"/>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单位</w:t>
                  </w:r>
                </w:p>
              </w:tc>
              <w:tc>
                <w:tcPr>
                  <w:tcW w:w="1837" w:type="dxa"/>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高浓度</w:t>
                  </w:r>
                </w:p>
              </w:tc>
              <w:tc>
                <w:tcPr>
                  <w:tcW w:w="1838" w:type="dxa"/>
                  <w:vAlign w:val="center"/>
                </w:tcPr>
                <w:p>
                  <w:pPr>
                    <w:pStyle w:val="10"/>
                    <w:widowControl/>
                    <w:adjustRightInd w:val="0"/>
                    <w:snapToGrid w:val="0"/>
                    <w:spacing w:line="240" w:lineRule="auto"/>
                    <w:ind w:firstLine="0"/>
                    <w:jc w:val="center"/>
                    <w:rPr>
                      <w:rFonts w:ascii="Times New Roman" w:hAnsi="Times New Roman"/>
                      <w:b/>
                      <w:bCs/>
                      <w:spacing w:val="0"/>
                      <w:position w:val="0"/>
                      <w:sz w:val="21"/>
                      <w:szCs w:val="21"/>
                    </w:rPr>
                  </w:pPr>
                  <w:r>
                    <w:rPr>
                      <w:rFonts w:hint="eastAsia" w:ascii="Times New Roman" w:hAnsi="Times New Roman"/>
                      <w:b/>
                      <w:bCs/>
                      <w:spacing w:val="0"/>
                      <w:position w:val="0"/>
                      <w:sz w:val="21"/>
                      <w:szCs w:val="21"/>
                    </w:rPr>
                    <w:t>低浓度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COD</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2000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BOD</w:t>
                  </w:r>
                  <w:r>
                    <w:rPr>
                      <w:rFonts w:hint="eastAsia" w:ascii="Times New Roman" w:hAnsi="Times New Roman"/>
                      <w:spacing w:val="0"/>
                      <w:position w:val="0"/>
                      <w:sz w:val="21"/>
                      <w:szCs w:val="21"/>
                      <w:vertAlign w:val="subscript"/>
                    </w:rPr>
                    <w:t>5</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500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悬浮物</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800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4</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TKN（含NH</w:t>
                  </w:r>
                  <w:r>
                    <w:rPr>
                      <w:rFonts w:hint="eastAsia" w:ascii="Times New Roman" w:hAnsi="Times New Roman"/>
                      <w:spacing w:val="0"/>
                      <w:position w:val="0"/>
                      <w:sz w:val="21"/>
                      <w:szCs w:val="21"/>
                      <w:vertAlign w:val="subscript"/>
                    </w:rPr>
                    <w:t>3</w:t>
                  </w:r>
                  <w:r>
                    <w:rPr>
                      <w:rFonts w:hint="eastAsia" w:ascii="Times New Roman" w:hAnsi="Times New Roman"/>
                      <w:spacing w:val="0"/>
                      <w:position w:val="0"/>
                      <w:sz w:val="21"/>
                      <w:szCs w:val="21"/>
                    </w:rPr>
                    <w:t>-N）</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总磷</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4</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6</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总氮</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80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7</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色度</w:t>
                  </w:r>
                </w:p>
              </w:tc>
              <w:tc>
                <w:tcPr>
                  <w:tcW w:w="1837" w:type="dxa"/>
                  <w:vAlign w:val="center"/>
                </w:tcPr>
                <w:p>
                  <w:pPr>
                    <w:widowControl/>
                    <w:adjustRightInd w:val="0"/>
                    <w:snapToGrid w:val="0"/>
                    <w:jc w:val="center"/>
                    <w:rPr>
                      <w:spacing w:val="0"/>
                      <w:position w:val="0"/>
                      <w:szCs w:val="21"/>
                    </w:rPr>
                  </w:pPr>
                  <w:r>
                    <w:rPr>
                      <w:rFonts w:hint="eastAsia"/>
                      <w:color w:val="000000"/>
                      <w:spacing w:val="0"/>
                      <w:kern w:val="0"/>
                      <w:position w:val="0"/>
                      <w:sz w:val="20"/>
                      <w:lang w:bidi="ar"/>
                    </w:rPr>
                    <w:t>倍</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250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8</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pH</w:t>
                  </w:r>
                </w:p>
              </w:tc>
              <w:tc>
                <w:tcPr>
                  <w:tcW w:w="1837" w:type="dxa"/>
                  <w:vAlign w:val="center"/>
                </w:tcPr>
                <w:p>
                  <w:pPr>
                    <w:widowControl/>
                    <w:adjustRightInd w:val="0"/>
                    <w:snapToGrid w:val="0"/>
                    <w:jc w:val="center"/>
                    <w:rPr>
                      <w:spacing w:val="0"/>
                      <w:position w:val="0"/>
                      <w:szCs w:val="21"/>
                    </w:rPr>
                  </w:pPr>
                  <w:r>
                    <w:rPr>
                      <w:rFonts w:hint="eastAsia"/>
                      <w:spacing w:val="0"/>
                      <w:position w:val="0"/>
                      <w:szCs w:val="21"/>
                    </w:rPr>
                    <w:t>/</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6~9</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9</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硬度（CaCO</w:t>
                  </w:r>
                  <w:r>
                    <w:rPr>
                      <w:rFonts w:hint="eastAsia" w:ascii="Times New Roman" w:hAnsi="Times New Roman"/>
                      <w:spacing w:val="0"/>
                      <w:position w:val="0"/>
                      <w:sz w:val="21"/>
                      <w:szCs w:val="21"/>
                      <w:vertAlign w:val="subscript"/>
                    </w:rPr>
                    <w:t>3</w:t>
                  </w:r>
                  <w:r>
                    <w:rPr>
                      <w:rFonts w:hint="eastAsia" w:ascii="Times New Roman" w:hAnsi="Times New Roman"/>
                      <w:spacing w:val="0"/>
                      <w:position w:val="0"/>
                      <w:sz w:val="21"/>
                      <w:szCs w:val="21"/>
                    </w:rPr>
                    <w:t>）</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450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10</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电导率</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uS/cm</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2500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11</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二氧化氯</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12</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AOX</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widowControl/>
                    <w:adjustRightInd w:val="0"/>
                    <w:snapToGrid w:val="0"/>
                    <w:jc w:val="center"/>
                    <w:rPr>
                      <w:spacing w:val="0"/>
                      <w:position w:val="0"/>
                      <w:szCs w:val="21"/>
                    </w:rPr>
                  </w:pPr>
                  <w:r>
                    <w:rPr>
                      <w:rFonts w:hint="eastAsia"/>
                      <w:spacing w:val="0"/>
                      <w:position w:val="0"/>
                      <w:szCs w:val="21"/>
                    </w:rPr>
                    <w:t>2.0</w:t>
                  </w:r>
                </w:p>
              </w:tc>
              <w:tc>
                <w:tcPr>
                  <w:tcW w:w="1838" w:type="dxa"/>
                  <w:vAlign w:val="center"/>
                </w:tcPr>
                <w:p>
                  <w:pPr>
                    <w:widowControl/>
                    <w:adjustRightInd w:val="0"/>
                    <w:snapToGrid w:val="0"/>
                    <w:jc w:val="center"/>
                    <w:rPr>
                      <w:spacing w:val="0"/>
                      <w:position w:val="0"/>
                      <w:szCs w:val="21"/>
                    </w:rPr>
                  </w:pPr>
                  <w:r>
                    <w:rPr>
                      <w:rFonts w:hint="eastAsia"/>
                      <w:spacing w:val="0"/>
                      <w:positio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13</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硫化物</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widowControl/>
                    <w:adjustRightInd w:val="0"/>
                    <w:snapToGrid w:val="0"/>
                    <w:jc w:val="center"/>
                    <w:rPr>
                      <w:spacing w:val="0"/>
                      <w:position w:val="0"/>
                      <w:szCs w:val="21"/>
                    </w:rPr>
                  </w:pPr>
                  <w:r>
                    <w:rPr>
                      <w:rFonts w:hint="eastAsia"/>
                      <w:spacing w:val="0"/>
                      <w:position w:val="0"/>
                      <w:szCs w:val="21"/>
                    </w:rPr>
                    <w:t>2.0</w:t>
                  </w:r>
                </w:p>
              </w:tc>
              <w:tc>
                <w:tcPr>
                  <w:tcW w:w="1838" w:type="dxa"/>
                  <w:vAlign w:val="center"/>
                </w:tcPr>
                <w:p>
                  <w:pPr>
                    <w:widowControl/>
                    <w:adjustRightInd w:val="0"/>
                    <w:snapToGrid w:val="0"/>
                    <w:jc w:val="center"/>
                    <w:rPr>
                      <w:spacing w:val="0"/>
                      <w:position w:val="0"/>
                      <w:szCs w:val="21"/>
                    </w:rPr>
                  </w:pPr>
                  <w:r>
                    <w:rPr>
                      <w:rFonts w:hint="eastAsia"/>
                      <w:spacing w:val="0"/>
                      <w:positio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14</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苯胺</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widowControl/>
                    <w:adjustRightInd w:val="0"/>
                    <w:snapToGrid w:val="0"/>
                    <w:jc w:val="center"/>
                    <w:rPr>
                      <w:spacing w:val="0"/>
                      <w:position w:val="0"/>
                      <w:szCs w:val="21"/>
                    </w:rPr>
                  </w:pPr>
                  <w:r>
                    <w:rPr>
                      <w:rFonts w:hint="eastAsia"/>
                      <w:spacing w:val="0"/>
                      <w:position w:val="0"/>
                      <w:szCs w:val="21"/>
                    </w:rPr>
                    <w:t>2.0</w:t>
                  </w:r>
                </w:p>
              </w:tc>
              <w:tc>
                <w:tcPr>
                  <w:tcW w:w="1838" w:type="dxa"/>
                  <w:vAlign w:val="center"/>
                </w:tcPr>
                <w:p>
                  <w:pPr>
                    <w:widowControl/>
                    <w:adjustRightInd w:val="0"/>
                    <w:snapToGrid w:val="0"/>
                    <w:jc w:val="center"/>
                    <w:rPr>
                      <w:spacing w:val="0"/>
                      <w:position w:val="0"/>
                      <w:szCs w:val="21"/>
                    </w:rPr>
                  </w:pPr>
                  <w:r>
                    <w:rPr>
                      <w:rFonts w:hint="eastAsia"/>
                      <w:spacing w:val="0"/>
                      <w:positio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15</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六价铬</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0.1</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16</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总铬</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0.1</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17</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总锑</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0.15</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18</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石油类</w:t>
                  </w:r>
                </w:p>
              </w:tc>
              <w:tc>
                <w:tcPr>
                  <w:tcW w:w="1837"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19</w:t>
                  </w:r>
                </w:p>
              </w:tc>
              <w:tc>
                <w:tcPr>
                  <w:tcW w:w="28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温度</w:t>
                  </w:r>
                </w:p>
              </w:tc>
              <w:tc>
                <w:tcPr>
                  <w:tcW w:w="1837" w:type="dxa"/>
                  <w:vAlign w:val="center"/>
                </w:tcPr>
                <w:p>
                  <w:pPr>
                    <w:widowControl/>
                    <w:adjustRightInd w:val="0"/>
                    <w:snapToGrid w:val="0"/>
                    <w:jc w:val="center"/>
                    <w:rPr>
                      <w:spacing w:val="0"/>
                      <w:position w:val="0"/>
                      <w:szCs w:val="21"/>
                    </w:rPr>
                  </w:pPr>
                  <w:r>
                    <w:rPr>
                      <w:rFonts w:hint="eastAsia"/>
                      <w:color w:val="000000"/>
                      <w:spacing w:val="0"/>
                      <w:kern w:val="0"/>
                      <w:position w:val="0"/>
                      <w:sz w:val="20"/>
                      <w:lang w:bidi="ar"/>
                    </w:rPr>
                    <w:t>℃</w:t>
                  </w:r>
                </w:p>
              </w:tc>
              <w:tc>
                <w:tcPr>
                  <w:tcW w:w="183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30-50</w:t>
                  </w:r>
                </w:p>
              </w:tc>
              <w:tc>
                <w:tcPr>
                  <w:tcW w:w="183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30-50</w:t>
                  </w:r>
                </w:p>
              </w:tc>
            </w:tr>
          </w:tbl>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备注：如对原水油指标不限制，定型机废气处理的废水必须排入浓水线。本工程要求55%水回用率，根据《纺织染整工业回用水水质标准（FZ/T01107-2011），以及锦氨中水回用要求，回用中水水质标准如下表：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994"/>
              <w:gridCol w:w="2057"/>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序号</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项目</w:t>
                  </w:r>
                </w:p>
              </w:tc>
              <w:tc>
                <w:tcPr>
                  <w:tcW w:w="22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单位</w:t>
                  </w:r>
                </w:p>
              </w:tc>
              <w:tc>
                <w:tcPr>
                  <w:tcW w:w="2718"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排放指标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CODcr</w:t>
                  </w:r>
                </w:p>
              </w:tc>
              <w:tc>
                <w:tcPr>
                  <w:tcW w:w="2231"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SS</w:t>
                  </w:r>
                </w:p>
              </w:tc>
              <w:tc>
                <w:tcPr>
                  <w:tcW w:w="2231"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铁</w:t>
                  </w:r>
                </w:p>
              </w:tc>
              <w:tc>
                <w:tcPr>
                  <w:tcW w:w="2231"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4</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锰</w:t>
                  </w:r>
                </w:p>
              </w:tc>
              <w:tc>
                <w:tcPr>
                  <w:tcW w:w="2231"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总硬度（CaCO</w:t>
                  </w:r>
                  <w:r>
                    <w:rPr>
                      <w:rFonts w:hint="eastAsia" w:ascii="Times New Roman" w:hAnsi="Times New Roman"/>
                      <w:spacing w:val="0"/>
                      <w:position w:val="0"/>
                      <w:sz w:val="21"/>
                      <w:szCs w:val="21"/>
                      <w:vertAlign w:val="subscript"/>
                    </w:rPr>
                    <w:t>3</w:t>
                  </w:r>
                  <w:r>
                    <w:rPr>
                      <w:rFonts w:hint="eastAsia" w:ascii="Times New Roman" w:hAnsi="Times New Roman"/>
                      <w:spacing w:val="0"/>
                      <w:position w:val="0"/>
                      <w:sz w:val="21"/>
                      <w:szCs w:val="21"/>
                    </w:rPr>
                    <w:t>）</w:t>
                  </w:r>
                </w:p>
              </w:tc>
              <w:tc>
                <w:tcPr>
                  <w:tcW w:w="2231" w:type="dxa"/>
                  <w:vAlign w:val="center"/>
                </w:tcPr>
                <w:p>
                  <w:pPr>
                    <w:widowControl/>
                    <w:adjustRightInd w:val="0"/>
                    <w:snapToGrid w:val="0"/>
                    <w:jc w:val="center"/>
                    <w:rPr>
                      <w:spacing w:val="0"/>
                      <w:position w:val="0"/>
                      <w:szCs w:val="21"/>
                    </w:rPr>
                  </w:pPr>
                  <w:r>
                    <w:rPr>
                      <w:color w:val="000000"/>
                      <w:spacing w:val="0"/>
                      <w:kern w:val="0"/>
                      <w:position w:val="0"/>
                      <w:sz w:val="20"/>
                      <w:lang w:bidi="ar"/>
                    </w:rPr>
                    <w:t>mg/L</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6</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色度</w:t>
                  </w:r>
                </w:p>
              </w:tc>
              <w:tc>
                <w:tcPr>
                  <w:tcW w:w="22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倍</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7</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透明度</w:t>
                  </w:r>
                </w:p>
              </w:tc>
              <w:tc>
                <w:tcPr>
                  <w:tcW w:w="22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cm</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8</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pH</w:t>
                  </w:r>
                </w:p>
              </w:tc>
              <w:tc>
                <w:tcPr>
                  <w:tcW w:w="22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9</w:t>
                  </w:r>
                </w:p>
              </w:tc>
              <w:tc>
                <w:tcPr>
                  <w:tcW w:w="3225"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电导率</w:t>
                  </w:r>
                </w:p>
              </w:tc>
              <w:tc>
                <w:tcPr>
                  <w:tcW w:w="2231"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ascii="Times New Roman" w:hAnsi="Times New Roman"/>
                      <w:color w:val="000000"/>
                      <w:spacing w:val="0"/>
                      <w:kern w:val="0"/>
                      <w:position w:val="0"/>
                      <w:sz w:val="20"/>
                      <w:lang w:bidi="ar"/>
                    </w:rPr>
                    <w:t>uS/cm</w:t>
                  </w:r>
                </w:p>
              </w:tc>
              <w:tc>
                <w:tcPr>
                  <w:tcW w:w="2718" w:type="dxa"/>
                  <w:vAlign w:val="center"/>
                </w:tcPr>
                <w:p>
                  <w:pPr>
                    <w:widowControl/>
                    <w:adjustRightInd w:val="0"/>
                    <w:snapToGrid w:val="0"/>
                    <w:jc w:val="center"/>
                    <w:rPr>
                      <w:spacing w:val="0"/>
                      <w:position w:val="0"/>
                      <w:szCs w:val="21"/>
                    </w:rPr>
                  </w:pPr>
                  <w:r>
                    <w:rPr>
                      <w:rFonts w:hint="eastAsia"/>
                      <w:spacing w:val="0"/>
                      <w:position w:val="0"/>
                      <w:szCs w:val="21"/>
                    </w:rPr>
                    <w:t>≤1200</w:t>
                  </w:r>
                </w:p>
              </w:tc>
            </w:tr>
          </w:tbl>
          <w:p>
            <w:pPr>
              <w:pStyle w:val="10"/>
              <w:widowControl/>
              <w:adjustRightInd w:val="0"/>
              <w:snapToGrid w:val="0"/>
              <w:spacing w:line="240" w:lineRule="auto"/>
              <w:ind w:firstLine="0"/>
              <w:rPr>
                <w:rFonts w:ascii="Times New Roman" w:hAnsi="Times New Roman"/>
                <w:spacing w:val="0"/>
                <w:position w:val="0"/>
                <w:sz w:val="21"/>
                <w:szCs w:val="21"/>
              </w:rPr>
            </w:pP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本项目废水主要来自染整工艺废水和生活用水，废水排放水质能满足园区污水厂的接管要求，水重复利用率达到55%以上。</w:t>
            </w:r>
          </w:p>
        </w:tc>
        <w:tc>
          <w:tcPr>
            <w:tcW w:w="866"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十一</w:t>
            </w:r>
          </w:p>
        </w:tc>
        <w:tc>
          <w:tcPr>
            <w:tcW w:w="8723"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为响应连江县政府有关会议精神，切实贯彻《连江可门绿色纺织产业园规划(一期)》和《连江可门绿色纺织产业园规划(一期)环境影响报告书》的文件精神，产业园管理公司本着公平、公正、公开的原则，针对园区各项生产指标，以各入驻企业实际用地面积为依据进行合理分配，现将各入驻企业指标拟分配如下，以便各入驻企业参照指标数据进行项目备案、规划设计、环评等报批报建工作；</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1270"/>
              <w:gridCol w:w="1463"/>
              <w:gridCol w:w="1457"/>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753"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10"/>
                    <w:widowControl/>
                    <w:adjustRightInd w:val="0"/>
                    <w:snapToGrid w:val="0"/>
                    <w:spacing w:line="240" w:lineRule="auto"/>
                    <w:ind w:firstLine="0"/>
                    <w:jc w:val="center"/>
                    <w:rPr>
                      <w:rFonts w:hint="eastAsia" w:ascii="Times New Roman" w:hAnsi="Times New Roman"/>
                      <w:spacing w:val="0"/>
                      <w:position w:val="0"/>
                      <w:sz w:val="21"/>
                      <w:szCs w:val="21"/>
                    </w:rPr>
                  </w:pPr>
                </w:p>
                <w:p>
                  <w:pPr>
                    <w:pStyle w:val="10"/>
                    <w:widowControl/>
                    <w:adjustRightInd w:val="0"/>
                    <w:snapToGrid w:val="0"/>
                    <w:spacing w:line="240" w:lineRule="auto"/>
                    <w:ind w:firstLine="0"/>
                    <w:jc w:val="center"/>
                    <mc:AlternateContent>
                      <mc:Choice Requires="wpsCustomData">
                        <wpsCustomData:diagonalParaType/>
                      </mc:Choice>
                    </mc:AlternateContent>
                    <w:rPr>
                      <w:rFonts w:ascii="Times New Roman" w:hAnsi="Times New Roman"/>
                      <w:spacing w:val="0"/>
                      <w:position w:val="0"/>
                      <w:sz w:val="21"/>
                      <w:szCs w:val="21"/>
                    </w:rPr>
                  </w:pPr>
                  <w:r>
                    <w:rPr>
                      <w:rFonts w:hint="eastAsia" w:ascii="Times New Roman" w:hAnsi="Times New Roman"/>
                      <w:spacing w:val="0"/>
                      <w:position w:val="0"/>
                      <w:sz w:val="21"/>
                      <w:szCs w:val="21"/>
                    </w:rPr>
                    <w:t>企业</w:t>
                  </w:r>
                </w:p>
                <w:p>
                  <w:pPr>
                    <w:pStyle w:val="10"/>
                    <w:widowControl/>
                    <w:adjustRightInd w:val="0"/>
                    <w:snapToGrid w:val="0"/>
                    <w:spacing w:line="240" w:lineRule="auto"/>
                    <w:ind w:firstLine="0"/>
                    <w:jc w:val="center"/>
                    <w:rPr>
                      <w:rFonts w:hint="eastAsia" w:ascii="Times New Roman" w:hAnsi="Times New Roman"/>
                      <w:spacing w:val="0"/>
                      <w:position w:val="0"/>
                      <w:sz w:val="21"/>
                      <w:szCs w:val="21"/>
                    </w:rPr>
                  </w:pPr>
                  <w:r>
                    <w:rPr>
                      <w:rFonts w:hint="eastAsia" w:ascii="Times New Roman" w:hAnsi="Times New Roman"/>
                      <w:spacing w:val="0"/>
                      <w:position w:val="0"/>
                      <w:sz w:val="21"/>
                      <w:szCs w:val="21"/>
                    </w:rPr>
                    <w:t>指标</w:t>
                  </w:r>
                </w:p>
                <w:p>
                  <w:pPr>
                    <w:pStyle w:val="10"/>
                    <w:widowControl/>
                    <w:adjustRightInd w:val="0"/>
                    <w:snapToGrid w:val="0"/>
                    <w:spacing w:line="240" w:lineRule="auto"/>
                    <w:ind w:firstLine="0"/>
                    <w:jc w:val="center"/>
                    <w:rPr>
                      <w:rFonts w:ascii="Times New Roman" w:hAnsi="Times New Roman"/>
                      <w:spacing w:val="0"/>
                      <w:position w:val="0"/>
                      <w:sz w:val="21"/>
                      <w:szCs w:val="21"/>
                    </w:rPr>
                  </w:pP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用地面积</w:t>
                  </w:r>
                </w:p>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（亩数）</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面料成品</w:t>
                  </w:r>
                </w:p>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（吨/年）</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VOCs</w:t>
                  </w:r>
                </w:p>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（吨/年）</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排污量（排入污水厂，吨/天）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福建恒创优品科技有限公司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164.65</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54040</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79.850</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11891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福建芳达纺织有限公司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50</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16411</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24.248</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福建悦聚科技有限公司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60</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19692</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29.098</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4332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福建东禾晟实业有限公司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100</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32821</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48.497</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7221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福建俊诚纺织有限公司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100</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32821</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48.497</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7221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福建鑫源欣纺织有限公司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50</w:t>
                  </w:r>
                </w:p>
              </w:tc>
              <w:tc>
                <w:tcPr>
                  <w:tcW w:w="1463" w:type="dxa"/>
                  <w:vAlign w:val="center"/>
                </w:tcPr>
                <w:p>
                  <w:pPr>
                    <w:widowControl/>
                    <w:adjustRightInd w:val="0"/>
                    <w:snapToGrid w:val="0"/>
                    <w:jc w:val="center"/>
                    <w:rPr>
                      <w:spacing w:val="0"/>
                      <w:position w:val="0"/>
                      <w:szCs w:val="21"/>
                    </w:rPr>
                  </w:pPr>
                  <w:r>
                    <w:rPr>
                      <w:rFonts w:hint="eastAsia"/>
                      <w:spacing w:val="0"/>
                      <w:position w:val="0"/>
                      <w:szCs w:val="21"/>
                    </w:rPr>
                    <w:t>16411</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24.248</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福建领逸纺织有限公司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50</w:t>
                  </w:r>
                </w:p>
              </w:tc>
              <w:tc>
                <w:tcPr>
                  <w:tcW w:w="1463" w:type="dxa"/>
                  <w:vAlign w:val="center"/>
                </w:tcPr>
                <w:p>
                  <w:pPr>
                    <w:widowControl/>
                    <w:adjustRightInd w:val="0"/>
                    <w:snapToGrid w:val="0"/>
                    <w:jc w:val="center"/>
                    <w:rPr>
                      <w:spacing w:val="0"/>
                      <w:position w:val="0"/>
                      <w:szCs w:val="21"/>
                    </w:rPr>
                  </w:pPr>
                  <w:r>
                    <w:rPr>
                      <w:rFonts w:hint="eastAsia"/>
                      <w:spacing w:val="0"/>
                      <w:position w:val="0"/>
                      <w:szCs w:val="21"/>
                    </w:rPr>
                    <w:t>16411</w:t>
                  </w:r>
                </w:p>
              </w:tc>
              <w:tc>
                <w:tcPr>
                  <w:tcW w:w="1457" w:type="dxa"/>
                  <w:vAlign w:val="center"/>
                </w:tcPr>
                <w:p>
                  <w:pPr>
                    <w:widowControl/>
                    <w:adjustRightInd w:val="0"/>
                    <w:snapToGrid w:val="0"/>
                    <w:jc w:val="center"/>
                    <w:rPr>
                      <w:spacing w:val="0"/>
                      <w:position w:val="0"/>
                      <w:szCs w:val="21"/>
                    </w:rPr>
                  </w:pPr>
                  <w:r>
                    <w:rPr>
                      <w:rFonts w:hint="eastAsia"/>
                      <w:spacing w:val="0"/>
                      <w:position w:val="0"/>
                      <w:szCs w:val="21"/>
                    </w:rPr>
                    <w:t>24.248</w:t>
                  </w:r>
                </w:p>
              </w:tc>
              <w:tc>
                <w:tcPr>
                  <w:tcW w:w="1554" w:type="dxa"/>
                  <w:vAlign w:val="center"/>
                </w:tcPr>
                <w:p>
                  <w:pPr>
                    <w:widowControl/>
                    <w:adjustRightInd w:val="0"/>
                    <w:snapToGrid w:val="0"/>
                    <w:jc w:val="center"/>
                    <w:rPr>
                      <w:spacing w:val="0"/>
                      <w:position w:val="0"/>
                      <w:szCs w:val="21"/>
                    </w:rPr>
                  </w:pPr>
                  <w:r>
                    <w:rPr>
                      <w:rFonts w:hint="eastAsia"/>
                      <w:spacing w:val="0"/>
                      <w:position w:val="0"/>
                      <w:szCs w:val="21"/>
                    </w:rPr>
                    <w:t>3610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福建优盛通纺织有限公司</w:t>
                  </w:r>
                </w:p>
              </w:tc>
              <w:tc>
                <w:tcPr>
                  <w:tcW w:w="1270" w:type="dxa"/>
                  <w:vAlign w:val="center"/>
                </w:tcPr>
                <w:p>
                  <w:pPr>
                    <w:widowControl/>
                    <w:adjustRightInd w:val="0"/>
                    <w:snapToGrid w:val="0"/>
                    <w:jc w:val="center"/>
                    <w:rPr>
                      <w:spacing w:val="0"/>
                      <w:position w:val="0"/>
                      <w:szCs w:val="21"/>
                    </w:rPr>
                  </w:pPr>
                  <w:r>
                    <w:rPr>
                      <w:rFonts w:hint="eastAsia"/>
                      <w:spacing w:val="0"/>
                      <w:position w:val="0"/>
                      <w:szCs w:val="21"/>
                    </w:rPr>
                    <w:t>50</w:t>
                  </w:r>
                </w:p>
              </w:tc>
              <w:tc>
                <w:tcPr>
                  <w:tcW w:w="1463" w:type="dxa"/>
                  <w:vAlign w:val="center"/>
                </w:tcPr>
                <w:p>
                  <w:pPr>
                    <w:widowControl/>
                    <w:adjustRightInd w:val="0"/>
                    <w:snapToGrid w:val="0"/>
                    <w:jc w:val="center"/>
                    <w:rPr>
                      <w:spacing w:val="0"/>
                      <w:position w:val="0"/>
                      <w:szCs w:val="21"/>
                    </w:rPr>
                  </w:pPr>
                  <w:r>
                    <w:rPr>
                      <w:rFonts w:hint="eastAsia"/>
                      <w:spacing w:val="0"/>
                      <w:position w:val="0"/>
                      <w:szCs w:val="21"/>
                    </w:rPr>
                    <w:t>16411</w:t>
                  </w:r>
                </w:p>
              </w:tc>
              <w:tc>
                <w:tcPr>
                  <w:tcW w:w="1457" w:type="dxa"/>
                  <w:vAlign w:val="center"/>
                </w:tcPr>
                <w:p>
                  <w:pPr>
                    <w:widowControl/>
                    <w:adjustRightInd w:val="0"/>
                    <w:snapToGrid w:val="0"/>
                    <w:jc w:val="center"/>
                    <w:rPr>
                      <w:spacing w:val="0"/>
                      <w:position w:val="0"/>
                      <w:szCs w:val="21"/>
                    </w:rPr>
                  </w:pPr>
                  <w:r>
                    <w:rPr>
                      <w:rFonts w:hint="eastAsia"/>
                      <w:spacing w:val="0"/>
                      <w:position w:val="0"/>
                      <w:szCs w:val="21"/>
                    </w:rPr>
                    <w:t>24.248</w:t>
                  </w:r>
                </w:p>
              </w:tc>
              <w:tc>
                <w:tcPr>
                  <w:tcW w:w="1554" w:type="dxa"/>
                  <w:vAlign w:val="center"/>
                </w:tcPr>
                <w:p>
                  <w:pPr>
                    <w:widowControl/>
                    <w:adjustRightInd w:val="0"/>
                    <w:snapToGrid w:val="0"/>
                    <w:jc w:val="center"/>
                    <w:rPr>
                      <w:spacing w:val="0"/>
                      <w:position w:val="0"/>
                      <w:szCs w:val="21"/>
                    </w:rPr>
                  </w:pPr>
                  <w:r>
                    <w:rPr>
                      <w:rFonts w:hint="eastAsia"/>
                      <w:spacing w:val="0"/>
                      <w:position w:val="0"/>
                      <w:szCs w:val="21"/>
                    </w:rPr>
                    <w:t>3610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福建锦彦纺织有限公司</w:t>
                  </w:r>
                </w:p>
              </w:tc>
              <w:tc>
                <w:tcPr>
                  <w:tcW w:w="1270" w:type="dxa"/>
                  <w:vAlign w:val="center"/>
                </w:tcPr>
                <w:p>
                  <w:pPr>
                    <w:widowControl/>
                    <w:adjustRightInd w:val="0"/>
                    <w:snapToGrid w:val="0"/>
                    <w:jc w:val="center"/>
                    <w:rPr>
                      <w:spacing w:val="0"/>
                      <w:position w:val="0"/>
                      <w:szCs w:val="21"/>
                    </w:rPr>
                  </w:pPr>
                  <w:r>
                    <w:rPr>
                      <w:rFonts w:hint="eastAsia"/>
                      <w:spacing w:val="0"/>
                      <w:position w:val="0"/>
                      <w:szCs w:val="21"/>
                    </w:rPr>
                    <w:t>50</w:t>
                  </w:r>
                </w:p>
              </w:tc>
              <w:tc>
                <w:tcPr>
                  <w:tcW w:w="1463" w:type="dxa"/>
                  <w:vAlign w:val="center"/>
                </w:tcPr>
                <w:p>
                  <w:pPr>
                    <w:widowControl/>
                    <w:adjustRightInd w:val="0"/>
                    <w:snapToGrid w:val="0"/>
                    <w:jc w:val="center"/>
                    <w:rPr>
                      <w:spacing w:val="0"/>
                      <w:position w:val="0"/>
                      <w:szCs w:val="21"/>
                    </w:rPr>
                  </w:pPr>
                  <w:r>
                    <w:rPr>
                      <w:rFonts w:hint="eastAsia"/>
                      <w:spacing w:val="0"/>
                      <w:position w:val="0"/>
                      <w:szCs w:val="21"/>
                    </w:rPr>
                    <w:t>16411</w:t>
                  </w:r>
                </w:p>
              </w:tc>
              <w:tc>
                <w:tcPr>
                  <w:tcW w:w="1457" w:type="dxa"/>
                  <w:vAlign w:val="center"/>
                </w:tcPr>
                <w:p>
                  <w:pPr>
                    <w:widowControl/>
                    <w:adjustRightInd w:val="0"/>
                    <w:snapToGrid w:val="0"/>
                    <w:jc w:val="center"/>
                    <w:rPr>
                      <w:spacing w:val="0"/>
                      <w:position w:val="0"/>
                      <w:szCs w:val="21"/>
                    </w:rPr>
                  </w:pPr>
                  <w:r>
                    <w:rPr>
                      <w:rFonts w:hint="eastAsia"/>
                      <w:spacing w:val="0"/>
                      <w:position w:val="0"/>
                      <w:szCs w:val="21"/>
                    </w:rPr>
                    <w:t>24.248</w:t>
                  </w:r>
                </w:p>
              </w:tc>
              <w:tc>
                <w:tcPr>
                  <w:tcW w:w="1554" w:type="dxa"/>
                  <w:vAlign w:val="center"/>
                </w:tcPr>
                <w:p>
                  <w:pPr>
                    <w:widowControl/>
                    <w:adjustRightInd w:val="0"/>
                    <w:snapToGrid w:val="0"/>
                    <w:jc w:val="center"/>
                    <w:rPr>
                      <w:spacing w:val="0"/>
                      <w:position w:val="0"/>
                      <w:szCs w:val="21"/>
                    </w:rPr>
                  </w:pPr>
                  <w:r>
                    <w:rPr>
                      <w:rFonts w:hint="eastAsia"/>
                      <w:spacing w:val="0"/>
                      <w:position w:val="0"/>
                      <w:szCs w:val="21"/>
                    </w:rPr>
                    <w:t>3610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福建君明纺织有限公司</w:t>
                  </w:r>
                </w:p>
              </w:tc>
              <w:tc>
                <w:tcPr>
                  <w:tcW w:w="1270" w:type="dxa"/>
                  <w:vAlign w:val="center"/>
                </w:tcPr>
                <w:p>
                  <w:pPr>
                    <w:widowControl/>
                    <w:adjustRightInd w:val="0"/>
                    <w:snapToGrid w:val="0"/>
                    <w:jc w:val="center"/>
                    <w:rPr>
                      <w:spacing w:val="0"/>
                      <w:position w:val="0"/>
                      <w:szCs w:val="21"/>
                    </w:rPr>
                  </w:pPr>
                  <w:r>
                    <w:rPr>
                      <w:rFonts w:hint="eastAsia"/>
                      <w:spacing w:val="0"/>
                      <w:position w:val="0"/>
                      <w:szCs w:val="21"/>
                    </w:rPr>
                    <w:t>50</w:t>
                  </w:r>
                </w:p>
              </w:tc>
              <w:tc>
                <w:tcPr>
                  <w:tcW w:w="1463" w:type="dxa"/>
                  <w:vAlign w:val="center"/>
                </w:tcPr>
                <w:p>
                  <w:pPr>
                    <w:widowControl/>
                    <w:adjustRightInd w:val="0"/>
                    <w:snapToGrid w:val="0"/>
                    <w:jc w:val="center"/>
                    <w:rPr>
                      <w:spacing w:val="0"/>
                      <w:position w:val="0"/>
                      <w:szCs w:val="21"/>
                    </w:rPr>
                  </w:pPr>
                  <w:r>
                    <w:rPr>
                      <w:rFonts w:hint="eastAsia"/>
                      <w:spacing w:val="0"/>
                      <w:position w:val="0"/>
                      <w:szCs w:val="21"/>
                    </w:rPr>
                    <w:t>16411</w:t>
                  </w:r>
                </w:p>
              </w:tc>
              <w:tc>
                <w:tcPr>
                  <w:tcW w:w="1457" w:type="dxa"/>
                  <w:vAlign w:val="center"/>
                </w:tcPr>
                <w:p>
                  <w:pPr>
                    <w:widowControl/>
                    <w:adjustRightInd w:val="0"/>
                    <w:snapToGrid w:val="0"/>
                    <w:jc w:val="center"/>
                    <w:rPr>
                      <w:spacing w:val="0"/>
                      <w:position w:val="0"/>
                      <w:szCs w:val="21"/>
                    </w:rPr>
                  </w:pPr>
                  <w:r>
                    <w:rPr>
                      <w:rFonts w:hint="eastAsia"/>
                      <w:spacing w:val="0"/>
                      <w:position w:val="0"/>
                      <w:szCs w:val="21"/>
                    </w:rPr>
                    <w:t>24.248</w:t>
                  </w:r>
                </w:p>
              </w:tc>
              <w:tc>
                <w:tcPr>
                  <w:tcW w:w="1554" w:type="dxa"/>
                  <w:vAlign w:val="center"/>
                </w:tcPr>
                <w:p>
                  <w:pPr>
                    <w:widowControl/>
                    <w:adjustRightInd w:val="0"/>
                    <w:snapToGrid w:val="0"/>
                    <w:jc w:val="center"/>
                    <w:rPr>
                      <w:spacing w:val="0"/>
                      <w:position w:val="0"/>
                      <w:szCs w:val="21"/>
                    </w:rPr>
                  </w:pPr>
                  <w:r>
                    <w:rPr>
                      <w:rFonts w:hint="eastAsia"/>
                      <w:spacing w:val="0"/>
                      <w:position w:val="0"/>
                      <w:szCs w:val="21"/>
                    </w:rPr>
                    <w:t>3610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福建灿业印染有限公司</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37.05</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12160</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17.968</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共计</w:t>
                  </w:r>
                </w:p>
              </w:tc>
              <w:tc>
                <w:tcPr>
                  <w:tcW w:w="1270"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761.7</w:t>
                  </w:r>
                </w:p>
              </w:tc>
              <w:tc>
                <w:tcPr>
                  <w:tcW w:w="1463"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250000</w:t>
                  </w:r>
                </w:p>
              </w:tc>
              <w:tc>
                <w:tcPr>
                  <w:tcW w:w="1457"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369.40</w:t>
                  </w:r>
                </w:p>
              </w:tc>
              <w:tc>
                <w:tcPr>
                  <w:tcW w:w="1554" w:type="dxa"/>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ascii="Times New Roman" w:hAnsi="Times New Roman"/>
                      <w:spacing w:val="0"/>
                      <w:position w:val="0"/>
                      <w:sz w:val="21"/>
                      <w:szCs w:val="21"/>
                    </w:rPr>
                    <w:t>55000</w:t>
                  </w:r>
                </w:p>
              </w:tc>
            </w:tr>
          </w:tbl>
          <w:p>
            <w:pPr>
              <w:pStyle w:val="10"/>
              <w:widowControl/>
              <w:adjustRightInd w:val="0"/>
              <w:snapToGrid w:val="0"/>
              <w:spacing w:line="240" w:lineRule="auto"/>
              <w:ind w:firstLine="0"/>
              <w:rPr>
                <w:rFonts w:ascii="Times New Roman" w:hAnsi="Times New Roman"/>
                <w:spacing w:val="0"/>
                <w:position w:val="0"/>
                <w:sz w:val="21"/>
                <w:szCs w:val="21"/>
              </w:rPr>
            </w:pPr>
          </w:p>
        </w:tc>
        <w:tc>
          <w:tcPr>
            <w:tcW w:w="3970" w:type="dxa"/>
            <w:tcBorders>
              <w:tl2br w:val="nil"/>
              <w:tr2bl w:val="nil"/>
            </w:tcBorders>
            <w:vAlign w:val="center"/>
          </w:tcPr>
          <w:p>
            <w:pPr>
              <w:pStyle w:val="10"/>
              <w:widowControl/>
              <w:adjustRightInd w:val="0"/>
              <w:snapToGrid w:val="0"/>
              <w:spacing w:line="240" w:lineRule="auto"/>
              <w:ind w:firstLine="0"/>
              <w:rPr>
                <w:rFonts w:ascii="Times New Roman" w:hAnsi="Times New Roman"/>
                <w:spacing w:val="0"/>
                <w:position w:val="0"/>
                <w:sz w:val="21"/>
                <w:szCs w:val="21"/>
              </w:rPr>
            </w:pPr>
            <w:r>
              <w:rPr>
                <w:rFonts w:hint="eastAsia" w:ascii="Times New Roman" w:hAnsi="Times New Roman"/>
                <w:spacing w:val="0"/>
                <w:position w:val="0"/>
                <w:sz w:val="21"/>
                <w:szCs w:val="21"/>
              </w:rPr>
              <w:t>本项目占地60亩，年产19500吨针织坯布，年处理19500吨针织</w:t>
            </w:r>
            <w:r>
              <w:rPr>
                <w:rFonts w:hint="eastAsia" w:ascii="Times New Roman" w:hAnsi="Times New Roman"/>
                <w:color w:val="auto"/>
                <w:spacing w:val="0"/>
                <w:position w:val="0"/>
                <w:sz w:val="21"/>
                <w:szCs w:val="21"/>
              </w:rPr>
              <w:t>坯布、4500吨印花面料，VOCs排放量为</w:t>
            </w:r>
            <w:r>
              <w:rPr>
                <w:rFonts w:hint="eastAsia" w:ascii="Times New Roman" w:hAnsi="Times New Roman"/>
                <w:color w:val="auto"/>
                <w:spacing w:val="0"/>
                <w:position w:val="0"/>
                <w:sz w:val="21"/>
                <w:szCs w:val="21"/>
                <w:lang w:val="en-US" w:eastAsia="zh-CN"/>
              </w:rPr>
              <w:t>27.081</w:t>
            </w:r>
            <w:r>
              <w:rPr>
                <w:rFonts w:hint="eastAsia" w:ascii="Times New Roman" w:hAnsi="Times New Roman"/>
                <w:color w:val="auto"/>
                <w:spacing w:val="0"/>
                <w:position w:val="0"/>
                <w:sz w:val="21"/>
                <w:szCs w:val="21"/>
              </w:rPr>
              <w:t>吨/年，排入污水厂的废水量为</w:t>
            </w:r>
            <w:r>
              <w:rPr>
                <w:rFonts w:hint="eastAsia" w:ascii="Times New Roman" w:hAnsi="Times New Roman"/>
                <w:color w:val="auto"/>
                <w:spacing w:val="0"/>
                <w:position w:val="0"/>
                <w:sz w:val="21"/>
                <w:szCs w:val="21"/>
                <w:lang w:val="en-US" w:eastAsia="zh-CN"/>
              </w:rPr>
              <w:t>4141.60</w:t>
            </w:r>
            <w:r>
              <w:rPr>
                <w:rFonts w:hint="eastAsia" w:ascii="Times New Roman" w:hAnsi="Times New Roman"/>
                <w:color w:val="auto"/>
                <w:spacing w:val="0"/>
                <w:position w:val="0"/>
                <w:sz w:val="21"/>
                <w:szCs w:val="21"/>
              </w:rPr>
              <w:t>吨/天</w:t>
            </w:r>
            <w:r>
              <w:rPr>
                <w:rFonts w:hint="eastAsia" w:ascii="Times New Roman" w:hAnsi="Times New Roman"/>
                <w:spacing w:val="0"/>
                <w:position w:val="0"/>
                <w:sz w:val="21"/>
                <w:szCs w:val="21"/>
              </w:rPr>
              <w:t>，未突破园区</w:t>
            </w:r>
            <w:r>
              <w:rPr>
                <w:rFonts w:hint="eastAsia" w:ascii="Times New Roman" w:hAnsi="Times New Roman"/>
                <w:spacing w:val="0"/>
                <w:position w:val="0"/>
                <w:sz w:val="21"/>
                <w:szCs w:val="21"/>
                <w:lang w:val="en-US" w:eastAsia="zh-CN"/>
              </w:rPr>
              <w:t>分配给福建悦聚科技有限公司</w:t>
            </w:r>
            <w:r>
              <w:rPr>
                <w:rFonts w:hint="eastAsia" w:ascii="Times New Roman" w:hAnsi="Times New Roman"/>
                <w:spacing w:val="0"/>
                <w:position w:val="0"/>
                <w:sz w:val="21"/>
                <w:szCs w:val="21"/>
              </w:rPr>
              <w:t>的指标。</w:t>
            </w:r>
          </w:p>
        </w:tc>
        <w:tc>
          <w:tcPr>
            <w:tcW w:w="866" w:type="dxa"/>
            <w:tcBorders>
              <w:tl2br w:val="nil"/>
              <w:tr2bl w:val="nil"/>
            </w:tcBorders>
            <w:vAlign w:val="center"/>
          </w:tcPr>
          <w:p>
            <w:pPr>
              <w:pStyle w:val="10"/>
              <w:widowControl/>
              <w:adjustRightInd w:val="0"/>
              <w:snapToGrid w:val="0"/>
              <w:spacing w:line="240" w:lineRule="auto"/>
              <w:ind w:firstLine="0"/>
              <w:jc w:val="center"/>
              <w:rPr>
                <w:rFonts w:ascii="Times New Roman" w:hAnsi="Times New Roman"/>
                <w:spacing w:val="0"/>
                <w:position w:val="0"/>
                <w:sz w:val="21"/>
                <w:szCs w:val="21"/>
              </w:rPr>
            </w:pPr>
            <w:r>
              <w:rPr>
                <w:rFonts w:hint="eastAsia"/>
                <w:spacing w:val="0"/>
                <w:position w:val="0"/>
                <w:szCs w:val="21"/>
              </w:rPr>
              <w:t>符合</w:t>
            </w:r>
          </w:p>
        </w:tc>
      </w:tr>
    </w:tbl>
    <w:p>
      <w:pPr>
        <w:rPr>
          <w:spacing w:val="0"/>
          <w:position w:val="0"/>
        </w:rPr>
      </w:pPr>
    </w:p>
    <w:p>
      <w:pPr>
        <w:rPr>
          <w:spacing w:val="0"/>
          <w:position w:val="0"/>
        </w:rPr>
      </w:pPr>
    </w:p>
    <w:p>
      <w:pPr>
        <w:rPr>
          <w:spacing w:val="0"/>
          <w:position w:val="0"/>
        </w:rPr>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jc w:val="center"/>
        <w:textAlignment w:val="auto"/>
        <w:rPr>
          <w:rFonts w:hint="eastAsia" w:ascii="Times New Roman" w:hAnsi="Times New Roman" w:cs="Times New Roman"/>
          <w:b/>
          <w:bCs/>
          <w:spacing w:val="0"/>
          <w:position w:val="0"/>
          <w:sz w:val="36"/>
          <w:szCs w:val="36"/>
          <w:lang w:val="en-US" w:eastAsia="zh-CN"/>
        </w:rPr>
      </w:pPr>
      <w:r>
        <w:rPr>
          <w:rFonts w:hint="eastAsia" w:ascii="Times New Roman" w:hAnsi="Times New Roman" w:cs="Times New Roman"/>
          <w:b/>
          <w:bCs/>
          <w:spacing w:val="0"/>
          <w:position w:val="0"/>
          <w:sz w:val="36"/>
          <w:szCs w:val="36"/>
          <w:lang w:val="en-US" w:eastAsia="zh-CN"/>
        </w:rPr>
        <w:t>4 环境现状调查与评价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ascii="Times New Roman" w:hAnsi="Times New Roman" w:eastAsia="宋体" w:cs="Times New Roman"/>
          <w:b/>
          <w:bCs/>
          <w:spacing w:val="0"/>
          <w:position w:val="0"/>
          <w:sz w:val="30"/>
          <w:szCs w:val="30"/>
          <w:lang w:val="en-US" w:eastAsia="zh-CN"/>
        </w:rPr>
      </w:pPr>
      <w:r>
        <w:rPr>
          <w:rFonts w:hint="default" w:ascii="Times New Roman" w:hAnsi="Times New Roman" w:eastAsia="宋体" w:cs="Times New Roman"/>
          <w:b/>
          <w:bCs/>
          <w:spacing w:val="0"/>
          <w:position w:val="0"/>
          <w:sz w:val="30"/>
          <w:szCs w:val="30"/>
          <w:lang w:val="en-US" w:eastAsia="zh-CN"/>
        </w:rPr>
        <w:t>4.1自然环境概况</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spacing w:val="0"/>
          <w:position w:val="0"/>
          <w:sz w:val="28"/>
          <w:szCs w:val="28"/>
          <w:lang w:val="en-US" w:eastAsia="zh-CN"/>
        </w:rPr>
      </w:pPr>
      <w:r>
        <w:rPr>
          <w:rFonts w:hint="default" w:ascii="Times New Roman" w:hAnsi="Times New Roman" w:eastAsia="宋体" w:cs="Times New Roman"/>
          <w:b/>
          <w:bCs/>
          <w:spacing w:val="0"/>
          <w:position w:val="0"/>
          <w:sz w:val="28"/>
          <w:szCs w:val="28"/>
          <w:lang w:val="en-US" w:eastAsia="zh-CN"/>
        </w:rPr>
        <w:t>4.1.1地理位置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color w:val="000000"/>
          <w:spacing w:val="0"/>
          <w:kern w:val="0"/>
          <w:position w:val="0"/>
          <w:sz w:val="24"/>
          <w:szCs w:val="24"/>
          <w:lang w:val="en-US" w:eastAsia="zh-CN" w:bidi="ar"/>
        </w:rPr>
        <w:t>连江县地处福建省东南沿海、闽江口北岸，东与台湾、马祖列岛一衣带水，西傍省会福州，南扼闽江入海口，北控闽浙通道。目前全县总面积4280平方公里，其中海域面积3112平方公里、陆域面积1168平方公里（包括待统一的马祖列岛），辖22个乡镇270个村居，人口约62万。境内有“三湾（罗源湾、黄岐湾、定海湾）、三口（可门口、闽江口、敖江口）、五条通道（沈海高速公路、104国道、温福铁路、福州绕城高速公路和201省道）”。</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罗源湾为福建省六大深水港湾之一，位于福建省东北部沿海，北邻三都澳，南隔黄岐半岛与闽江口连接，湾北侧、西北侧为罗源县，西侧、南侧为连江县。罗源湾形似倒葫芦状，由鉴江半岛和黄岐半岛环抱而成，其东起可门口，向西深入罗源县与连江县境内中部，北部与罗源县鉴江镇相连，南部与连江县黄岐半岛毗邻。</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color w:val="000000"/>
          <w:spacing w:val="0"/>
          <w:kern w:val="0"/>
          <w:position w:val="0"/>
          <w:sz w:val="24"/>
          <w:szCs w:val="24"/>
          <w:lang w:val="en-US" w:eastAsia="zh-CN" w:bidi="ar"/>
        </w:rPr>
        <w:t>可门港经济区位于福建省连江县东北部的黄岐半岛，罗源湾南部，经济区总面积约100平方公里，近期可供开发建设用地规划面积63平方公里，远期100平方公里，并将生活区规划在官岭一带，延伸至城关。岸线总长约30公里（新辉至浮曦），南岸线约9.4公里，可建码头38个，其中万吨级以上26个，西岸线约18.9公里，可建码头50个，其中可建5万吨级集装箱码头泊位25个。规划实现后，人口约30万。</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连江可门绿色纺织产业园位于可门经济开发区大官坂区，可门绿色纺织产业园一期用地包括产业园用地及配套公用工程用地。产业园用地四至范围：东至瑞玻玻璃公司，西至申远新材料100万吨聚酰胺项目基地，北至加气砖项目基地，南至横一路，规划用地面积约756.53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福建悦聚科技有限公司位于可门经济开发区连江可门绿色纺织产业园（以下简称“产业园”）内。地理位置图见图4.1-1。</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spacing w:val="0"/>
          <w:position w:val="0"/>
          <w:sz w:val="24"/>
          <w:szCs w:val="24"/>
          <w:lang w:val="en-US" w:eastAsia="zh-CN"/>
        </w:rPr>
      </w:pPr>
      <w:r>
        <w:rPr>
          <w:rFonts w:hint="default" w:ascii="Times New Roman" w:hAnsi="Times New Roman" w:cs="Times New Roman"/>
          <w:b/>
          <w:bCs/>
          <w:spacing w:val="0"/>
          <w:position w:val="0"/>
          <w:sz w:val="24"/>
          <w:szCs w:val="24"/>
          <w:lang w:val="en-US" w:eastAsia="zh-CN"/>
        </w:rPr>
        <w:t>图4.1-1项目地理位置图</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hAnsi="Times New Roman" w:eastAsia="宋体" w:cs="Times New Roman"/>
          <w:b/>
          <w:bCs/>
          <w:spacing w:val="0"/>
          <w:position w:val="0"/>
          <w:sz w:val="28"/>
          <w:szCs w:val="28"/>
          <w:lang w:val="en-US" w:eastAsia="zh-CN"/>
        </w:rPr>
      </w:pPr>
      <w:r>
        <w:rPr>
          <w:rFonts w:hint="default" w:ascii="Times New Roman" w:hAnsi="Times New Roman" w:eastAsia="宋体" w:cs="Times New Roman"/>
          <w:b/>
          <w:bCs/>
          <w:spacing w:val="0"/>
          <w:position w:val="0"/>
          <w:sz w:val="28"/>
          <w:szCs w:val="28"/>
          <w:lang w:val="en-US" w:eastAsia="zh-CN"/>
        </w:rPr>
        <w:t>4.1.</w:t>
      </w:r>
      <w:r>
        <w:rPr>
          <w:rFonts w:hint="eastAsia" w:ascii="Times New Roman" w:hAnsi="Times New Roman" w:eastAsia="宋体" w:cs="Times New Roman"/>
          <w:b/>
          <w:bCs/>
          <w:spacing w:val="0"/>
          <w:position w:val="0"/>
          <w:sz w:val="28"/>
          <w:szCs w:val="28"/>
          <w:lang w:val="en-US" w:eastAsia="zh-CN"/>
        </w:rPr>
        <w:t>2地形地貌</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连江县处于新华厦系构造体系之第二条火山岩隆起褶带中，新华厦构造表现形迹主要为北东东向和北北西向两组压扭性和张扭性断裂。出露有中生界株罗系上统南国组、小溪组和下白垩统石帽山群火山系。以及燕山晚期花岗侵入岩。新华厦系的派性构造</w:t>
      </w:r>
      <w:r>
        <w:rPr>
          <w:rFonts w:hint="default" w:ascii="Times New Roman" w:hAnsi="Times New Roman" w:eastAsia="宋体" w:cs="Times New Roman"/>
          <w:color w:val="000000"/>
          <w:spacing w:val="0"/>
          <w:kern w:val="0"/>
          <w:position w:val="0"/>
          <w:sz w:val="24"/>
          <w:szCs w:val="24"/>
          <w:lang w:val="en-US" w:eastAsia="zh-CN" w:bidi="ar"/>
        </w:rPr>
        <w:t>——</w:t>
      </w:r>
      <w:r>
        <w:rPr>
          <w:rFonts w:hint="eastAsia" w:ascii="Times New Roman" w:hAnsi="Times New Roman" w:eastAsia="宋体" w:cs="Times New Roman"/>
          <w:color w:val="000000"/>
          <w:spacing w:val="0"/>
          <w:kern w:val="0"/>
          <w:position w:val="0"/>
          <w:sz w:val="24"/>
          <w:szCs w:val="24"/>
          <w:lang w:val="en-US" w:eastAsia="zh-CN" w:bidi="ar"/>
        </w:rPr>
        <w:t>棋盘格式构造是县境内主要的构造体系。此外，还有新华厦系构造火山喷发带（火山隆起带）以及其他方向的构造。</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按地貌成因可分为流水地貌和海成地貌两个类。流水地貌以山丘陵河谷平原、冲海积平原、山间盘谷为主。海成地地貌以海积平原和海滩岸线上。其物质以花岗岩为主。山间盆谷错落于丘陵山地之间；河谷平原、冲洪积平原主要见于敖江中上游和丹阳、蓼沿地区、海积平原、和冲海积平原则连片分布于闽江口北岸、敖江下游两岸和马鼻、官坂一带，物质是砂质粘土、细砂、砾石层、海积淤泥以及泥沙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福建悦聚科技有限公司</w:t>
      </w:r>
      <w:r>
        <w:rPr>
          <w:rFonts w:hint="eastAsia" w:ascii="Times New Roman" w:hAnsi="Times New Roman" w:eastAsia="宋体" w:cs="Times New Roman"/>
          <w:color w:val="000000"/>
          <w:spacing w:val="0"/>
          <w:kern w:val="0"/>
          <w:position w:val="0"/>
          <w:sz w:val="24"/>
          <w:szCs w:val="24"/>
          <w:lang w:val="en-US" w:eastAsia="zh-CN" w:bidi="ar"/>
        </w:rPr>
        <w:t>位于连江县东北侧，所在区为环罗源湾大官坂垦区，属于填海区，区域地势东南高西北低，并向海域倾斜。海域区土层为海相沉积物及陆相冲洪沉积物，基底为火山岩，场地地貌以滨海相海积海滩地貌单元为主，局部为剥蚀海岸地貌。区域内为大官坂垦区水产养殖场，现为大片网格状虾</w:t>
      </w:r>
      <w:r>
        <w:rPr>
          <w:rFonts w:hint="eastAsia" w:cs="Times New Roman"/>
          <w:color w:val="000000"/>
          <w:spacing w:val="0"/>
          <w:kern w:val="0"/>
          <w:position w:val="0"/>
          <w:sz w:val="24"/>
          <w:szCs w:val="24"/>
          <w:lang w:val="en-US" w:eastAsia="zh-CN" w:bidi="ar"/>
        </w:rPr>
        <w:t>（</w:t>
      </w:r>
      <w:r>
        <w:rPr>
          <w:rFonts w:hint="eastAsia" w:ascii="Times New Roman" w:hAnsi="Times New Roman" w:eastAsia="宋体" w:cs="Times New Roman"/>
          <w:color w:val="000000"/>
          <w:spacing w:val="0"/>
          <w:kern w:val="0"/>
          <w:position w:val="0"/>
          <w:sz w:val="24"/>
          <w:szCs w:val="24"/>
          <w:lang w:val="en-US" w:eastAsia="zh-CN" w:bidi="ar"/>
        </w:rPr>
        <w:t>蟹</w:t>
      </w:r>
      <w:r>
        <w:rPr>
          <w:rFonts w:hint="eastAsia" w:cs="Times New Roman"/>
          <w:color w:val="000000"/>
          <w:spacing w:val="0"/>
          <w:kern w:val="0"/>
          <w:position w:val="0"/>
          <w:sz w:val="24"/>
          <w:szCs w:val="24"/>
          <w:lang w:val="en-US" w:eastAsia="zh-CN" w:bidi="ar"/>
        </w:rPr>
        <w:t>）</w:t>
      </w:r>
      <w:r>
        <w:rPr>
          <w:rFonts w:hint="eastAsia" w:ascii="Times New Roman" w:hAnsi="Times New Roman" w:eastAsia="宋体" w:cs="Times New Roman"/>
          <w:color w:val="000000"/>
          <w:spacing w:val="0"/>
          <w:kern w:val="0"/>
          <w:position w:val="0"/>
          <w:sz w:val="24"/>
          <w:szCs w:val="24"/>
          <w:lang w:val="en-US" w:eastAsia="zh-CN" w:bidi="ar"/>
        </w:rPr>
        <w:t>塘，土埂间隔，地形较平坦开阔，水深为</w:t>
      </w:r>
      <w:r>
        <w:rPr>
          <w:rFonts w:hint="default" w:ascii="Times New Roman" w:hAnsi="Times New Roman" w:eastAsia="宋体" w:cs="Times New Roman"/>
          <w:color w:val="000000"/>
          <w:spacing w:val="0"/>
          <w:kern w:val="0"/>
          <w:position w:val="0"/>
          <w:sz w:val="24"/>
          <w:szCs w:val="24"/>
          <w:lang w:val="en-US" w:eastAsia="zh-CN" w:bidi="ar"/>
        </w:rPr>
        <w:t>0.5-1m</w:t>
      </w:r>
      <w:r>
        <w:rPr>
          <w:rFonts w:hint="eastAsia" w:ascii="Times New Roman" w:hAnsi="Times New Roman" w:eastAsia="宋体" w:cs="Times New Roman"/>
          <w:color w:val="000000"/>
          <w:spacing w:val="0"/>
          <w:kern w:val="0"/>
          <w:position w:val="0"/>
          <w:sz w:val="24"/>
          <w:szCs w:val="24"/>
          <w:lang w:val="en-US" w:eastAsia="zh-CN" w:bidi="ar"/>
        </w:rPr>
        <w:t>。部分水产养殖塘已经回填，回填标高</w:t>
      </w:r>
      <w:r>
        <w:rPr>
          <w:rFonts w:hint="default" w:ascii="Times New Roman" w:hAnsi="Times New Roman" w:eastAsia="宋体" w:cs="Times New Roman"/>
          <w:color w:val="000000"/>
          <w:spacing w:val="0"/>
          <w:kern w:val="0"/>
          <w:position w:val="0"/>
          <w:sz w:val="24"/>
          <w:szCs w:val="24"/>
          <w:lang w:val="en-US" w:eastAsia="zh-CN" w:bidi="ar"/>
        </w:rPr>
        <w:t>2~2.5</w:t>
      </w:r>
      <w:r>
        <w:rPr>
          <w:rFonts w:hint="eastAsia" w:cs="Times New Roman"/>
          <w:color w:val="000000"/>
          <w:spacing w:val="0"/>
          <w:kern w:val="0"/>
          <w:position w:val="0"/>
          <w:sz w:val="24"/>
          <w:szCs w:val="24"/>
          <w:lang w:val="en-US" w:eastAsia="zh-CN" w:bidi="ar"/>
        </w:rPr>
        <w:t>m</w:t>
      </w:r>
      <w:r>
        <w:rPr>
          <w:rFonts w:hint="eastAsia" w:ascii="Times New Roman" w:hAnsi="Times New Roman" w:eastAsia="宋体" w:cs="Times New Roman"/>
          <w:color w:val="000000"/>
          <w:spacing w:val="0"/>
          <w:kern w:val="0"/>
          <w:position w:val="0"/>
          <w:sz w:val="24"/>
          <w:szCs w:val="24"/>
          <w:lang w:val="en-US" w:eastAsia="zh-CN" w:bidi="ar"/>
        </w:rPr>
        <w:t>。</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pacing w:val="0"/>
          <w:position w:val="0"/>
          <w:sz w:val="28"/>
          <w:szCs w:val="28"/>
          <w:lang w:val="en-US" w:eastAsia="zh-CN"/>
        </w:rPr>
      </w:pPr>
      <w:r>
        <w:rPr>
          <w:rFonts w:hint="default" w:ascii="Times New Roman" w:hAnsi="Times New Roman" w:eastAsia="宋体" w:cs="Times New Roman"/>
          <w:b/>
          <w:bCs/>
          <w:spacing w:val="0"/>
          <w:position w:val="0"/>
          <w:sz w:val="28"/>
          <w:szCs w:val="28"/>
          <w:lang w:val="en-US" w:eastAsia="zh-CN"/>
        </w:rPr>
        <w:t>4.1.</w:t>
      </w:r>
      <w:r>
        <w:rPr>
          <w:rFonts w:hint="eastAsia" w:ascii="Times New Roman" w:hAnsi="Times New Roman" w:eastAsia="宋体" w:cs="Times New Roman"/>
          <w:b/>
          <w:bCs/>
          <w:spacing w:val="0"/>
          <w:position w:val="0"/>
          <w:sz w:val="28"/>
          <w:szCs w:val="28"/>
          <w:lang w:val="en-US" w:eastAsia="zh-CN"/>
        </w:rPr>
        <w:t>3气候特征</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连江县属中亚热带海洋性季风气候，气候温暖，四季分明，夏长冬短，雨量适中，灾害性天气频发，每年有台风、暴雨等。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①气温：</w:t>
      </w:r>
      <w:r>
        <w:rPr>
          <w:rFonts w:hint="default" w:ascii="Times New Roman" w:hAnsi="Times New Roman" w:eastAsia="宋体" w:cs="Times New Roman"/>
          <w:color w:val="000000"/>
          <w:spacing w:val="0"/>
          <w:kern w:val="0"/>
          <w:position w:val="0"/>
          <w:sz w:val="24"/>
          <w:szCs w:val="24"/>
          <w:lang w:val="en-US" w:eastAsia="zh-CN" w:bidi="ar"/>
        </w:rPr>
        <w:t>全县累年平均气温19.1</w:t>
      </w:r>
      <w:r>
        <w:rPr>
          <w:rFonts w:hint="default" w:ascii="Times New Roman" w:hAnsi="Times New Roman"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，年最高平均气温20.4</w:t>
      </w:r>
      <w:r>
        <w:rPr>
          <w:rFonts w:hint="default" w:ascii="Times New Roman" w:hAnsi="Times New Roman"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，年最低平均气温18.5</w:t>
      </w:r>
      <w:r>
        <w:rPr>
          <w:rFonts w:hint="default" w:ascii="Times New Roman" w:hAnsi="Times New Roman"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，极端最高气温38.7</w:t>
      </w:r>
      <w:r>
        <w:rPr>
          <w:rFonts w:hint="default" w:ascii="Times New Roman" w:hAnsi="Times New Roman"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，极端最低气温-3.8℃，相对湿度平均值82%。</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②降水：降雨量多年平均1551.5mm，最多2131.1mm，最少为905.8mm。全县全年雨量集中在3-9月，3-4月为春雨季，5-6月为梅雨季，7-9月为台风季，占年降水量的81.32%。枯水期在10月至次年2月，降水量占年降水量的18.68%，最长连续无降水日数达37天，最长连续降水日数达21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③地面风场：本县年平均风速1.9米/秒，一年之中7-9月平均风速较大，12-3月平均风速较小。风速自沿海向内陆减弱，岛屿和海岸突出部为最大。北茭年平均风速6.4米/秒，内陆地区为最小。年平均大风日达4.9天。全年风向多为东北东和东，但北西北、北风的风向频率以10月、11月、12月份为最多，南西南、南风的频率以5月、6月和7月为最多。</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④霜：全月年平均雾日8.1天，北地区年平均雾日32.7天，无霜期年平均304天，有雪日年平均0.5天。</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hAnsi="Times New Roman" w:eastAsia="宋体" w:cs="Times New Roman"/>
          <w:b/>
          <w:bCs/>
          <w:spacing w:val="0"/>
          <w:position w:val="0"/>
          <w:sz w:val="28"/>
          <w:szCs w:val="28"/>
          <w:lang w:val="en-US" w:eastAsia="zh-CN"/>
        </w:rPr>
      </w:pPr>
      <w:r>
        <w:rPr>
          <w:rFonts w:hint="default" w:ascii="Times New Roman" w:hAnsi="Times New Roman" w:eastAsia="宋体" w:cs="Times New Roman"/>
          <w:b/>
          <w:bCs/>
          <w:spacing w:val="0"/>
          <w:position w:val="0"/>
          <w:sz w:val="28"/>
          <w:szCs w:val="28"/>
          <w:lang w:val="en-US" w:eastAsia="zh-CN"/>
        </w:rPr>
        <w:t>4.1.</w:t>
      </w:r>
      <w:r>
        <w:rPr>
          <w:rFonts w:hint="eastAsia" w:ascii="Times New Roman" w:hAnsi="Times New Roman" w:eastAsia="宋体" w:cs="Times New Roman"/>
          <w:b/>
          <w:bCs/>
          <w:spacing w:val="0"/>
          <w:position w:val="0"/>
          <w:sz w:val="28"/>
          <w:szCs w:val="28"/>
          <w:lang w:val="en-US" w:eastAsia="zh-CN"/>
        </w:rPr>
        <w:t>4水文特征</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1</w:t>
      </w:r>
      <w:r>
        <w:rPr>
          <w:rFonts w:hint="eastAsia" w:ascii="Times New Roman" w:hAnsi="Times New Roman" w:eastAsia="宋体" w:cs="Times New Roman"/>
          <w:color w:val="000000"/>
          <w:spacing w:val="0"/>
          <w:kern w:val="0"/>
          <w:position w:val="0"/>
          <w:sz w:val="24"/>
          <w:szCs w:val="24"/>
          <w:lang w:val="en-US" w:eastAsia="zh-CN" w:bidi="ar"/>
        </w:rPr>
        <w:t>）海域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项目拟建地附近海域为罗源湾，罗源湾位于福建省沿海东北部，闽江口以北约</w:t>
      </w:r>
      <w:r>
        <w:rPr>
          <w:rFonts w:hint="default" w:ascii="Times New Roman" w:hAnsi="Times New Roman" w:eastAsia="宋体" w:cs="Times New Roman"/>
          <w:color w:val="000000"/>
          <w:spacing w:val="0"/>
          <w:kern w:val="0"/>
          <w:position w:val="0"/>
          <w:sz w:val="24"/>
          <w:szCs w:val="24"/>
          <w:lang w:val="en-US" w:eastAsia="zh-CN" w:bidi="ar"/>
        </w:rPr>
        <w:t>50</w:t>
      </w:r>
      <w:r>
        <w:rPr>
          <w:rFonts w:hint="eastAsia" w:ascii="Times New Roman" w:hAnsi="Times New Roman" w:eastAsia="宋体" w:cs="Times New Roman"/>
          <w:color w:val="000000"/>
          <w:spacing w:val="0"/>
          <w:kern w:val="0"/>
          <w:position w:val="0"/>
          <w:sz w:val="24"/>
          <w:szCs w:val="24"/>
          <w:lang w:val="en-US" w:eastAsia="zh-CN" w:bidi="ar"/>
        </w:rPr>
        <w:t>公里，在罗源县城关的东面，海湾曲折，口窄腹大，形似葫芦，纵横数十公里，总面积约</w:t>
      </w:r>
      <w:r>
        <w:rPr>
          <w:rFonts w:hint="default" w:ascii="Times New Roman" w:hAnsi="Times New Roman" w:eastAsia="宋体" w:cs="Times New Roman"/>
          <w:color w:val="000000"/>
          <w:spacing w:val="0"/>
          <w:kern w:val="0"/>
          <w:position w:val="0"/>
          <w:sz w:val="24"/>
          <w:szCs w:val="24"/>
          <w:lang w:val="en-US" w:eastAsia="zh-CN" w:bidi="ar"/>
        </w:rPr>
        <w:t>2.27</w:t>
      </w:r>
      <w:r>
        <w:rPr>
          <w:rFonts w:hint="eastAsia" w:ascii="Times New Roman" w:hAnsi="Times New Roman" w:eastAsia="宋体" w:cs="Times New Roman"/>
          <w:color w:val="000000"/>
          <w:spacing w:val="0"/>
          <w:kern w:val="0"/>
          <w:position w:val="0"/>
          <w:sz w:val="24"/>
          <w:szCs w:val="24"/>
          <w:lang w:val="en-US" w:eastAsia="zh-CN" w:bidi="ar"/>
        </w:rPr>
        <w:t>万公顷。罗源湾海域属正规半日潮流，平均高潮位</w:t>
      </w:r>
      <w:r>
        <w:rPr>
          <w:rFonts w:hint="default" w:ascii="Times New Roman" w:hAnsi="Times New Roman" w:eastAsia="宋体" w:cs="Times New Roman"/>
          <w:color w:val="000000"/>
          <w:spacing w:val="0"/>
          <w:kern w:val="0"/>
          <w:position w:val="0"/>
          <w:sz w:val="24"/>
          <w:szCs w:val="24"/>
          <w:lang w:val="en-US" w:eastAsia="zh-CN" w:bidi="ar"/>
        </w:rPr>
        <w:t>4.91</w:t>
      </w:r>
      <w:r>
        <w:rPr>
          <w:rFonts w:hint="eastAsia" w:ascii="Times New Roman" w:hAnsi="Times New Roman" w:eastAsia="宋体" w:cs="Times New Roman"/>
          <w:color w:val="000000"/>
          <w:spacing w:val="0"/>
          <w:kern w:val="0"/>
          <w:position w:val="0"/>
          <w:sz w:val="24"/>
          <w:szCs w:val="24"/>
          <w:lang w:val="en-US" w:eastAsia="zh-CN" w:bidi="ar"/>
        </w:rPr>
        <w:t>米，最高潮位</w:t>
      </w:r>
      <w:r>
        <w:rPr>
          <w:rFonts w:hint="default" w:ascii="Times New Roman" w:hAnsi="Times New Roman" w:eastAsia="宋体" w:cs="Times New Roman"/>
          <w:color w:val="000000"/>
          <w:spacing w:val="0"/>
          <w:kern w:val="0"/>
          <w:position w:val="0"/>
          <w:sz w:val="24"/>
          <w:szCs w:val="24"/>
          <w:lang w:val="en-US" w:eastAsia="zh-CN" w:bidi="ar"/>
        </w:rPr>
        <w:t>6.38</w:t>
      </w:r>
      <w:r>
        <w:rPr>
          <w:rFonts w:hint="eastAsia" w:ascii="Times New Roman" w:hAnsi="Times New Roman" w:eastAsia="宋体" w:cs="Times New Roman"/>
          <w:color w:val="000000"/>
          <w:spacing w:val="0"/>
          <w:kern w:val="0"/>
          <w:position w:val="0"/>
          <w:sz w:val="24"/>
          <w:szCs w:val="24"/>
          <w:lang w:val="en-US" w:eastAsia="zh-CN" w:bidi="ar"/>
        </w:rPr>
        <w:t>米，平均海平面</w:t>
      </w:r>
      <w:r>
        <w:rPr>
          <w:rFonts w:hint="default" w:ascii="Times New Roman" w:hAnsi="Times New Roman" w:eastAsia="宋体" w:cs="Times New Roman"/>
          <w:color w:val="000000"/>
          <w:spacing w:val="0"/>
          <w:kern w:val="0"/>
          <w:position w:val="0"/>
          <w:sz w:val="24"/>
          <w:szCs w:val="24"/>
          <w:lang w:val="en-US" w:eastAsia="zh-CN" w:bidi="ar"/>
        </w:rPr>
        <w:t>2.36</w:t>
      </w:r>
      <w:r>
        <w:rPr>
          <w:rFonts w:hint="eastAsia" w:ascii="Times New Roman" w:hAnsi="Times New Roman" w:eastAsia="宋体" w:cs="Times New Roman"/>
          <w:color w:val="000000"/>
          <w:spacing w:val="0"/>
          <w:kern w:val="0"/>
          <w:position w:val="0"/>
          <w:sz w:val="24"/>
          <w:szCs w:val="24"/>
          <w:lang w:val="en-US" w:eastAsia="zh-CN" w:bidi="ar"/>
        </w:rPr>
        <w:t>米。</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2</w:t>
      </w:r>
      <w:r>
        <w:rPr>
          <w:rFonts w:hint="eastAsia" w:ascii="Times New Roman" w:hAnsi="Times New Roman" w:eastAsia="宋体" w:cs="Times New Roman"/>
          <w:color w:val="000000"/>
          <w:spacing w:val="0"/>
          <w:kern w:val="0"/>
          <w:position w:val="0"/>
          <w:sz w:val="24"/>
          <w:szCs w:val="24"/>
          <w:lang w:val="en-US" w:eastAsia="zh-CN" w:bidi="ar"/>
        </w:rPr>
        <w:t>）地表水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项目拟建地附近有一大海堤，地表水由水闸控制与罗源湾海域海水相通，罗源湾湾大口窄，受外海复杂水文气象影响小，风浪小，潮位为半日潮型，潮差大，潮位高，纳潮量大，是强潮型潮水区。根据迹头站观测资料统计，潮水位特征值为：①最高潮位</w:t>
      </w:r>
      <w:r>
        <w:rPr>
          <w:rFonts w:hint="default" w:ascii="Times New Roman" w:hAnsi="Times New Roman" w:eastAsia="宋体" w:cs="Times New Roman"/>
          <w:color w:val="000000"/>
          <w:spacing w:val="0"/>
          <w:kern w:val="0"/>
          <w:position w:val="0"/>
          <w:sz w:val="24"/>
          <w:szCs w:val="24"/>
          <w:lang w:val="en-US" w:eastAsia="zh-CN" w:bidi="ar"/>
        </w:rPr>
        <w:t>4.54m</w:t>
      </w:r>
      <w:r>
        <w:rPr>
          <w:rFonts w:hint="eastAsia" w:ascii="Times New Roman" w:hAnsi="Times New Roman" w:eastAsia="宋体" w:cs="Times New Roman"/>
          <w:color w:val="000000"/>
          <w:spacing w:val="0"/>
          <w:kern w:val="0"/>
          <w:position w:val="0"/>
          <w:sz w:val="24"/>
          <w:szCs w:val="24"/>
          <w:lang w:val="en-US" w:eastAsia="zh-CN" w:bidi="ar"/>
        </w:rPr>
        <w:t>，最低潮位</w:t>
      </w:r>
      <w:r>
        <w:rPr>
          <w:rFonts w:hint="default" w:ascii="Times New Roman" w:hAnsi="Times New Roman" w:eastAsia="宋体" w:cs="Times New Roman"/>
          <w:color w:val="000000"/>
          <w:spacing w:val="0"/>
          <w:kern w:val="0"/>
          <w:position w:val="0"/>
          <w:sz w:val="24"/>
          <w:szCs w:val="24"/>
          <w:lang w:val="en-US" w:eastAsia="zh-CN" w:bidi="ar"/>
        </w:rPr>
        <w:t>-4.21m</w:t>
      </w:r>
      <w:r>
        <w:rPr>
          <w:rFonts w:hint="eastAsia" w:ascii="Times New Roman" w:hAnsi="Times New Roman" w:eastAsia="宋体" w:cs="Times New Roman"/>
          <w:color w:val="000000"/>
          <w:spacing w:val="0"/>
          <w:kern w:val="0"/>
          <w:position w:val="0"/>
          <w:sz w:val="24"/>
          <w:szCs w:val="24"/>
          <w:lang w:val="en-US" w:eastAsia="zh-CN" w:bidi="ar"/>
        </w:rPr>
        <w:t>；②最大涨潮差</w:t>
      </w:r>
      <w:r>
        <w:rPr>
          <w:rFonts w:hint="default" w:ascii="Times New Roman" w:hAnsi="Times New Roman" w:eastAsia="宋体" w:cs="Times New Roman"/>
          <w:color w:val="000000"/>
          <w:spacing w:val="0"/>
          <w:kern w:val="0"/>
          <w:position w:val="0"/>
          <w:sz w:val="24"/>
          <w:szCs w:val="24"/>
          <w:lang w:val="en-US" w:eastAsia="zh-CN" w:bidi="ar"/>
        </w:rPr>
        <w:t>8.07m</w:t>
      </w:r>
      <w:r>
        <w:rPr>
          <w:rFonts w:hint="eastAsia" w:ascii="Times New Roman" w:hAnsi="Times New Roman" w:eastAsia="宋体" w:cs="Times New Roman"/>
          <w:color w:val="000000"/>
          <w:spacing w:val="0"/>
          <w:kern w:val="0"/>
          <w:position w:val="0"/>
          <w:sz w:val="24"/>
          <w:szCs w:val="24"/>
          <w:lang w:val="en-US" w:eastAsia="zh-CN" w:bidi="ar"/>
        </w:rPr>
        <w:t>；最大落潮差</w:t>
      </w:r>
      <w:r>
        <w:rPr>
          <w:rFonts w:hint="default" w:ascii="Times New Roman" w:hAnsi="Times New Roman" w:eastAsia="宋体" w:cs="Times New Roman"/>
          <w:color w:val="000000"/>
          <w:spacing w:val="0"/>
          <w:kern w:val="0"/>
          <w:position w:val="0"/>
          <w:sz w:val="24"/>
          <w:szCs w:val="24"/>
          <w:lang w:val="en-US" w:eastAsia="zh-CN" w:bidi="ar"/>
        </w:rPr>
        <w:t>7.83m</w:t>
      </w:r>
      <w:r>
        <w:rPr>
          <w:rFonts w:hint="eastAsia" w:ascii="Times New Roman" w:hAnsi="Times New Roman" w:eastAsia="宋体" w:cs="Times New Roman"/>
          <w:color w:val="000000"/>
          <w:spacing w:val="0"/>
          <w:kern w:val="0"/>
          <w:position w:val="0"/>
          <w:sz w:val="24"/>
          <w:szCs w:val="24"/>
          <w:lang w:val="en-US" w:eastAsia="zh-CN" w:bidi="ar"/>
        </w:rPr>
        <w:t>；③多年平均潮差</w:t>
      </w:r>
      <w:r>
        <w:rPr>
          <w:rFonts w:hint="default" w:ascii="Times New Roman" w:hAnsi="Times New Roman" w:eastAsia="宋体" w:cs="Times New Roman"/>
          <w:color w:val="000000"/>
          <w:spacing w:val="0"/>
          <w:kern w:val="0"/>
          <w:position w:val="0"/>
          <w:sz w:val="24"/>
          <w:szCs w:val="24"/>
          <w:lang w:val="en-US" w:eastAsia="zh-CN" w:bidi="ar"/>
        </w:rPr>
        <w:t>5.12m</w:t>
      </w:r>
      <w:r>
        <w:rPr>
          <w:rFonts w:hint="eastAsia" w:ascii="Times New Roman" w:hAnsi="Times New Roman" w:eastAsia="宋体" w:cs="Times New Roman"/>
          <w:color w:val="000000"/>
          <w:spacing w:val="0"/>
          <w:kern w:val="0"/>
          <w:position w:val="0"/>
          <w:sz w:val="24"/>
          <w:szCs w:val="24"/>
          <w:lang w:val="en-US" w:eastAsia="zh-CN" w:bidi="ar"/>
        </w:rPr>
        <w:t>；④平均涨潮历时</w:t>
      </w:r>
      <w:r>
        <w:rPr>
          <w:rFonts w:hint="default" w:ascii="Times New Roman" w:hAnsi="Times New Roman" w:eastAsia="宋体" w:cs="Times New Roman"/>
          <w:color w:val="000000"/>
          <w:spacing w:val="0"/>
          <w:kern w:val="0"/>
          <w:position w:val="0"/>
          <w:sz w:val="24"/>
          <w:szCs w:val="24"/>
          <w:lang w:val="en-US" w:eastAsia="zh-CN" w:bidi="ar"/>
        </w:rPr>
        <w:t>6.15h</w:t>
      </w:r>
      <w:r>
        <w:rPr>
          <w:rFonts w:hint="eastAsia" w:ascii="Times New Roman" w:hAnsi="Times New Roman" w:eastAsia="宋体" w:cs="Times New Roman"/>
          <w:color w:val="000000"/>
          <w:spacing w:val="0"/>
          <w:kern w:val="0"/>
          <w:position w:val="0"/>
          <w:sz w:val="24"/>
          <w:szCs w:val="24"/>
          <w:lang w:val="en-US" w:eastAsia="zh-CN" w:bidi="ar"/>
        </w:rPr>
        <w:t>；平均退潮历时</w:t>
      </w:r>
      <w:r>
        <w:rPr>
          <w:rFonts w:hint="default" w:ascii="Times New Roman" w:hAnsi="Times New Roman" w:eastAsia="宋体" w:cs="Times New Roman"/>
          <w:color w:val="000000"/>
          <w:spacing w:val="0"/>
          <w:kern w:val="0"/>
          <w:position w:val="0"/>
          <w:sz w:val="24"/>
          <w:szCs w:val="24"/>
          <w:lang w:val="en-US" w:eastAsia="zh-CN" w:bidi="ar"/>
        </w:rPr>
        <w:t>6.17h</w:t>
      </w:r>
      <w:r>
        <w:rPr>
          <w:rFonts w:hint="eastAsia" w:ascii="Times New Roman" w:hAnsi="Times New Roman" w:eastAsia="宋体" w:cs="Times New Roman"/>
          <w:color w:val="000000"/>
          <w:spacing w:val="0"/>
          <w:kern w:val="0"/>
          <w:position w:val="0"/>
          <w:sz w:val="24"/>
          <w:szCs w:val="24"/>
          <w:lang w:val="en-US" w:eastAsia="zh-CN" w:bidi="ar"/>
        </w:rPr>
        <w:t>；⑤据以上潮水位特征值估算，纳潮量</w:t>
      </w:r>
      <w:r>
        <w:rPr>
          <w:rFonts w:hint="default" w:ascii="Times New Roman" w:hAnsi="Times New Roman" w:eastAsia="宋体" w:cs="Times New Roman"/>
          <w:color w:val="000000"/>
          <w:spacing w:val="0"/>
          <w:kern w:val="0"/>
          <w:position w:val="0"/>
          <w:sz w:val="24"/>
          <w:szCs w:val="24"/>
          <w:lang w:val="en-US" w:eastAsia="zh-CN" w:bidi="ar"/>
        </w:rPr>
        <w:t>9900</w:t>
      </w:r>
      <w:r>
        <w:rPr>
          <w:rFonts w:hint="eastAsia" w:ascii="Times New Roman" w:hAnsi="Times New Roman" w:eastAsia="宋体" w:cs="Times New Roman"/>
          <w:color w:val="000000"/>
          <w:spacing w:val="0"/>
          <w:kern w:val="0"/>
          <w:position w:val="0"/>
          <w:sz w:val="24"/>
          <w:szCs w:val="24"/>
          <w:lang w:val="en-US" w:eastAsia="zh-CN" w:bidi="ar"/>
        </w:rPr>
        <w:t>万</w:t>
      </w:r>
      <w:r>
        <w:rPr>
          <w:rFonts w:hint="default" w:ascii="Times New Roman" w:hAnsi="Times New Roman" w:eastAsia="宋体" w:cs="Times New Roman"/>
          <w:color w:val="000000"/>
          <w:spacing w:val="0"/>
          <w:kern w:val="0"/>
          <w:position w:val="0"/>
          <w:sz w:val="24"/>
          <w:szCs w:val="24"/>
          <w:lang w:val="en-US" w:eastAsia="zh-CN" w:bidi="ar"/>
        </w:rPr>
        <w:t>m</w:t>
      </w:r>
      <w:r>
        <w:rPr>
          <w:rFonts w:hint="default" w:ascii="Times New Roman" w:hAnsi="Times New Roman" w:eastAsia="宋体" w:cs="Times New Roman"/>
          <w:color w:val="000000"/>
          <w:spacing w:val="0"/>
          <w:kern w:val="0"/>
          <w:position w:val="0"/>
          <w:sz w:val="24"/>
          <w:szCs w:val="24"/>
          <w:vertAlign w:val="superscript"/>
          <w:lang w:val="en-US" w:eastAsia="zh-CN" w:bidi="ar"/>
        </w:rPr>
        <w:t>3</w:t>
      </w:r>
      <w:r>
        <w:rPr>
          <w:rFonts w:hint="eastAsia" w:ascii="Times New Roman" w:hAnsi="Times New Roman" w:eastAsia="宋体" w:cs="Times New Roman"/>
          <w:color w:val="000000"/>
          <w:spacing w:val="0"/>
          <w:kern w:val="0"/>
          <w:position w:val="0"/>
          <w:sz w:val="24"/>
          <w:szCs w:val="24"/>
          <w:lang w:val="en-US" w:eastAsia="zh-CN" w:bidi="ar"/>
        </w:rPr>
        <w:t>左右。</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3</w:t>
      </w:r>
      <w:r>
        <w:rPr>
          <w:rFonts w:hint="eastAsia" w:ascii="Times New Roman" w:hAnsi="Times New Roman" w:eastAsia="宋体" w:cs="Times New Roman"/>
          <w:color w:val="000000"/>
          <w:spacing w:val="0"/>
          <w:kern w:val="0"/>
          <w:position w:val="0"/>
          <w:sz w:val="24"/>
          <w:szCs w:val="24"/>
          <w:lang w:val="en-US" w:eastAsia="zh-CN" w:bidi="ar"/>
        </w:rPr>
        <w:t>）地下水</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场地地下水按其埋藏条件和性质主要为上层滞水、孔隙承压水、风化带基岩裂隙水。上层滞水主要赋存于第①层杂填土，主要接受大气降水及人工地表水的补给，水量贫乏；孔隙承压水主要赋存于第③-1层的角砾及第⑤-1层角砾中，主要接受地表水及侧向补给为主，水量较丰富，向邻区地势低处排泄。基岩裂隙水主要赋存于基岩风化带及裂隙中，水量较贫乏。</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据钻孔资料，勘察期间测得地下水位埋深：0.00～2.40m（高程-3.40～4.04m），部分钻孔位于虾（蟹）塘、围网养殖区及输水水渠中。主要受地表水及侧向补给，与海水存在水力联系，其水位受涨落潮、降雨量变化的影响。</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（4）水对建筑材料腐蚀性评价</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地表水对混凝土具强腐蚀性，地表水对钢筋混凝土结构中的钢筋具强腐蚀性，需采取相应防护措施。</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hAnsi="Times New Roman" w:eastAsia="宋体" w:cs="Times New Roman"/>
          <w:b/>
          <w:bCs/>
          <w:spacing w:val="0"/>
          <w:position w:val="0"/>
          <w:sz w:val="28"/>
          <w:szCs w:val="28"/>
          <w:lang w:val="en-US" w:eastAsia="zh-CN"/>
        </w:rPr>
      </w:pPr>
      <w:r>
        <w:rPr>
          <w:rFonts w:hint="default" w:ascii="Times New Roman" w:hAnsi="Times New Roman" w:eastAsia="宋体" w:cs="Times New Roman"/>
          <w:b/>
          <w:bCs/>
          <w:spacing w:val="0"/>
          <w:position w:val="0"/>
          <w:sz w:val="28"/>
          <w:szCs w:val="28"/>
          <w:lang w:val="en-US" w:eastAsia="zh-CN"/>
        </w:rPr>
        <w:t>4.1.</w:t>
      </w:r>
      <w:r>
        <w:rPr>
          <w:rFonts w:hint="eastAsia" w:ascii="Times New Roman" w:hAnsi="Times New Roman" w:eastAsia="宋体" w:cs="Times New Roman"/>
          <w:b/>
          <w:bCs/>
          <w:spacing w:val="0"/>
          <w:position w:val="0"/>
          <w:sz w:val="28"/>
          <w:szCs w:val="28"/>
          <w:lang w:val="en-US" w:eastAsia="zh-CN"/>
        </w:rPr>
        <w:t>5工程地质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项目用地以大官坂围垦淤泥滩涂为主，厂址用地东、西两端多为山丘延伸。山体主要由燕山期花岗岩和侏罗系上统火山岩组成，山体表层多发育有不同厚度的坡积和残积层，其岩性主要是亚砂土、中粗砂和风化岩块等。本区地质构造处于罗源至南屿构造带（专属新华厦系）上，多以沉降为主。</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不良地质灾害情况：场地地貌单元上属冲海积平原，据福建</w:t>
      </w:r>
      <w:r>
        <w:rPr>
          <w:rFonts w:hint="default" w:ascii="Times New Roman" w:hAnsi="Times New Roman" w:eastAsia="宋体" w:cs="Times New Roman"/>
          <w:color w:val="000000"/>
          <w:spacing w:val="0"/>
          <w:kern w:val="0"/>
          <w:position w:val="0"/>
          <w:sz w:val="24"/>
          <w:szCs w:val="24"/>
          <w:lang w:val="en-US" w:eastAsia="zh-CN" w:bidi="ar"/>
        </w:rPr>
        <w:t>1:50</w:t>
      </w:r>
      <w:r>
        <w:rPr>
          <w:rFonts w:hint="eastAsia" w:ascii="Times New Roman" w:hAnsi="Times New Roman" w:eastAsia="宋体" w:cs="Times New Roman"/>
          <w:color w:val="000000"/>
          <w:spacing w:val="0"/>
          <w:kern w:val="0"/>
          <w:position w:val="0"/>
          <w:sz w:val="24"/>
          <w:szCs w:val="24"/>
          <w:lang w:val="en-US" w:eastAsia="zh-CN" w:bidi="ar"/>
        </w:rPr>
        <w:t>万地质图资料，场地及附近无大断裂通过，不具备发生强震条件；场地地形较平坦，不存在崩塌、滑坡、泥石流等地质灾害；场地基岩为燕山晚期侵入花岗岩，非灰岩岩溶区，场地不存在岩溶、土洞及地面塌陷地质灾害。本场地软土厚度大，沉降变形预计较大，稳定性一般，采取适当防范措施后适宜建筑。不存在墓穴、防空洞、河道等对工程不利的埋藏物。</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hAnsi="Times New Roman" w:eastAsia="宋体" w:cs="Times New Roman"/>
          <w:b/>
          <w:bCs/>
          <w:spacing w:val="0"/>
          <w:position w:val="0"/>
          <w:sz w:val="28"/>
          <w:szCs w:val="28"/>
          <w:lang w:val="en-US" w:eastAsia="zh-CN"/>
        </w:rPr>
      </w:pPr>
      <w:r>
        <w:rPr>
          <w:rFonts w:hint="default" w:ascii="Times New Roman" w:hAnsi="Times New Roman" w:eastAsia="宋体" w:cs="Times New Roman"/>
          <w:b/>
          <w:bCs/>
          <w:spacing w:val="0"/>
          <w:position w:val="0"/>
          <w:sz w:val="28"/>
          <w:szCs w:val="28"/>
          <w:lang w:val="en-US" w:eastAsia="zh-CN"/>
        </w:rPr>
        <w:t>4.1.</w:t>
      </w:r>
      <w:r>
        <w:rPr>
          <w:rFonts w:hint="eastAsia" w:ascii="Times New Roman" w:hAnsi="Times New Roman" w:eastAsia="宋体" w:cs="Times New Roman"/>
          <w:b/>
          <w:bCs/>
          <w:spacing w:val="0"/>
          <w:position w:val="0"/>
          <w:sz w:val="28"/>
          <w:szCs w:val="28"/>
          <w:lang w:val="en-US" w:eastAsia="zh-CN"/>
        </w:rPr>
        <w:t>6土壤、植被</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连江县土壤分为红壤、水稻土、冲积土、风砂土、盐土等</w:t>
      </w:r>
      <w:r>
        <w:rPr>
          <w:rFonts w:hint="default" w:ascii="Times New Roman" w:hAnsi="Times New Roman" w:eastAsia="宋体" w:cs="Times New Roman"/>
          <w:color w:val="000000"/>
          <w:spacing w:val="0"/>
          <w:kern w:val="0"/>
          <w:position w:val="0"/>
          <w:sz w:val="24"/>
          <w:szCs w:val="24"/>
          <w:lang w:val="en-US" w:eastAsia="zh-CN" w:bidi="ar"/>
        </w:rPr>
        <w:t>5</w:t>
      </w:r>
      <w:r>
        <w:rPr>
          <w:rFonts w:hint="eastAsia" w:ascii="Times New Roman" w:hAnsi="Times New Roman" w:eastAsia="宋体" w:cs="Times New Roman"/>
          <w:color w:val="000000"/>
          <w:spacing w:val="0"/>
          <w:kern w:val="0"/>
          <w:position w:val="0"/>
          <w:sz w:val="24"/>
          <w:szCs w:val="24"/>
          <w:lang w:val="en-US" w:eastAsia="zh-CN" w:bidi="ar"/>
        </w:rPr>
        <w:t>个土类。以花岗岩发育而成的红壤为主，为本区的地带性土壤。耕地土壤以水稻土为主，分为潴育型水稻土、渗育型水稻土、潜育型水稻土和盐渍型水稻土</w:t>
      </w:r>
      <w:r>
        <w:rPr>
          <w:rFonts w:hint="default" w:ascii="Times New Roman" w:hAnsi="Times New Roman" w:eastAsia="宋体" w:cs="Times New Roman"/>
          <w:color w:val="000000"/>
          <w:spacing w:val="0"/>
          <w:kern w:val="0"/>
          <w:position w:val="0"/>
          <w:sz w:val="24"/>
          <w:szCs w:val="24"/>
          <w:lang w:val="en-US" w:eastAsia="zh-CN" w:bidi="ar"/>
        </w:rPr>
        <w:t>4</w:t>
      </w:r>
      <w:r>
        <w:rPr>
          <w:rFonts w:hint="eastAsia" w:ascii="Times New Roman" w:hAnsi="Times New Roman" w:eastAsia="宋体" w:cs="Times New Roman"/>
          <w:color w:val="000000"/>
          <w:spacing w:val="0"/>
          <w:kern w:val="0"/>
          <w:position w:val="0"/>
          <w:sz w:val="24"/>
          <w:szCs w:val="24"/>
          <w:lang w:val="en-US" w:eastAsia="zh-CN" w:bidi="ar"/>
        </w:rPr>
        <w:t>个亚类。林地土壤以红壤和粗骨性红壤为主。</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全县境内森林植被丰富，已鉴定树种有</w:t>
      </w:r>
      <w:r>
        <w:rPr>
          <w:rFonts w:hint="default" w:ascii="Times New Roman" w:hAnsi="Times New Roman" w:eastAsia="宋体" w:cs="Times New Roman"/>
          <w:color w:val="000000"/>
          <w:spacing w:val="0"/>
          <w:kern w:val="0"/>
          <w:position w:val="0"/>
          <w:sz w:val="24"/>
          <w:szCs w:val="24"/>
          <w:lang w:val="en-US" w:eastAsia="zh-CN" w:bidi="ar"/>
        </w:rPr>
        <w:t>137</w:t>
      </w:r>
      <w:r>
        <w:rPr>
          <w:rFonts w:hint="eastAsia" w:ascii="Times New Roman" w:hAnsi="Times New Roman" w:eastAsia="宋体" w:cs="Times New Roman"/>
          <w:color w:val="000000"/>
          <w:spacing w:val="0"/>
          <w:kern w:val="0"/>
          <w:position w:val="0"/>
          <w:sz w:val="24"/>
          <w:szCs w:val="24"/>
          <w:lang w:val="en-US" w:eastAsia="zh-CN" w:bidi="ar"/>
        </w:rPr>
        <w:t>科</w:t>
      </w:r>
      <w:r>
        <w:rPr>
          <w:rFonts w:hint="default" w:ascii="Times New Roman" w:hAnsi="Times New Roman" w:eastAsia="宋体" w:cs="Times New Roman"/>
          <w:color w:val="000000"/>
          <w:spacing w:val="0"/>
          <w:kern w:val="0"/>
          <w:position w:val="0"/>
          <w:sz w:val="24"/>
          <w:szCs w:val="24"/>
          <w:lang w:val="en-US" w:eastAsia="zh-CN" w:bidi="ar"/>
        </w:rPr>
        <w:t>696</w:t>
      </w:r>
      <w:r>
        <w:rPr>
          <w:rFonts w:hint="eastAsia" w:ascii="Times New Roman" w:hAnsi="Times New Roman" w:eastAsia="宋体" w:cs="Times New Roman"/>
          <w:color w:val="000000"/>
          <w:spacing w:val="0"/>
          <w:kern w:val="0"/>
          <w:position w:val="0"/>
          <w:sz w:val="24"/>
          <w:szCs w:val="24"/>
          <w:lang w:val="en-US" w:eastAsia="zh-CN" w:bidi="ar"/>
        </w:rPr>
        <w:t>种，杉木、马尾松、竹类居多，珍稀树种有桫椤、银杏、苏铁、红豆树等。森林面积</w:t>
      </w:r>
      <w:r>
        <w:rPr>
          <w:rFonts w:hint="default" w:ascii="Times New Roman" w:hAnsi="Times New Roman" w:eastAsia="宋体" w:cs="Times New Roman"/>
          <w:color w:val="000000"/>
          <w:spacing w:val="0"/>
          <w:kern w:val="0"/>
          <w:position w:val="0"/>
          <w:sz w:val="24"/>
          <w:szCs w:val="24"/>
          <w:lang w:val="en-US" w:eastAsia="zh-CN" w:bidi="ar"/>
        </w:rPr>
        <w:t>93</w:t>
      </w:r>
      <w:r>
        <w:rPr>
          <w:rFonts w:hint="eastAsia" w:ascii="Times New Roman" w:hAnsi="Times New Roman" w:eastAsia="宋体" w:cs="Times New Roman"/>
          <w:color w:val="000000"/>
          <w:spacing w:val="0"/>
          <w:kern w:val="0"/>
          <w:position w:val="0"/>
          <w:sz w:val="24"/>
          <w:szCs w:val="24"/>
          <w:lang w:val="en-US" w:eastAsia="zh-CN" w:bidi="ar"/>
        </w:rPr>
        <w:t>万亩，木材蓄积量</w:t>
      </w:r>
      <w:r>
        <w:rPr>
          <w:rFonts w:hint="default" w:ascii="Times New Roman" w:hAnsi="Times New Roman" w:eastAsia="宋体" w:cs="Times New Roman"/>
          <w:color w:val="000000"/>
          <w:spacing w:val="0"/>
          <w:kern w:val="0"/>
          <w:position w:val="0"/>
          <w:sz w:val="24"/>
          <w:szCs w:val="24"/>
          <w:lang w:val="en-US" w:eastAsia="zh-CN" w:bidi="ar"/>
        </w:rPr>
        <w:t>121</w:t>
      </w:r>
      <w:r>
        <w:rPr>
          <w:rFonts w:hint="eastAsia" w:ascii="Times New Roman" w:hAnsi="Times New Roman" w:eastAsia="宋体" w:cs="Times New Roman"/>
          <w:color w:val="000000"/>
          <w:spacing w:val="0"/>
          <w:kern w:val="0"/>
          <w:position w:val="0"/>
          <w:sz w:val="24"/>
          <w:szCs w:val="24"/>
          <w:lang w:val="en-US" w:eastAsia="zh-CN" w:bidi="ar"/>
        </w:rPr>
        <w:t>万立方米，森林覆盖率</w:t>
      </w:r>
      <w:r>
        <w:rPr>
          <w:rFonts w:hint="default" w:ascii="Times New Roman" w:hAnsi="Times New Roman" w:eastAsia="宋体" w:cs="Times New Roman"/>
          <w:color w:val="000000"/>
          <w:spacing w:val="0"/>
          <w:kern w:val="0"/>
          <w:position w:val="0"/>
          <w:sz w:val="24"/>
          <w:szCs w:val="24"/>
          <w:lang w:val="en-US" w:eastAsia="zh-CN" w:bidi="ar"/>
        </w:rPr>
        <w:t>57%</w:t>
      </w:r>
      <w:r>
        <w:rPr>
          <w:rFonts w:hint="eastAsia" w:ascii="Times New Roman" w:hAnsi="Times New Roman" w:eastAsia="宋体" w:cs="Times New Roman"/>
          <w:color w:val="000000"/>
          <w:spacing w:val="0"/>
          <w:kern w:val="0"/>
          <w:position w:val="0"/>
          <w:sz w:val="24"/>
          <w:szCs w:val="24"/>
          <w:lang w:val="en-US" w:eastAsia="zh-CN" w:bidi="ar"/>
        </w:rPr>
        <w:t>。野生动物</w:t>
      </w:r>
      <w:r>
        <w:rPr>
          <w:rFonts w:hint="default" w:ascii="Times New Roman" w:hAnsi="Times New Roman" w:eastAsia="宋体" w:cs="Times New Roman"/>
          <w:color w:val="000000"/>
          <w:spacing w:val="0"/>
          <w:kern w:val="0"/>
          <w:position w:val="0"/>
          <w:sz w:val="24"/>
          <w:szCs w:val="24"/>
          <w:lang w:val="en-US" w:eastAsia="zh-CN" w:bidi="ar"/>
        </w:rPr>
        <w:t>247</w:t>
      </w:r>
      <w:r>
        <w:rPr>
          <w:rFonts w:hint="eastAsia" w:ascii="Times New Roman" w:hAnsi="Times New Roman" w:eastAsia="宋体" w:cs="Times New Roman"/>
          <w:color w:val="000000"/>
          <w:spacing w:val="0"/>
          <w:kern w:val="0"/>
          <w:position w:val="0"/>
          <w:sz w:val="24"/>
          <w:szCs w:val="24"/>
          <w:lang w:val="en-US" w:eastAsia="zh-CN" w:bidi="ar"/>
        </w:rPr>
        <w:t>科</w:t>
      </w:r>
      <w:r>
        <w:rPr>
          <w:rFonts w:hint="default" w:ascii="Times New Roman" w:hAnsi="Times New Roman" w:eastAsia="宋体" w:cs="Times New Roman"/>
          <w:color w:val="000000"/>
          <w:spacing w:val="0"/>
          <w:kern w:val="0"/>
          <w:position w:val="0"/>
          <w:sz w:val="24"/>
          <w:szCs w:val="24"/>
          <w:lang w:val="en-US" w:eastAsia="zh-CN" w:bidi="ar"/>
        </w:rPr>
        <w:t>519</w:t>
      </w:r>
      <w:r>
        <w:rPr>
          <w:rFonts w:hint="eastAsia" w:ascii="Times New Roman" w:hAnsi="Times New Roman" w:eastAsia="宋体" w:cs="Times New Roman"/>
          <w:color w:val="000000"/>
          <w:spacing w:val="0"/>
          <w:kern w:val="0"/>
          <w:position w:val="0"/>
          <w:sz w:val="24"/>
          <w:szCs w:val="24"/>
          <w:lang w:val="en-US" w:eastAsia="zh-CN" w:bidi="ar"/>
        </w:rPr>
        <w:t>种。</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ascii="Times New Roman" w:hAnsi="Times New Roman" w:eastAsia="宋体" w:cs="Times New Roman"/>
          <w:b/>
          <w:bCs/>
          <w:spacing w:val="0"/>
          <w:w w:val="100"/>
          <w:position w:val="0"/>
          <w:sz w:val="30"/>
          <w:szCs w:val="30"/>
          <w:lang w:val="en-US" w:eastAsia="zh-CN"/>
        </w:rPr>
      </w:pPr>
      <w:r>
        <w:rPr>
          <w:rFonts w:hint="default" w:ascii="Times New Roman" w:hAnsi="Times New Roman" w:eastAsia="宋体" w:cs="Times New Roman"/>
          <w:b/>
          <w:bCs/>
          <w:spacing w:val="0"/>
          <w:w w:val="100"/>
          <w:position w:val="0"/>
          <w:sz w:val="30"/>
          <w:szCs w:val="30"/>
          <w:lang w:val="en-US" w:eastAsia="zh-CN"/>
        </w:rPr>
        <w:t>4.</w:t>
      </w:r>
      <w:r>
        <w:rPr>
          <w:rFonts w:hint="eastAsia" w:ascii="Times New Roman" w:hAnsi="Times New Roman" w:eastAsia="宋体" w:cs="Times New Roman"/>
          <w:b/>
          <w:bCs/>
          <w:spacing w:val="0"/>
          <w:w w:val="100"/>
          <w:position w:val="0"/>
          <w:sz w:val="30"/>
          <w:szCs w:val="30"/>
          <w:lang w:val="en-US" w:eastAsia="zh-CN"/>
        </w:rPr>
        <w:t>2环境质量现状调查与评价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spacing w:val="0"/>
          <w:w w:val="100"/>
          <w:kern w:val="0"/>
          <w:position w:val="0"/>
          <w:sz w:val="24"/>
          <w:szCs w:val="24"/>
          <w:lang w:val="en-US" w:eastAsia="zh-CN" w:bidi="ar"/>
        </w:rPr>
      </w:pPr>
      <w:r>
        <w:rPr>
          <w:rFonts w:hint="eastAsia" w:ascii="Times New Roman" w:hAnsi="Times New Roman" w:eastAsia="宋体" w:cs="Times New Roman"/>
          <w:color w:val="000000"/>
          <w:spacing w:val="0"/>
          <w:w w:val="100"/>
          <w:kern w:val="0"/>
          <w:position w:val="0"/>
          <w:sz w:val="24"/>
          <w:szCs w:val="24"/>
          <w:lang w:val="en-US" w:eastAsia="zh-CN" w:bidi="ar"/>
        </w:rPr>
        <w:t>根据《连江可门绿色纺织产业园规划</w:t>
      </w:r>
      <w:r>
        <w:rPr>
          <w:rFonts w:hint="default" w:ascii="Times New Roman" w:hAnsi="Times New Roman" w:eastAsia="宋体" w:cs="Times New Roman"/>
          <w:color w:val="000000"/>
          <w:spacing w:val="0"/>
          <w:w w:val="100"/>
          <w:kern w:val="0"/>
          <w:position w:val="0"/>
          <w:sz w:val="24"/>
          <w:szCs w:val="24"/>
          <w:lang w:val="en-US" w:eastAsia="zh-CN" w:bidi="ar"/>
        </w:rPr>
        <w:t>(</w:t>
      </w:r>
      <w:r>
        <w:rPr>
          <w:rFonts w:hint="eastAsia" w:ascii="Times New Roman" w:hAnsi="Times New Roman" w:eastAsia="宋体" w:cs="Times New Roman"/>
          <w:color w:val="000000"/>
          <w:spacing w:val="0"/>
          <w:w w:val="100"/>
          <w:kern w:val="0"/>
          <w:position w:val="0"/>
          <w:sz w:val="24"/>
          <w:szCs w:val="24"/>
          <w:lang w:val="en-US" w:eastAsia="zh-CN" w:bidi="ar"/>
        </w:rPr>
        <w:t>一期</w:t>
      </w:r>
      <w:r>
        <w:rPr>
          <w:rFonts w:hint="default" w:ascii="Times New Roman" w:hAnsi="Times New Roman" w:eastAsia="宋体" w:cs="Times New Roman"/>
          <w:color w:val="000000"/>
          <w:spacing w:val="0"/>
          <w:w w:val="100"/>
          <w:kern w:val="0"/>
          <w:position w:val="0"/>
          <w:sz w:val="24"/>
          <w:szCs w:val="24"/>
          <w:lang w:val="en-US" w:eastAsia="zh-CN" w:bidi="ar"/>
        </w:rPr>
        <w:t>)</w:t>
      </w:r>
      <w:r>
        <w:rPr>
          <w:rFonts w:hint="eastAsia" w:ascii="Times New Roman" w:hAnsi="Times New Roman" w:eastAsia="宋体" w:cs="Times New Roman"/>
          <w:color w:val="000000"/>
          <w:spacing w:val="0"/>
          <w:w w:val="100"/>
          <w:kern w:val="0"/>
          <w:position w:val="0"/>
          <w:sz w:val="24"/>
          <w:szCs w:val="24"/>
          <w:lang w:val="en-US" w:eastAsia="zh-CN" w:bidi="ar"/>
        </w:rPr>
        <w:t>环境影响报告书》中关于规划包含建设项目环评要求，针对该规划所包含的具体项目环评可适度引用规划环评评价结论，区域污染源调查根据现状情况、符合时效要求的环境质量现状调查和生态环境现状调查内容可以简化。本项目位于该规划环评中的连江可门绿色纺织产业园，因此，环境质量现状评价内容简单评价，部分内容直接引用规划环评结论。</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w:t>
      </w:r>
      <w:r>
        <w:rPr>
          <w:rFonts w:hint="eastAsia" w:ascii="Times New Roman" w:hAnsi="Times New Roman" w:eastAsia="宋体" w:cs="Times New Roman"/>
          <w:b/>
          <w:bCs/>
          <w:spacing w:val="0"/>
          <w:w w:val="100"/>
          <w:position w:val="0"/>
          <w:sz w:val="28"/>
          <w:szCs w:val="28"/>
          <w:lang w:val="en-US" w:eastAsia="zh-CN"/>
        </w:rPr>
        <w:t>2</w:t>
      </w:r>
      <w:r>
        <w:rPr>
          <w:rFonts w:hint="default" w:ascii="Times New Roman" w:hAnsi="Times New Roman" w:eastAsia="宋体" w:cs="Times New Roman"/>
          <w:b/>
          <w:bCs/>
          <w:spacing w:val="0"/>
          <w:w w:val="100"/>
          <w:position w:val="0"/>
          <w:sz w:val="28"/>
          <w:szCs w:val="28"/>
          <w:lang w:val="en-US" w:eastAsia="zh-CN"/>
        </w:rPr>
        <w:t>.</w:t>
      </w:r>
      <w:r>
        <w:rPr>
          <w:rFonts w:hint="eastAsia" w:ascii="Times New Roman" w:hAnsi="Times New Roman" w:eastAsia="宋体" w:cs="Times New Roman"/>
          <w:b/>
          <w:bCs/>
          <w:spacing w:val="0"/>
          <w:w w:val="100"/>
          <w:position w:val="0"/>
          <w:sz w:val="28"/>
          <w:szCs w:val="28"/>
          <w:lang w:val="en-US" w:eastAsia="zh-CN"/>
        </w:rPr>
        <w:t>1海水环境质量现状调查与评价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eastAsia" w:ascii="Times New Roman" w:hAnsi="Times New Roman" w:eastAsia="宋体" w:cs="Times New Roman"/>
          <w:color w:val="000000"/>
          <w:spacing w:val="0"/>
          <w:w w:val="100"/>
          <w:kern w:val="0"/>
          <w:position w:val="0"/>
          <w:sz w:val="24"/>
          <w:szCs w:val="24"/>
          <w:lang w:val="en-US" w:eastAsia="zh-CN" w:bidi="ar"/>
        </w:rPr>
        <w:t>（1）调查点位和因子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default" w:ascii="Times New Roman" w:hAnsi="Times New Roman" w:eastAsia="宋体" w:cs="Times New Roman"/>
          <w:color w:val="000000"/>
          <w:spacing w:val="0"/>
          <w:w w:val="100"/>
          <w:kern w:val="0"/>
          <w:position w:val="0"/>
          <w:sz w:val="24"/>
          <w:szCs w:val="24"/>
          <w:lang w:val="en-US" w:eastAsia="zh-CN" w:bidi="ar"/>
        </w:rPr>
        <w:t>为了解本项目所在区域地表水环境质量现状，本项目引用《福建申远新材料有限公司二期年产40万吨聚酰胺一体化项目阶段性竣工环境保护验收》中福建创投环境检测有限公司于2021年4月12日~4月13日开展的海水水质监测数据（站位B1~B3）、《福州祺添新能源材料有限公司19kt/a锂电池电解液材料新建项目环境影响报告书》中福建省正基检测技术有限公司于2021年7月17日开展的海水水质监测数据（站位H1~H3）以及《连江可门绿色纺织产业园规划(一期)环境影响报告书》中厦门谱尼测试有限公司于2020年9月14日在罗源湾海域布置的5个监测站位监测数据（站位T1~T5）分析湾内海水水质现状。调查站位坐标和调查点位见表4.2-1和图4.2-1。</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rPr>
          <w:rFonts w:hint="eastAsia" w:ascii="Times New Roman" w:hAnsi="Times New Roman" w:eastAsia="宋体"/>
          <w:b/>
          <w:bCs/>
          <w:spacing w:val="0"/>
          <w:w w:val="100"/>
          <w:position w:val="0"/>
          <w:sz w:val="24"/>
          <w:szCs w:val="24"/>
          <w:lang w:val="en-US" w:eastAsia="zh-CN"/>
        </w:rPr>
      </w:pPr>
      <w:r>
        <w:rPr>
          <w:rFonts w:hint="eastAsia" w:ascii="Times New Roman" w:hAnsi="Times New Roman" w:eastAsia="宋体"/>
          <w:b/>
          <w:bCs/>
          <w:spacing w:val="0"/>
          <w:w w:val="100"/>
          <w:position w:val="0"/>
          <w:sz w:val="24"/>
          <w:szCs w:val="24"/>
          <w:lang w:eastAsia="zh-CN"/>
        </w:rPr>
        <w:t>表</w:t>
      </w:r>
      <w:r>
        <w:rPr>
          <w:rFonts w:hint="eastAsia" w:ascii="Times New Roman" w:hAnsi="Times New Roman" w:eastAsia="宋体"/>
          <w:b/>
          <w:bCs/>
          <w:spacing w:val="0"/>
          <w:w w:val="100"/>
          <w:position w:val="0"/>
          <w:sz w:val="24"/>
          <w:szCs w:val="24"/>
          <w:lang w:val="en-US" w:eastAsia="zh-CN"/>
        </w:rPr>
        <w:t>4.2-1海洋环境现状调查站位表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74"/>
        <w:gridCol w:w="1769"/>
        <w:gridCol w:w="45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spacing w:val="0"/>
                <w:w w:val="100"/>
                <w:kern w:val="0"/>
                <w:position w:val="0"/>
                <w:sz w:val="21"/>
                <w:szCs w:val="21"/>
                <w:vertAlign w:val="baseline"/>
                <w:lang w:val="en-US" w:eastAsia="zh-CN" w:bidi="ar"/>
              </w:rPr>
            </w:pPr>
            <w:r>
              <w:rPr>
                <w:rFonts w:hint="eastAsia" w:ascii="Times New Roman" w:hAnsi="Times New Roman" w:eastAsia="宋体" w:cs="Times New Roman"/>
                <w:b/>
                <w:bCs/>
                <w:color w:val="000000"/>
                <w:spacing w:val="0"/>
                <w:w w:val="100"/>
                <w:kern w:val="0"/>
                <w:position w:val="0"/>
                <w:sz w:val="21"/>
                <w:szCs w:val="21"/>
                <w:vertAlign w:val="baseline"/>
                <w:lang w:val="en-US" w:eastAsia="zh-CN" w:bidi="ar"/>
              </w:rPr>
              <w:t>站位</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spacing w:val="0"/>
                <w:w w:val="100"/>
                <w:kern w:val="0"/>
                <w:position w:val="0"/>
                <w:sz w:val="21"/>
                <w:szCs w:val="21"/>
                <w:vertAlign w:val="baseline"/>
                <w:lang w:val="en-US" w:eastAsia="zh-CN" w:bidi="ar"/>
              </w:rPr>
            </w:pPr>
            <w:r>
              <w:rPr>
                <w:rFonts w:hint="eastAsia" w:ascii="Times New Roman" w:hAnsi="Times New Roman" w:eastAsia="宋体" w:cs="Times New Roman"/>
                <w:b/>
                <w:bCs/>
                <w:color w:val="000000"/>
                <w:spacing w:val="0"/>
                <w:w w:val="100"/>
                <w:kern w:val="0"/>
                <w:position w:val="0"/>
                <w:sz w:val="21"/>
                <w:szCs w:val="21"/>
                <w:vertAlign w:val="baseline"/>
                <w:lang w:val="en-US" w:eastAsia="zh-CN" w:bidi="ar"/>
              </w:rPr>
              <w:t>经度</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spacing w:val="0"/>
                <w:w w:val="100"/>
                <w:kern w:val="0"/>
                <w:position w:val="0"/>
                <w:sz w:val="21"/>
                <w:szCs w:val="21"/>
                <w:vertAlign w:val="baseline"/>
                <w:lang w:val="en-US" w:eastAsia="zh-CN" w:bidi="ar"/>
              </w:rPr>
            </w:pPr>
            <w:r>
              <w:rPr>
                <w:rFonts w:hint="eastAsia" w:ascii="Times New Roman" w:hAnsi="Times New Roman" w:eastAsia="宋体" w:cs="Times New Roman"/>
                <w:b/>
                <w:bCs/>
                <w:color w:val="000000"/>
                <w:spacing w:val="0"/>
                <w:w w:val="100"/>
                <w:kern w:val="0"/>
                <w:position w:val="0"/>
                <w:sz w:val="21"/>
                <w:szCs w:val="21"/>
                <w:vertAlign w:val="baseline"/>
                <w:lang w:val="en-US" w:eastAsia="zh-CN" w:bidi="ar"/>
              </w:rPr>
              <w:t>纬度</w:t>
            </w:r>
          </w:p>
        </w:tc>
        <w:tc>
          <w:tcPr>
            <w:tcW w:w="25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spacing w:val="0"/>
                <w:w w:val="100"/>
                <w:kern w:val="0"/>
                <w:position w:val="0"/>
                <w:sz w:val="21"/>
                <w:szCs w:val="21"/>
                <w:vertAlign w:val="baseline"/>
                <w:lang w:val="en-US" w:eastAsia="zh-CN" w:bidi="ar"/>
              </w:rPr>
            </w:pPr>
            <w:r>
              <w:rPr>
                <w:rFonts w:hint="eastAsia" w:ascii="Times New Roman" w:hAnsi="Times New Roman" w:eastAsia="宋体" w:cs="Times New Roman"/>
                <w:b/>
                <w:bCs/>
                <w:color w:val="000000"/>
                <w:spacing w:val="0"/>
                <w:w w:val="100"/>
                <w:kern w:val="0"/>
                <w:position w:val="0"/>
                <w:sz w:val="21"/>
                <w:szCs w:val="21"/>
                <w:vertAlign w:val="baseline"/>
                <w:lang w:val="en-US" w:eastAsia="zh-CN" w:bidi="ar"/>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B1</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119°45′54.40″E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26°23′03.70″</w:t>
            </w:r>
            <w:r>
              <w:rPr>
                <w:rFonts w:hint="default" w:ascii="Times New Roman" w:hAnsi="Times New Roman" w:eastAsia="宋体" w:cs="Times New Roman"/>
                <w:color w:val="000000"/>
                <w:spacing w:val="0"/>
                <w:w w:val="100"/>
                <w:kern w:val="0"/>
                <w:position w:val="0"/>
                <w:sz w:val="21"/>
                <w:szCs w:val="21"/>
                <w:lang w:val="en-US" w:eastAsia="zh-CN" w:bidi="ar"/>
              </w:rPr>
              <w:t>N</w:t>
            </w:r>
          </w:p>
        </w:tc>
        <w:tc>
          <w:tcPr>
            <w:tcW w:w="25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水温、pH、氨氮、硝酸盐氮、亚硝酸盐氮、活性磷酸盐、挥发性酚、硫化物、悬浮物、化学需氧量、溶解氧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B2</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119°46′27.91″E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26°23′24.67″</w:t>
            </w:r>
            <w:r>
              <w:rPr>
                <w:rFonts w:hint="default" w:ascii="Times New Roman" w:hAnsi="Times New Roman" w:eastAsia="宋体" w:cs="Times New Roman"/>
                <w:color w:val="000000"/>
                <w:spacing w:val="0"/>
                <w:w w:val="100"/>
                <w:kern w:val="0"/>
                <w:position w:val="0"/>
                <w:sz w:val="21"/>
                <w:szCs w:val="21"/>
                <w:lang w:val="en-US" w:eastAsia="zh-CN" w:bidi="ar"/>
              </w:rPr>
              <w:t>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B3</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119°46′06.38″E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26°23′27.88″</w:t>
            </w:r>
            <w:r>
              <w:rPr>
                <w:rFonts w:hint="default" w:ascii="Times New Roman" w:hAnsi="Times New Roman" w:eastAsia="宋体" w:cs="Times New Roman"/>
                <w:color w:val="000000"/>
                <w:spacing w:val="0"/>
                <w:w w:val="100"/>
                <w:kern w:val="0"/>
                <w:position w:val="0"/>
                <w:sz w:val="21"/>
                <w:szCs w:val="21"/>
                <w:lang w:val="en-US" w:eastAsia="zh-CN" w:bidi="ar"/>
              </w:rPr>
              <w:t>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H1</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lang w:val="en-US" w:eastAsia="zh-CN" w:bidi="ar"/>
              </w:rPr>
              <w:t>119°58′32.69″</w:t>
            </w:r>
            <w:r>
              <w:rPr>
                <w:rFonts w:hint="default" w:ascii="Times New Roman" w:hAnsi="Times New Roman" w:eastAsia="宋体" w:cs="Times New Roman"/>
                <w:color w:val="000000"/>
                <w:spacing w:val="0"/>
                <w:w w:val="100"/>
                <w:kern w:val="0"/>
                <w:position w:val="0"/>
                <w:sz w:val="21"/>
                <w:szCs w:val="21"/>
                <w:vertAlign w:val="baseline"/>
                <w:lang w:val="en-US" w:eastAsia="zh-CN" w:bidi="ar"/>
              </w:rPr>
              <w:t>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26°24′30.09″</w:t>
            </w:r>
            <w:r>
              <w:rPr>
                <w:rFonts w:hint="default" w:ascii="Times New Roman" w:hAnsi="Times New Roman" w:eastAsia="宋体" w:cs="Times New Roman"/>
                <w:color w:val="000000"/>
                <w:spacing w:val="0"/>
                <w:w w:val="100"/>
                <w:kern w:val="0"/>
                <w:position w:val="0"/>
                <w:sz w:val="21"/>
                <w:szCs w:val="21"/>
                <w:lang w:val="en-US" w:eastAsia="zh-CN" w:bidi="ar"/>
              </w:rPr>
              <w:t>N</w:t>
            </w:r>
          </w:p>
        </w:tc>
        <w:tc>
          <w:tcPr>
            <w:tcW w:w="25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水温、pH、悬浮物、化学需氧量、生化需氧量、溶解氧、石油类、氰化物、硫化物、挥发性酚、亚硝酸盐氮、硝酸盐氮、氨氮、活性磷酸盐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H2</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lang w:val="en-US" w:eastAsia="zh-CN" w:bidi="ar"/>
              </w:rPr>
              <w:t>119°55′45.28″</w:t>
            </w:r>
            <w:r>
              <w:rPr>
                <w:rFonts w:hint="default" w:ascii="Times New Roman" w:hAnsi="Times New Roman" w:eastAsia="宋体" w:cs="Times New Roman"/>
                <w:color w:val="000000"/>
                <w:spacing w:val="0"/>
                <w:w w:val="100"/>
                <w:kern w:val="0"/>
                <w:position w:val="0"/>
                <w:sz w:val="21"/>
                <w:szCs w:val="21"/>
                <w:vertAlign w:val="baseline"/>
                <w:lang w:val="en-US" w:eastAsia="zh-CN" w:bidi="ar"/>
              </w:rPr>
              <w:t>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26°23′46.00″</w:t>
            </w:r>
            <w:r>
              <w:rPr>
                <w:rFonts w:hint="default" w:ascii="Times New Roman" w:hAnsi="Times New Roman" w:eastAsia="宋体" w:cs="Times New Roman"/>
                <w:color w:val="000000"/>
                <w:spacing w:val="0"/>
                <w:w w:val="100"/>
                <w:kern w:val="0"/>
                <w:position w:val="0"/>
                <w:sz w:val="21"/>
                <w:szCs w:val="21"/>
                <w:lang w:val="en-US" w:eastAsia="zh-CN" w:bidi="ar"/>
              </w:rPr>
              <w:t>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H3</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119°56′49.45″E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26°24′30.13″</w:t>
            </w:r>
            <w:r>
              <w:rPr>
                <w:rFonts w:hint="default" w:ascii="Times New Roman" w:hAnsi="Times New Roman" w:eastAsia="宋体" w:cs="Times New Roman"/>
                <w:color w:val="000000"/>
                <w:spacing w:val="0"/>
                <w:w w:val="100"/>
                <w:kern w:val="0"/>
                <w:position w:val="0"/>
                <w:sz w:val="21"/>
                <w:szCs w:val="21"/>
                <w:lang w:val="en-US" w:eastAsia="zh-CN" w:bidi="ar"/>
              </w:rPr>
              <w:t>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T1</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119°55′31.71″E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lang w:val="en-US" w:eastAsia="zh-CN" w:bidi="ar"/>
              </w:rPr>
              <w:t>26°26</w:t>
            </w:r>
            <w:r>
              <w:rPr>
                <w:rFonts w:hint="default" w:ascii="Times New Roman" w:hAnsi="Times New Roman" w:eastAsia="宋体" w:cs="Times New Roman"/>
                <w:color w:val="000000"/>
                <w:spacing w:val="0"/>
                <w:w w:val="100"/>
                <w:kern w:val="0"/>
                <w:position w:val="0"/>
                <w:sz w:val="21"/>
                <w:szCs w:val="21"/>
                <w:vertAlign w:val="baseline"/>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14.02</w:t>
            </w:r>
            <w:r>
              <w:rPr>
                <w:rFonts w:hint="default" w:ascii="Times New Roman" w:hAnsi="Times New Roman" w:eastAsia="宋体" w:cs="Times New Roman"/>
                <w:color w:val="000000"/>
                <w:spacing w:val="0"/>
                <w:w w:val="100"/>
                <w:kern w:val="0"/>
                <w:position w:val="0"/>
                <w:sz w:val="21"/>
                <w:szCs w:val="21"/>
                <w:vertAlign w:val="baseline"/>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N</w:t>
            </w:r>
          </w:p>
        </w:tc>
        <w:tc>
          <w:tcPr>
            <w:tcW w:w="25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硫化物、苯胺类、二氧化氯、可吸附有机卤化物（AOX）、六价铬、总锑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T2</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119°57′16.85″E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26°27′21.07″N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T3</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119°57′19.48″E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26°24′34.17″N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T4</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119°58′55.33″E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26°25′46.55″N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eastAsia" w:ascii="Times New Roman" w:hAnsi="Times New Roman" w:eastAsia="宋体" w:cs="Times New Roman"/>
                <w:color w:val="000000"/>
                <w:spacing w:val="0"/>
                <w:w w:val="100"/>
                <w:kern w:val="0"/>
                <w:position w:val="0"/>
                <w:sz w:val="21"/>
                <w:szCs w:val="21"/>
                <w:vertAlign w:val="baseline"/>
                <w:lang w:val="en-US" w:eastAsia="zh-CN" w:bidi="ar"/>
              </w:rPr>
              <w:t>T5</w:t>
            </w:r>
          </w:p>
        </w:tc>
        <w:tc>
          <w:tcPr>
            <w:tcW w:w="9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119°57′24.06″E</w:t>
            </w:r>
          </w:p>
        </w:tc>
        <w:tc>
          <w:tcPr>
            <w:tcW w:w="9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w w:val="100"/>
                <w:kern w:val="0"/>
                <w:position w:val="0"/>
                <w:sz w:val="21"/>
                <w:szCs w:val="21"/>
                <w:vertAlign w:val="baseline"/>
                <w:lang w:val="en-US" w:eastAsia="zh-CN" w:bidi="ar"/>
              </w:rPr>
            </w:pPr>
            <w:r>
              <w:rPr>
                <w:rFonts w:hint="default" w:ascii="Times New Roman" w:hAnsi="Times New Roman" w:eastAsia="宋体" w:cs="Times New Roman"/>
                <w:color w:val="000000"/>
                <w:spacing w:val="0"/>
                <w:w w:val="100"/>
                <w:kern w:val="0"/>
                <w:position w:val="0"/>
                <w:sz w:val="21"/>
                <w:szCs w:val="21"/>
                <w:vertAlign w:val="baseline"/>
                <w:lang w:val="en-US" w:eastAsia="zh-CN" w:bidi="ar"/>
              </w:rPr>
              <w:t>26°25′46.80″N</w:t>
            </w:r>
          </w:p>
        </w:tc>
        <w:tc>
          <w:tcPr>
            <w:tcW w:w="25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w w:val="100"/>
                <w:kern w:val="0"/>
                <w:position w:val="0"/>
                <w:sz w:val="21"/>
                <w:szCs w:val="21"/>
                <w:vertAlign w:val="baseline"/>
                <w:lang w:val="en-US" w:eastAsia="zh-CN" w:bidi="ar"/>
              </w:rPr>
            </w:pPr>
          </w:p>
        </w:tc>
      </w:tr>
    </w:tbl>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b/>
          <w:bCs/>
          <w:spacing w:val="0"/>
          <w:w w:val="100"/>
          <w:position w:val="0"/>
          <w:sz w:val="24"/>
          <w:szCs w:val="24"/>
          <w:lang w:val="en-US" w:eastAsia="zh-CN"/>
        </w:rPr>
      </w:pPr>
      <w:r>
        <w:rPr>
          <w:rFonts w:hint="eastAsia" w:ascii="Times New Roman" w:hAnsi="Times New Roman" w:eastAsia="宋体"/>
          <w:b/>
          <w:bCs/>
          <w:spacing w:val="0"/>
          <w:w w:val="100"/>
          <w:position w:val="0"/>
          <w:sz w:val="24"/>
          <w:szCs w:val="24"/>
          <w:lang w:eastAsia="zh-CN"/>
        </w:rPr>
        <w:t>图</w:t>
      </w:r>
      <w:r>
        <w:rPr>
          <w:rFonts w:hint="eastAsia" w:ascii="Times New Roman" w:hAnsi="Times New Roman" w:eastAsia="宋体"/>
          <w:b/>
          <w:bCs/>
          <w:spacing w:val="0"/>
          <w:w w:val="100"/>
          <w:position w:val="0"/>
          <w:sz w:val="24"/>
          <w:szCs w:val="24"/>
          <w:lang w:val="en-US" w:eastAsia="zh-CN"/>
        </w:rPr>
        <w:t>4.2-1海洋调查站位分布</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color w:val="000000"/>
          <w:spacing w:val="0"/>
          <w:kern w:val="0"/>
          <w:position w:val="0"/>
          <w:sz w:val="24"/>
          <w:szCs w:val="24"/>
          <w:lang w:val="en-US" w:eastAsia="zh-CN" w:bidi="ar"/>
        </w:rPr>
      </w:pPr>
      <w:r>
        <w:rPr>
          <w:rFonts w:hint="eastAsia" w:cs="Times New Roman"/>
          <w:color w:val="000000"/>
          <w:spacing w:val="0"/>
          <w:kern w:val="0"/>
          <w:position w:val="0"/>
          <w:sz w:val="24"/>
          <w:szCs w:val="24"/>
          <w:lang w:val="en-US" w:eastAsia="zh-CN" w:bidi="ar"/>
        </w:rPr>
        <w:t>（2）评价标准</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color w:val="000000"/>
          <w:spacing w:val="0"/>
          <w:kern w:val="0"/>
          <w:position w:val="0"/>
          <w:sz w:val="24"/>
          <w:szCs w:val="24"/>
          <w:lang w:val="en-US" w:eastAsia="zh-CN" w:bidi="ar"/>
        </w:rPr>
      </w:pPr>
      <w:r>
        <w:rPr>
          <w:rFonts w:hint="eastAsia" w:cs="Times New Roman"/>
          <w:color w:val="000000"/>
          <w:spacing w:val="0"/>
          <w:kern w:val="0"/>
          <w:position w:val="0"/>
          <w:sz w:val="24"/>
          <w:szCs w:val="24"/>
          <w:lang w:val="en-US" w:eastAsia="zh-CN" w:bidi="ar"/>
        </w:rPr>
        <w:t>评价区内周边海</w:t>
      </w:r>
      <w:r>
        <w:rPr>
          <w:rFonts w:hint="default" w:ascii="Times New Roman" w:hAnsi="Times New Roman" w:cs="Times New Roman"/>
          <w:color w:val="000000"/>
          <w:spacing w:val="0"/>
          <w:kern w:val="0"/>
          <w:position w:val="0"/>
          <w:sz w:val="24"/>
          <w:szCs w:val="24"/>
          <w:lang w:val="en-US" w:eastAsia="zh-CN" w:bidi="ar"/>
        </w:rPr>
        <w:t>域涉及罗源湾中西部三类区（FJ032-C-Ⅱ类），水质执行第二类海水水质标准（B1~B3监测点位）；湾外排污口位于罗源湾中西部二类区（FJ033-B-Ⅱ类），水质执行第一类海水水质标准（H1~H3、T1~T5监测点位）</w:t>
      </w:r>
      <w:r>
        <w:rPr>
          <w:rFonts w:hint="eastAsia" w:cs="Times New Roman"/>
          <w:color w:val="000000"/>
          <w:spacing w:val="0"/>
          <w:kern w:val="0"/>
          <w:position w:val="0"/>
          <w:sz w:val="24"/>
          <w:szCs w:val="24"/>
          <w:lang w:val="en-US" w:eastAsia="zh-CN" w:bidi="ar"/>
        </w:rPr>
        <w:t>。</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color w:val="000000"/>
          <w:spacing w:val="0"/>
          <w:kern w:val="0"/>
          <w:position w:val="0"/>
          <w:sz w:val="24"/>
          <w:szCs w:val="24"/>
          <w:lang w:val="en-US" w:eastAsia="zh-CN" w:bidi="ar"/>
        </w:rPr>
      </w:pPr>
      <w:r>
        <w:rPr>
          <w:rFonts w:hint="eastAsia" w:cs="Times New Roman"/>
          <w:color w:val="000000"/>
          <w:spacing w:val="0"/>
          <w:kern w:val="0"/>
          <w:position w:val="0"/>
          <w:sz w:val="24"/>
          <w:szCs w:val="24"/>
          <w:lang w:val="en-US" w:eastAsia="zh-CN" w:bidi="ar"/>
        </w:rPr>
        <w:t>（3）监测与评价结果</w:t>
      </w:r>
    </w:p>
    <w:p>
      <w:pPr>
        <w:adjustRightInd w:val="0"/>
        <w:snapToGrid w:val="0"/>
        <w:spacing w:line="360" w:lineRule="auto"/>
        <w:ind w:firstLine="480" w:firstLineChars="200"/>
        <w:jc w:val="both"/>
        <w:rPr>
          <w:rFonts w:hint="eastAsia" w:cs="Times New Roman"/>
          <w:b w:val="0"/>
          <w:bCs w:val="0"/>
          <w:spacing w:val="0"/>
          <w:position w:val="0"/>
          <w:sz w:val="24"/>
          <w:szCs w:val="24"/>
          <w:lang w:val="en-US" w:eastAsia="zh-CN"/>
        </w:rPr>
      </w:pPr>
      <w:r>
        <w:rPr>
          <w:rFonts w:hint="eastAsia" w:cs="Times New Roman"/>
          <w:color w:val="000000"/>
          <w:spacing w:val="0"/>
          <w:kern w:val="0"/>
          <w:position w:val="0"/>
          <w:sz w:val="24"/>
          <w:szCs w:val="24"/>
          <w:lang w:val="en-US" w:eastAsia="zh-CN" w:bidi="ar"/>
        </w:rPr>
        <w:t>调查海域海水调查结果见表4.2-2，评价结果见表4.2-3。</w:t>
      </w:r>
      <w:r>
        <w:rPr>
          <w:rFonts w:hint="eastAsia" w:cs="Times New Roman"/>
          <w:b w:val="0"/>
          <w:bCs w:val="0"/>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海水水质监测结果显示：监测期间，pH、化学需氧量、生化需氧量、氰化物、溶解氧、挥发酚、硫化物、石油类等因子在各调查站位都符合相应第一、二类《海水水质标准》（GB3097-1997）的要求，无机氮和活性磷酸盐出现超标，主要原因有以下三方面：一是湾内有大量养殖，鱼类饵料及排泄物导致；二是湾内海域三面环山，地表径流均直接流入罗源湾内，地表径流中带入的陆地面源污染物一定程度上导致海水氮、磷升高；三是湾内海域处于一种</w:t>
      </w:r>
      <w:r>
        <w:rPr>
          <w:rFonts w:hint="eastAsia" w:ascii="Times New Roman" w:hAnsi="Times New Roman"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头小腹大</w:t>
      </w:r>
      <w:r>
        <w:rPr>
          <w:rFonts w:hint="eastAsia" w:ascii="Times New Roman" w:hAnsi="Times New Roman" w:cs="Times New Roman"/>
          <w:color w:val="000000"/>
          <w:spacing w:val="0"/>
          <w:kern w:val="0"/>
          <w:position w:val="0"/>
          <w:sz w:val="24"/>
          <w:szCs w:val="24"/>
          <w:lang w:val="en-US" w:eastAsia="zh-CN" w:bidi="ar"/>
        </w:rPr>
        <w:t>”</w:t>
      </w:r>
      <w:r>
        <w:rPr>
          <w:rFonts w:hint="default" w:ascii="Times New Roman" w:hAnsi="Times New Roman" w:eastAsia="宋体" w:cs="Times New Roman"/>
          <w:color w:val="000000"/>
          <w:spacing w:val="0"/>
          <w:kern w:val="0"/>
          <w:position w:val="0"/>
          <w:sz w:val="24"/>
          <w:szCs w:val="24"/>
          <w:lang w:val="en-US" w:eastAsia="zh-CN" w:bidi="ar"/>
        </w:rPr>
        <w:t>形状，东面入海通道较小，湾内海水与外界不易交换导致。根据近年来福建省海洋环境状况公报，东南沿海主要海湾及主要江河入海口海域无机氮和活性磷酸盐含量偏高是近岸海域一直存在的较为突出的问题，主要原因是区域水产养殖造成氮磷普遍偏高。</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综上所述，除无机氮和活性磷酸盐两项指标超标外，调查期间海域水质其他指标达到标准要求。</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w:t>
      </w:r>
      <w:r>
        <w:rPr>
          <w:rFonts w:hint="eastAsia" w:ascii="Times New Roman" w:hAnsi="Times New Roman" w:eastAsia="宋体" w:cs="Times New Roman"/>
          <w:b/>
          <w:bCs/>
          <w:spacing w:val="0"/>
          <w:w w:val="100"/>
          <w:position w:val="0"/>
          <w:sz w:val="28"/>
          <w:szCs w:val="28"/>
          <w:lang w:val="en-US" w:eastAsia="zh-CN"/>
        </w:rPr>
        <w:t>2</w:t>
      </w:r>
      <w:r>
        <w:rPr>
          <w:rFonts w:hint="default" w:ascii="Times New Roman" w:hAnsi="Times New Roman" w:eastAsia="宋体" w:cs="Times New Roman"/>
          <w:b/>
          <w:bCs/>
          <w:spacing w:val="0"/>
          <w:w w:val="100"/>
          <w:position w:val="0"/>
          <w:sz w:val="28"/>
          <w:szCs w:val="28"/>
          <w:lang w:val="en-US" w:eastAsia="zh-CN"/>
        </w:rPr>
        <w:t>.</w:t>
      </w:r>
      <w:r>
        <w:rPr>
          <w:rFonts w:hint="eastAsia" w:ascii="Times New Roman" w:hAnsi="Times New Roman" w:eastAsia="宋体" w:cs="Times New Roman"/>
          <w:b/>
          <w:bCs/>
          <w:spacing w:val="0"/>
          <w:w w:val="100"/>
          <w:position w:val="0"/>
          <w:sz w:val="28"/>
          <w:szCs w:val="28"/>
          <w:lang w:val="en-US" w:eastAsia="zh-CN"/>
        </w:rPr>
        <w:t>2地下水环境质量现状调查与评价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eastAsia" w:ascii="Times New Roman" w:hAnsi="Times New Roman" w:eastAsia="宋体" w:cs="Times New Roman"/>
          <w:color w:val="000000"/>
          <w:spacing w:val="0"/>
          <w:w w:val="100"/>
          <w:kern w:val="0"/>
          <w:position w:val="0"/>
          <w:sz w:val="24"/>
          <w:szCs w:val="24"/>
          <w:lang w:val="en-US" w:eastAsia="zh-CN" w:bidi="ar"/>
        </w:rPr>
        <w:t>（1）监测点位和因子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本项目位于连江可门绿色纺织产业园规划</w:t>
      </w:r>
      <w:r>
        <w:rPr>
          <w:rFonts w:hint="eastAsia" w:cs="宋体"/>
          <w:color w:val="000000"/>
          <w:spacing w:val="0"/>
          <w:w w:val="100"/>
          <w:kern w:val="0"/>
          <w:position w:val="0"/>
          <w:sz w:val="24"/>
          <w:szCs w:val="24"/>
          <w:lang w:val="en-US" w:eastAsia="zh-CN" w:bidi="ar"/>
        </w:rPr>
        <w:t>（</w:t>
      </w:r>
      <w:r>
        <w:rPr>
          <w:rFonts w:hint="eastAsia" w:ascii="Times New Roman" w:hAnsi="Times New Roman" w:eastAsia="宋体" w:cs="宋体"/>
          <w:color w:val="000000"/>
          <w:spacing w:val="0"/>
          <w:w w:val="100"/>
          <w:kern w:val="0"/>
          <w:position w:val="0"/>
          <w:sz w:val="24"/>
          <w:szCs w:val="24"/>
          <w:lang w:val="en-US" w:eastAsia="zh-CN" w:bidi="ar"/>
        </w:rPr>
        <w:t>一期</w:t>
      </w:r>
      <w:r>
        <w:rPr>
          <w:rFonts w:hint="eastAsia" w:cs="宋体"/>
          <w:color w:val="000000"/>
          <w:spacing w:val="0"/>
          <w:w w:val="100"/>
          <w:kern w:val="0"/>
          <w:position w:val="0"/>
          <w:sz w:val="24"/>
          <w:szCs w:val="24"/>
          <w:lang w:val="en-US" w:eastAsia="zh-CN" w:bidi="ar"/>
        </w:rPr>
        <w:t>）</w:t>
      </w:r>
      <w:r>
        <w:rPr>
          <w:rFonts w:hint="eastAsia" w:ascii="Times New Roman" w:hAnsi="Times New Roman" w:eastAsia="宋体" w:cs="宋体"/>
          <w:color w:val="000000"/>
          <w:spacing w:val="0"/>
          <w:w w:val="100"/>
          <w:kern w:val="0"/>
          <w:position w:val="0"/>
          <w:sz w:val="24"/>
          <w:szCs w:val="24"/>
          <w:lang w:val="en-US" w:eastAsia="zh-CN" w:bidi="ar"/>
        </w:rPr>
        <w:t>建设范围内，为了解本项目区域地下水环境质量现状，本评价引用《连江可门绿色纺织产业园规划</w:t>
      </w:r>
      <w:r>
        <w:rPr>
          <w:rFonts w:hint="eastAsia" w:cs="宋体"/>
          <w:color w:val="000000"/>
          <w:spacing w:val="0"/>
          <w:w w:val="100"/>
          <w:kern w:val="0"/>
          <w:position w:val="0"/>
          <w:sz w:val="24"/>
          <w:szCs w:val="24"/>
          <w:lang w:val="en-US" w:eastAsia="zh-CN" w:bidi="ar"/>
        </w:rPr>
        <w:t>（</w:t>
      </w:r>
      <w:r>
        <w:rPr>
          <w:rFonts w:hint="eastAsia" w:ascii="Times New Roman" w:hAnsi="Times New Roman" w:eastAsia="宋体" w:cs="宋体"/>
          <w:color w:val="000000"/>
          <w:spacing w:val="0"/>
          <w:w w:val="100"/>
          <w:kern w:val="0"/>
          <w:position w:val="0"/>
          <w:sz w:val="24"/>
          <w:szCs w:val="24"/>
          <w:lang w:val="en-US" w:eastAsia="zh-CN" w:bidi="ar"/>
        </w:rPr>
        <w:t>一期</w:t>
      </w:r>
      <w:r>
        <w:rPr>
          <w:rFonts w:hint="eastAsia" w:cs="宋体"/>
          <w:color w:val="000000"/>
          <w:spacing w:val="0"/>
          <w:w w:val="100"/>
          <w:kern w:val="0"/>
          <w:position w:val="0"/>
          <w:sz w:val="24"/>
          <w:szCs w:val="24"/>
          <w:lang w:val="en-US" w:eastAsia="zh-CN" w:bidi="ar"/>
        </w:rPr>
        <w:t>）</w:t>
      </w:r>
      <w:r>
        <w:rPr>
          <w:rFonts w:hint="eastAsia" w:ascii="Times New Roman" w:hAnsi="Times New Roman" w:eastAsia="宋体" w:cs="宋体"/>
          <w:color w:val="000000"/>
          <w:spacing w:val="0"/>
          <w:w w:val="100"/>
          <w:kern w:val="0"/>
          <w:position w:val="0"/>
          <w:sz w:val="24"/>
          <w:szCs w:val="24"/>
          <w:lang w:val="en-US" w:eastAsia="zh-CN" w:bidi="ar"/>
        </w:rPr>
        <w:t>环境影响报告书》中对项目附近区域的监测数据（委托厦门谱尼测试有限公司</w:t>
      </w:r>
      <w:r>
        <w:rPr>
          <w:rFonts w:hint="default" w:ascii="Times New Roman" w:hAnsi="Times New Roman" w:eastAsia="宋体" w:cs="Times New Roman"/>
          <w:color w:val="000000"/>
          <w:spacing w:val="0"/>
          <w:w w:val="100"/>
          <w:kern w:val="0"/>
          <w:position w:val="0"/>
          <w:sz w:val="24"/>
          <w:szCs w:val="24"/>
          <w:lang w:val="en-US" w:eastAsia="zh-CN" w:bidi="ar"/>
        </w:rPr>
        <w:t>于2020年9月14日检测的数据，共布置5个地下水监测点位）。</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表4.2-</w:t>
      </w:r>
      <w:r>
        <w:rPr>
          <w:rFonts w:hint="default" w:ascii="Times New Roman" w:hAnsi="Times New Roman" w:eastAsia="宋体" w:cs="Times New Roman"/>
          <w:b/>
          <w:bCs/>
          <w:spacing w:val="0"/>
          <w:w w:val="100"/>
          <w:position w:val="0"/>
          <w:sz w:val="24"/>
          <w:szCs w:val="24"/>
          <w:lang w:val="en-US" w:eastAsia="zh-CN"/>
        </w:rPr>
        <w:t>4</w:t>
      </w:r>
      <w:r>
        <w:rPr>
          <w:rFonts w:hint="default" w:ascii="Times New Roman" w:hAnsi="Times New Roman" w:eastAsia="宋体" w:cs="Times New Roman"/>
          <w:b/>
          <w:bCs/>
          <w:spacing w:val="0"/>
          <w:w w:val="100"/>
          <w:position w:val="0"/>
          <w:sz w:val="24"/>
          <w:szCs w:val="24"/>
        </w:rPr>
        <w:t>地下水监测点位</w:t>
      </w:r>
    </w:p>
    <w:p>
      <w:pPr>
        <w:keepNext w:val="0"/>
        <w:keepLines w:val="0"/>
        <w:pageBreakBefore w:val="0"/>
        <w:widowControl/>
        <w:kinsoku/>
        <w:wordWrap/>
        <w:overflowPunct/>
        <w:topLinePunct w:val="0"/>
        <w:autoSpaceDE/>
        <w:autoSpaceDN/>
        <w:bidi w:val="0"/>
        <w:adjustRightInd w:val="0"/>
        <w:snapToGrid w:val="0"/>
        <w:spacing w:line="64" w:lineRule="exact"/>
        <w:rPr>
          <w:rFonts w:ascii="Times New Roman" w:hAnsi="Times New Roman" w:eastAsia="宋体"/>
          <w:spacing w:val="0"/>
          <w:w w:val="100"/>
          <w:position w:val="0"/>
        </w:rPr>
      </w:pP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1117"/>
        <w:gridCol w:w="1643"/>
        <w:gridCol w:w="1643"/>
        <w:gridCol w:w="42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40" w:hRule="atLeast"/>
          <w:jc w:val="center"/>
        </w:trPr>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站位</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经度</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纬度</w:t>
            </w:r>
          </w:p>
        </w:tc>
        <w:tc>
          <w:tcPr>
            <w:tcW w:w="42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监测因子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40" w:hRule="atLeast"/>
          <w:jc w:val="center"/>
        </w:trPr>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D1</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119°44′41.54″E</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26°20′25.94″N</w:t>
            </w:r>
          </w:p>
        </w:tc>
        <w:tc>
          <w:tcPr>
            <w:tcW w:w="428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pH</w:t>
            </w:r>
            <w:r>
              <w:rPr>
                <w:rFonts w:ascii="Times New Roman" w:hAnsi="Times New Roman" w:eastAsia="宋体" w:cs="宋体"/>
                <w:spacing w:val="0"/>
                <w:w w:val="100"/>
                <w:position w:val="0"/>
                <w:sz w:val="21"/>
                <w:szCs w:val="21"/>
              </w:rPr>
              <w:t>、耗氧量、氨氮、总硬度、硫化物、挥发酚、</w:t>
            </w:r>
          </w:p>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硝酸盐氮、亚硝酸盐氮、溶解性总固体、铜、铁、锰、钠、锌、阴离子表面活性剂汞、氯化物、硫酸盐、汞、砷、镉、铅、二氧化氯、可吸附有机卤素</w:t>
            </w:r>
            <w:r>
              <w:rPr>
                <w:rFonts w:ascii="Times New Roman" w:hAnsi="Times New Roman" w:eastAsia="宋体" w:cs="Times New Roman"/>
                <w:spacing w:val="0"/>
                <w:w w:val="100"/>
                <w:position w:val="0"/>
                <w:sz w:val="21"/>
                <w:szCs w:val="21"/>
              </w:rPr>
              <w:t>(AOX)</w:t>
            </w:r>
            <w:r>
              <w:rPr>
                <w:rFonts w:ascii="Times New Roman" w:hAnsi="Times New Roman" w:eastAsia="宋体" w:cs="宋体"/>
                <w:spacing w:val="0"/>
                <w:w w:val="100"/>
                <w:position w:val="0"/>
                <w:sz w:val="21"/>
                <w:szCs w:val="21"/>
              </w:rPr>
              <w:t>、六价铬、锑、苯胺类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40" w:hRule="atLeast"/>
          <w:jc w:val="center"/>
        </w:trPr>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D2</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119°43′59.94″E</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26°20′18.49″N</w:t>
            </w:r>
          </w:p>
        </w:tc>
        <w:tc>
          <w:tcPr>
            <w:tcW w:w="42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40" w:hRule="atLeast"/>
          <w:jc w:val="center"/>
        </w:trPr>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D3</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119°44′53.58″E</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26°20′31.01″N</w:t>
            </w:r>
          </w:p>
        </w:tc>
        <w:tc>
          <w:tcPr>
            <w:tcW w:w="42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40" w:hRule="atLeast"/>
          <w:jc w:val="center"/>
        </w:trPr>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D4</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119°44′35.16″E</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26°20′49.16″N</w:t>
            </w:r>
          </w:p>
        </w:tc>
        <w:tc>
          <w:tcPr>
            <w:tcW w:w="42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40" w:hRule="atLeast"/>
          <w:jc w:val="center"/>
        </w:trPr>
        <w:tc>
          <w:tcPr>
            <w:tcW w:w="1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D5</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119°44′21.66″E</w:t>
            </w:r>
          </w:p>
        </w:tc>
        <w:tc>
          <w:tcPr>
            <w:tcW w:w="16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26°20′38.32″N</w:t>
            </w:r>
          </w:p>
        </w:tc>
        <w:tc>
          <w:tcPr>
            <w:tcW w:w="42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ascii="Times New Roman" w:hAnsi="Times New Roman" w:eastAsia="宋体"/>
                <w:spacing w:val="0"/>
                <w:w w:val="100"/>
                <w:position w:val="0"/>
                <w:sz w:val="21"/>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（2）评价标准</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评价区域内地下水参照执行《地下水质量标准》（GB/T4848-2017）中Ⅲ类水质标准。</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color w:val="000000"/>
          <w:spacing w:val="0"/>
          <w:kern w:val="0"/>
          <w:position w:val="0"/>
          <w:sz w:val="24"/>
          <w:szCs w:val="24"/>
          <w:lang w:val="en-US" w:eastAsia="zh-CN" w:bidi="ar"/>
        </w:rPr>
        <w:t>（3）监测及评价结果</w:t>
      </w:r>
    </w:p>
    <w:p>
      <w:pPr>
        <w:adjustRightInd w:val="0"/>
        <w:snapToGrid w:val="0"/>
        <w:spacing w:line="360" w:lineRule="auto"/>
        <w:ind w:firstLine="480" w:firstLineChars="200"/>
        <w:jc w:val="both"/>
        <w:rPr>
          <w:rFonts w:hint="eastAsia" w:cs="Times New Roman"/>
          <w:b w:val="0"/>
          <w:bCs w:val="0"/>
          <w:spacing w:val="0"/>
          <w:position w:val="0"/>
          <w:sz w:val="24"/>
          <w:szCs w:val="24"/>
          <w:lang w:val="en-US" w:eastAsia="zh-CN"/>
        </w:rPr>
      </w:pPr>
      <w:r>
        <w:rPr>
          <w:rFonts w:hint="default" w:ascii="Times New Roman" w:hAnsi="Times New Roman" w:eastAsia="宋体" w:cs="Times New Roman"/>
          <w:color w:val="000000"/>
          <w:spacing w:val="0"/>
          <w:kern w:val="0"/>
          <w:position w:val="0"/>
          <w:sz w:val="24"/>
          <w:szCs w:val="24"/>
          <w:lang w:val="en-US" w:eastAsia="zh-CN" w:bidi="ar"/>
        </w:rPr>
        <w:t>地下水水质监测结果见表4.2-9，评价结果见表4.2-10。</w:t>
      </w:r>
      <w:r>
        <w:rPr>
          <w:rFonts w:hint="eastAsia" w:cs="Times New Roman"/>
          <w:b w:val="0"/>
          <w:bCs w:val="0"/>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eastAsia" w:ascii="Times New Roman" w:hAnsi="Times New Roman" w:eastAsia="宋体" w:cs="Times New Roman"/>
          <w:color w:val="000000"/>
          <w:spacing w:val="0"/>
          <w:kern w:val="0"/>
          <w:position w:val="0"/>
          <w:sz w:val="24"/>
          <w:szCs w:val="24"/>
          <w:lang w:val="en-US" w:eastAsia="zh-CN" w:bidi="ar"/>
        </w:rPr>
        <w:t>由上表可知，项目所在区域地下水监测点位各指标大部分满足《地下水环境质量标准》（G</w:t>
      </w:r>
      <w:r>
        <w:rPr>
          <w:rFonts w:hint="default" w:ascii="Times New Roman" w:hAnsi="Times New Roman" w:eastAsia="宋体" w:cs="Times New Roman"/>
          <w:color w:val="000000"/>
          <w:spacing w:val="0"/>
          <w:kern w:val="0"/>
          <w:position w:val="0"/>
          <w:sz w:val="24"/>
          <w:szCs w:val="24"/>
          <w:lang w:val="en-US" w:eastAsia="zh-CN" w:bidi="ar"/>
        </w:rPr>
        <w:t>B/T14848-2017）Ⅲ类及以上水质标准，但氨氮、总硬度、溶解性总固体、钠、氯化物的部分指标则仅可满足Ⅳ、V类水质标准。</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w:t>
      </w:r>
      <w:r>
        <w:rPr>
          <w:rFonts w:hint="eastAsia" w:ascii="Times New Roman" w:hAnsi="Times New Roman" w:eastAsia="宋体" w:cs="Times New Roman"/>
          <w:b/>
          <w:bCs/>
          <w:spacing w:val="0"/>
          <w:w w:val="100"/>
          <w:position w:val="0"/>
          <w:sz w:val="28"/>
          <w:szCs w:val="28"/>
          <w:lang w:val="en-US" w:eastAsia="zh-CN"/>
        </w:rPr>
        <w:t>2</w:t>
      </w:r>
      <w:r>
        <w:rPr>
          <w:rFonts w:hint="default" w:ascii="Times New Roman" w:hAnsi="Times New Roman" w:eastAsia="宋体" w:cs="Times New Roman"/>
          <w:b/>
          <w:bCs/>
          <w:spacing w:val="0"/>
          <w:w w:val="100"/>
          <w:position w:val="0"/>
          <w:sz w:val="28"/>
          <w:szCs w:val="28"/>
          <w:lang w:val="en-US" w:eastAsia="zh-CN"/>
        </w:rPr>
        <w:t>.</w:t>
      </w:r>
      <w:r>
        <w:rPr>
          <w:rFonts w:hint="eastAsia" w:ascii="Times New Roman" w:hAnsi="Times New Roman" w:eastAsia="宋体" w:cs="Times New Roman"/>
          <w:b/>
          <w:bCs/>
          <w:spacing w:val="0"/>
          <w:w w:val="100"/>
          <w:position w:val="0"/>
          <w:sz w:val="28"/>
          <w:szCs w:val="28"/>
          <w:lang w:val="en-US" w:eastAsia="zh-CN"/>
        </w:rPr>
        <w:t>3环境空气质量现状调查与评价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outlineLvl w:val="3"/>
        <w:rPr>
          <w:rFonts w:hint="eastAsia" w:ascii="Times New Roman" w:hAnsi="Times New Roman" w:eastAsia="宋体" w:cs="Times New Roman"/>
          <w:b/>
          <w:bCs/>
          <w:color w:val="000000"/>
          <w:spacing w:val="0"/>
          <w:w w:val="100"/>
          <w:kern w:val="0"/>
          <w:position w:val="0"/>
          <w:sz w:val="24"/>
          <w:szCs w:val="24"/>
          <w:lang w:val="en-US" w:eastAsia="zh-CN" w:bidi="ar"/>
        </w:rPr>
      </w:pPr>
      <w:r>
        <w:rPr>
          <w:rFonts w:hint="eastAsia" w:ascii="Times New Roman" w:hAnsi="Times New Roman" w:eastAsia="宋体" w:cs="Times New Roman"/>
          <w:b/>
          <w:bCs/>
          <w:color w:val="000000"/>
          <w:spacing w:val="0"/>
          <w:w w:val="100"/>
          <w:kern w:val="0"/>
          <w:position w:val="0"/>
          <w:sz w:val="24"/>
          <w:szCs w:val="24"/>
          <w:lang w:val="en-US" w:eastAsia="zh-CN" w:bidi="ar"/>
        </w:rPr>
        <w:t>4.2.3.1区域环境质量达标分析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default" w:ascii="Times New Roman" w:hAnsi="Times New Roman" w:eastAsia="宋体" w:cs="Times New Roman"/>
          <w:color w:val="000000"/>
          <w:spacing w:val="0"/>
          <w:w w:val="100"/>
          <w:kern w:val="0"/>
          <w:position w:val="0"/>
          <w:sz w:val="24"/>
          <w:szCs w:val="24"/>
          <w:lang w:val="en-US" w:eastAsia="zh-CN" w:bidi="ar"/>
        </w:rPr>
        <w:t>根据《环境影响评价技术导则大气环境》（HJ2.2-2018），环境空气质量现状数据采用评价范围内国家或地方环境空气质量监测网中评价基准年连续1年的监测数据或采用生态环境主管部门公开发布的环境空气质量现状数据；评价范围内没有环境空气质量监测网数据或公开发布的环境空气质量现状数据的，可选择符合HJ664规定，并且与评价范围地理位置邻近，地形、气候条件相近的环境空气质量点或区域点监测数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default" w:ascii="Times New Roman" w:hAnsi="Times New Roman" w:eastAsia="宋体" w:cs="Times New Roman"/>
          <w:color w:val="000000"/>
          <w:spacing w:val="0"/>
          <w:w w:val="100"/>
          <w:kern w:val="0"/>
          <w:position w:val="0"/>
          <w:sz w:val="24"/>
          <w:szCs w:val="24"/>
          <w:lang w:val="en-US" w:eastAsia="zh-CN" w:bidi="ar"/>
        </w:rPr>
        <w:t>为了解项目拟建地环境空气质量现状达标情况，本环评引用中国空气质量在线监测分析平台2021年全年的连江县的环境空气质量数据，数据包含二氧化硫</w:t>
      </w:r>
      <w:r>
        <w:rPr>
          <w:rFonts w:hint="eastAsia" w:cs="Times New Roman"/>
          <w:color w:val="000000"/>
          <w:spacing w:val="0"/>
          <w:w w:val="100"/>
          <w:kern w:val="0"/>
          <w:position w:val="0"/>
          <w:sz w:val="24"/>
          <w:szCs w:val="24"/>
          <w:lang w:val="en-US" w:eastAsia="zh-CN" w:bidi="ar"/>
        </w:rPr>
        <w:t>（</w:t>
      </w:r>
      <w:r>
        <w:rPr>
          <w:rFonts w:hint="default" w:ascii="Times New Roman" w:hAnsi="Times New Roman" w:eastAsia="宋体" w:cs="Times New Roman"/>
          <w:color w:val="000000"/>
          <w:spacing w:val="0"/>
          <w:w w:val="100"/>
          <w:kern w:val="0"/>
          <w:position w:val="0"/>
          <w:sz w:val="24"/>
          <w:szCs w:val="24"/>
          <w:lang w:val="en-US" w:eastAsia="zh-CN" w:bidi="ar"/>
        </w:rPr>
        <w:t>SO</w:t>
      </w:r>
      <w:r>
        <w:rPr>
          <w:rFonts w:hint="default" w:ascii="Times New Roman" w:hAnsi="Times New Roman" w:eastAsia="宋体" w:cs="Times New Roman"/>
          <w:color w:val="000000"/>
          <w:spacing w:val="0"/>
          <w:w w:val="100"/>
          <w:kern w:val="0"/>
          <w:position w:val="0"/>
          <w:sz w:val="24"/>
          <w:szCs w:val="24"/>
          <w:vertAlign w:val="subscript"/>
          <w:lang w:val="en-US" w:eastAsia="zh-CN" w:bidi="ar"/>
        </w:rPr>
        <w:t>2</w:t>
      </w:r>
      <w:r>
        <w:rPr>
          <w:rFonts w:hint="eastAsia" w:cs="Times New Roman"/>
          <w:color w:val="000000"/>
          <w:spacing w:val="0"/>
          <w:w w:val="100"/>
          <w:kern w:val="0"/>
          <w:position w:val="0"/>
          <w:sz w:val="24"/>
          <w:szCs w:val="24"/>
          <w:vertAlign w:val="baseline"/>
          <w:lang w:val="en-US" w:eastAsia="zh-CN" w:bidi="ar"/>
        </w:rPr>
        <w:t>）</w:t>
      </w:r>
      <w:r>
        <w:rPr>
          <w:rFonts w:hint="default" w:ascii="Times New Roman" w:hAnsi="Times New Roman" w:eastAsia="宋体" w:cs="Times New Roman"/>
          <w:color w:val="000000"/>
          <w:spacing w:val="0"/>
          <w:w w:val="100"/>
          <w:kern w:val="0"/>
          <w:position w:val="0"/>
          <w:sz w:val="24"/>
          <w:szCs w:val="24"/>
          <w:lang w:val="en-US" w:eastAsia="zh-CN" w:bidi="ar"/>
        </w:rPr>
        <w:t>、二氧化氮</w:t>
      </w:r>
      <w:r>
        <w:rPr>
          <w:rFonts w:hint="eastAsia" w:cs="Times New Roman"/>
          <w:color w:val="000000"/>
          <w:spacing w:val="0"/>
          <w:w w:val="100"/>
          <w:kern w:val="0"/>
          <w:position w:val="0"/>
          <w:sz w:val="24"/>
          <w:szCs w:val="24"/>
          <w:lang w:val="en-US" w:eastAsia="zh-CN" w:bidi="ar"/>
        </w:rPr>
        <w:t>（</w:t>
      </w:r>
      <w:r>
        <w:rPr>
          <w:rFonts w:hint="default" w:ascii="Times New Roman" w:hAnsi="Times New Roman" w:eastAsia="宋体" w:cs="Times New Roman"/>
          <w:color w:val="000000"/>
          <w:spacing w:val="0"/>
          <w:w w:val="100"/>
          <w:kern w:val="0"/>
          <w:position w:val="0"/>
          <w:sz w:val="24"/>
          <w:szCs w:val="24"/>
          <w:lang w:val="en-US" w:eastAsia="zh-CN" w:bidi="ar"/>
        </w:rPr>
        <w:t>NO</w:t>
      </w:r>
      <w:r>
        <w:rPr>
          <w:rFonts w:hint="default" w:ascii="Times New Roman" w:hAnsi="Times New Roman" w:eastAsia="宋体" w:cs="Times New Roman"/>
          <w:color w:val="000000"/>
          <w:spacing w:val="0"/>
          <w:w w:val="100"/>
          <w:kern w:val="0"/>
          <w:position w:val="0"/>
          <w:sz w:val="24"/>
          <w:szCs w:val="24"/>
          <w:vertAlign w:val="subscript"/>
          <w:lang w:val="en-US" w:eastAsia="zh-CN" w:bidi="ar"/>
        </w:rPr>
        <w:t>2</w:t>
      </w:r>
      <w:r>
        <w:rPr>
          <w:rFonts w:hint="eastAsia" w:cs="Times New Roman"/>
          <w:color w:val="000000"/>
          <w:spacing w:val="0"/>
          <w:w w:val="100"/>
          <w:kern w:val="0"/>
          <w:position w:val="0"/>
          <w:sz w:val="24"/>
          <w:szCs w:val="24"/>
          <w:lang w:val="en-US" w:eastAsia="zh-CN" w:bidi="ar"/>
        </w:rPr>
        <w:t>）</w:t>
      </w:r>
      <w:r>
        <w:rPr>
          <w:rFonts w:hint="default" w:ascii="Times New Roman" w:hAnsi="Times New Roman" w:eastAsia="宋体" w:cs="Times New Roman"/>
          <w:color w:val="000000"/>
          <w:spacing w:val="0"/>
          <w:w w:val="100"/>
          <w:kern w:val="0"/>
          <w:position w:val="0"/>
          <w:sz w:val="24"/>
          <w:szCs w:val="24"/>
          <w:lang w:val="en-US" w:eastAsia="zh-CN" w:bidi="ar"/>
        </w:rPr>
        <w:t>、一氧化碳（CO）、臭氧（O</w:t>
      </w:r>
      <w:r>
        <w:rPr>
          <w:rFonts w:hint="default" w:ascii="Times New Roman" w:hAnsi="Times New Roman" w:eastAsia="宋体" w:cs="Times New Roman"/>
          <w:color w:val="000000"/>
          <w:spacing w:val="0"/>
          <w:w w:val="100"/>
          <w:kern w:val="0"/>
          <w:position w:val="0"/>
          <w:sz w:val="24"/>
          <w:szCs w:val="24"/>
          <w:vertAlign w:val="subscript"/>
          <w:lang w:val="en-US" w:eastAsia="zh-CN" w:bidi="ar"/>
        </w:rPr>
        <w:t>3</w:t>
      </w:r>
      <w:r>
        <w:rPr>
          <w:rFonts w:hint="default" w:ascii="Times New Roman" w:hAnsi="Times New Roman" w:eastAsia="宋体" w:cs="Times New Roman"/>
          <w:color w:val="000000"/>
          <w:spacing w:val="0"/>
          <w:w w:val="100"/>
          <w:kern w:val="0"/>
          <w:position w:val="0"/>
          <w:sz w:val="24"/>
          <w:szCs w:val="24"/>
          <w:lang w:val="en-US" w:eastAsia="zh-CN" w:bidi="ar"/>
        </w:rPr>
        <w:t>）、细颗粒物（PM</w:t>
      </w:r>
      <w:r>
        <w:rPr>
          <w:rFonts w:hint="default" w:ascii="Times New Roman" w:hAnsi="Times New Roman" w:eastAsia="宋体" w:cs="Times New Roman"/>
          <w:color w:val="000000"/>
          <w:spacing w:val="0"/>
          <w:w w:val="100"/>
          <w:kern w:val="0"/>
          <w:position w:val="0"/>
          <w:sz w:val="24"/>
          <w:szCs w:val="24"/>
          <w:vertAlign w:val="subscript"/>
          <w:lang w:val="en-US" w:eastAsia="zh-CN" w:bidi="ar"/>
        </w:rPr>
        <w:t>2.5</w:t>
      </w:r>
      <w:r>
        <w:rPr>
          <w:rFonts w:hint="default" w:ascii="Times New Roman" w:hAnsi="Times New Roman" w:eastAsia="宋体" w:cs="Times New Roman"/>
          <w:color w:val="000000"/>
          <w:spacing w:val="0"/>
          <w:w w:val="100"/>
          <w:kern w:val="0"/>
          <w:position w:val="0"/>
          <w:sz w:val="24"/>
          <w:szCs w:val="24"/>
          <w:lang w:val="en-US" w:eastAsia="zh-CN" w:bidi="ar"/>
        </w:rPr>
        <w:t>）、可吸入颗粒物</w:t>
      </w:r>
      <w:r>
        <w:rPr>
          <w:rFonts w:hint="eastAsia" w:cs="Times New Roman"/>
          <w:color w:val="000000"/>
          <w:spacing w:val="0"/>
          <w:w w:val="100"/>
          <w:kern w:val="0"/>
          <w:position w:val="0"/>
          <w:sz w:val="24"/>
          <w:szCs w:val="24"/>
          <w:lang w:val="en-US" w:eastAsia="zh-CN" w:bidi="ar"/>
        </w:rPr>
        <w:t>（</w:t>
      </w:r>
      <w:r>
        <w:rPr>
          <w:rFonts w:hint="default" w:ascii="Times New Roman" w:hAnsi="Times New Roman" w:eastAsia="宋体" w:cs="Times New Roman"/>
          <w:color w:val="000000"/>
          <w:spacing w:val="0"/>
          <w:w w:val="100"/>
          <w:kern w:val="0"/>
          <w:position w:val="0"/>
          <w:sz w:val="24"/>
          <w:szCs w:val="24"/>
          <w:lang w:val="en-US" w:eastAsia="zh-CN" w:bidi="ar"/>
        </w:rPr>
        <w:t>PM</w:t>
      </w:r>
      <w:r>
        <w:rPr>
          <w:rFonts w:hint="default" w:ascii="Times New Roman" w:hAnsi="Times New Roman" w:eastAsia="宋体" w:cs="Times New Roman"/>
          <w:color w:val="000000"/>
          <w:spacing w:val="0"/>
          <w:w w:val="100"/>
          <w:kern w:val="0"/>
          <w:position w:val="0"/>
          <w:sz w:val="24"/>
          <w:szCs w:val="24"/>
          <w:vertAlign w:val="subscript"/>
          <w:lang w:val="en-US" w:eastAsia="zh-CN" w:bidi="ar"/>
        </w:rPr>
        <w:t>10</w:t>
      </w:r>
      <w:r>
        <w:rPr>
          <w:rFonts w:hint="eastAsia" w:cs="Times New Roman"/>
          <w:color w:val="000000"/>
          <w:spacing w:val="0"/>
          <w:w w:val="100"/>
          <w:kern w:val="0"/>
          <w:position w:val="0"/>
          <w:sz w:val="24"/>
          <w:szCs w:val="24"/>
          <w:lang w:val="en-US" w:eastAsia="zh-CN" w:bidi="ar"/>
        </w:rPr>
        <w:t>）</w:t>
      </w:r>
      <w:r>
        <w:rPr>
          <w:rFonts w:hint="default" w:ascii="Times New Roman" w:hAnsi="Times New Roman" w:eastAsia="宋体" w:cs="Times New Roman"/>
          <w:color w:val="000000"/>
          <w:spacing w:val="0"/>
          <w:w w:val="100"/>
          <w:kern w:val="0"/>
          <w:position w:val="0"/>
          <w:sz w:val="24"/>
          <w:szCs w:val="24"/>
          <w:lang w:val="en-US" w:eastAsia="zh-CN" w:bidi="ar"/>
        </w:rPr>
        <w:t>六项的常规监测，基本上反映出了连江县大气污染特征及时空分布规律，具体监测结果见表4.</w:t>
      </w:r>
      <w:r>
        <w:rPr>
          <w:rFonts w:hint="eastAsia" w:ascii="Times New Roman" w:hAnsi="Times New Roman" w:eastAsia="宋体" w:cs="Times New Roman"/>
          <w:color w:val="000000"/>
          <w:spacing w:val="0"/>
          <w:w w:val="100"/>
          <w:kern w:val="0"/>
          <w:position w:val="0"/>
          <w:sz w:val="24"/>
          <w:szCs w:val="24"/>
          <w:lang w:val="en-US" w:eastAsia="zh-CN" w:bidi="ar"/>
        </w:rPr>
        <w:t>2</w:t>
      </w:r>
      <w:r>
        <w:rPr>
          <w:rFonts w:hint="default" w:ascii="Times New Roman" w:hAnsi="Times New Roman" w:eastAsia="宋体" w:cs="Times New Roman"/>
          <w:color w:val="000000"/>
          <w:spacing w:val="0"/>
          <w:w w:val="100"/>
          <w:kern w:val="0"/>
          <w:position w:val="0"/>
          <w:sz w:val="24"/>
          <w:szCs w:val="24"/>
          <w:lang w:val="en-US" w:eastAsia="zh-CN" w:bidi="ar"/>
        </w:rPr>
        <w:t>-</w:t>
      </w:r>
      <w:r>
        <w:rPr>
          <w:rFonts w:hint="eastAsia" w:ascii="Times New Roman" w:hAnsi="Times New Roman" w:eastAsia="宋体" w:cs="Times New Roman"/>
          <w:color w:val="000000"/>
          <w:spacing w:val="0"/>
          <w:w w:val="100"/>
          <w:kern w:val="0"/>
          <w:position w:val="0"/>
          <w:sz w:val="24"/>
          <w:szCs w:val="24"/>
          <w:lang w:val="en-US" w:eastAsia="zh-CN" w:bidi="ar"/>
        </w:rPr>
        <w:t>4</w:t>
      </w:r>
      <w:r>
        <w:rPr>
          <w:rFonts w:hint="default" w:ascii="Times New Roman" w:hAnsi="Times New Roman" w:eastAsia="宋体" w:cs="Times New Roman"/>
          <w:color w:val="000000"/>
          <w:spacing w:val="0"/>
          <w:w w:val="100"/>
          <w:kern w:val="0"/>
          <w:position w:val="0"/>
          <w:sz w:val="24"/>
          <w:szCs w:val="24"/>
          <w:lang w:val="en-US" w:eastAsia="zh-CN" w:bidi="ar"/>
        </w:rPr>
        <w:t>。</w:t>
      </w:r>
      <w:r>
        <w:rPr>
          <w:rFonts w:hint="eastAsia" w:cs="Times New Roman"/>
          <w:b w:val="0"/>
          <w:bCs w:val="0"/>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000000"/>
          <w:spacing w:val="0"/>
          <w:kern w:val="0"/>
          <w:position w:val="0"/>
          <w:sz w:val="24"/>
          <w:szCs w:val="24"/>
          <w:lang w:val="en-US" w:eastAsia="zh-CN" w:bidi="ar"/>
        </w:rPr>
      </w:pPr>
      <w:r>
        <w:rPr>
          <w:rFonts w:hint="default" w:ascii="Times New Roman" w:hAnsi="Times New Roman" w:eastAsia="宋体" w:cs="Times New Roman"/>
          <w:spacing w:val="0"/>
          <w:w w:val="100"/>
          <w:position w:val="0"/>
          <w:sz w:val="24"/>
          <w:szCs w:val="24"/>
        </w:rPr>
        <w:t>从表4.</w:t>
      </w:r>
      <w:r>
        <w:rPr>
          <w:rFonts w:hint="eastAsia" w:ascii="Times New Roman" w:hAnsi="Times New Roman" w:eastAsia="宋体" w:cs="Times New Roman"/>
          <w:spacing w:val="0"/>
          <w:w w:val="100"/>
          <w:position w:val="0"/>
          <w:sz w:val="24"/>
          <w:szCs w:val="24"/>
          <w:lang w:val="en-US" w:eastAsia="zh-CN"/>
        </w:rPr>
        <w:t>2</w:t>
      </w:r>
      <w:r>
        <w:rPr>
          <w:rFonts w:hint="default" w:ascii="Times New Roman" w:hAnsi="Times New Roman" w:eastAsia="宋体" w:cs="Times New Roman"/>
          <w:spacing w:val="0"/>
          <w:w w:val="100"/>
          <w:position w:val="0"/>
          <w:sz w:val="24"/>
          <w:szCs w:val="24"/>
        </w:rPr>
        <w:t>-</w:t>
      </w:r>
      <w:r>
        <w:rPr>
          <w:rFonts w:hint="eastAsia" w:ascii="Times New Roman" w:hAnsi="Times New Roman" w:eastAsia="宋体" w:cs="Times New Roman"/>
          <w:spacing w:val="0"/>
          <w:w w:val="100"/>
          <w:position w:val="0"/>
          <w:sz w:val="24"/>
          <w:szCs w:val="24"/>
          <w:lang w:val="en-US" w:eastAsia="zh-CN"/>
        </w:rPr>
        <w:t>4</w:t>
      </w:r>
      <w:r>
        <w:rPr>
          <w:rFonts w:hint="default" w:ascii="Times New Roman" w:hAnsi="Times New Roman" w:eastAsia="宋体" w:cs="Times New Roman"/>
          <w:spacing w:val="0"/>
          <w:w w:val="100"/>
          <w:position w:val="0"/>
          <w:sz w:val="24"/>
          <w:szCs w:val="24"/>
        </w:rPr>
        <w:t>可以看出，连江县2021年环境空气的SO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、NO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、PM</w:t>
      </w:r>
      <w:r>
        <w:rPr>
          <w:rFonts w:hint="default" w:ascii="Times New Roman" w:hAnsi="Times New Roman" w:eastAsia="宋体" w:cs="Times New Roman"/>
          <w:spacing w:val="0"/>
          <w:w w:val="100"/>
          <w:position w:val="0"/>
          <w:sz w:val="24"/>
          <w:szCs w:val="24"/>
          <w:vertAlign w:val="subscript"/>
        </w:rPr>
        <w:t>10</w:t>
      </w:r>
      <w:r>
        <w:rPr>
          <w:rFonts w:hint="default" w:ascii="Times New Roman" w:hAnsi="Times New Roman" w:eastAsia="宋体" w:cs="Times New Roman"/>
          <w:spacing w:val="0"/>
          <w:w w:val="100"/>
          <w:position w:val="0"/>
          <w:sz w:val="24"/>
          <w:szCs w:val="24"/>
        </w:rPr>
        <w:t>、PM</w:t>
      </w:r>
      <w:r>
        <w:rPr>
          <w:rFonts w:hint="default" w:ascii="Times New Roman" w:hAnsi="Times New Roman" w:eastAsia="宋体" w:cs="Times New Roman"/>
          <w:spacing w:val="0"/>
          <w:w w:val="100"/>
          <w:position w:val="0"/>
          <w:sz w:val="24"/>
          <w:szCs w:val="24"/>
          <w:vertAlign w:val="subscript"/>
        </w:rPr>
        <w:t>2.5</w:t>
      </w:r>
      <w:r>
        <w:rPr>
          <w:rFonts w:hint="default" w:ascii="Times New Roman" w:hAnsi="Times New Roman" w:eastAsia="宋体" w:cs="Times New Roman"/>
          <w:spacing w:val="0"/>
          <w:w w:val="100"/>
          <w:position w:val="0"/>
          <w:sz w:val="24"/>
          <w:szCs w:val="24"/>
        </w:rPr>
        <w:t>、O</w:t>
      </w:r>
      <w:r>
        <w:rPr>
          <w:rFonts w:hint="default" w:ascii="Times New Roman" w:hAnsi="Times New Roman" w:eastAsia="宋体" w:cs="Times New Roman"/>
          <w:spacing w:val="0"/>
          <w:w w:val="100"/>
          <w:position w:val="0"/>
          <w:sz w:val="24"/>
          <w:szCs w:val="24"/>
          <w:vertAlign w:val="subscript"/>
        </w:rPr>
        <w:t>3</w:t>
      </w:r>
      <w:r>
        <w:rPr>
          <w:rFonts w:hint="default" w:ascii="Times New Roman" w:hAnsi="Times New Roman" w:eastAsia="宋体" w:cs="Times New Roman"/>
          <w:spacing w:val="0"/>
          <w:w w:val="100"/>
          <w:position w:val="0"/>
          <w:sz w:val="24"/>
          <w:szCs w:val="24"/>
        </w:rPr>
        <w:t>、CO等六项常规检测指标均达到《环境空气质量标准》（GB3095-2012）中二级标准要求。因此，判定连江县环境空气质量为达标区。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outlineLvl w:val="3"/>
        <w:rPr>
          <w:rFonts w:hint="eastAsia" w:ascii="Times New Roman" w:hAnsi="Times New Roman" w:eastAsia="宋体" w:cs="Times New Roman"/>
          <w:b/>
          <w:bCs/>
          <w:color w:val="000000"/>
          <w:spacing w:val="0"/>
          <w:w w:val="100"/>
          <w:kern w:val="0"/>
          <w:position w:val="0"/>
          <w:sz w:val="24"/>
          <w:szCs w:val="24"/>
          <w:lang w:val="en-US" w:eastAsia="zh-CN" w:bidi="ar"/>
        </w:rPr>
      </w:pPr>
      <w:r>
        <w:rPr>
          <w:rFonts w:hint="eastAsia" w:ascii="Times New Roman" w:hAnsi="Times New Roman" w:eastAsia="宋体" w:cs="Times New Roman"/>
          <w:b/>
          <w:bCs/>
          <w:color w:val="000000"/>
          <w:spacing w:val="0"/>
          <w:w w:val="100"/>
          <w:kern w:val="0"/>
          <w:position w:val="0"/>
          <w:sz w:val="24"/>
          <w:szCs w:val="24"/>
          <w:lang w:val="en-US" w:eastAsia="zh-CN" w:bidi="ar"/>
        </w:rPr>
        <w:t>4.2.3.2环境空气特征因子补充监测</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eastAsia" w:ascii="Times New Roman" w:hAnsi="Times New Roman" w:eastAsia="宋体" w:cs="Times New Roman"/>
          <w:color w:val="000000"/>
          <w:spacing w:val="0"/>
          <w:w w:val="100"/>
          <w:kern w:val="0"/>
          <w:position w:val="0"/>
          <w:sz w:val="24"/>
          <w:szCs w:val="24"/>
          <w:lang w:val="en-US" w:eastAsia="zh-CN" w:bidi="ar"/>
        </w:rPr>
        <w:t>（1）监测点位、监测因子、时间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default" w:ascii="Times New Roman" w:hAnsi="Times New Roman" w:eastAsia="宋体" w:cs="Times New Roman"/>
          <w:color w:val="000000"/>
          <w:spacing w:val="0"/>
          <w:w w:val="100"/>
          <w:kern w:val="0"/>
          <w:position w:val="0"/>
          <w:sz w:val="24"/>
          <w:szCs w:val="24"/>
          <w:lang w:val="en-US" w:eastAsia="zh-CN" w:bidi="ar"/>
        </w:rPr>
        <w:t>为了解本工程周边环境质量现状，本评价引用《福建东禾晟实业有限公司智能化高档纺织面料生产项目环境影响报告书》中委托福建九五检测技术服务有限公司于2021年6月16日~22日在产业园内非甲烷总烃的监测数据。另外，本项目委托福建九五检测技术服务有限公司</w:t>
      </w:r>
      <w:r>
        <w:rPr>
          <w:rFonts w:hint="eastAsia" w:ascii="Times New Roman" w:hAnsi="Times New Roman" w:eastAsia="宋体" w:cs="Times New Roman"/>
          <w:color w:val="000000"/>
          <w:spacing w:val="0"/>
          <w:w w:val="100"/>
          <w:kern w:val="0"/>
          <w:position w:val="0"/>
          <w:sz w:val="24"/>
          <w:szCs w:val="24"/>
          <w:lang w:val="en-US" w:eastAsia="zh-CN" w:bidi="ar"/>
        </w:rPr>
        <w:t>于2023年09月08日~2023年09月14日</w:t>
      </w:r>
      <w:r>
        <w:rPr>
          <w:rFonts w:hint="default" w:ascii="Times New Roman" w:hAnsi="Times New Roman" w:eastAsia="宋体" w:cs="Times New Roman"/>
          <w:color w:val="000000"/>
          <w:spacing w:val="0"/>
          <w:w w:val="100"/>
          <w:kern w:val="0"/>
          <w:position w:val="0"/>
          <w:sz w:val="24"/>
          <w:szCs w:val="24"/>
          <w:lang w:val="en-US" w:eastAsia="zh-CN" w:bidi="ar"/>
        </w:rPr>
        <w:t>对项目</w:t>
      </w:r>
      <w:r>
        <w:rPr>
          <w:rFonts w:hint="eastAsia" w:ascii="Times New Roman" w:hAnsi="Times New Roman" w:eastAsia="宋体" w:cs="Times New Roman"/>
          <w:color w:val="000000"/>
          <w:spacing w:val="0"/>
          <w:w w:val="100"/>
          <w:kern w:val="0"/>
          <w:position w:val="0"/>
          <w:sz w:val="24"/>
          <w:szCs w:val="24"/>
          <w:lang w:val="en-US" w:eastAsia="zh-CN" w:bidi="ar"/>
        </w:rPr>
        <w:t>下风向2.17km处的红厦小学补充监测非甲烷总烃</w:t>
      </w:r>
      <w:r>
        <w:rPr>
          <w:rFonts w:hint="default" w:ascii="Times New Roman" w:hAnsi="Times New Roman" w:eastAsia="宋体" w:cs="Times New Roman"/>
          <w:color w:val="000000"/>
          <w:spacing w:val="0"/>
          <w:w w:val="100"/>
          <w:kern w:val="0"/>
          <w:position w:val="0"/>
          <w:sz w:val="24"/>
          <w:szCs w:val="24"/>
          <w:lang w:val="en-US" w:eastAsia="zh-CN" w:bidi="ar"/>
        </w:rPr>
        <w:t>。大气环境现状监测点位见表4.2-5和图4.2-2。</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82" w:firstLineChars="200"/>
        <w:jc w:val="center"/>
        <w:textAlignment w:val="auto"/>
        <w:rPr>
          <w:rFonts w:hint="eastAsia" w:ascii="Times New Roman" w:hAnsi="Times New Roman" w:eastAsia="宋体"/>
          <w:b/>
          <w:bCs/>
          <w:spacing w:val="0"/>
          <w:w w:val="100"/>
          <w:position w:val="0"/>
          <w:sz w:val="24"/>
          <w:szCs w:val="24"/>
          <w:lang w:val="en-US" w:eastAsia="zh-CN"/>
        </w:rPr>
      </w:pPr>
      <w:r>
        <w:rPr>
          <w:rFonts w:hint="eastAsia" w:ascii="Times New Roman" w:hAnsi="Times New Roman" w:eastAsia="宋体"/>
          <w:b/>
          <w:bCs/>
          <w:spacing w:val="0"/>
          <w:w w:val="100"/>
          <w:position w:val="0"/>
          <w:sz w:val="24"/>
          <w:szCs w:val="24"/>
          <w:lang w:eastAsia="zh-CN"/>
        </w:rPr>
        <w:t>表</w:t>
      </w:r>
      <w:r>
        <w:rPr>
          <w:rFonts w:hint="eastAsia" w:ascii="Times New Roman" w:hAnsi="Times New Roman" w:eastAsia="宋体"/>
          <w:b/>
          <w:bCs/>
          <w:spacing w:val="0"/>
          <w:w w:val="100"/>
          <w:position w:val="0"/>
          <w:sz w:val="24"/>
          <w:szCs w:val="24"/>
          <w:lang w:val="en-US" w:eastAsia="zh-CN"/>
        </w:rPr>
        <w:t>4.2-5大气环境现状监测点位表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1779"/>
        <w:gridCol w:w="1779"/>
        <w:gridCol w:w="1779"/>
        <w:gridCol w:w="1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序号</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监测点位</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监测因子</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监测单位</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采样时间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G1</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产业园内</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非甲烷总烃</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default" w:ascii="Times New Roman" w:hAnsi="Times New Roman" w:eastAsia="宋体"/>
                <w:b w:val="0"/>
                <w:bCs w:val="0"/>
                <w:spacing w:val="0"/>
                <w:w w:val="100"/>
                <w:position w:val="0"/>
                <w:sz w:val="21"/>
                <w:szCs w:val="21"/>
                <w:vertAlign w:val="baseline"/>
                <w:lang w:val="en-US" w:eastAsia="zh-CN"/>
              </w:rPr>
              <w:t>福建九五检测技术服务有限公司</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default" w:ascii="Times New Roman" w:hAnsi="Times New Roman" w:eastAsia="宋体"/>
                <w:b w:val="0"/>
                <w:bCs w:val="0"/>
                <w:spacing w:val="0"/>
                <w:w w:val="100"/>
                <w:position w:val="0"/>
                <w:sz w:val="21"/>
                <w:szCs w:val="21"/>
                <w:vertAlign w:val="baseline"/>
                <w:lang w:val="en-US" w:eastAsia="zh-CN"/>
              </w:rPr>
              <w:t>2021年6月16日~22日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G2</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红厦小学</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eastAsia" w:ascii="Times New Roman" w:hAnsi="Times New Roman" w:eastAsia="宋体"/>
                <w:b w:val="0"/>
                <w:bCs w:val="0"/>
                <w:spacing w:val="0"/>
                <w:w w:val="100"/>
                <w:position w:val="0"/>
                <w:sz w:val="21"/>
                <w:szCs w:val="21"/>
                <w:vertAlign w:val="baseline"/>
                <w:lang w:val="en-US" w:eastAsia="zh-CN"/>
              </w:rPr>
              <w:t>非甲烷总烃</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default" w:ascii="Times New Roman" w:hAnsi="Times New Roman" w:eastAsia="宋体"/>
                <w:b w:val="0"/>
                <w:bCs w:val="0"/>
                <w:spacing w:val="0"/>
                <w:w w:val="100"/>
                <w:position w:val="0"/>
                <w:sz w:val="21"/>
                <w:szCs w:val="21"/>
                <w:vertAlign w:val="baseline"/>
                <w:lang w:val="en-US" w:eastAsia="zh-CN"/>
              </w:rPr>
              <w:t>福建九五检测技术服务有限公司</w:t>
            </w:r>
          </w:p>
        </w:tc>
        <w:tc>
          <w:tcPr>
            <w:tcW w:w="18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w w:val="100"/>
                <w:position w:val="0"/>
                <w:sz w:val="21"/>
                <w:szCs w:val="21"/>
                <w:vertAlign w:val="baseline"/>
                <w:lang w:val="en-US" w:eastAsia="zh-CN"/>
              </w:rPr>
            </w:pPr>
            <w:r>
              <w:rPr>
                <w:rFonts w:hint="default" w:ascii="Times New Roman" w:hAnsi="Times New Roman" w:eastAsia="宋体"/>
                <w:b w:val="0"/>
                <w:bCs w:val="0"/>
                <w:spacing w:val="0"/>
                <w:w w:val="100"/>
                <w:position w:val="0"/>
                <w:sz w:val="21"/>
                <w:szCs w:val="21"/>
                <w:vertAlign w:val="baseline"/>
                <w:lang w:val="en-US" w:eastAsia="zh-CN"/>
              </w:rPr>
              <w:t>2023年09月08日~09月14日</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spacing w:val="0"/>
          <w:w w:val="100"/>
          <w:kern w:val="0"/>
          <w:position w:val="0"/>
          <w:sz w:val="24"/>
          <w:szCs w:val="24"/>
          <w:lang w:val="en-US" w:eastAsia="zh-CN" w:bidi="ar"/>
        </w:rPr>
      </w:pPr>
      <w:r>
        <w:rPr>
          <w:rFonts w:hint="default" w:ascii="Times New Roman" w:hAnsi="Times New Roman" w:eastAsia="宋体" w:cs="Times New Roman"/>
          <w:b/>
          <w:bCs/>
          <w:color w:val="000000"/>
          <w:spacing w:val="0"/>
          <w:w w:val="100"/>
          <w:kern w:val="0"/>
          <w:position w:val="0"/>
          <w:sz w:val="24"/>
          <w:szCs w:val="24"/>
          <w:lang w:val="en-US" w:eastAsia="zh-CN" w:bidi="ar"/>
        </w:rPr>
        <w:t>图4.2-2大气环境现状监测点位</w:t>
      </w:r>
      <w:r>
        <w:rPr>
          <w:rFonts w:hint="eastAsia" w:cs="Times New Roman"/>
          <w:b/>
          <w:bCs/>
          <w:color w:val="000000"/>
          <w:spacing w:val="0"/>
          <w:w w:val="100"/>
          <w:kern w:val="0"/>
          <w:position w:val="0"/>
          <w:sz w:val="24"/>
          <w:szCs w:val="24"/>
          <w:lang w:val="en-US" w:eastAsia="zh-CN" w:bidi="ar"/>
        </w:rPr>
        <w:t>图</w:t>
      </w:r>
      <w:r>
        <w:rPr>
          <w:rFonts w:hint="eastAsia" w:cs="Times New Roman"/>
          <w:b/>
          <w:bCs/>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000000"/>
          <w:spacing w:val="0"/>
          <w:w w:val="100"/>
          <w:kern w:val="0"/>
          <w:position w:val="0"/>
          <w:sz w:val="24"/>
          <w:szCs w:val="24"/>
          <w:lang w:val="en-US" w:eastAsia="zh-CN" w:bidi="ar"/>
        </w:rPr>
      </w:pPr>
      <w:r>
        <w:rPr>
          <w:rFonts w:hint="eastAsia" w:ascii="Times New Roman" w:hAnsi="Times New Roman" w:eastAsia="宋体" w:cs="Times New Roman"/>
          <w:b w:val="0"/>
          <w:bCs w:val="0"/>
          <w:color w:val="000000"/>
          <w:spacing w:val="0"/>
          <w:w w:val="100"/>
          <w:kern w:val="0"/>
          <w:position w:val="0"/>
          <w:sz w:val="24"/>
          <w:szCs w:val="24"/>
          <w:lang w:val="en-US" w:eastAsia="zh-CN" w:bidi="ar"/>
        </w:rPr>
        <w:t>（2）监测方法</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pacing w:val="0"/>
          <w:w w:val="100"/>
          <w:position w:val="0"/>
          <w:sz w:val="24"/>
          <w:szCs w:val="24"/>
          <w:lang w:val="en-US" w:eastAsia="zh-CN"/>
        </w:rPr>
      </w:pPr>
      <w:r>
        <w:rPr>
          <w:rFonts w:hint="eastAsia" w:ascii="Times New Roman" w:hAnsi="Times New Roman" w:eastAsia="宋体" w:cs="Times New Roman"/>
          <w:b w:val="0"/>
          <w:bCs w:val="0"/>
          <w:spacing w:val="0"/>
          <w:w w:val="100"/>
          <w:position w:val="0"/>
          <w:sz w:val="24"/>
          <w:szCs w:val="24"/>
          <w:lang w:val="en-US" w:eastAsia="zh-CN"/>
        </w:rPr>
        <w:t>监测方法具体见表4.2-6。</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w w:val="100"/>
          <w:position w:val="0"/>
          <w:sz w:val="24"/>
          <w:szCs w:val="24"/>
          <w:lang w:val="en-US" w:eastAsia="zh-CN"/>
        </w:rPr>
      </w:pPr>
      <w:r>
        <w:rPr>
          <w:rFonts w:hint="eastAsia" w:ascii="Times New Roman" w:hAnsi="Times New Roman" w:eastAsia="宋体"/>
          <w:b/>
          <w:bCs/>
          <w:spacing w:val="0"/>
          <w:w w:val="100"/>
          <w:position w:val="0"/>
          <w:sz w:val="24"/>
          <w:szCs w:val="24"/>
          <w:lang w:eastAsia="zh-CN"/>
        </w:rPr>
        <w:t>表</w:t>
      </w:r>
      <w:r>
        <w:rPr>
          <w:rFonts w:hint="eastAsia" w:ascii="Times New Roman" w:hAnsi="Times New Roman" w:eastAsia="宋体"/>
          <w:b/>
          <w:bCs/>
          <w:spacing w:val="0"/>
          <w:w w:val="100"/>
          <w:position w:val="0"/>
          <w:sz w:val="24"/>
          <w:szCs w:val="24"/>
          <w:lang w:val="en-US" w:eastAsia="zh-CN"/>
        </w:rPr>
        <w:t>4.2-6环境空气监测分析方法一览表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2227"/>
        <w:gridCol w:w="2227"/>
        <w:gridCol w:w="22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检测项目</w:t>
            </w:r>
          </w:p>
        </w:tc>
        <w:tc>
          <w:tcPr>
            <w:tcW w:w="125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检测方法</w:t>
            </w:r>
          </w:p>
        </w:tc>
        <w:tc>
          <w:tcPr>
            <w:tcW w:w="125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检出限</w:t>
            </w:r>
          </w:p>
        </w:tc>
        <w:tc>
          <w:tcPr>
            <w:tcW w:w="125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检测仪器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非甲烷总烃</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rPr>
                <w:rFonts w:hint="default" w:ascii="Times New Roman" w:hAnsi="Times New Roman" w:eastAsia="宋体" w:cs="Times New Roman"/>
                <w:b w:val="0"/>
                <w:bCs w:val="0"/>
                <w:spacing w:val="0"/>
                <w:w w:val="100"/>
                <w:position w:val="0"/>
                <w:sz w:val="21"/>
                <w:szCs w:val="21"/>
                <w:vertAlign w:val="baseline"/>
                <w:lang w:val="en-US" w:eastAsia="zh-CN"/>
              </w:rPr>
            </w:pPr>
            <w:r>
              <w:rPr>
                <w:rFonts w:hint="default" w:ascii="Times New Roman" w:hAnsi="Times New Roman" w:eastAsia="宋体" w:cs="Times New Roman"/>
                <w:color w:val="000000"/>
                <w:spacing w:val="0"/>
                <w:w w:val="100"/>
                <w:kern w:val="0"/>
                <w:position w:val="0"/>
                <w:sz w:val="21"/>
                <w:szCs w:val="21"/>
                <w:lang w:val="en-US" w:eastAsia="zh-CN" w:bidi="ar"/>
              </w:rPr>
              <w:t>环境空气总烃、甲烷、非甲烷总烃的测定直接进样-气相色谱法HJ604-2017</w:t>
            </w:r>
          </w:p>
        </w:tc>
        <w:tc>
          <w:tcPr>
            <w:tcW w:w="125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superscript"/>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0.07mg/m</w:t>
            </w:r>
            <w:r>
              <w:rPr>
                <w:rFonts w:hint="eastAsia" w:cs="Times New Roman"/>
                <w:b w:val="0"/>
                <w:bCs w:val="0"/>
                <w:spacing w:val="0"/>
                <w:w w:val="100"/>
                <w:position w:val="0"/>
                <w:sz w:val="21"/>
                <w:szCs w:val="21"/>
                <w:vertAlign w:val="superscript"/>
                <w:lang w:val="en-US" w:eastAsia="zh-CN"/>
              </w:rPr>
              <w:t>3</w:t>
            </w:r>
          </w:p>
        </w:tc>
        <w:tc>
          <w:tcPr>
            <w:tcW w:w="125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default" w:ascii="Times New Roman" w:hAnsi="Times New Roman" w:eastAsia="宋体" w:cs="Times New Roman"/>
                <w:b w:val="0"/>
                <w:bCs w:val="0"/>
                <w:spacing w:val="0"/>
                <w:w w:val="100"/>
                <w:position w:val="0"/>
                <w:sz w:val="21"/>
                <w:szCs w:val="21"/>
                <w:vertAlign w:val="baseline"/>
                <w:lang w:val="en-US" w:eastAsia="zh-CN"/>
              </w:rPr>
              <w:t>A60型气相色谱仪</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default" w:ascii="Times New Roman" w:hAnsi="Times New Roman" w:eastAsia="宋体" w:cs="Times New Roman"/>
                <w:b w:val="0"/>
                <w:bCs w:val="0"/>
                <w:spacing w:val="0"/>
                <w:w w:val="100"/>
                <w:position w:val="0"/>
                <w:sz w:val="21"/>
                <w:szCs w:val="21"/>
                <w:vertAlign w:val="baseline"/>
                <w:lang w:val="en-US" w:eastAsia="zh-CN"/>
              </w:rPr>
              <w:t>（JW-S-41）</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spacing w:val="0"/>
          <w:w w:val="100"/>
          <w:position w:val="0"/>
          <w:sz w:val="24"/>
          <w:szCs w:val="24"/>
          <w:lang w:val="en-US" w:eastAsia="zh-CN"/>
        </w:rPr>
      </w:pPr>
      <w:r>
        <w:rPr>
          <w:rFonts w:hint="eastAsia" w:ascii="Times New Roman" w:hAnsi="Times New Roman" w:eastAsia="宋体" w:cs="Times New Roman"/>
          <w:b w:val="0"/>
          <w:bCs w:val="0"/>
          <w:spacing w:val="0"/>
          <w:w w:val="100"/>
          <w:kern w:val="2"/>
          <w:position w:val="0"/>
          <w:sz w:val="24"/>
          <w:szCs w:val="24"/>
          <w:lang w:val="en-US" w:eastAsia="zh-CN"/>
        </w:rPr>
        <w:t>（3）</w:t>
      </w:r>
      <w:r>
        <w:rPr>
          <w:rFonts w:hint="eastAsia" w:ascii="Times New Roman" w:hAnsi="Times New Roman" w:eastAsia="宋体" w:cs="Times New Roman"/>
          <w:b w:val="0"/>
          <w:bCs w:val="0"/>
          <w:spacing w:val="0"/>
          <w:w w:val="100"/>
          <w:position w:val="0"/>
          <w:sz w:val="24"/>
          <w:szCs w:val="24"/>
          <w:lang w:val="en-US" w:eastAsia="zh-CN"/>
        </w:rPr>
        <w:t>评价标准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宋体"/>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非甲烷总烃参照《大气污染物综合排放标准详解》推荐标准第</w:t>
      </w:r>
      <w:r>
        <w:rPr>
          <w:rFonts w:hint="default" w:ascii="Times New Roman" w:hAnsi="Times New Roman" w:eastAsia="宋体" w:cs="Times New Roman"/>
          <w:color w:val="000000"/>
          <w:spacing w:val="0"/>
          <w:w w:val="100"/>
          <w:kern w:val="0"/>
          <w:position w:val="0"/>
          <w:sz w:val="24"/>
          <w:szCs w:val="24"/>
          <w:lang w:val="en-US" w:eastAsia="zh-CN" w:bidi="ar"/>
        </w:rPr>
        <w:t>244</w:t>
      </w:r>
      <w:r>
        <w:rPr>
          <w:rFonts w:hint="eastAsia" w:ascii="Times New Roman" w:hAnsi="Times New Roman" w:eastAsia="宋体" w:cs="宋体"/>
          <w:color w:val="000000"/>
          <w:spacing w:val="0"/>
          <w:w w:val="100"/>
          <w:kern w:val="0"/>
          <w:position w:val="0"/>
          <w:sz w:val="24"/>
          <w:szCs w:val="24"/>
          <w:lang w:val="en-US" w:eastAsia="zh-CN" w:bidi="ar"/>
        </w:rPr>
        <w:t>页。</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宋体"/>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（4）评价方法</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宋体"/>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环境空气质量现状评价采用单项标准指数法，即：</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center"/>
        <w:textAlignment w:val="auto"/>
        <w:rPr>
          <w:rFonts w:hint="default" w:ascii="Times New Roman" w:hAnsi="Times New Roman" w:eastAsia="宋体" w:cs="Times New Roman"/>
          <w:i/>
          <w:iCs/>
          <w:color w:val="000000"/>
          <w:spacing w:val="0"/>
          <w:w w:val="100"/>
          <w:kern w:val="0"/>
          <w:position w:val="0"/>
          <w:sz w:val="24"/>
          <w:szCs w:val="24"/>
          <w:lang w:val="en-US" w:eastAsia="zh-CN" w:bidi="ar"/>
        </w:rPr>
      </w:pPr>
      <w:r>
        <w:rPr>
          <w:rFonts w:hint="default" w:ascii="Times New Roman" w:hAnsi="Times New Roman" w:eastAsia="宋体" w:cs="Times New Roman"/>
          <w:i/>
          <w:iCs/>
          <w:color w:val="000000"/>
          <w:spacing w:val="0"/>
          <w:w w:val="100"/>
          <w:kern w:val="0"/>
          <w:position w:val="0"/>
          <w:sz w:val="24"/>
          <w:szCs w:val="24"/>
          <w:lang w:val="en-US" w:eastAsia="zh-CN" w:bidi="ar"/>
        </w:rPr>
        <w:t>I</w:t>
      </w:r>
      <w:r>
        <w:rPr>
          <w:rFonts w:hint="default" w:ascii="Times New Roman" w:hAnsi="Times New Roman" w:eastAsia="宋体" w:cs="Times New Roman"/>
          <w:i/>
          <w:iCs/>
          <w:color w:val="000000"/>
          <w:spacing w:val="0"/>
          <w:w w:val="100"/>
          <w:kern w:val="0"/>
          <w:position w:val="0"/>
          <w:sz w:val="24"/>
          <w:szCs w:val="24"/>
          <w:vertAlign w:val="subscript"/>
          <w:lang w:val="en-US" w:eastAsia="zh-CN" w:bidi="ar"/>
        </w:rPr>
        <w:t>ij</w:t>
      </w:r>
      <w:r>
        <w:rPr>
          <w:rFonts w:hint="default" w:ascii="Times New Roman" w:hAnsi="Times New Roman" w:eastAsia="宋体" w:cs="Times New Roman"/>
          <w:i/>
          <w:iCs/>
          <w:color w:val="000000"/>
          <w:spacing w:val="0"/>
          <w:w w:val="100"/>
          <w:kern w:val="0"/>
          <w:position w:val="0"/>
          <w:sz w:val="24"/>
          <w:szCs w:val="24"/>
          <w:lang w:val="en-US" w:eastAsia="zh-CN" w:bidi="ar"/>
        </w:rPr>
        <w:t>=C</w:t>
      </w:r>
      <w:r>
        <w:rPr>
          <w:rFonts w:hint="default" w:ascii="Times New Roman" w:hAnsi="Times New Roman" w:eastAsia="宋体" w:cs="Times New Roman"/>
          <w:i/>
          <w:iCs/>
          <w:color w:val="000000"/>
          <w:spacing w:val="0"/>
          <w:w w:val="100"/>
          <w:kern w:val="0"/>
          <w:position w:val="0"/>
          <w:sz w:val="24"/>
          <w:szCs w:val="24"/>
          <w:vertAlign w:val="subscript"/>
          <w:lang w:val="en-US" w:eastAsia="zh-CN" w:bidi="ar"/>
        </w:rPr>
        <w:t>ij</w:t>
      </w:r>
      <w:r>
        <w:rPr>
          <w:rFonts w:hint="default" w:ascii="Times New Roman" w:hAnsi="Times New Roman" w:eastAsia="宋体" w:cs="Times New Roman"/>
          <w:i/>
          <w:iCs/>
          <w:color w:val="000000"/>
          <w:spacing w:val="0"/>
          <w:w w:val="100"/>
          <w:kern w:val="0"/>
          <w:position w:val="0"/>
          <w:sz w:val="24"/>
          <w:szCs w:val="24"/>
          <w:lang w:val="en-US" w:eastAsia="zh-CN" w:bidi="ar"/>
        </w:rPr>
        <w:t>/C</w:t>
      </w:r>
      <w:r>
        <w:rPr>
          <w:rFonts w:hint="default" w:ascii="Times New Roman" w:hAnsi="Times New Roman" w:eastAsia="宋体" w:cs="Times New Roman"/>
          <w:i/>
          <w:iCs/>
          <w:color w:val="000000"/>
          <w:spacing w:val="0"/>
          <w:w w:val="100"/>
          <w:kern w:val="0"/>
          <w:position w:val="0"/>
          <w:sz w:val="24"/>
          <w:szCs w:val="24"/>
          <w:vertAlign w:val="subscript"/>
          <w:lang w:val="en-US" w:eastAsia="zh-CN" w:bidi="ar"/>
        </w:rPr>
        <w:t>sj</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default" w:ascii="Times New Roman" w:hAnsi="Times New Roman" w:eastAsia="宋体" w:cs="Times New Roman"/>
          <w:color w:val="000000"/>
          <w:spacing w:val="0"/>
          <w:w w:val="100"/>
          <w:kern w:val="0"/>
          <w:position w:val="0"/>
          <w:sz w:val="24"/>
          <w:szCs w:val="24"/>
          <w:lang w:val="en-US" w:eastAsia="zh-CN" w:bidi="ar"/>
        </w:rPr>
        <w:t>式中：</w:t>
      </w:r>
      <w:r>
        <w:rPr>
          <w:rFonts w:hint="default" w:ascii="Times New Roman" w:hAnsi="Times New Roman" w:eastAsia="宋体" w:cs="Times New Roman"/>
          <w:i/>
          <w:iCs/>
          <w:color w:val="000000"/>
          <w:spacing w:val="0"/>
          <w:w w:val="100"/>
          <w:kern w:val="0"/>
          <w:position w:val="0"/>
          <w:sz w:val="24"/>
          <w:szCs w:val="24"/>
          <w:lang w:val="en-US" w:eastAsia="zh-CN" w:bidi="ar"/>
        </w:rPr>
        <w:t>I</w:t>
      </w:r>
      <w:r>
        <w:rPr>
          <w:rFonts w:hint="default" w:ascii="Times New Roman" w:hAnsi="Times New Roman" w:eastAsia="宋体" w:cs="Times New Roman"/>
          <w:i/>
          <w:iCs/>
          <w:color w:val="000000"/>
          <w:spacing w:val="0"/>
          <w:w w:val="100"/>
          <w:kern w:val="0"/>
          <w:position w:val="0"/>
          <w:sz w:val="24"/>
          <w:szCs w:val="24"/>
          <w:vertAlign w:val="subscript"/>
          <w:lang w:val="en-US" w:eastAsia="zh-CN" w:bidi="ar"/>
        </w:rPr>
        <w:t>ij</w:t>
      </w:r>
      <w:r>
        <w:rPr>
          <w:rFonts w:hint="default" w:ascii="Times New Roman" w:hAnsi="Times New Roman" w:eastAsia="宋体" w:cs="Times New Roman"/>
          <w:color w:val="000000"/>
          <w:spacing w:val="0"/>
          <w:w w:val="100"/>
          <w:kern w:val="0"/>
          <w:position w:val="0"/>
          <w:sz w:val="24"/>
          <w:szCs w:val="24"/>
          <w:lang w:val="en-US" w:eastAsia="zh-CN" w:bidi="ar"/>
        </w:rPr>
        <w:t>——第i种污染物在第j点的标准指数；</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1200" w:firstLineChars="500"/>
        <w:jc w:val="left"/>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default" w:ascii="Times New Roman" w:hAnsi="Times New Roman" w:eastAsia="宋体" w:cs="Times New Roman"/>
          <w:i/>
          <w:iCs/>
          <w:color w:val="000000"/>
          <w:spacing w:val="0"/>
          <w:w w:val="100"/>
          <w:kern w:val="0"/>
          <w:position w:val="0"/>
          <w:sz w:val="24"/>
          <w:szCs w:val="24"/>
          <w:lang w:val="en-US" w:eastAsia="zh-CN" w:bidi="ar"/>
        </w:rPr>
        <w:t>C</w:t>
      </w:r>
      <w:r>
        <w:rPr>
          <w:rFonts w:hint="default" w:ascii="Times New Roman" w:hAnsi="Times New Roman" w:eastAsia="宋体" w:cs="Times New Roman"/>
          <w:i/>
          <w:iCs/>
          <w:color w:val="000000"/>
          <w:spacing w:val="0"/>
          <w:w w:val="100"/>
          <w:kern w:val="0"/>
          <w:position w:val="0"/>
          <w:sz w:val="24"/>
          <w:szCs w:val="24"/>
          <w:vertAlign w:val="subscript"/>
          <w:lang w:val="en-US" w:eastAsia="zh-CN" w:bidi="ar"/>
        </w:rPr>
        <w:t>ij</w:t>
      </w:r>
      <w:r>
        <w:rPr>
          <w:rFonts w:hint="default" w:ascii="Times New Roman" w:hAnsi="Times New Roman" w:eastAsia="宋体" w:cs="Times New Roman"/>
          <w:color w:val="000000"/>
          <w:spacing w:val="0"/>
          <w:w w:val="100"/>
          <w:kern w:val="0"/>
          <w:position w:val="0"/>
          <w:sz w:val="24"/>
          <w:szCs w:val="24"/>
          <w:lang w:val="en-US" w:eastAsia="zh-CN" w:bidi="ar"/>
        </w:rPr>
        <w:t>——第i种污染物在第j点的监测值，mg/</w:t>
      </w:r>
      <w:r>
        <w:rPr>
          <w:rFonts w:hint="eastAsia" w:cs="宋体"/>
          <w:bCs/>
          <w:color w:val="000000"/>
          <w:spacing w:val="0"/>
          <w:position w:val="0"/>
        </w:rPr>
        <w:t>m</w:t>
      </w:r>
      <w:r>
        <w:rPr>
          <w:rFonts w:hint="eastAsia" w:cs="宋体"/>
          <w:bCs/>
          <w:color w:val="000000"/>
          <w:spacing w:val="0"/>
          <w:position w:val="0"/>
          <w:vertAlign w:val="superscript"/>
          <w:lang w:val="en-US" w:eastAsia="zh-CN"/>
        </w:rPr>
        <w:t>3</w:t>
      </w:r>
      <w:r>
        <w:rPr>
          <w:rFonts w:hint="default" w:ascii="Times New Roman" w:hAnsi="Times New Roman" w:eastAsia="宋体" w:cs="Times New Roman"/>
          <w:color w:val="000000"/>
          <w:spacing w:val="0"/>
          <w:w w:val="100"/>
          <w:kern w:val="0"/>
          <w:positio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1200" w:firstLineChars="500"/>
        <w:jc w:val="left"/>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default" w:ascii="Times New Roman" w:hAnsi="Times New Roman" w:eastAsia="宋体" w:cs="Times New Roman"/>
          <w:i/>
          <w:iCs/>
          <w:color w:val="000000"/>
          <w:spacing w:val="0"/>
          <w:w w:val="100"/>
          <w:kern w:val="0"/>
          <w:position w:val="0"/>
          <w:sz w:val="24"/>
          <w:szCs w:val="24"/>
          <w:lang w:val="en-US" w:eastAsia="zh-CN" w:bidi="ar"/>
        </w:rPr>
        <w:t>C</w:t>
      </w:r>
      <w:r>
        <w:rPr>
          <w:rFonts w:hint="eastAsia" w:cs="Times New Roman"/>
          <w:i/>
          <w:iCs/>
          <w:color w:val="000000"/>
          <w:spacing w:val="0"/>
          <w:w w:val="100"/>
          <w:kern w:val="0"/>
          <w:position w:val="0"/>
          <w:sz w:val="24"/>
          <w:szCs w:val="24"/>
          <w:vertAlign w:val="subscript"/>
          <w:lang w:val="en-US" w:eastAsia="zh-CN" w:bidi="ar"/>
        </w:rPr>
        <w:t>s</w:t>
      </w:r>
      <w:r>
        <w:rPr>
          <w:rFonts w:hint="default" w:ascii="Times New Roman" w:hAnsi="Times New Roman" w:eastAsia="宋体" w:cs="Times New Roman"/>
          <w:i/>
          <w:iCs/>
          <w:color w:val="000000"/>
          <w:spacing w:val="0"/>
          <w:w w:val="100"/>
          <w:kern w:val="0"/>
          <w:position w:val="0"/>
          <w:sz w:val="24"/>
          <w:szCs w:val="24"/>
          <w:vertAlign w:val="subscript"/>
          <w:lang w:val="en-US" w:eastAsia="zh-CN" w:bidi="ar"/>
        </w:rPr>
        <w:t>j</w:t>
      </w:r>
      <w:r>
        <w:rPr>
          <w:rFonts w:hint="default" w:ascii="Times New Roman" w:hAnsi="Times New Roman" w:eastAsia="宋体" w:cs="Times New Roman"/>
          <w:color w:val="000000"/>
          <w:spacing w:val="0"/>
          <w:w w:val="100"/>
          <w:kern w:val="0"/>
          <w:position w:val="0"/>
          <w:sz w:val="24"/>
          <w:szCs w:val="24"/>
          <w:lang w:val="en-US" w:eastAsia="zh-CN" w:bidi="ar"/>
        </w:rPr>
        <w:t>——第i种污染物的评价标准，mg/</w:t>
      </w:r>
      <w:r>
        <w:rPr>
          <w:rFonts w:hint="eastAsia" w:ascii="Times New Roman" w:hAnsi="Times New Roman" w:eastAsia="宋体" w:cs="Times New Roman"/>
          <w:color w:val="000000"/>
          <w:spacing w:val="0"/>
          <w:w w:val="100"/>
          <w:kern w:val="0"/>
          <w:position w:val="0"/>
          <w:sz w:val="24"/>
          <w:szCs w:val="24"/>
          <w:lang w:val="en-US" w:eastAsia="zh-CN" w:bidi="ar"/>
        </w:rPr>
        <w:t>m</w:t>
      </w:r>
      <w:r>
        <w:rPr>
          <w:rFonts w:hint="eastAsia" w:cs="Times New Roman"/>
          <w:color w:val="000000"/>
          <w:spacing w:val="0"/>
          <w:w w:val="100"/>
          <w:kern w:val="0"/>
          <w:position w:val="0"/>
          <w:sz w:val="24"/>
          <w:szCs w:val="24"/>
          <w:vertAlign w:val="superscript"/>
          <w:lang w:val="en-US" w:eastAsia="zh-CN" w:bidi="ar"/>
        </w:rPr>
        <w:t>3</w:t>
      </w:r>
      <w:r>
        <w:rPr>
          <w:rFonts w:hint="default" w:ascii="Times New Roman" w:hAnsi="Times New Roman" w:eastAsia="宋体" w:cs="Times New Roman"/>
          <w:color w:val="000000"/>
          <w:spacing w:val="0"/>
          <w:w w:val="100"/>
          <w:kern w:val="0"/>
          <w:positio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宋体"/>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（5）监测结果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环境空气监测结果见表</w:t>
      </w:r>
      <w:r>
        <w:rPr>
          <w:rFonts w:hint="default" w:ascii="Times New Roman" w:hAnsi="Times New Roman" w:eastAsia="宋体" w:cs="Times New Roman"/>
          <w:color w:val="000000"/>
          <w:spacing w:val="0"/>
          <w:w w:val="100"/>
          <w:kern w:val="0"/>
          <w:position w:val="0"/>
          <w:sz w:val="24"/>
          <w:szCs w:val="24"/>
          <w:lang w:val="en-US" w:eastAsia="zh-CN" w:bidi="ar"/>
        </w:rPr>
        <w:t>4.2-7。</w:t>
      </w:r>
      <w:r>
        <w:rPr>
          <w:rFonts w:hint="eastAsia" w:cs="Times New Roman"/>
          <w:b w:val="0"/>
          <w:bCs w:val="0"/>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spacing w:val="0"/>
          <w:w w:val="100"/>
          <w:position w:val="0"/>
          <w:sz w:val="24"/>
          <w:szCs w:val="24"/>
          <w:lang w:val="en-US" w:eastAsia="zh-CN"/>
        </w:rPr>
        <w:t>现状监测结果表明，非甲烷总烃符合《大气污染物综合排放标准详解》，总体来说评价区环境空气质量较好。</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w:t>
      </w:r>
      <w:r>
        <w:rPr>
          <w:rFonts w:hint="eastAsia" w:ascii="Times New Roman" w:hAnsi="Times New Roman" w:eastAsia="宋体" w:cs="Times New Roman"/>
          <w:b/>
          <w:bCs/>
          <w:spacing w:val="0"/>
          <w:w w:val="100"/>
          <w:position w:val="0"/>
          <w:sz w:val="28"/>
          <w:szCs w:val="28"/>
          <w:lang w:val="en-US" w:eastAsia="zh-CN"/>
        </w:rPr>
        <w:t>2</w:t>
      </w:r>
      <w:r>
        <w:rPr>
          <w:rFonts w:hint="default" w:ascii="Times New Roman" w:hAnsi="Times New Roman" w:eastAsia="宋体" w:cs="Times New Roman"/>
          <w:b/>
          <w:bCs/>
          <w:spacing w:val="0"/>
          <w:w w:val="100"/>
          <w:position w:val="0"/>
          <w:sz w:val="28"/>
          <w:szCs w:val="28"/>
          <w:lang w:val="en-US" w:eastAsia="zh-CN"/>
        </w:rPr>
        <w:t>.</w:t>
      </w:r>
      <w:r>
        <w:rPr>
          <w:rFonts w:hint="eastAsia" w:ascii="Times New Roman" w:hAnsi="Times New Roman" w:eastAsia="宋体" w:cs="Times New Roman"/>
          <w:b/>
          <w:bCs/>
          <w:spacing w:val="0"/>
          <w:w w:val="100"/>
          <w:position w:val="0"/>
          <w:sz w:val="28"/>
          <w:szCs w:val="28"/>
          <w:lang w:val="en-US" w:eastAsia="zh-CN"/>
        </w:rPr>
        <w:t>4声环境质量现状调查与评价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outlineLvl w:val="3"/>
        <w:rPr>
          <w:rFonts w:hint="eastAsia" w:ascii="Times New Roman" w:hAnsi="Times New Roman" w:eastAsia="宋体" w:cs="Times New Roman"/>
          <w:b/>
          <w:bCs/>
          <w:color w:val="000000"/>
          <w:spacing w:val="0"/>
          <w:w w:val="100"/>
          <w:kern w:val="0"/>
          <w:position w:val="0"/>
          <w:sz w:val="24"/>
          <w:szCs w:val="24"/>
          <w:lang w:val="en-US" w:eastAsia="zh-CN" w:bidi="ar"/>
        </w:rPr>
      </w:pPr>
      <w:r>
        <w:rPr>
          <w:rFonts w:hint="default" w:ascii="Times New Roman" w:hAnsi="Times New Roman" w:eastAsia="宋体" w:cs="Times New Roman"/>
          <w:b/>
          <w:bCs/>
          <w:color w:val="000000"/>
          <w:spacing w:val="0"/>
          <w:w w:val="100"/>
          <w:kern w:val="0"/>
          <w:position w:val="0"/>
          <w:sz w:val="24"/>
          <w:szCs w:val="24"/>
          <w:lang w:val="en-US" w:eastAsia="zh-CN" w:bidi="ar"/>
        </w:rPr>
        <w:fldChar w:fldCharType="begin"/>
      </w:r>
      <w:r>
        <w:rPr>
          <w:rFonts w:hint="default" w:ascii="Times New Roman" w:hAnsi="Times New Roman" w:eastAsia="宋体" w:cs="Times New Roman"/>
          <w:b/>
          <w:bCs/>
          <w:color w:val="000000"/>
          <w:spacing w:val="0"/>
          <w:w w:val="100"/>
          <w:kern w:val="0"/>
          <w:position w:val="0"/>
          <w:sz w:val="24"/>
          <w:szCs w:val="24"/>
          <w:lang w:val="en-US" w:eastAsia="zh-CN" w:bidi="ar"/>
        </w:rPr>
        <w:instrText xml:space="preserve"> HYPERLINK "4.2.4.1" </w:instrText>
      </w:r>
      <w:r>
        <w:rPr>
          <w:rFonts w:hint="default" w:ascii="Times New Roman" w:hAnsi="Times New Roman" w:eastAsia="宋体" w:cs="Times New Roman"/>
          <w:b/>
          <w:bCs/>
          <w:color w:val="000000"/>
          <w:spacing w:val="0"/>
          <w:w w:val="100"/>
          <w:kern w:val="0"/>
          <w:position w:val="0"/>
          <w:sz w:val="24"/>
          <w:szCs w:val="24"/>
          <w:lang w:val="en-US" w:eastAsia="zh-CN" w:bidi="ar"/>
        </w:rPr>
        <w:fldChar w:fldCharType="separate"/>
      </w:r>
      <w:r>
        <w:rPr>
          <w:rFonts w:hint="default" w:ascii="Times New Roman" w:hAnsi="Times New Roman" w:eastAsia="宋体" w:cs="Times New Roman"/>
          <w:b/>
          <w:bCs/>
          <w:color w:val="000000"/>
          <w:spacing w:val="0"/>
          <w:w w:val="100"/>
          <w:kern w:val="0"/>
          <w:position w:val="0"/>
          <w:sz w:val="24"/>
          <w:szCs w:val="24"/>
          <w:lang w:val="en-US" w:eastAsia="zh-CN" w:bidi="ar"/>
        </w:rPr>
        <w:t>4.2.4.1</w:t>
      </w:r>
      <w:r>
        <w:rPr>
          <w:rFonts w:hint="default" w:ascii="Times New Roman" w:hAnsi="Times New Roman" w:eastAsia="宋体" w:cs="Times New Roman"/>
          <w:b/>
          <w:bCs/>
          <w:color w:val="000000"/>
          <w:spacing w:val="0"/>
          <w:w w:val="100"/>
          <w:kern w:val="0"/>
          <w:position w:val="0"/>
          <w:sz w:val="24"/>
          <w:szCs w:val="24"/>
          <w:lang w:val="en-US" w:eastAsia="zh-CN" w:bidi="ar"/>
        </w:rPr>
        <w:fldChar w:fldCharType="end"/>
      </w:r>
      <w:r>
        <w:rPr>
          <w:rFonts w:hint="default" w:ascii="Times New Roman" w:hAnsi="Times New Roman" w:eastAsia="宋体" w:cs="Times New Roman"/>
          <w:b/>
          <w:bCs/>
          <w:color w:val="000000"/>
          <w:spacing w:val="0"/>
          <w:w w:val="100"/>
          <w:kern w:val="0"/>
          <w:position w:val="0"/>
          <w:sz w:val="24"/>
          <w:szCs w:val="24"/>
          <w:lang w:val="en-US" w:eastAsia="zh-CN" w:bidi="ar"/>
        </w:rPr>
        <w:t>声环境监测点位</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spacing w:val="0"/>
          <w:w w:val="100"/>
          <w:position w:val="0"/>
          <w:sz w:val="24"/>
          <w:szCs w:val="24"/>
          <w:lang w:val="en-US"/>
        </w:rPr>
      </w:pPr>
      <w:r>
        <w:rPr>
          <w:rFonts w:hint="eastAsia" w:cs="Times New Roman"/>
          <w:spacing w:val="0"/>
          <w:w w:val="100"/>
          <w:position w:val="0"/>
          <w:sz w:val="24"/>
          <w:szCs w:val="24"/>
          <w:lang w:val="en-US" w:eastAsia="zh-CN"/>
        </w:rPr>
        <w:t>建设单位</w:t>
      </w:r>
      <w:r>
        <w:rPr>
          <w:rFonts w:hint="default" w:ascii="Times New Roman" w:hAnsi="Times New Roman" w:eastAsia="宋体" w:cs="Times New Roman"/>
          <w:spacing w:val="0"/>
          <w:w w:val="100"/>
          <w:position w:val="0"/>
          <w:sz w:val="24"/>
          <w:szCs w:val="24"/>
        </w:rPr>
        <w:t>委托</w:t>
      </w:r>
      <w:r>
        <w:rPr>
          <w:rFonts w:hint="default" w:ascii="Times New Roman" w:hAnsi="Times New Roman" w:eastAsia="宋体" w:cs="Times New Roman"/>
          <w:spacing w:val="0"/>
          <w:w w:val="100"/>
          <w:position w:val="0"/>
          <w:sz w:val="24"/>
          <w:szCs w:val="24"/>
          <w:lang w:eastAsia="zh-CN"/>
        </w:rPr>
        <w:t>福建九五</w:t>
      </w:r>
      <w:r>
        <w:rPr>
          <w:rFonts w:hint="default" w:ascii="Times New Roman" w:hAnsi="Times New Roman" w:eastAsia="宋体" w:cs="Times New Roman"/>
          <w:spacing w:val="0"/>
          <w:w w:val="100"/>
          <w:position w:val="0"/>
          <w:sz w:val="24"/>
          <w:szCs w:val="24"/>
        </w:rPr>
        <w:t>检测</w:t>
      </w:r>
      <w:r>
        <w:rPr>
          <w:rFonts w:hint="default" w:ascii="Times New Roman" w:hAnsi="Times New Roman" w:eastAsia="宋体" w:cs="Times New Roman"/>
          <w:spacing w:val="0"/>
          <w:w w:val="100"/>
          <w:position w:val="0"/>
          <w:sz w:val="24"/>
          <w:szCs w:val="24"/>
          <w:lang w:eastAsia="zh-CN"/>
        </w:rPr>
        <w:t>技术服务</w:t>
      </w:r>
      <w:r>
        <w:rPr>
          <w:rFonts w:hint="default" w:ascii="Times New Roman" w:hAnsi="Times New Roman" w:eastAsia="宋体" w:cs="Times New Roman"/>
          <w:spacing w:val="0"/>
          <w:w w:val="100"/>
          <w:position w:val="0"/>
          <w:sz w:val="24"/>
          <w:szCs w:val="24"/>
        </w:rPr>
        <w:t>有限公司于</w:t>
      </w:r>
      <w:r>
        <w:rPr>
          <w:rFonts w:hint="default" w:ascii="Times New Roman" w:hAnsi="Times New Roman" w:eastAsia="宋体" w:cs="Times New Roman"/>
          <w:spacing w:val="0"/>
          <w:w w:val="100"/>
          <w:position w:val="0"/>
          <w:sz w:val="24"/>
          <w:szCs w:val="24"/>
          <w:lang w:val="en-US" w:eastAsia="zh-CN"/>
        </w:rPr>
        <w:t>2023年09月08日</w:t>
      </w:r>
      <w:r>
        <w:rPr>
          <w:rFonts w:hint="default" w:ascii="Times New Roman" w:hAnsi="Times New Roman" w:eastAsia="宋体" w:cs="Times New Roman"/>
          <w:spacing w:val="0"/>
          <w:w w:val="100"/>
          <w:position w:val="0"/>
          <w:sz w:val="24"/>
          <w:szCs w:val="24"/>
        </w:rPr>
        <w:t>在项目四周厂界布点进行噪声</w:t>
      </w:r>
      <w:r>
        <w:rPr>
          <w:rFonts w:hint="default" w:ascii="Times New Roman" w:hAnsi="Times New Roman" w:eastAsia="宋体" w:cs="Times New Roman"/>
          <w:spacing w:val="0"/>
          <w:w w:val="100"/>
          <w:position w:val="0"/>
          <w:sz w:val="24"/>
          <w:szCs w:val="24"/>
          <w:lang w:eastAsia="zh-CN"/>
        </w:rPr>
        <w:t>监测，噪声监测点位见表</w:t>
      </w:r>
      <w:r>
        <w:rPr>
          <w:rFonts w:hint="default" w:ascii="Times New Roman" w:hAnsi="Times New Roman" w:eastAsia="宋体" w:cs="Times New Roman"/>
          <w:spacing w:val="0"/>
          <w:w w:val="100"/>
          <w:position w:val="0"/>
          <w:sz w:val="24"/>
          <w:szCs w:val="24"/>
          <w:lang w:val="en-US" w:eastAsia="zh-CN"/>
        </w:rPr>
        <w:t>4.2-</w:t>
      </w:r>
      <w:r>
        <w:rPr>
          <w:rFonts w:hint="eastAsia" w:cs="Times New Roman"/>
          <w:spacing w:val="0"/>
          <w:w w:val="100"/>
          <w:position w:val="0"/>
          <w:sz w:val="24"/>
          <w:szCs w:val="24"/>
          <w:lang w:val="en-US" w:eastAsia="zh-CN"/>
        </w:rPr>
        <w:t>11及图4.2-3。</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表4.2-11声环境现状监测点</w:t>
      </w:r>
    </w:p>
    <w:p>
      <w:pPr>
        <w:keepNext w:val="0"/>
        <w:keepLines w:val="0"/>
        <w:pageBreakBefore w:val="0"/>
        <w:widowControl/>
        <w:kinsoku/>
        <w:wordWrap/>
        <w:overflowPunct/>
        <w:topLinePunct w:val="0"/>
        <w:autoSpaceDE/>
        <w:autoSpaceDN/>
        <w:bidi w:val="0"/>
        <w:adjustRightInd w:val="0"/>
        <w:snapToGrid w:val="0"/>
        <w:spacing w:line="64" w:lineRule="exact"/>
        <w:rPr>
          <w:rFonts w:ascii="Times New Roman" w:hAnsi="Times New Roman" w:eastAsia="宋体"/>
          <w:spacing w:val="0"/>
          <w:w w:val="100"/>
          <w:position w:val="0"/>
        </w:rPr>
      </w:pP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1676"/>
        <w:gridCol w:w="2534"/>
        <w:gridCol w:w="1887"/>
        <w:gridCol w:w="25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17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编号</w:t>
            </w:r>
          </w:p>
        </w:tc>
        <w:tc>
          <w:tcPr>
            <w:tcW w:w="26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监测点位</w:t>
            </w:r>
          </w:p>
        </w:tc>
        <w:tc>
          <w:tcPr>
            <w:tcW w:w="19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功能类别</w:t>
            </w:r>
          </w:p>
        </w:tc>
        <w:tc>
          <w:tcPr>
            <w:tcW w:w="272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声环境功能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90" w:hRule="atLeast"/>
          <w:jc w:val="center"/>
        </w:trPr>
        <w:tc>
          <w:tcPr>
            <w:tcW w:w="17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N1</w:t>
            </w:r>
          </w:p>
        </w:tc>
        <w:tc>
          <w:tcPr>
            <w:tcW w:w="26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w:t>
            </w:r>
            <w:r>
              <w:rPr>
                <w:rFonts w:hint="default" w:ascii="Times New Roman" w:hAnsi="Times New Roman" w:eastAsia="宋体" w:cs="Times New Roman"/>
                <w:spacing w:val="0"/>
                <w:w w:val="100"/>
                <w:position w:val="0"/>
                <w:sz w:val="21"/>
                <w:szCs w:val="21"/>
                <w:lang w:eastAsia="zh-CN"/>
              </w:rPr>
              <w:t>东北侧</w:t>
            </w:r>
            <w:r>
              <w:rPr>
                <w:rFonts w:hint="default" w:ascii="Times New Roman" w:hAnsi="Times New Roman" w:eastAsia="宋体" w:cs="Times New Roman"/>
                <w:spacing w:val="0"/>
                <w:w w:val="100"/>
                <w:position w:val="0"/>
                <w:sz w:val="21"/>
                <w:szCs w:val="21"/>
              </w:rPr>
              <w:t>厂界</w:t>
            </w:r>
          </w:p>
        </w:tc>
        <w:tc>
          <w:tcPr>
            <w:tcW w:w="198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规划工业片区</w:t>
            </w:r>
          </w:p>
        </w:tc>
        <w:tc>
          <w:tcPr>
            <w:tcW w:w="272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《声环境质量标准》（GB3096-2008）3类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90" w:hRule="atLeast"/>
          <w:jc w:val="center"/>
        </w:trPr>
        <w:tc>
          <w:tcPr>
            <w:tcW w:w="17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N2</w:t>
            </w:r>
          </w:p>
        </w:tc>
        <w:tc>
          <w:tcPr>
            <w:tcW w:w="26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w:t>
            </w:r>
            <w:r>
              <w:rPr>
                <w:rFonts w:hint="eastAsia" w:ascii="Times New Roman" w:hAnsi="Times New Roman" w:eastAsia="宋体" w:cs="Times New Roman"/>
                <w:spacing w:val="0"/>
                <w:w w:val="100"/>
                <w:position w:val="0"/>
                <w:sz w:val="21"/>
                <w:szCs w:val="21"/>
                <w:lang w:eastAsia="zh-CN"/>
              </w:rPr>
              <w:t>东南侧</w:t>
            </w:r>
            <w:r>
              <w:rPr>
                <w:rFonts w:hint="default" w:ascii="Times New Roman" w:hAnsi="Times New Roman" w:eastAsia="宋体" w:cs="Times New Roman"/>
                <w:spacing w:val="0"/>
                <w:w w:val="100"/>
                <w:position w:val="0"/>
                <w:sz w:val="21"/>
                <w:szCs w:val="21"/>
              </w:rPr>
              <w:t>厂界</w:t>
            </w:r>
          </w:p>
        </w:tc>
        <w:tc>
          <w:tcPr>
            <w:tcW w:w="19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72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90" w:hRule="atLeast"/>
          <w:jc w:val="center"/>
        </w:trPr>
        <w:tc>
          <w:tcPr>
            <w:tcW w:w="17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N3</w:t>
            </w:r>
          </w:p>
        </w:tc>
        <w:tc>
          <w:tcPr>
            <w:tcW w:w="26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w:t>
            </w:r>
            <w:r>
              <w:rPr>
                <w:rFonts w:hint="eastAsia" w:ascii="Times New Roman" w:hAnsi="Times New Roman" w:eastAsia="宋体" w:cs="Times New Roman"/>
                <w:spacing w:val="0"/>
                <w:w w:val="100"/>
                <w:position w:val="0"/>
                <w:sz w:val="21"/>
                <w:szCs w:val="21"/>
                <w:lang w:eastAsia="zh-CN"/>
              </w:rPr>
              <w:t>西南侧</w:t>
            </w:r>
            <w:r>
              <w:rPr>
                <w:rFonts w:hint="default" w:ascii="Times New Roman" w:hAnsi="Times New Roman" w:eastAsia="宋体" w:cs="Times New Roman"/>
                <w:spacing w:val="0"/>
                <w:w w:val="100"/>
                <w:position w:val="0"/>
                <w:sz w:val="21"/>
                <w:szCs w:val="21"/>
              </w:rPr>
              <w:t>厂界</w:t>
            </w:r>
          </w:p>
        </w:tc>
        <w:tc>
          <w:tcPr>
            <w:tcW w:w="19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72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90" w:hRule="atLeast"/>
          <w:jc w:val="center"/>
        </w:trPr>
        <w:tc>
          <w:tcPr>
            <w:tcW w:w="17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N4</w:t>
            </w:r>
          </w:p>
        </w:tc>
        <w:tc>
          <w:tcPr>
            <w:tcW w:w="26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w:t>
            </w:r>
            <w:r>
              <w:rPr>
                <w:rFonts w:hint="eastAsia" w:ascii="Times New Roman" w:hAnsi="Times New Roman" w:eastAsia="宋体" w:cs="Times New Roman"/>
                <w:spacing w:val="0"/>
                <w:w w:val="100"/>
                <w:position w:val="0"/>
                <w:sz w:val="21"/>
                <w:szCs w:val="21"/>
                <w:lang w:eastAsia="zh-CN"/>
              </w:rPr>
              <w:t>北侧</w:t>
            </w:r>
            <w:r>
              <w:rPr>
                <w:rFonts w:hint="default" w:ascii="Times New Roman" w:hAnsi="Times New Roman" w:eastAsia="宋体" w:cs="Times New Roman"/>
                <w:spacing w:val="0"/>
                <w:w w:val="100"/>
                <w:position w:val="0"/>
                <w:sz w:val="21"/>
                <w:szCs w:val="21"/>
              </w:rPr>
              <w:t>厂界</w:t>
            </w:r>
          </w:p>
        </w:tc>
        <w:tc>
          <w:tcPr>
            <w:tcW w:w="19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72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spacing w:val="0"/>
          <w:w w:val="100"/>
          <w:kern w:val="0"/>
          <w:position w:val="0"/>
          <w:sz w:val="24"/>
          <w:szCs w:val="24"/>
          <w:lang w:val="en-US" w:eastAsia="zh-CN" w:bidi="ar"/>
        </w:rPr>
      </w:pPr>
      <w:r>
        <w:rPr>
          <w:rFonts w:hint="default" w:ascii="Times New Roman" w:hAnsi="Times New Roman" w:eastAsia="宋体" w:cs="Times New Roman"/>
          <w:b/>
          <w:bCs/>
          <w:color w:val="000000"/>
          <w:spacing w:val="0"/>
          <w:w w:val="100"/>
          <w:kern w:val="0"/>
          <w:position w:val="0"/>
          <w:sz w:val="24"/>
          <w:szCs w:val="24"/>
          <w:lang w:val="en-US" w:eastAsia="zh-CN" w:bidi="ar"/>
        </w:rPr>
        <w:t>图4.2-</w:t>
      </w:r>
      <w:r>
        <w:rPr>
          <w:rFonts w:hint="eastAsia" w:cs="Times New Roman"/>
          <w:b/>
          <w:bCs/>
          <w:color w:val="000000"/>
          <w:spacing w:val="0"/>
          <w:w w:val="100"/>
          <w:kern w:val="0"/>
          <w:position w:val="0"/>
          <w:sz w:val="24"/>
          <w:szCs w:val="24"/>
          <w:lang w:val="en-US" w:eastAsia="zh-CN" w:bidi="ar"/>
        </w:rPr>
        <w:t>3声环境</w:t>
      </w:r>
      <w:r>
        <w:rPr>
          <w:rFonts w:hint="default" w:ascii="Times New Roman" w:hAnsi="Times New Roman" w:eastAsia="宋体" w:cs="Times New Roman"/>
          <w:b/>
          <w:bCs/>
          <w:color w:val="000000"/>
          <w:spacing w:val="0"/>
          <w:w w:val="100"/>
          <w:kern w:val="0"/>
          <w:position w:val="0"/>
          <w:sz w:val="24"/>
          <w:szCs w:val="24"/>
          <w:lang w:val="en-US" w:eastAsia="zh-CN" w:bidi="ar"/>
        </w:rPr>
        <w:t>现状监测点位</w:t>
      </w:r>
      <w:r>
        <w:rPr>
          <w:rFonts w:hint="eastAsia" w:cs="Times New Roman"/>
          <w:b/>
          <w:bCs/>
          <w:color w:val="000000"/>
          <w:spacing w:val="0"/>
          <w:w w:val="100"/>
          <w:kern w:val="0"/>
          <w:position w:val="0"/>
          <w:sz w:val="24"/>
          <w:szCs w:val="24"/>
          <w:lang w:val="en-US" w:eastAsia="zh-CN" w:bidi="ar"/>
        </w:rPr>
        <w:t>图</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left="0" w:firstLine="0"/>
        <w:textAlignment w:val="auto"/>
        <w:outlineLvl w:val="3"/>
        <w:rPr>
          <w:rFonts w:ascii="Times New Roman" w:hAnsi="Times New Roman" w:eastAsia="宋体" w:cs="黑体"/>
          <w:spacing w:val="0"/>
          <w:w w:val="100"/>
          <w:position w:val="0"/>
          <w:sz w:val="24"/>
          <w:szCs w:val="24"/>
        </w:rPr>
      </w:pPr>
      <w:r>
        <w:rPr>
          <w:rFonts w:hint="default" w:ascii="Times New Roman" w:hAnsi="Times New Roman" w:eastAsia="宋体" w:cs="Times New Roman"/>
          <w:b/>
          <w:bCs/>
          <w:color w:val="000000"/>
          <w:spacing w:val="0"/>
          <w:w w:val="100"/>
          <w:kern w:val="0"/>
          <w:position w:val="0"/>
          <w:sz w:val="24"/>
          <w:szCs w:val="24"/>
          <w:lang w:val="en-US" w:eastAsia="zh-CN" w:bidi="ar"/>
        </w:rPr>
        <w:fldChar w:fldCharType="begin"/>
      </w:r>
      <w:r>
        <w:rPr>
          <w:rFonts w:hint="default" w:ascii="Times New Roman" w:hAnsi="Times New Roman" w:eastAsia="宋体" w:cs="Times New Roman"/>
          <w:b/>
          <w:bCs/>
          <w:color w:val="000000"/>
          <w:spacing w:val="0"/>
          <w:w w:val="100"/>
          <w:kern w:val="0"/>
          <w:position w:val="0"/>
          <w:sz w:val="24"/>
          <w:szCs w:val="24"/>
          <w:lang w:val="en-US" w:eastAsia="zh-CN" w:bidi="ar"/>
        </w:rPr>
        <w:instrText xml:space="preserve"> HYPERLINK "4.2.4.2" </w:instrText>
      </w:r>
      <w:r>
        <w:rPr>
          <w:rFonts w:hint="default" w:ascii="Times New Roman" w:hAnsi="Times New Roman" w:eastAsia="宋体" w:cs="Times New Roman"/>
          <w:b/>
          <w:bCs/>
          <w:color w:val="000000"/>
          <w:spacing w:val="0"/>
          <w:w w:val="100"/>
          <w:kern w:val="0"/>
          <w:position w:val="0"/>
          <w:sz w:val="24"/>
          <w:szCs w:val="24"/>
          <w:lang w:val="en-US" w:eastAsia="zh-CN" w:bidi="ar"/>
        </w:rPr>
        <w:fldChar w:fldCharType="separate"/>
      </w:r>
      <w:r>
        <w:rPr>
          <w:rFonts w:hint="default" w:ascii="Times New Roman" w:hAnsi="Times New Roman" w:eastAsia="宋体" w:cs="Times New Roman"/>
          <w:b/>
          <w:bCs/>
          <w:color w:val="000000"/>
          <w:spacing w:val="0"/>
          <w:w w:val="100"/>
          <w:kern w:val="0"/>
          <w:position w:val="0"/>
          <w:sz w:val="24"/>
          <w:szCs w:val="24"/>
          <w:lang w:val="en-US" w:eastAsia="zh-CN" w:bidi="ar"/>
        </w:rPr>
        <w:t>4.2.4.2</w:t>
      </w:r>
      <w:r>
        <w:rPr>
          <w:rFonts w:hint="default" w:ascii="Times New Roman" w:hAnsi="Times New Roman" w:eastAsia="宋体" w:cs="Times New Roman"/>
          <w:b/>
          <w:bCs/>
          <w:color w:val="000000"/>
          <w:spacing w:val="0"/>
          <w:w w:val="100"/>
          <w:kern w:val="0"/>
          <w:position w:val="0"/>
          <w:sz w:val="24"/>
          <w:szCs w:val="24"/>
          <w:lang w:val="en-US" w:eastAsia="zh-CN" w:bidi="ar"/>
        </w:rPr>
        <w:fldChar w:fldCharType="end"/>
      </w:r>
      <w:r>
        <w:rPr>
          <w:rFonts w:hint="default" w:ascii="Times New Roman" w:hAnsi="Times New Roman" w:eastAsia="宋体" w:cs="Times New Roman"/>
          <w:b/>
          <w:bCs/>
          <w:color w:val="000000"/>
          <w:spacing w:val="0"/>
          <w:w w:val="100"/>
          <w:kern w:val="0"/>
          <w:position w:val="0"/>
          <w:sz w:val="24"/>
          <w:szCs w:val="24"/>
          <w:lang w:val="en-US" w:eastAsia="zh-CN" w:bidi="ar"/>
        </w:rPr>
        <w:t>声环境监测结果及评价</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现状噪声监测结果见表</w:t>
      </w:r>
      <w:r>
        <w:rPr>
          <w:rFonts w:ascii="Times New Roman" w:hAnsi="Times New Roman" w:eastAsia="宋体" w:cs="Times New Roman"/>
          <w:spacing w:val="0"/>
          <w:w w:val="100"/>
          <w:position w:val="0"/>
          <w:sz w:val="24"/>
          <w:szCs w:val="24"/>
        </w:rPr>
        <w:t>4.2-12</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黑体"/>
          <w:spacing w:val="0"/>
          <w:w w:val="100"/>
          <w:position w:val="0"/>
          <w:sz w:val="24"/>
          <w:szCs w:val="24"/>
        </w:rPr>
      </w:pPr>
      <w:r>
        <w:rPr>
          <w:rFonts w:hint="default" w:ascii="Times New Roman" w:hAnsi="Times New Roman" w:eastAsia="宋体" w:cs="Times New Roman"/>
          <w:b/>
          <w:bCs/>
          <w:spacing w:val="0"/>
          <w:w w:val="100"/>
          <w:position w:val="0"/>
          <w:sz w:val="24"/>
          <w:szCs w:val="24"/>
        </w:rPr>
        <w:t>表4.2-1</w:t>
      </w:r>
      <w:r>
        <w:rPr>
          <w:rFonts w:hint="eastAsia" w:cs="Times New Roman"/>
          <w:b/>
          <w:bCs/>
          <w:spacing w:val="0"/>
          <w:w w:val="100"/>
          <w:position w:val="0"/>
          <w:sz w:val="24"/>
          <w:szCs w:val="24"/>
          <w:lang w:val="en-US" w:eastAsia="zh-CN"/>
        </w:rPr>
        <w:t>2</w:t>
      </w:r>
      <w:r>
        <w:rPr>
          <w:rFonts w:hint="default" w:ascii="Times New Roman" w:hAnsi="Times New Roman" w:eastAsia="宋体" w:cs="Times New Roman"/>
          <w:b/>
          <w:bCs/>
          <w:spacing w:val="0"/>
          <w:w w:val="100"/>
          <w:position w:val="0"/>
          <w:sz w:val="24"/>
          <w:szCs w:val="24"/>
        </w:rPr>
        <w:t>声环境监测结果单位：dB（A）</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2085"/>
        <w:gridCol w:w="1164"/>
        <w:gridCol w:w="1164"/>
        <w:gridCol w:w="1164"/>
        <w:gridCol w:w="1164"/>
        <w:gridCol w:w="19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9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测点编号</w:t>
            </w:r>
          </w:p>
        </w:tc>
        <w:tc>
          <w:tcPr>
            <w:tcW w:w="24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昼间</w:t>
            </w:r>
          </w:p>
        </w:tc>
        <w:tc>
          <w:tcPr>
            <w:tcW w:w="24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夜间</w:t>
            </w:r>
          </w:p>
        </w:tc>
        <w:tc>
          <w:tcPr>
            <w:tcW w:w="20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b/>
                <w:bCs/>
                <w:spacing w:val="0"/>
                <w:w w:val="100"/>
                <w:position w:val="0"/>
                <w:sz w:val="21"/>
                <w:szCs w:val="21"/>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9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b/>
                <w:bCs/>
                <w:spacing w:val="0"/>
                <w:w w:val="100"/>
                <w:position w:val="0"/>
                <w:sz w:val="21"/>
                <w:szCs w:val="21"/>
              </w:rPr>
            </w:pP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最大值</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达标情况</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最大值</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达标情况</w:t>
            </w:r>
          </w:p>
        </w:tc>
        <w:tc>
          <w:tcPr>
            <w:tcW w:w="20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N1</w:t>
            </w:r>
            <w:r>
              <w:rPr>
                <w:rFonts w:ascii="Times New Roman" w:hAnsi="Times New Roman" w:eastAsia="宋体" w:cs="宋体"/>
                <w:spacing w:val="0"/>
                <w:w w:val="100"/>
                <w:position w:val="0"/>
                <w:sz w:val="21"/>
                <w:szCs w:val="21"/>
              </w:rPr>
              <w:t>项目</w:t>
            </w:r>
            <w:r>
              <w:rPr>
                <w:rFonts w:hint="eastAsia" w:ascii="Times New Roman" w:hAnsi="Times New Roman" w:eastAsia="宋体" w:cs="宋体"/>
                <w:spacing w:val="0"/>
                <w:w w:val="100"/>
                <w:position w:val="0"/>
                <w:sz w:val="21"/>
                <w:szCs w:val="21"/>
                <w:lang w:eastAsia="zh-CN"/>
              </w:rPr>
              <w:t>东北侧</w:t>
            </w:r>
            <w:r>
              <w:rPr>
                <w:rFonts w:ascii="Times New Roman" w:hAnsi="Times New Roman" w:eastAsia="宋体" w:cs="宋体"/>
                <w:spacing w:val="0"/>
                <w:w w:val="100"/>
                <w:position w:val="0"/>
                <w:sz w:val="21"/>
                <w:szCs w:val="21"/>
              </w:rPr>
              <w:t>厂界</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63.6</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达标</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49.5</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宋体"/>
                <w:spacing w:val="0"/>
                <w:w w:val="100"/>
                <w:position w:val="0"/>
                <w:sz w:val="21"/>
                <w:szCs w:val="21"/>
                <w:lang w:val="en-US" w:eastAsia="zh-CN"/>
              </w:rPr>
            </w:pPr>
            <w:r>
              <w:rPr>
                <w:rFonts w:hint="eastAsia" w:ascii="Times New Roman" w:hAnsi="Times New Roman" w:eastAsia="宋体" w:cs="宋体"/>
                <w:spacing w:val="0"/>
                <w:w w:val="100"/>
                <w:position w:val="0"/>
                <w:sz w:val="21"/>
                <w:szCs w:val="21"/>
                <w:lang w:val="en-US" w:eastAsia="zh-CN"/>
              </w:rPr>
              <w:t>达标</w:t>
            </w:r>
          </w:p>
        </w:tc>
        <w:tc>
          <w:tcPr>
            <w:tcW w:w="20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宋体"/>
                <w:spacing w:val="0"/>
                <w:w w:val="100"/>
                <w:position w:val="0"/>
                <w:sz w:val="21"/>
                <w:szCs w:val="21"/>
              </w:rPr>
              <w:t>昼间</w:t>
            </w:r>
            <w:r>
              <w:rPr>
                <w:rFonts w:ascii="Times New Roman" w:hAnsi="Times New Roman" w:eastAsia="宋体" w:cs="Times New Roman"/>
                <w:spacing w:val="0"/>
                <w:w w:val="100"/>
                <w:position w:val="0"/>
                <w:sz w:val="21"/>
                <w:szCs w:val="21"/>
              </w:rPr>
              <w:t>≤65</w:t>
            </w:r>
            <w:r>
              <w:rPr>
                <w:rFonts w:ascii="Times New Roman" w:hAnsi="Times New Roman" w:eastAsia="宋体" w:cs="宋体"/>
                <w:spacing w:val="0"/>
                <w:w w:val="100"/>
                <w:position w:val="0"/>
                <w:sz w:val="21"/>
                <w:szCs w:val="21"/>
              </w:rPr>
              <w:t>，夜间</w:t>
            </w:r>
            <w:r>
              <w:rPr>
                <w:rFonts w:ascii="Times New Roman" w:hAnsi="Times New Roman" w:eastAsia="宋体" w:cs="Times New Roman"/>
                <w:spacing w:val="0"/>
                <w:w w:val="100"/>
                <w:position w:val="0"/>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N2</w:t>
            </w:r>
            <w:r>
              <w:rPr>
                <w:rFonts w:ascii="Times New Roman" w:hAnsi="Times New Roman" w:eastAsia="宋体" w:cs="宋体"/>
                <w:spacing w:val="0"/>
                <w:w w:val="100"/>
                <w:position w:val="0"/>
                <w:sz w:val="21"/>
                <w:szCs w:val="21"/>
              </w:rPr>
              <w:t>项目</w:t>
            </w:r>
            <w:r>
              <w:rPr>
                <w:rFonts w:hint="eastAsia" w:ascii="Times New Roman" w:hAnsi="Times New Roman" w:eastAsia="宋体" w:cs="宋体"/>
                <w:spacing w:val="0"/>
                <w:w w:val="100"/>
                <w:position w:val="0"/>
                <w:sz w:val="21"/>
                <w:szCs w:val="21"/>
                <w:lang w:eastAsia="zh-CN"/>
              </w:rPr>
              <w:t>东南侧</w:t>
            </w:r>
            <w:r>
              <w:rPr>
                <w:rFonts w:ascii="Times New Roman" w:hAnsi="Times New Roman" w:eastAsia="宋体" w:cs="宋体"/>
                <w:spacing w:val="0"/>
                <w:w w:val="100"/>
                <w:position w:val="0"/>
                <w:sz w:val="21"/>
                <w:szCs w:val="21"/>
              </w:rPr>
              <w:t>厂界</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61.3</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达标</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48.7</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达标</w:t>
            </w:r>
          </w:p>
        </w:tc>
        <w:tc>
          <w:tcPr>
            <w:tcW w:w="20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N3</w:t>
            </w:r>
            <w:r>
              <w:rPr>
                <w:rFonts w:ascii="Times New Roman" w:hAnsi="Times New Roman" w:eastAsia="宋体" w:cs="宋体"/>
                <w:spacing w:val="0"/>
                <w:w w:val="100"/>
                <w:position w:val="0"/>
                <w:sz w:val="21"/>
                <w:szCs w:val="21"/>
              </w:rPr>
              <w:t>项目</w:t>
            </w:r>
            <w:r>
              <w:rPr>
                <w:rFonts w:hint="eastAsia" w:ascii="Times New Roman" w:hAnsi="Times New Roman" w:eastAsia="宋体" w:cs="宋体"/>
                <w:spacing w:val="0"/>
                <w:w w:val="100"/>
                <w:position w:val="0"/>
                <w:sz w:val="21"/>
                <w:szCs w:val="21"/>
                <w:lang w:eastAsia="zh-CN"/>
              </w:rPr>
              <w:t>西南侧</w:t>
            </w:r>
            <w:r>
              <w:rPr>
                <w:rFonts w:ascii="Times New Roman" w:hAnsi="Times New Roman" w:eastAsia="宋体" w:cs="宋体"/>
                <w:spacing w:val="0"/>
                <w:w w:val="100"/>
                <w:position w:val="0"/>
                <w:sz w:val="21"/>
                <w:szCs w:val="21"/>
              </w:rPr>
              <w:t>厂界</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58.2</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达标</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46.1</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达标</w:t>
            </w:r>
          </w:p>
        </w:tc>
        <w:tc>
          <w:tcPr>
            <w:tcW w:w="20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N4</w:t>
            </w:r>
            <w:r>
              <w:rPr>
                <w:rFonts w:ascii="Times New Roman" w:hAnsi="Times New Roman" w:eastAsia="宋体" w:cs="宋体"/>
                <w:spacing w:val="0"/>
                <w:w w:val="100"/>
                <w:position w:val="0"/>
                <w:sz w:val="21"/>
                <w:szCs w:val="21"/>
              </w:rPr>
              <w:t>项目</w:t>
            </w:r>
            <w:r>
              <w:rPr>
                <w:rFonts w:hint="eastAsia" w:ascii="Times New Roman" w:hAnsi="Times New Roman" w:eastAsia="宋体" w:cs="宋体"/>
                <w:spacing w:val="0"/>
                <w:w w:val="100"/>
                <w:position w:val="0"/>
                <w:sz w:val="21"/>
                <w:szCs w:val="21"/>
                <w:lang w:eastAsia="zh-CN"/>
              </w:rPr>
              <w:t>北侧</w:t>
            </w:r>
            <w:r>
              <w:rPr>
                <w:rFonts w:ascii="Times New Roman" w:hAnsi="Times New Roman" w:eastAsia="宋体" w:cs="宋体"/>
                <w:spacing w:val="0"/>
                <w:w w:val="100"/>
                <w:position w:val="0"/>
                <w:sz w:val="21"/>
                <w:szCs w:val="21"/>
              </w:rPr>
              <w:t>厂界</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0"/>
                <w:w w:val="100"/>
                <w:position w:val="0"/>
                <w:sz w:val="21"/>
                <w:szCs w:val="21"/>
                <w:lang w:val="en-US" w:eastAsia="zh-CN"/>
              </w:rPr>
            </w:pPr>
            <w:r>
              <w:rPr>
                <w:rFonts w:ascii="Times New Roman" w:hAnsi="Times New Roman" w:eastAsia="宋体" w:cs="Times New Roman"/>
                <w:spacing w:val="0"/>
                <w:w w:val="100"/>
                <w:position w:val="0"/>
                <w:sz w:val="21"/>
                <w:szCs w:val="21"/>
              </w:rPr>
              <w:t>5</w:t>
            </w:r>
            <w:r>
              <w:rPr>
                <w:rFonts w:hint="eastAsia" w:ascii="Times New Roman" w:hAnsi="Times New Roman" w:eastAsia="宋体" w:cs="Times New Roman"/>
                <w:spacing w:val="0"/>
                <w:w w:val="100"/>
                <w:position w:val="0"/>
                <w:sz w:val="21"/>
                <w:szCs w:val="21"/>
                <w:lang w:val="en-US" w:eastAsia="zh-CN"/>
              </w:rPr>
              <w:t>8.8</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达标</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47.6</w:t>
            </w:r>
          </w:p>
        </w:tc>
        <w:tc>
          <w:tcPr>
            <w:tcW w:w="12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达标</w:t>
            </w:r>
          </w:p>
        </w:tc>
        <w:tc>
          <w:tcPr>
            <w:tcW w:w="20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spacing w:val="0"/>
                <w:w w:val="100"/>
                <w:position w:val="0"/>
                <w:sz w:val="21"/>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宋体"/>
          <w:spacing w:val="0"/>
          <w:w w:val="100"/>
          <w:position w:val="0"/>
          <w:sz w:val="24"/>
          <w:szCs w:val="24"/>
          <w:lang w:eastAsia="zh-CN"/>
        </w:rPr>
      </w:pPr>
      <w:r>
        <w:rPr>
          <w:rFonts w:ascii="Times New Roman" w:hAnsi="Times New Roman" w:eastAsia="宋体" w:cs="宋体"/>
          <w:spacing w:val="0"/>
          <w:w w:val="100"/>
          <w:position w:val="0"/>
          <w:sz w:val="24"/>
          <w:szCs w:val="24"/>
        </w:rPr>
        <w:t>根据监测结果</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项目厂区边界昼间</w:t>
      </w:r>
      <w:r>
        <w:rPr>
          <w:rFonts w:hint="eastAsia" w:ascii="Times New Roman" w:hAnsi="Times New Roman" w:eastAsia="宋体" w:cs="宋体"/>
          <w:spacing w:val="0"/>
          <w:w w:val="100"/>
          <w:position w:val="0"/>
          <w:sz w:val="24"/>
          <w:szCs w:val="24"/>
          <w:lang w:eastAsia="zh-CN"/>
        </w:rPr>
        <w:t>、夜间</w:t>
      </w:r>
      <w:r>
        <w:rPr>
          <w:rFonts w:ascii="Times New Roman" w:hAnsi="Times New Roman" w:eastAsia="宋体" w:cs="宋体"/>
          <w:spacing w:val="0"/>
          <w:w w:val="100"/>
          <w:position w:val="0"/>
          <w:sz w:val="24"/>
          <w:szCs w:val="24"/>
        </w:rPr>
        <w:t>噪声监测值</w:t>
      </w:r>
      <w:r>
        <w:rPr>
          <w:rFonts w:hint="eastAsia" w:ascii="Times New Roman" w:hAnsi="Times New Roman" w:eastAsia="宋体" w:cs="宋体"/>
          <w:spacing w:val="0"/>
          <w:w w:val="100"/>
          <w:position w:val="0"/>
          <w:sz w:val="24"/>
          <w:szCs w:val="24"/>
          <w:lang w:eastAsia="zh-CN"/>
        </w:rPr>
        <w:t>均</w:t>
      </w:r>
      <w:r>
        <w:rPr>
          <w:rFonts w:ascii="Times New Roman" w:hAnsi="Times New Roman" w:eastAsia="宋体" w:cs="宋体"/>
          <w:spacing w:val="0"/>
          <w:w w:val="100"/>
          <w:position w:val="0"/>
          <w:sz w:val="24"/>
          <w:szCs w:val="24"/>
        </w:rPr>
        <w:t>满足《声环境质量标准》（</w:t>
      </w:r>
      <w:r>
        <w:rPr>
          <w:rFonts w:ascii="Times New Roman" w:hAnsi="Times New Roman" w:eastAsia="宋体" w:cs="Times New Roman"/>
          <w:spacing w:val="0"/>
          <w:w w:val="100"/>
          <w:position w:val="0"/>
          <w:sz w:val="24"/>
          <w:szCs w:val="24"/>
        </w:rPr>
        <w:t>GB3096-2008</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3</w:t>
      </w:r>
      <w:r>
        <w:rPr>
          <w:rFonts w:ascii="Times New Roman" w:hAnsi="Times New Roman" w:eastAsia="宋体" w:cs="宋体"/>
          <w:spacing w:val="0"/>
          <w:w w:val="100"/>
          <w:position w:val="0"/>
          <w:sz w:val="24"/>
          <w:szCs w:val="24"/>
        </w:rPr>
        <w:t>类标准要求</w:t>
      </w:r>
      <w:r>
        <w:rPr>
          <w:rFonts w:hint="eastAsia" w:ascii="Times New Roman" w:hAnsi="Times New Roman" w:eastAsia="宋体" w:cs="宋体"/>
          <w:spacing w:val="0"/>
          <w:w w:val="100"/>
          <w:positio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w:t>
      </w:r>
      <w:r>
        <w:rPr>
          <w:rFonts w:hint="eastAsia" w:ascii="Times New Roman" w:hAnsi="Times New Roman" w:eastAsia="宋体" w:cs="Times New Roman"/>
          <w:b/>
          <w:bCs/>
          <w:spacing w:val="0"/>
          <w:w w:val="100"/>
          <w:position w:val="0"/>
          <w:sz w:val="28"/>
          <w:szCs w:val="28"/>
          <w:lang w:val="en-US" w:eastAsia="zh-CN"/>
        </w:rPr>
        <w:t>2</w:t>
      </w:r>
      <w:r>
        <w:rPr>
          <w:rFonts w:hint="default" w:ascii="Times New Roman" w:hAnsi="Times New Roman" w:eastAsia="宋体" w:cs="Times New Roman"/>
          <w:b/>
          <w:bCs/>
          <w:spacing w:val="0"/>
          <w:w w:val="100"/>
          <w:position w:val="0"/>
          <w:sz w:val="28"/>
          <w:szCs w:val="28"/>
          <w:lang w:val="en-US" w:eastAsia="zh-CN"/>
        </w:rPr>
        <w:t>.</w:t>
      </w:r>
      <w:r>
        <w:rPr>
          <w:rFonts w:hint="eastAsia" w:ascii="Times New Roman" w:hAnsi="Times New Roman" w:eastAsia="宋体" w:cs="Times New Roman"/>
          <w:b/>
          <w:bCs/>
          <w:spacing w:val="0"/>
          <w:w w:val="100"/>
          <w:position w:val="0"/>
          <w:sz w:val="28"/>
          <w:szCs w:val="28"/>
          <w:lang w:val="en-US" w:eastAsia="zh-CN"/>
        </w:rPr>
        <w:t>5土壤环境质量现状调查与评价</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宋体"/>
          <w:spacing w:val="0"/>
          <w:w w:val="100"/>
          <w:position w:val="0"/>
          <w:sz w:val="24"/>
          <w:szCs w:val="24"/>
          <w:lang w:val="en-US" w:eastAsia="zh-CN"/>
        </w:rPr>
      </w:pPr>
      <w:r>
        <w:rPr>
          <w:rFonts w:hint="eastAsia" w:ascii="Times New Roman" w:hAnsi="Times New Roman" w:eastAsia="宋体" w:cs="宋体"/>
          <w:spacing w:val="0"/>
          <w:w w:val="100"/>
          <w:position w:val="0"/>
          <w:sz w:val="24"/>
          <w:szCs w:val="24"/>
          <w:lang w:val="en-US" w:eastAsia="zh-CN"/>
        </w:rPr>
        <w:t>为了解本次评价项目区的土壤环境质量现状，并为今后项目区的土壤环境质量的跟踪监测提供参考依据，</w:t>
      </w:r>
      <w:r>
        <w:rPr>
          <w:rFonts w:hint="eastAsia" w:cs="宋体"/>
          <w:spacing w:val="0"/>
          <w:w w:val="100"/>
          <w:position w:val="0"/>
          <w:sz w:val="24"/>
          <w:szCs w:val="24"/>
          <w:lang w:val="en-US" w:eastAsia="zh-CN"/>
        </w:rPr>
        <w:t>建设单位</w:t>
      </w:r>
      <w:r>
        <w:rPr>
          <w:rFonts w:hint="eastAsia" w:ascii="Times New Roman" w:hAnsi="Times New Roman" w:eastAsia="宋体" w:cs="宋体"/>
          <w:spacing w:val="0"/>
          <w:w w:val="100"/>
          <w:position w:val="0"/>
          <w:sz w:val="24"/>
          <w:szCs w:val="24"/>
          <w:lang w:val="en-US" w:eastAsia="zh-CN"/>
        </w:rPr>
        <w:t>委托福建九五检测技术服务有限公司于</w:t>
      </w:r>
      <w:r>
        <w:rPr>
          <w:rFonts w:hint="default" w:ascii="Times New Roman" w:hAnsi="Times New Roman" w:eastAsia="宋体" w:cs="Times New Roman"/>
          <w:spacing w:val="0"/>
          <w:w w:val="100"/>
          <w:position w:val="0"/>
          <w:sz w:val="24"/>
          <w:szCs w:val="24"/>
          <w:lang w:val="en-US" w:eastAsia="zh-CN"/>
        </w:rPr>
        <w:t>2023年09月08日对项目厂区内土壤环境质量现状进行取样检测（检测报告</w:t>
      </w:r>
      <w:r>
        <w:rPr>
          <w:rFonts w:hint="default" w:ascii="Times New Roman" w:hAnsi="Times New Roman" w:eastAsia="宋体" w:cs="Times New Roman"/>
          <w:color w:val="auto"/>
          <w:spacing w:val="0"/>
          <w:w w:val="100"/>
          <w:position w:val="0"/>
          <w:sz w:val="24"/>
          <w:szCs w:val="24"/>
          <w:lang w:val="en-US" w:eastAsia="zh-CN"/>
        </w:rPr>
        <w:t>见附件</w:t>
      </w:r>
      <w:r>
        <w:rPr>
          <w:rFonts w:hint="eastAsia" w:cs="Times New Roman"/>
          <w:color w:val="auto"/>
          <w:spacing w:val="0"/>
          <w:w w:val="100"/>
          <w:position w:val="0"/>
          <w:sz w:val="24"/>
          <w:szCs w:val="24"/>
          <w:lang w:val="en-US" w:eastAsia="zh-CN"/>
        </w:rPr>
        <w:t>9</w:t>
      </w:r>
      <w:r>
        <w:rPr>
          <w:rFonts w:hint="default" w:ascii="Times New Roman" w:hAnsi="Times New Roman" w:eastAsia="宋体" w:cs="Times New Roman"/>
          <w:color w:val="auto"/>
          <w:spacing w:val="0"/>
          <w:w w:val="100"/>
          <w:position w:val="0"/>
          <w:sz w:val="24"/>
          <w:szCs w:val="24"/>
          <w:lang w:val="en-US" w:eastAsia="zh-CN"/>
        </w:rPr>
        <w:t>）</w:t>
      </w:r>
      <w:r>
        <w:rPr>
          <w:rFonts w:hint="eastAsia" w:ascii="Times New Roman" w:hAnsi="Times New Roman" w:eastAsia="宋体" w:cs="宋体"/>
          <w:spacing w:val="0"/>
          <w:w w:val="100"/>
          <w:position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kern w:val="2"/>
          <w:position w:val="0"/>
          <w:sz w:val="24"/>
          <w:szCs w:val="24"/>
          <w:lang w:val="en-US" w:eastAsia="zh-CN"/>
        </w:rPr>
        <w:t>（1）</w:t>
      </w:r>
      <w:r>
        <w:rPr>
          <w:rFonts w:hint="default" w:ascii="Times New Roman" w:hAnsi="Times New Roman" w:eastAsia="宋体" w:cs="Times New Roman"/>
          <w:spacing w:val="0"/>
          <w:w w:val="100"/>
          <w:position w:val="0"/>
          <w:sz w:val="24"/>
          <w:szCs w:val="24"/>
          <w:lang w:val="en-US" w:eastAsia="zh-CN"/>
        </w:rPr>
        <w:t>监测项目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监测项目：PH、砷、镉、铬（六价）、铜、铅、汞、镍、四氯化碳、氯仿、氯甲烷、1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1-二氯乙烷、1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2-二氯乙烷、1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1-二氯乙烯、顺-1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2-二氯乙烯、反-1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2-二氯乙烯、二氯甲烷、1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2-二氯丙烷、1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2-四氯乙烷、1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2-四氯乙烷、四氯乙烯、1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1-三氯乙烷、1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2-三氯乙烷、三氯乙烯、1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3-三氯丙烷、氯乙烯、苯、氯苯、1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2-二氯苯、1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4-二氯苯、乙苯、苯乙烯、甲苯、间二甲苯+对二甲苯、邻二甲苯、硝基苯、苯胺、2-氯酚、苯并[a]蒽、苯并[a]芘、苯并[b]荧蒽、苯并[k]荧蒽、䓛、二苯并[a,h]蒽、茚并[1</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3-cd]芘，萘、锑、石油烃（C</w:t>
      </w:r>
      <w:r>
        <w:rPr>
          <w:rFonts w:hint="default" w:ascii="Times New Roman" w:hAnsi="Times New Roman" w:eastAsia="宋体" w:cs="Times New Roman"/>
          <w:spacing w:val="0"/>
          <w:w w:val="100"/>
          <w:position w:val="0"/>
          <w:sz w:val="24"/>
          <w:szCs w:val="24"/>
          <w:vertAlign w:val="subscript"/>
          <w:lang w:val="en-US" w:eastAsia="zh-CN"/>
        </w:rPr>
        <w:t>10</w:t>
      </w:r>
      <w:r>
        <w:rPr>
          <w:rFonts w:hint="default" w:ascii="Times New Roman" w:hAnsi="Times New Roman" w:eastAsia="宋体" w:cs="Times New Roman"/>
          <w:spacing w:val="0"/>
          <w:w w:val="100"/>
          <w:position w:val="0"/>
          <w:sz w:val="24"/>
          <w:szCs w:val="24"/>
          <w:lang w:val="en-US" w:eastAsia="zh-CN"/>
        </w:rPr>
        <w:t>-C</w:t>
      </w:r>
      <w:r>
        <w:rPr>
          <w:rFonts w:hint="default" w:ascii="Times New Roman" w:hAnsi="Times New Roman" w:eastAsia="宋体" w:cs="Times New Roman"/>
          <w:spacing w:val="0"/>
          <w:w w:val="100"/>
          <w:position w:val="0"/>
          <w:sz w:val="24"/>
          <w:szCs w:val="24"/>
          <w:vertAlign w:val="subscript"/>
          <w:lang w:val="en-US" w:eastAsia="zh-CN"/>
        </w:rPr>
        <w:t>40</w:t>
      </w:r>
      <w:r>
        <w:rPr>
          <w:rFonts w:hint="default" w:ascii="Times New Roman" w:hAnsi="Times New Roman" w:eastAsia="宋体" w:cs="Times New Roman"/>
          <w:spacing w:val="0"/>
          <w:w w:val="100"/>
          <w:position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kern w:val="2"/>
          <w:position w:val="0"/>
          <w:sz w:val="24"/>
          <w:szCs w:val="24"/>
          <w:lang w:val="en-US" w:eastAsia="zh-CN"/>
        </w:rPr>
        <w:t>（2）</w:t>
      </w:r>
      <w:r>
        <w:rPr>
          <w:rFonts w:hint="default" w:ascii="Times New Roman" w:hAnsi="Times New Roman" w:eastAsia="宋体" w:cs="Times New Roman"/>
          <w:spacing w:val="0"/>
          <w:w w:val="100"/>
          <w:position w:val="0"/>
          <w:sz w:val="24"/>
          <w:szCs w:val="24"/>
          <w:lang w:val="en-US" w:eastAsia="zh-CN"/>
        </w:rPr>
        <w:t>监测项目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监测点位、频次：在厂区内共布设了3个监测点位，采表层样，监测频次为1次，见表4</w:t>
      </w:r>
      <w:r>
        <w:rPr>
          <w:rFonts w:hint="eastAsia" w:cs="Times New Roman"/>
          <w:spacing w:val="0"/>
          <w:w w:val="100"/>
          <w:position w:val="0"/>
          <w:sz w:val="24"/>
          <w:szCs w:val="24"/>
          <w:lang w:val="en-US" w:eastAsia="zh-CN"/>
        </w:rPr>
        <w:t>.2</w:t>
      </w:r>
      <w:r>
        <w:rPr>
          <w:rFonts w:hint="default" w:ascii="Times New Roman" w:hAnsi="Times New Roman" w:eastAsia="宋体" w:cs="Times New Roman"/>
          <w:spacing w:val="0"/>
          <w:w w:val="100"/>
          <w:position w:val="0"/>
          <w:sz w:val="24"/>
          <w:szCs w:val="24"/>
          <w:lang w:val="en-US" w:eastAsia="zh-CN"/>
        </w:rPr>
        <w:t>-1</w:t>
      </w:r>
      <w:r>
        <w:rPr>
          <w:rFonts w:hint="eastAsia" w:cs="Times New Roman"/>
          <w:spacing w:val="0"/>
          <w:w w:val="100"/>
          <w:position w:val="0"/>
          <w:sz w:val="24"/>
          <w:szCs w:val="24"/>
          <w:lang w:val="en-US" w:eastAsia="zh-CN"/>
        </w:rPr>
        <w:t>3</w:t>
      </w:r>
      <w:r>
        <w:rPr>
          <w:rFonts w:hint="default"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color w:val="auto"/>
          <w:spacing w:val="0"/>
          <w:w w:val="100"/>
          <w:position w:val="0"/>
          <w:sz w:val="24"/>
          <w:szCs w:val="24"/>
          <w:lang w:val="en-US" w:eastAsia="zh-CN"/>
        </w:rPr>
        <w:t>监测点位布置见图4</w:t>
      </w:r>
      <w:r>
        <w:rPr>
          <w:rFonts w:hint="eastAsia" w:cs="Times New Roman"/>
          <w:color w:val="auto"/>
          <w:spacing w:val="0"/>
          <w:w w:val="100"/>
          <w:position w:val="0"/>
          <w:sz w:val="24"/>
          <w:szCs w:val="24"/>
          <w:lang w:val="en-US" w:eastAsia="zh-CN"/>
        </w:rPr>
        <w:t>.2</w:t>
      </w:r>
      <w:r>
        <w:rPr>
          <w:rFonts w:hint="default" w:ascii="Times New Roman" w:hAnsi="Times New Roman" w:eastAsia="宋体" w:cs="Times New Roman"/>
          <w:color w:val="auto"/>
          <w:spacing w:val="0"/>
          <w:w w:val="100"/>
          <w:position w:val="0"/>
          <w:sz w:val="24"/>
          <w:szCs w:val="24"/>
          <w:lang w:val="en-US" w:eastAsia="zh-CN"/>
        </w:rPr>
        <w:t>-</w:t>
      </w:r>
      <w:r>
        <w:rPr>
          <w:rFonts w:hint="eastAsia" w:cs="Times New Roman"/>
          <w:color w:val="auto"/>
          <w:spacing w:val="0"/>
          <w:w w:val="100"/>
          <w:position w:val="0"/>
          <w:sz w:val="24"/>
          <w:szCs w:val="24"/>
          <w:lang w:val="en-US" w:eastAsia="zh-CN"/>
        </w:rPr>
        <w:t>4</w:t>
      </w:r>
      <w:r>
        <w:rPr>
          <w:rFonts w:hint="default" w:ascii="Times New Roman" w:hAnsi="Times New Roman" w:eastAsia="宋体" w:cs="Times New Roman"/>
          <w:spacing w:val="0"/>
          <w:w w:val="100"/>
          <w:position w:val="0"/>
          <w:sz w:val="24"/>
          <w:szCs w:val="24"/>
          <w:lang w:val="en-US" w:eastAsia="zh-CN"/>
        </w:rPr>
        <w:t>。</w:t>
      </w:r>
      <w:r>
        <w:rPr>
          <w:rFonts w:hint="eastAsia" w:cs="Times New Roman"/>
          <w:b w:val="0"/>
          <w:bCs w:val="0"/>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表4.2-13土壤监测点位一览表</w:t>
      </w:r>
    </w:p>
    <w:p>
      <w:pPr>
        <w:keepNext w:val="0"/>
        <w:keepLines w:val="0"/>
        <w:pageBreakBefore w:val="0"/>
        <w:widowControl/>
        <w:kinsoku/>
        <w:wordWrap/>
        <w:overflowPunct/>
        <w:topLinePunct w:val="0"/>
        <w:autoSpaceDE/>
        <w:autoSpaceDN/>
        <w:bidi w:val="0"/>
        <w:adjustRightInd w:val="0"/>
        <w:snapToGrid w:val="0"/>
        <w:spacing w:line="63" w:lineRule="exact"/>
        <w:rPr>
          <w:rFonts w:ascii="Times New Roman" w:hAnsi="Times New Roman" w:eastAsia="宋体"/>
          <w:spacing w:val="0"/>
          <w:w w:val="100"/>
          <w:position w:val="0"/>
        </w:rPr>
      </w:pPr>
    </w:p>
    <w:tbl>
      <w:tblPr>
        <w:tblStyle w:val="5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525"/>
        <w:gridCol w:w="751"/>
        <w:gridCol w:w="805"/>
        <w:gridCol w:w="3487"/>
        <w:gridCol w:w="2051"/>
        <w:gridCol w:w="10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78" w:hRule="atLeast"/>
          <w:jc w:val="center"/>
        </w:trPr>
        <w:tc>
          <w:tcPr>
            <w:tcW w:w="3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序号</w:t>
            </w:r>
          </w:p>
        </w:tc>
        <w:tc>
          <w:tcPr>
            <w:tcW w:w="895"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采样点位置</w:t>
            </w:r>
          </w:p>
        </w:tc>
        <w:tc>
          <w:tcPr>
            <w:tcW w:w="2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点位坐标</w:t>
            </w:r>
          </w:p>
        </w:tc>
        <w:tc>
          <w:tcPr>
            <w:tcW w:w="11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监测因子</w:t>
            </w: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土壤性质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74" w:hRule="atLeast"/>
          <w:jc w:val="center"/>
        </w:trPr>
        <w:tc>
          <w:tcPr>
            <w:tcW w:w="3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T1</w:t>
            </w:r>
          </w:p>
        </w:tc>
        <w:tc>
          <w:tcPr>
            <w:tcW w:w="43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宋体"/>
                <w:spacing w:val="0"/>
                <w:w w:val="100"/>
                <w:position w:val="0"/>
                <w:sz w:val="21"/>
                <w:szCs w:val="21"/>
                <w:lang w:val="en-US" w:eastAsia="zh-CN"/>
              </w:rPr>
            </w:pPr>
            <w:r>
              <w:rPr>
                <w:rFonts w:hint="eastAsia" w:ascii="Times New Roman" w:hAnsi="Times New Roman" w:eastAsia="宋体" w:cs="宋体"/>
                <w:spacing w:val="0"/>
                <w:w w:val="100"/>
                <w:position w:val="0"/>
                <w:sz w:val="21"/>
                <w:szCs w:val="21"/>
                <w:lang w:val="en-US" w:eastAsia="zh-CN"/>
              </w:rPr>
              <w:t>厂区内</w:t>
            </w:r>
          </w:p>
        </w:tc>
        <w:tc>
          <w:tcPr>
            <w:tcW w:w="4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表层样</w:t>
            </w:r>
          </w:p>
        </w:tc>
        <w:tc>
          <w:tcPr>
            <w:tcW w:w="2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119°44′</w:t>
            </w:r>
            <w:r>
              <w:rPr>
                <w:rFonts w:hint="default" w:ascii="Times New Roman" w:hAnsi="Times New Roman" w:eastAsia="宋体" w:cs="Times New Roman"/>
                <w:spacing w:val="0"/>
                <w:w w:val="100"/>
                <w:position w:val="0"/>
                <w:sz w:val="21"/>
                <w:szCs w:val="21"/>
                <w:lang w:val="en-US" w:eastAsia="zh-CN"/>
              </w:rPr>
              <w:t>38.46</w:t>
            </w:r>
            <w:r>
              <w:rPr>
                <w:rFonts w:hint="default" w:ascii="Times New Roman" w:hAnsi="Times New Roman" w:eastAsia="宋体" w:cs="Times New Roman"/>
                <w:spacing w:val="0"/>
                <w:w w:val="100"/>
                <w:position w:val="0"/>
                <w:sz w:val="21"/>
                <w:szCs w:val="21"/>
              </w:rPr>
              <w:t>″E，26°20′20.</w:t>
            </w:r>
            <w:r>
              <w:rPr>
                <w:rFonts w:hint="default" w:ascii="Times New Roman" w:hAnsi="Times New Roman" w:eastAsia="宋体" w:cs="Times New Roman"/>
                <w:spacing w:val="0"/>
                <w:w w:val="100"/>
                <w:position w:val="0"/>
                <w:sz w:val="21"/>
                <w:szCs w:val="21"/>
                <w:lang w:val="en-US" w:eastAsia="zh-CN"/>
              </w:rPr>
              <w:t>92</w:t>
            </w:r>
            <w:r>
              <w:rPr>
                <w:rFonts w:hint="default" w:ascii="Times New Roman" w:hAnsi="Times New Roman" w:eastAsia="宋体" w:cs="Times New Roman"/>
                <w:spacing w:val="0"/>
                <w:w w:val="100"/>
                <w:position w:val="0"/>
                <w:sz w:val="21"/>
                <w:szCs w:val="21"/>
              </w:rPr>
              <w:t>″N</w:t>
            </w:r>
          </w:p>
        </w:tc>
        <w:tc>
          <w:tcPr>
            <w:tcW w:w="118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szCs w:val="21"/>
              </w:rPr>
            </w:pPr>
            <w:r>
              <w:rPr>
                <w:rFonts w:hint="default" w:ascii="Times New Roman" w:hAnsi="Times New Roman" w:eastAsia="宋体" w:cs="Times New Roman"/>
                <w:spacing w:val="0"/>
                <w:w w:val="100"/>
                <w:position w:val="0"/>
                <w:sz w:val="21"/>
                <w:szCs w:val="21"/>
                <w:lang w:val="en-US" w:eastAsia="zh-CN"/>
              </w:rPr>
              <w:t>土壤45项、pH、锑、石油烃</w:t>
            </w:r>
          </w:p>
        </w:tc>
        <w:tc>
          <w:tcPr>
            <w:tcW w:w="61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spacing w:val="0"/>
                <w:w w:val="100"/>
                <w:position w:val="0"/>
                <w:sz w:val="21"/>
                <w:szCs w:val="21"/>
                <w:lang w:eastAsia="zh-CN"/>
              </w:rPr>
            </w:pPr>
            <w:r>
              <w:rPr>
                <w:rFonts w:hint="eastAsia" w:ascii="Times New Roman" w:hAnsi="Times New Roman" w:eastAsia="宋体"/>
                <w:spacing w:val="0"/>
                <w:w w:val="100"/>
                <w:position w:val="0"/>
                <w:sz w:val="21"/>
                <w:szCs w:val="21"/>
                <w:lang w:eastAsia="zh-CN"/>
              </w:rPr>
              <w:t>工业用地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78" w:hRule="atLeast"/>
          <w:jc w:val="center"/>
        </w:trPr>
        <w:tc>
          <w:tcPr>
            <w:tcW w:w="3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T2</w:t>
            </w:r>
          </w:p>
        </w:tc>
        <w:tc>
          <w:tcPr>
            <w:tcW w:w="43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szCs w:val="21"/>
              </w:rPr>
            </w:pPr>
          </w:p>
        </w:tc>
        <w:tc>
          <w:tcPr>
            <w:tcW w:w="4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表层样</w:t>
            </w:r>
          </w:p>
        </w:tc>
        <w:tc>
          <w:tcPr>
            <w:tcW w:w="2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119°45′</w:t>
            </w:r>
            <w:r>
              <w:rPr>
                <w:rFonts w:hint="default" w:ascii="Times New Roman" w:hAnsi="Times New Roman" w:eastAsia="宋体" w:cs="Times New Roman"/>
                <w:spacing w:val="0"/>
                <w:w w:val="100"/>
                <w:position w:val="0"/>
                <w:sz w:val="21"/>
                <w:szCs w:val="21"/>
                <w:lang w:val="en-US" w:eastAsia="zh-CN"/>
              </w:rPr>
              <w:t>32.75</w:t>
            </w:r>
            <w:r>
              <w:rPr>
                <w:rFonts w:hint="default" w:ascii="Times New Roman" w:hAnsi="Times New Roman" w:eastAsia="宋体" w:cs="Times New Roman"/>
                <w:spacing w:val="0"/>
                <w:w w:val="100"/>
                <w:position w:val="0"/>
                <w:sz w:val="21"/>
                <w:szCs w:val="21"/>
              </w:rPr>
              <w:t>″E，26°20′</w:t>
            </w:r>
            <w:r>
              <w:rPr>
                <w:rFonts w:hint="default" w:ascii="Times New Roman" w:hAnsi="Times New Roman" w:eastAsia="宋体" w:cs="Times New Roman"/>
                <w:spacing w:val="0"/>
                <w:w w:val="100"/>
                <w:position w:val="0"/>
                <w:sz w:val="21"/>
                <w:szCs w:val="21"/>
                <w:lang w:val="en-US" w:eastAsia="zh-CN"/>
              </w:rPr>
              <w:t>18.03</w:t>
            </w:r>
            <w:r>
              <w:rPr>
                <w:rFonts w:hint="default" w:ascii="Times New Roman" w:hAnsi="Times New Roman" w:eastAsia="宋体" w:cs="Times New Roman"/>
                <w:spacing w:val="0"/>
                <w:w w:val="100"/>
                <w:position w:val="0"/>
                <w:sz w:val="21"/>
                <w:szCs w:val="21"/>
              </w:rPr>
              <w:t>″N</w:t>
            </w:r>
          </w:p>
        </w:tc>
        <w:tc>
          <w:tcPr>
            <w:tcW w:w="11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szCs w:val="21"/>
              </w:rPr>
            </w:pPr>
          </w:p>
        </w:tc>
        <w:tc>
          <w:tcPr>
            <w:tcW w:w="6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78" w:hRule="atLeast"/>
          <w:jc w:val="center"/>
        </w:trPr>
        <w:tc>
          <w:tcPr>
            <w:tcW w:w="3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T3</w:t>
            </w:r>
          </w:p>
        </w:tc>
        <w:tc>
          <w:tcPr>
            <w:tcW w:w="43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szCs w:val="21"/>
              </w:rPr>
            </w:pPr>
          </w:p>
        </w:tc>
        <w:tc>
          <w:tcPr>
            <w:tcW w:w="4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表层样</w:t>
            </w:r>
          </w:p>
        </w:tc>
        <w:tc>
          <w:tcPr>
            <w:tcW w:w="200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119°45′</w:t>
            </w:r>
            <w:r>
              <w:rPr>
                <w:rFonts w:hint="default" w:ascii="Times New Roman" w:hAnsi="Times New Roman" w:eastAsia="宋体" w:cs="Times New Roman"/>
                <w:spacing w:val="0"/>
                <w:w w:val="100"/>
                <w:position w:val="0"/>
                <w:sz w:val="21"/>
                <w:szCs w:val="21"/>
                <w:lang w:val="en-US" w:eastAsia="zh-CN"/>
              </w:rPr>
              <w:t>33.56</w:t>
            </w:r>
            <w:r>
              <w:rPr>
                <w:rFonts w:hint="default" w:ascii="Times New Roman" w:hAnsi="Times New Roman" w:eastAsia="宋体" w:cs="Times New Roman"/>
                <w:spacing w:val="0"/>
                <w:w w:val="100"/>
                <w:position w:val="0"/>
                <w:sz w:val="21"/>
                <w:szCs w:val="21"/>
              </w:rPr>
              <w:t>″E，26°20′</w:t>
            </w:r>
            <w:r>
              <w:rPr>
                <w:rFonts w:hint="default" w:ascii="Times New Roman" w:hAnsi="Times New Roman" w:eastAsia="宋体" w:cs="Times New Roman"/>
                <w:spacing w:val="0"/>
                <w:w w:val="100"/>
                <w:position w:val="0"/>
                <w:sz w:val="21"/>
                <w:szCs w:val="21"/>
                <w:lang w:val="en-US" w:eastAsia="zh-CN"/>
              </w:rPr>
              <w:t>15.79</w:t>
            </w:r>
            <w:r>
              <w:rPr>
                <w:rFonts w:hint="default" w:ascii="Times New Roman" w:hAnsi="Times New Roman" w:eastAsia="宋体" w:cs="Times New Roman"/>
                <w:spacing w:val="0"/>
                <w:w w:val="100"/>
                <w:position w:val="0"/>
                <w:sz w:val="21"/>
                <w:szCs w:val="21"/>
              </w:rPr>
              <w:t>″N</w:t>
            </w:r>
          </w:p>
        </w:tc>
        <w:tc>
          <w:tcPr>
            <w:tcW w:w="11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szCs w:val="21"/>
              </w:rPr>
            </w:pPr>
          </w:p>
        </w:tc>
        <w:tc>
          <w:tcPr>
            <w:tcW w:w="6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szCs w:val="21"/>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kern w:val="2"/>
          <w:position w:val="0"/>
          <w:sz w:val="24"/>
          <w:szCs w:val="24"/>
          <w:lang w:val="en-US" w:eastAsia="zh-CN"/>
        </w:rPr>
        <w:t>（3）</w:t>
      </w:r>
      <w:r>
        <w:rPr>
          <w:rFonts w:hint="eastAsia" w:ascii="Times New Roman" w:hAnsi="Times New Roman" w:eastAsia="宋体" w:cs="Times New Roman"/>
          <w:spacing w:val="0"/>
          <w:w w:val="100"/>
          <w:position w:val="0"/>
          <w:sz w:val="24"/>
          <w:szCs w:val="24"/>
          <w:lang w:val="en-US" w:eastAsia="zh-CN"/>
        </w:rPr>
        <w:t>分析方法</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200"/>
        <w:jc w:val="center"/>
        <w:textAlignment w:val="auto"/>
        <w:rPr>
          <w:rFonts w:hint="eastAsia"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b/>
          <w:bCs/>
          <w:spacing w:val="0"/>
          <w:w w:val="100"/>
          <w:position w:val="0"/>
          <w:sz w:val="24"/>
          <w:szCs w:val="24"/>
        </w:rPr>
        <w:t>表4.2-13土壤</w:t>
      </w:r>
      <w:r>
        <w:rPr>
          <w:rFonts w:hint="eastAsia" w:ascii="Times New Roman" w:hAnsi="Times New Roman" w:eastAsia="宋体" w:cs="Times New Roman"/>
          <w:b/>
          <w:bCs/>
          <w:spacing w:val="0"/>
          <w:w w:val="100"/>
          <w:position w:val="0"/>
          <w:sz w:val="24"/>
          <w:szCs w:val="24"/>
          <w:lang w:eastAsia="zh-CN"/>
        </w:rPr>
        <w:t>采样分析方法</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668"/>
        <w:gridCol w:w="1834"/>
        <w:gridCol w:w="3080"/>
        <w:gridCol w:w="1902"/>
        <w:gridCol w:w="12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类别</w:t>
            </w: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项目</w:t>
            </w:r>
          </w:p>
        </w:tc>
        <w:tc>
          <w:tcPr>
            <w:tcW w:w="1772"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分析方法</w:t>
            </w:r>
          </w:p>
        </w:tc>
        <w:tc>
          <w:tcPr>
            <w:tcW w:w="1094"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仪器名称型号及编号</w:t>
            </w:r>
          </w:p>
        </w:tc>
        <w:tc>
          <w:tcPr>
            <w:tcW w:w="693"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检出限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w:t>
            </w: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pH值</w:t>
            </w:r>
          </w:p>
        </w:tc>
        <w:tc>
          <w:tcPr>
            <w:tcW w:w="1772"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《土壤pH值的测定》</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（NY/T1377-2007）</w:t>
            </w:r>
          </w:p>
        </w:tc>
        <w:tc>
          <w:tcPr>
            <w:tcW w:w="1094"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PHS-3C型pH计</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（JW-S-05）</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石油烃（C</w:t>
            </w:r>
            <w:r>
              <w:rPr>
                <w:rFonts w:hint="default" w:ascii="Times New Roman" w:hAnsi="Times New Roman" w:eastAsia="宋体" w:cs="Times New Roman"/>
                <w:spacing w:val="0"/>
                <w:w w:val="100"/>
                <w:position w:val="0"/>
                <w:sz w:val="21"/>
                <w:szCs w:val="21"/>
                <w:vertAlign w:val="subscript"/>
              </w:rPr>
              <w:t>10</w:t>
            </w:r>
            <w:r>
              <w:rPr>
                <w:rFonts w:hint="default" w:ascii="Times New Roman" w:hAnsi="Times New Roman" w:eastAsia="宋体" w:cs="Times New Roman"/>
                <w:spacing w:val="0"/>
                <w:w w:val="100"/>
                <w:position w:val="0"/>
                <w:sz w:val="21"/>
                <w:szCs w:val="21"/>
              </w:rPr>
              <w:t>-C</w:t>
            </w:r>
            <w:r>
              <w:rPr>
                <w:rFonts w:hint="default" w:ascii="Times New Roman" w:hAnsi="Times New Roman" w:eastAsia="宋体" w:cs="Times New Roman"/>
                <w:spacing w:val="0"/>
                <w:w w:val="100"/>
                <w:position w:val="0"/>
                <w:sz w:val="21"/>
                <w:szCs w:val="21"/>
                <w:vertAlign w:val="subscript"/>
              </w:rPr>
              <w:t>40</w:t>
            </w:r>
            <w:r>
              <w:rPr>
                <w:rFonts w:hint="default" w:ascii="Times New Roman" w:hAnsi="Times New Roman" w:eastAsia="宋体" w:cs="Times New Roman"/>
                <w:spacing w:val="0"/>
                <w:w w:val="100"/>
                <w:position w:val="0"/>
                <w:sz w:val="21"/>
                <w:szCs w:val="21"/>
              </w:rPr>
              <w:t>）</w:t>
            </w:r>
          </w:p>
        </w:tc>
        <w:tc>
          <w:tcPr>
            <w:tcW w:w="1772"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《土壤和沉积物石油烃（C10-C40）的测定气相色谱法》（HJ1021-2019）</w:t>
            </w:r>
          </w:p>
        </w:tc>
        <w:tc>
          <w:tcPr>
            <w:tcW w:w="1094"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GC-2010PRO型气相色谱仪（JW-S-182）</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镉</w:t>
            </w:r>
          </w:p>
        </w:tc>
        <w:tc>
          <w:tcPr>
            <w:tcW w:w="1772"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《土壤质量铅、镉的测定石墨</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炉原子吸收分光光度法》（GB/T17141-1997）</w:t>
            </w:r>
          </w:p>
        </w:tc>
        <w:tc>
          <w:tcPr>
            <w:tcW w:w="1094"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ICE-3500型原子吸收分光光度计（JW-S-121）</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铅</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铜</w:t>
            </w:r>
          </w:p>
        </w:tc>
        <w:tc>
          <w:tcPr>
            <w:tcW w:w="1772"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《土壤和沉积物铜、锌、铅、镍、铬的测定火焰原子吸收分光光度法》（HJ491-2019）</w:t>
            </w:r>
          </w:p>
        </w:tc>
        <w:tc>
          <w:tcPr>
            <w:tcW w:w="1094"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TAS-990型原子吸收分光光度计（JW-S-01）</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镍</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汞</w:t>
            </w:r>
          </w:p>
        </w:tc>
        <w:tc>
          <w:tcPr>
            <w:tcW w:w="1772"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《土壤和沉积物汞、砷、硒、铋、锑的测定微波消解/原子荧光法》（HJ680-2013）</w:t>
            </w:r>
          </w:p>
        </w:tc>
        <w:tc>
          <w:tcPr>
            <w:tcW w:w="1094"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AFS-230E型原子荧光光度计（JW-S-40）</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0.002mg/kg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锑</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六价铬</w:t>
            </w:r>
          </w:p>
        </w:tc>
        <w:tc>
          <w:tcPr>
            <w:tcW w:w="1772"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《土壤和沉积物六价铬的测定</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碱溶液提取-火焰原子吸收分光光度法》（HJ1082-2019）</w:t>
            </w:r>
          </w:p>
        </w:tc>
        <w:tc>
          <w:tcPr>
            <w:tcW w:w="1094"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TAS-990型原子吸收分光光度计（JW-S-01）</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0.5mg/kg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四氯化碳</w:t>
            </w:r>
          </w:p>
        </w:tc>
        <w:tc>
          <w:tcPr>
            <w:tcW w:w="1772"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《土壤和沉积物挥发性有机物</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的测定吹扫捕集/气相色谱-质谱法》（HJ605-2011）</w:t>
            </w:r>
          </w:p>
        </w:tc>
        <w:tc>
          <w:tcPr>
            <w:tcW w:w="109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SCION436-GC</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SQ型气相色谱质谱联用仪（JW-S-194）</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1.3μg/kg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氯仿</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氯甲烷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1,1-二氯乙烷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1,2-二氯乙烷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1.3μg/kg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1,1-二氯乙烯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顺-1,2-二氯乙烯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1.3μg/kg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反-1,2-二氯乙烯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1.4μg/kg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二氯甲烷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1.5μg/kg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1,2-二氯丙烷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1,1,1,2-四氯乙烷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1,1,2,2-四氯乙烷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四氯乙烯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1.4μg/kg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1,1,1-三氯乙烷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1.3μg/kg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1,1,2-三氯乙烷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三氯乙烯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1,2,3-三氯丙烷</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氯乙烯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1.9μg/kg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氯苯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1,2-二氯苯</w:t>
            </w:r>
          </w:p>
        </w:tc>
        <w:tc>
          <w:tcPr>
            <w:tcW w:w="1772"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《土壤和沉积物挥发性有机物</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的测定吹扫捕集/气相色谱-质谱法》（HJ605-2011）</w:t>
            </w:r>
          </w:p>
        </w:tc>
        <w:tc>
          <w:tcPr>
            <w:tcW w:w="109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SCION436-GC</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SQ型气相色谱质谱联用仪（JW-S-194）</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1.5μg/kg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1,4-二氯苯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1.5μg/kg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乙苯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苯乙烯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甲苯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1.3μg/kg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间-二甲苯+对-二甲苯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邻-二甲苯</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1.2μg/kg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萘</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0.4μg/kg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硝基苯</w:t>
            </w:r>
          </w:p>
        </w:tc>
        <w:tc>
          <w:tcPr>
            <w:tcW w:w="1772" w:type="pct"/>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《土壤和沉积物半挥发性有机</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物的测定气相色谱-质谱法》（HJ834-2017）</w:t>
            </w:r>
          </w:p>
        </w:tc>
        <w:tc>
          <w:tcPr>
            <w:tcW w:w="109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GCMS-QP2010S</w:t>
            </w:r>
          </w:p>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E型气相色谱质谱联用仪（JW-S-119）</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0.09mg/kg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苯胺</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0.008mg/kg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2-氯酚</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0.06mg/kg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苯并[a]蒽</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苯并[a]芘</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苯并[b]荧蒽</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0.2mg/kg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苯并[k]荧蒽</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䓛</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二苯并[a,h]蒽</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0.1mg/kg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55" w:type="pc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茚并[1,2,3-cd]芘</w:t>
            </w:r>
          </w:p>
        </w:tc>
        <w:tc>
          <w:tcPr>
            <w:tcW w:w="17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0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0.1mg/kg</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bCs w:val="0"/>
          <w:spacing w:val="0"/>
          <w:w w:val="100"/>
          <w:position w:val="0"/>
          <w:sz w:val="24"/>
          <w:szCs w:val="24"/>
          <w:lang w:val="en-US" w:eastAsia="zh-CN"/>
        </w:rPr>
      </w:pPr>
      <w:r>
        <w:rPr>
          <w:rFonts w:hint="eastAsia" w:ascii="Times New Roman" w:hAnsi="Times New Roman" w:eastAsia="宋体" w:cs="Times New Roman"/>
          <w:b w:val="0"/>
          <w:bCs w:val="0"/>
          <w:spacing w:val="0"/>
          <w:w w:val="100"/>
          <w:kern w:val="2"/>
          <w:position w:val="0"/>
          <w:sz w:val="24"/>
          <w:szCs w:val="24"/>
          <w:lang w:val="en-US" w:eastAsia="zh-CN"/>
        </w:rPr>
        <w:t>（4）</w:t>
      </w:r>
      <w:r>
        <w:rPr>
          <w:rFonts w:hint="eastAsia" w:ascii="Times New Roman" w:hAnsi="Times New Roman" w:eastAsia="宋体" w:cs="Times New Roman"/>
          <w:b w:val="0"/>
          <w:bCs w:val="0"/>
          <w:spacing w:val="0"/>
          <w:w w:val="100"/>
          <w:position w:val="0"/>
          <w:sz w:val="24"/>
          <w:szCs w:val="24"/>
          <w:lang w:val="en-US" w:eastAsia="zh-CN"/>
        </w:rPr>
        <w:t>监测结果</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firstLine="0" w:firstLineChars="0"/>
        <w:jc w:val="left"/>
        <w:textAlignment w:val="auto"/>
        <w:rPr>
          <w:rFonts w:hint="eastAsia"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spacing w:val="0"/>
          <w:w w:val="100"/>
          <w:position w:val="0"/>
          <w:sz w:val="24"/>
          <w:szCs w:val="24"/>
          <w:lang w:val="en-US" w:eastAsia="zh-CN"/>
        </w:rPr>
        <w:t>①</w:t>
      </w:r>
      <w:r>
        <w:rPr>
          <w:rFonts w:hint="eastAsia" w:ascii="Times New Roman" w:hAnsi="Times New Roman" w:eastAsia="宋体" w:cs="Times New Roman"/>
          <w:b w:val="0"/>
          <w:bCs w:val="0"/>
          <w:spacing w:val="0"/>
          <w:w w:val="100"/>
          <w:position w:val="0"/>
          <w:sz w:val="24"/>
          <w:szCs w:val="24"/>
          <w:lang w:val="en-US" w:eastAsia="zh-CN"/>
        </w:rPr>
        <w:t>评价标准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spacing w:val="0"/>
          <w:w w:val="100"/>
          <w:position w:val="0"/>
          <w:sz w:val="24"/>
          <w:szCs w:val="24"/>
          <w:lang w:val="en-US" w:eastAsia="zh-CN"/>
        </w:rPr>
        <w:t>调查区域土壤主要为工业用地，评价标准采用《土壤环境质量建设用地土壤污染风险管控标准（试行）》</w:t>
      </w:r>
      <w:r>
        <w:rPr>
          <w:rFonts w:hint="eastAsia" w:cs="Times New Roman"/>
          <w:b w:val="0"/>
          <w:bCs w:val="0"/>
          <w:spacing w:val="0"/>
          <w:w w:val="100"/>
          <w:position w:val="0"/>
          <w:sz w:val="24"/>
          <w:szCs w:val="24"/>
          <w:lang w:val="en-US" w:eastAsia="zh-CN"/>
        </w:rPr>
        <w:t>（</w:t>
      </w:r>
      <w:r>
        <w:rPr>
          <w:rFonts w:hint="default" w:ascii="Times New Roman" w:hAnsi="Times New Roman" w:eastAsia="宋体" w:cs="Times New Roman"/>
          <w:b w:val="0"/>
          <w:bCs w:val="0"/>
          <w:spacing w:val="0"/>
          <w:w w:val="100"/>
          <w:position w:val="0"/>
          <w:sz w:val="24"/>
          <w:szCs w:val="24"/>
          <w:lang w:val="en-US" w:eastAsia="zh-CN"/>
        </w:rPr>
        <w:t>GB36600-2018</w:t>
      </w:r>
      <w:r>
        <w:rPr>
          <w:rFonts w:hint="eastAsia" w:cs="Times New Roman"/>
          <w:b w:val="0"/>
          <w:bCs w:val="0"/>
          <w:spacing w:val="0"/>
          <w:w w:val="100"/>
          <w:position w:val="0"/>
          <w:sz w:val="24"/>
          <w:szCs w:val="24"/>
          <w:lang w:val="en-US" w:eastAsia="zh-CN"/>
        </w:rPr>
        <w:t>）</w:t>
      </w:r>
      <w:r>
        <w:rPr>
          <w:rFonts w:hint="default" w:ascii="Times New Roman" w:hAnsi="Times New Roman" w:eastAsia="宋体" w:cs="Times New Roman"/>
          <w:b w:val="0"/>
          <w:bCs w:val="0"/>
          <w:spacing w:val="0"/>
          <w:w w:val="100"/>
          <w:position w:val="0"/>
          <w:sz w:val="24"/>
          <w:szCs w:val="24"/>
          <w:lang w:val="en-US" w:eastAsia="zh-CN"/>
        </w:rPr>
        <w:t>中第二类用地筛选值和管制值。</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firstLine="0" w:firstLineChars="0"/>
        <w:jc w:val="left"/>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spacing w:val="0"/>
          <w:w w:val="100"/>
          <w:position w:val="0"/>
          <w:sz w:val="24"/>
          <w:szCs w:val="24"/>
          <w:lang w:val="en-US" w:eastAsia="zh-CN"/>
        </w:rPr>
        <w:t>②</w:t>
      </w:r>
      <w:r>
        <w:rPr>
          <w:rFonts w:hint="eastAsia" w:ascii="Times New Roman" w:hAnsi="Times New Roman" w:eastAsia="宋体" w:cs="Times New Roman"/>
          <w:b w:val="0"/>
          <w:bCs w:val="0"/>
          <w:spacing w:val="0"/>
          <w:w w:val="100"/>
          <w:position w:val="0"/>
          <w:sz w:val="24"/>
          <w:szCs w:val="24"/>
          <w:lang w:val="en-US" w:eastAsia="zh-CN"/>
        </w:rPr>
        <w:t>评价方法</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firstLine="0" w:firstLineChars="0"/>
        <w:jc w:val="left"/>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spacing w:val="0"/>
          <w:w w:val="100"/>
          <w:position w:val="0"/>
          <w:sz w:val="24"/>
          <w:szCs w:val="24"/>
          <w:lang w:val="en-US" w:eastAsia="zh-CN"/>
        </w:rPr>
        <w:t>评价方法采用单因子指数法，计算式为：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i/>
          <w:iCs/>
          <w:spacing w:val="0"/>
          <w:w w:val="100"/>
          <w:position w:val="0"/>
          <w:sz w:val="24"/>
          <w:szCs w:val="24"/>
          <w:lang w:val="en-US" w:eastAsia="zh-CN"/>
        </w:rPr>
      </w:pPr>
      <w:r>
        <w:rPr>
          <w:rFonts w:hint="default" w:ascii="Times New Roman" w:hAnsi="Times New Roman" w:eastAsia="宋体" w:cs="Times New Roman"/>
          <w:b w:val="0"/>
          <w:bCs w:val="0"/>
          <w:i/>
          <w:iCs/>
          <w:spacing w:val="0"/>
          <w:w w:val="100"/>
          <w:position w:val="0"/>
          <w:sz w:val="24"/>
          <w:szCs w:val="24"/>
          <w:lang w:val="en-US" w:eastAsia="zh-CN"/>
        </w:rPr>
        <w:t>P</w:t>
      </w:r>
      <w:r>
        <w:rPr>
          <w:rFonts w:hint="default" w:ascii="Times New Roman" w:hAnsi="Times New Roman" w:eastAsia="宋体" w:cs="Times New Roman"/>
          <w:b w:val="0"/>
          <w:bCs w:val="0"/>
          <w:i/>
          <w:iCs/>
          <w:spacing w:val="0"/>
          <w:w w:val="100"/>
          <w:position w:val="0"/>
          <w:sz w:val="24"/>
          <w:szCs w:val="24"/>
          <w:vertAlign w:val="subscript"/>
          <w:lang w:val="en-US" w:eastAsia="zh-CN"/>
        </w:rPr>
        <w:t>i</w:t>
      </w:r>
      <w:r>
        <w:rPr>
          <w:rFonts w:hint="default" w:ascii="Times New Roman" w:hAnsi="Times New Roman" w:eastAsia="宋体" w:cs="Times New Roman"/>
          <w:b w:val="0"/>
          <w:bCs w:val="0"/>
          <w:i/>
          <w:iCs/>
          <w:spacing w:val="0"/>
          <w:w w:val="100"/>
          <w:position w:val="0"/>
          <w:sz w:val="24"/>
          <w:szCs w:val="24"/>
          <w:lang w:val="en-US" w:eastAsia="zh-CN"/>
        </w:rPr>
        <w:t>=C</w:t>
      </w:r>
      <w:r>
        <w:rPr>
          <w:rFonts w:hint="default" w:ascii="Times New Roman" w:hAnsi="Times New Roman" w:eastAsia="宋体" w:cs="Times New Roman"/>
          <w:b w:val="0"/>
          <w:bCs w:val="0"/>
          <w:i/>
          <w:iCs/>
          <w:spacing w:val="0"/>
          <w:w w:val="100"/>
          <w:position w:val="0"/>
          <w:sz w:val="24"/>
          <w:szCs w:val="24"/>
          <w:vertAlign w:val="subscript"/>
          <w:lang w:val="en-US" w:eastAsia="zh-CN"/>
        </w:rPr>
        <w:t>i</w:t>
      </w:r>
      <w:r>
        <w:rPr>
          <w:rFonts w:hint="default" w:ascii="Times New Roman" w:hAnsi="Times New Roman" w:eastAsia="宋体" w:cs="Times New Roman"/>
          <w:b w:val="0"/>
          <w:bCs w:val="0"/>
          <w:i/>
          <w:iCs/>
          <w:spacing w:val="0"/>
          <w:w w:val="100"/>
          <w:position w:val="0"/>
          <w:sz w:val="24"/>
          <w:szCs w:val="24"/>
          <w:lang w:val="en-US" w:eastAsia="zh-CN"/>
        </w:rPr>
        <w:t>/S</w:t>
      </w:r>
      <w:r>
        <w:rPr>
          <w:rFonts w:hint="default" w:ascii="Times New Roman" w:hAnsi="Times New Roman" w:eastAsia="宋体" w:cs="Times New Roman"/>
          <w:b w:val="0"/>
          <w:bCs w:val="0"/>
          <w:i/>
          <w:iCs/>
          <w:spacing w:val="0"/>
          <w:w w:val="100"/>
          <w:position w:val="0"/>
          <w:sz w:val="24"/>
          <w:szCs w:val="24"/>
          <w:vertAlign w:val="subscript"/>
          <w:lang w:val="en-US" w:eastAsia="zh-CN"/>
        </w:rPr>
        <w:t>i</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firstLine="0" w:firstLineChars="0"/>
        <w:jc w:val="left"/>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spacing w:val="0"/>
          <w:w w:val="100"/>
          <w:position w:val="0"/>
          <w:sz w:val="24"/>
          <w:szCs w:val="24"/>
          <w:lang w:val="en-US" w:eastAsia="zh-CN"/>
        </w:rPr>
        <w:t>式中：</w:t>
      </w:r>
      <w:r>
        <w:rPr>
          <w:rFonts w:hint="default" w:ascii="Times New Roman" w:hAnsi="Times New Roman" w:eastAsia="宋体" w:cs="Times New Roman"/>
          <w:b w:val="0"/>
          <w:bCs w:val="0"/>
          <w:i/>
          <w:iCs/>
          <w:spacing w:val="0"/>
          <w:w w:val="100"/>
          <w:position w:val="0"/>
          <w:sz w:val="24"/>
          <w:szCs w:val="24"/>
          <w:lang w:val="en-US" w:eastAsia="zh-CN"/>
        </w:rPr>
        <w:t>P</w:t>
      </w:r>
      <w:r>
        <w:rPr>
          <w:rFonts w:hint="default" w:ascii="Times New Roman" w:hAnsi="Times New Roman" w:eastAsia="宋体" w:cs="Times New Roman"/>
          <w:b w:val="0"/>
          <w:bCs w:val="0"/>
          <w:i/>
          <w:iCs/>
          <w:spacing w:val="0"/>
          <w:w w:val="100"/>
          <w:position w:val="0"/>
          <w:sz w:val="24"/>
          <w:szCs w:val="24"/>
          <w:vertAlign w:val="subscript"/>
          <w:lang w:val="en-US" w:eastAsia="zh-CN"/>
        </w:rPr>
        <w:t>i</w:t>
      </w:r>
      <w:r>
        <w:rPr>
          <w:rFonts w:hint="default" w:ascii="Times New Roman" w:hAnsi="Times New Roman" w:eastAsia="宋体" w:cs="Times New Roman"/>
          <w:b w:val="0"/>
          <w:bCs w:val="0"/>
          <w:spacing w:val="0"/>
          <w:w w:val="100"/>
          <w:position w:val="0"/>
          <w:sz w:val="24"/>
          <w:szCs w:val="24"/>
          <w:lang w:val="en-US" w:eastAsia="zh-CN"/>
        </w:rPr>
        <w:t>─土壤中i污染物的标准指数；</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firstLine="720" w:firstLineChars="300"/>
        <w:jc w:val="left"/>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i/>
          <w:iCs/>
          <w:spacing w:val="0"/>
          <w:w w:val="100"/>
          <w:position w:val="0"/>
          <w:sz w:val="24"/>
          <w:szCs w:val="24"/>
          <w:lang w:val="en-US" w:eastAsia="zh-CN"/>
        </w:rPr>
        <w:t>C</w:t>
      </w:r>
      <w:r>
        <w:rPr>
          <w:rFonts w:hint="default" w:ascii="Times New Roman" w:hAnsi="Times New Roman" w:eastAsia="宋体" w:cs="Times New Roman"/>
          <w:b w:val="0"/>
          <w:bCs w:val="0"/>
          <w:i/>
          <w:iCs/>
          <w:spacing w:val="0"/>
          <w:w w:val="100"/>
          <w:position w:val="0"/>
          <w:sz w:val="24"/>
          <w:szCs w:val="24"/>
          <w:vertAlign w:val="subscript"/>
          <w:lang w:val="en-US" w:eastAsia="zh-CN"/>
        </w:rPr>
        <w:t>i</w:t>
      </w:r>
      <w:r>
        <w:rPr>
          <w:rFonts w:hint="default" w:ascii="Times New Roman" w:hAnsi="Times New Roman" w:eastAsia="宋体" w:cs="Times New Roman"/>
          <w:b w:val="0"/>
          <w:bCs w:val="0"/>
          <w:spacing w:val="0"/>
          <w:w w:val="100"/>
          <w:position w:val="0"/>
          <w:sz w:val="24"/>
          <w:szCs w:val="24"/>
          <w:lang w:val="en-US" w:eastAsia="zh-CN"/>
        </w:rPr>
        <w:t>─土壤中i污染物的实测含量，mg/kg；</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firstLine="720" w:firstLineChars="300"/>
        <w:jc w:val="left"/>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i/>
          <w:iCs/>
          <w:spacing w:val="0"/>
          <w:w w:val="100"/>
          <w:position w:val="0"/>
          <w:sz w:val="24"/>
          <w:szCs w:val="24"/>
          <w:lang w:val="en-US" w:eastAsia="zh-CN"/>
        </w:rPr>
        <w:t>S</w:t>
      </w:r>
      <w:r>
        <w:rPr>
          <w:rFonts w:hint="default" w:ascii="Times New Roman" w:hAnsi="Times New Roman" w:eastAsia="宋体" w:cs="Times New Roman"/>
          <w:b w:val="0"/>
          <w:bCs w:val="0"/>
          <w:i/>
          <w:iCs/>
          <w:spacing w:val="0"/>
          <w:w w:val="100"/>
          <w:position w:val="0"/>
          <w:sz w:val="24"/>
          <w:szCs w:val="24"/>
          <w:vertAlign w:val="subscript"/>
          <w:lang w:val="en-US" w:eastAsia="zh-CN"/>
        </w:rPr>
        <w:t>i</w:t>
      </w:r>
      <w:r>
        <w:rPr>
          <w:rFonts w:hint="default" w:ascii="Times New Roman" w:hAnsi="Times New Roman" w:eastAsia="宋体" w:cs="Times New Roman"/>
          <w:b w:val="0"/>
          <w:bCs w:val="0"/>
          <w:spacing w:val="0"/>
          <w:w w:val="100"/>
          <w:position w:val="0"/>
          <w:sz w:val="24"/>
          <w:szCs w:val="24"/>
          <w:lang w:val="en-US" w:eastAsia="zh-CN"/>
        </w:rPr>
        <w:t>─土壤中i污染物的评价标准，mg/kg。</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val="0"/>
          <w:spacing w:val="0"/>
          <w:w w:val="100"/>
          <w:position w:val="0"/>
          <w:sz w:val="24"/>
          <w:szCs w:val="24"/>
          <w:lang w:val="en-US" w:eastAsia="zh-CN"/>
        </w:rPr>
      </w:pPr>
      <w:r>
        <w:rPr>
          <w:rFonts w:hint="default" w:ascii="Times New Roman" w:hAnsi="Times New Roman" w:eastAsia="宋体" w:cs="Times New Roman"/>
          <w:b w:val="0"/>
          <w:bCs w:val="0"/>
          <w:spacing w:val="0"/>
          <w:w w:val="100"/>
          <w:position w:val="0"/>
          <w:sz w:val="24"/>
          <w:szCs w:val="24"/>
          <w:lang w:val="en-US" w:eastAsia="zh-CN"/>
        </w:rPr>
        <w:t>③</w:t>
      </w:r>
      <w:r>
        <w:rPr>
          <w:rFonts w:hint="eastAsia" w:ascii="Times New Roman" w:hAnsi="Times New Roman" w:eastAsia="宋体" w:cs="Times New Roman"/>
          <w:b w:val="0"/>
          <w:bCs w:val="0"/>
          <w:spacing w:val="0"/>
          <w:w w:val="100"/>
          <w:position w:val="0"/>
          <w:sz w:val="24"/>
          <w:szCs w:val="24"/>
          <w:lang w:val="en-US" w:eastAsia="zh-CN"/>
        </w:rPr>
        <w:t>评价</w:t>
      </w:r>
      <w:r>
        <w:rPr>
          <w:rFonts w:hint="eastAsia" w:cs="Times New Roman"/>
          <w:b w:val="0"/>
          <w:bCs w:val="0"/>
          <w:spacing w:val="0"/>
          <w:w w:val="100"/>
          <w:position w:val="0"/>
          <w:sz w:val="24"/>
          <w:szCs w:val="24"/>
          <w:lang w:val="en-US" w:eastAsia="zh-CN"/>
        </w:rPr>
        <w:t>结果</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宋体"/>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根据监测结果和评价标准，土壤环境质量监测结果见表</w:t>
      </w:r>
      <w:r>
        <w:rPr>
          <w:rFonts w:hint="default" w:ascii="Times New Roman" w:hAnsi="Times New Roman" w:eastAsia="宋体" w:cs="Times New Roman"/>
          <w:color w:val="000000"/>
          <w:spacing w:val="0"/>
          <w:w w:val="100"/>
          <w:kern w:val="0"/>
          <w:position w:val="0"/>
          <w:sz w:val="24"/>
          <w:szCs w:val="24"/>
          <w:lang w:val="en-US" w:eastAsia="zh-CN" w:bidi="ar"/>
        </w:rPr>
        <w:t>4.2-14</w:t>
      </w:r>
      <w:r>
        <w:rPr>
          <w:rFonts w:hint="eastAsia" w:ascii="Times New Roman" w:hAnsi="Times New Roman" w:eastAsia="宋体" w:cs="宋体"/>
          <w:color w:val="000000"/>
          <w:spacing w:val="0"/>
          <w:w w:val="100"/>
          <w:kern w:val="0"/>
          <w:position w:val="0"/>
          <w:sz w:val="24"/>
          <w:szCs w:val="24"/>
          <w:lang w:val="en-US" w:eastAsia="zh-CN" w:bidi="ar"/>
        </w:rPr>
        <w:t>。</w:t>
      </w:r>
      <w:r>
        <w:rPr>
          <w:rFonts w:hint="eastAsia" w:cs="Times New Roman"/>
          <w:b w:val="0"/>
          <w:bCs w:val="0"/>
          <w:spacing w:val="0"/>
          <w:position w:val="0"/>
          <w:sz w:val="24"/>
          <w:szCs w:val="24"/>
          <w:lang w:val="en-US" w:eastAsia="zh-CN"/>
        </w:rPr>
        <w:t>（略）</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spacing w:val="0"/>
          <w:w w:val="100"/>
          <w:position w:val="0"/>
        </w:rPr>
      </w:pPr>
      <w:r>
        <w:rPr>
          <w:rFonts w:hint="eastAsia" w:ascii="Times New Roman" w:hAnsi="Times New Roman" w:eastAsia="宋体" w:cs="宋体"/>
          <w:color w:val="000000"/>
          <w:spacing w:val="0"/>
          <w:w w:val="100"/>
          <w:kern w:val="0"/>
          <w:position w:val="0"/>
          <w:sz w:val="24"/>
          <w:szCs w:val="24"/>
          <w:lang w:val="en-US" w:eastAsia="zh-CN" w:bidi="ar"/>
        </w:rPr>
        <w:t>由表</w:t>
      </w:r>
      <w:r>
        <w:rPr>
          <w:rFonts w:hint="default" w:ascii="Times New Roman" w:hAnsi="Times New Roman" w:eastAsia="宋体" w:cs="Times New Roman"/>
          <w:color w:val="000000"/>
          <w:spacing w:val="0"/>
          <w:w w:val="100"/>
          <w:kern w:val="0"/>
          <w:position w:val="0"/>
          <w:sz w:val="24"/>
          <w:szCs w:val="24"/>
          <w:lang w:val="en-US" w:eastAsia="zh-CN" w:bidi="ar"/>
        </w:rPr>
        <w:t>4</w:t>
      </w:r>
      <w:r>
        <w:rPr>
          <w:rFonts w:hint="eastAsia" w:cs="Times New Roman"/>
          <w:color w:val="000000"/>
          <w:spacing w:val="0"/>
          <w:w w:val="100"/>
          <w:kern w:val="0"/>
          <w:position w:val="0"/>
          <w:sz w:val="24"/>
          <w:szCs w:val="24"/>
          <w:lang w:val="en-US" w:eastAsia="zh-CN" w:bidi="ar"/>
        </w:rPr>
        <w:t>.2</w:t>
      </w:r>
      <w:r>
        <w:rPr>
          <w:rFonts w:hint="default" w:ascii="Times New Roman" w:hAnsi="Times New Roman" w:eastAsia="宋体" w:cs="Times New Roman"/>
          <w:color w:val="000000"/>
          <w:spacing w:val="0"/>
          <w:w w:val="100"/>
          <w:kern w:val="0"/>
          <w:position w:val="0"/>
          <w:sz w:val="24"/>
          <w:szCs w:val="24"/>
          <w:lang w:val="en-US" w:eastAsia="zh-CN" w:bidi="ar"/>
        </w:rPr>
        <w:t>-</w:t>
      </w:r>
      <w:r>
        <w:rPr>
          <w:rFonts w:hint="eastAsia" w:cs="Times New Roman"/>
          <w:color w:val="000000"/>
          <w:spacing w:val="0"/>
          <w:w w:val="100"/>
          <w:kern w:val="0"/>
          <w:position w:val="0"/>
          <w:sz w:val="24"/>
          <w:szCs w:val="24"/>
          <w:lang w:val="en-US" w:eastAsia="zh-CN" w:bidi="ar"/>
        </w:rPr>
        <w:t>1</w:t>
      </w:r>
      <w:r>
        <w:rPr>
          <w:rFonts w:hint="default" w:ascii="Times New Roman" w:hAnsi="Times New Roman" w:eastAsia="宋体" w:cs="Times New Roman"/>
          <w:color w:val="000000"/>
          <w:spacing w:val="0"/>
          <w:w w:val="100"/>
          <w:kern w:val="0"/>
          <w:position w:val="0"/>
          <w:sz w:val="24"/>
          <w:szCs w:val="24"/>
          <w:lang w:val="en-US" w:eastAsia="zh-CN" w:bidi="ar"/>
        </w:rPr>
        <w:t>4</w:t>
      </w:r>
      <w:r>
        <w:rPr>
          <w:rFonts w:hint="eastAsia" w:ascii="Times New Roman" w:hAnsi="Times New Roman" w:eastAsia="宋体" w:cs="宋体"/>
          <w:color w:val="000000"/>
          <w:spacing w:val="0"/>
          <w:w w:val="100"/>
          <w:kern w:val="0"/>
          <w:position w:val="0"/>
          <w:sz w:val="24"/>
          <w:szCs w:val="24"/>
          <w:lang w:val="en-US" w:eastAsia="zh-CN" w:bidi="ar"/>
        </w:rPr>
        <w:t>监测结果可知，项目厂区内各点位土壤监测因子均符合《土壤环境质量建设用地土壤污染风险管控标准（试行）》</w:t>
      </w:r>
      <w:r>
        <w:rPr>
          <w:rFonts w:hint="default" w:ascii="Times New Roman" w:hAnsi="Times New Roman" w:eastAsia="宋体" w:cs="Times New Roman"/>
          <w:color w:val="000000"/>
          <w:spacing w:val="0"/>
          <w:w w:val="100"/>
          <w:kern w:val="0"/>
          <w:position w:val="0"/>
          <w:sz w:val="24"/>
          <w:szCs w:val="24"/>
          <w:lang w:val="en-US" w:eastAsia="zh-CN" w:bidi="ar"/>
        </w:rPr>
        <w:t>GB36600-2018</w:t>
      </w:r>
      <w:r>
        <w:rPr>
          <w:rFonts w:hint="eastAsia" w:ascii="Times New Roman" w:hAnsi="Times New Roman" w:eastAsia="宋体" w:cs="宋体"/>
          <w:color w:val="000000"/>
          <w:spacing w:val="0"/>
          <w:w w:val="100"/>
          <w:kern w:val="0"/>
          <w:position w:val="0"/>
          <w:sz w:val="24"/>
          <w:szCs w:val="24"/>
          <w:lang w:val="en-US" w:eastAsia="zh-CN" w:bidi="ar"/>
        </w:rPr>
        <w:t>第二类用地筛选值标准；综上，项目厂区及周边土壤环境质量现状较好。</w:t>
      </w:r>
    </w:p>
    <w:p>
      <w:pPr>
        <w:keepNext w:val="0"/>
        <w:keepLines w:val="0"/>
        <w:pageBreakBefore w:val="0"/>
        <w:widowControl/>
        <w:kinsoku/>
        <w:wordWrap/>
        <w:overflowPunct/>
        <w:topLinePunct w:val="0"/>
        <w:autoSpaceDE/>
        <w:autoSpaceDN/>
        <w:bidi w:val="0"/>
        <w:adjustRightInd w:val="0"/>
        <w:snapToGrid w:val="0"/>
        <w:spacing w:line="360" w:lineRule="auto"/>
        <w:ind w:left="0"/>
        <w:jc w:val="both"/>
        <w:textAlignment w:val="auto"/>
        <w:outlineLvl w:val="1"/>
        <w:rPr>
          <w:rFonts w:hint="default" w:ascii="Times New Roman" w:hAnsi="Times New Roman" w:eastAsia="宋体" w:cs="Times New Roman"/>
          <w:b/>
          <w:bCs/>
          <w:spacing w:val="0"/>
          <w:w w:val="100"/>
          <w:position w:val="0"/>
          <w:sz w:val="30"/>
          <w:szCs w:val="30"/>
          <w:lang w:val="en-US" w:eastAsia="zh-CN"/>
        </w:rPr>
      </w:pPr>
      <w:r>
        <w:rPr>
          <w:rFonts w:hint="default" w:ascii="Times New Roman" w:hAnsi="Times New Roman" w:eastAsia="宋体" w:cs="Times New Roman"/>
          <w:b/>
          <w:bCs/>
          <w:spacing w:val="0"/>
          <w:w w:val="100"/>
          <w:position w:val="0"/>
          <w:sz w:val="30"/>
          <w:szCs w:val="30"/>
          <w:lang w:val="en-US" w:eastAsia="zh-CN"/>
        </w:rPr>
        <w:t>4.3可门绿色纺织产业园概况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根据《连江可门绿色纺织产业园规划</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一期</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》，产业园规划概况简要介绍如下。</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4.3.1建设范围</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可门绿色纺织产业园（一期）用地面积为827.53亩，包括产业园用地及配套公用工程用地。产业园用地四至范围：东至瑞玻玻璃公司，西至申远新材料100万吨聚酰胺项目基地，北至申远新材料一般固体废物综合利用项目基地，南至横一路，规划用地面积约761.7亩。污水处理及配套公用工程用地：东至申远新材料一般固体废物综合利用项目基地，西至申远新材料100万吨聚酰胺项目基地，南至一期产业园用地，规划用地面积约65.83亩。</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可门绿色纺织产业园与可门经济开发区位置关系见图</w:t>
      </w:r>
      <w:r>
        <w:rPr>
          <w:rFonts w:ascii="Times New Roman" w:hAnsi="Times New Roman" w:eastAsia="宋体" w:cs="Times New Roman"/>
          <w:spacing w:val="0"/>
          <w:w w:val="100"/>
          <w:position w:val="0"/>
          <w:sz w:val="24"/>
          <w:szCs w:val="24"/>
        </w:rPr>
        <w:t>4.3-1</w:t>
      </w:r>
      <w:r>
        <w:rPr>
          <w:rFonts w:ascii="Times New Roman" w:hAnsi="Times New Roman" w:eastAsia="宋体" w:cs="宋体"/>
          <w:spacing w:val="0"/>
          <w:w w:val="100"/>
          <w:position w:val="0"/>
          <w:sz w:val="24"/>
          <w:szCs w:val="24"/>
        </w:rPr>
        <w:t>，可门绿色纺织产业园红线范围及周边情况见图</w:t>
      </w:r>
      <w:r>
        <w:rPr>
          <w:rFonts w:ascii="Times New Roman" w:hAnsi="Times New Roman" w:eastAsia="宋体" w:cs="Times New Roman"/>
          <w:spacing w:val="0"/>
          <w:w w:val="100"/>
          <w:position w:val="0"/>
          <w:sz w:val="24"/>
          <w:szCs w:val="24"/>
        </w:rPr>
        <w:t>4.3-2</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4.3.2产业定位</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把园区建设成为</w:t>
      </w:r>
      <w:r>
        <w:rPr>
          <w:rFonts w:hint="eastAsia" w:cs="宋体"/>
          <w:spacing w:val="0"/>
          <w:w w:val="100"/>
          <w:position w:val="0"/>
          <w:sz w:val="24"/>
          <w:szCs w:val="24"/>
          <w:lang w:eastAsia="zh-CN"/>
        </w:rPr>
        <w:t>“</w:t>
      </w:r>
      <w:r>
        <w:rPr>
          <w:rFonts w:ascii="Times New Roman" w:hAnsi="Times New Roman" w:eastAsia="宋体" w:cs="宋体"/>
          <w:spacing w:val="0"/>
          <w:w w:val="100"/>
          <w:position w:val="0"/>
          <w:sz w:val="24"/>
          <w:szCs w:val="24"/>
        </w:rPr>
        <w:t>技术水平先进、产业有序集中、公共设施共享、资源高效利用、环境优美清洁、生态良性循环</w:t>
      </w:r>
      <w:r>
        <w:rPr>
          <w:rFonts w:hint="eastAsia" w:cs="宋体"/>
          <w:spacing w:val="0"/>
          <w:w w:val="100"/>
          <w:position w:val="0"/>
          <w:sz w:val="24"/>
          <w:szCs w:val="24"/>
          <w:lang w:eastAsia="zh-CN"/>
        </w:rPr>
        <w:t>”</w:t>
      </w:r>
      <w:r>
        <w:rPr>
          <w:rFonts w:ascii="Times New Roman" w:hAnsi="Times New Roman" w:eastAsia="宋体" w:cs="宋体"/>
          <w:spacing w:val="0"/>
          <w:w w:val="100"/>
          <w:position w:val="0"/>
          <w:sz w:val="24"/>
          <w:szCs w:val="24"/>
        </w:rPr>
        <w:t>的特色园区，为福州地区的纺织业配套，成为福州乃至周边地区高端织造染整基地，成为国内有影响力的绿色纺织产业园。</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4.3.3规模目标</w:t>
      </w:r>
    </w:p>
    <w:p>
      <w:pPr>
        <w:keepNext w:val="0"/>
        <w:keepLines w:val="0"/>
        <w:pageBreakBefore w:val="0"/>
        <w:widowControl/>
        <w:kinsoku/>
        <w:wordWrap/>
        <w:overflowPunct/>
        <w:topLinePunct w:val="0"/>
        <w:autoSpaceDE/>
        <w:autoSpaceDN/>
        <w:bidi w:val="0"/>
        <w:adjustRightInd w:val="0"/>
        <w:snapToGrid w:val="0"/>
        <w:spacing w:line="360" w:lineRule="auto"/>
        <w:ind w:left="420" w:leftChars="200" w:right="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一期规划染整总规模</w:t>
      </w:r>
      <w:r>
        <w:rPr>
          <w:rFonts w:ascii="Times New Roman" w:hAnsi="Times New Roman" w:eastAsia="宋体" w:cs="Times New Roman"/>
          <w:spacing w:val="0"/>
          <w:w w:val="100"/>
          <w:position w:val="0"/>
          <w:sz w:val="24"/>
          <w:szCs w:val="24"/>
        </w:rPr>
        <w:t>18-25</w:t>
      </w:r>
      <w:r>
        <w:rPr>
          <w:rFonts w:ascii="Times New Roman" w:hAnsi="Times New Roman" w:eastAsia="宋体" w:cs="宋体"/>
          <w:spacing w:val="0"/>
          <w:w w:val="100"/>
          <w:position w:val="0"/>
          <w:sz w:val="24"/>
          <w:szCs w:val="24"/>
        </w:rPr>
        <w:t>万吨</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年，以锦纶化纤及交织针织物为主。</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4.3.4土地综合利用规划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）工业用地</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园区工业用地均为三类工业用地，面积约761.7亩。目前已根据拟入驻企业需求划分为十三个地块。见图4.3-3。</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）居住及商业服务用地</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园区规划总人口约4500人。每家企业内部分别设置食堂及办公等配套用房，商业服务借助园区周边现有商业。</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3</w:t>
      </w:r>
      <w:r>
        <w:rPr>
          <w:rFonts w:ascii="Times New Roman" w:hAnsi="Times New Roman" w:eastAsia="宋体" w:cs="宋体"/>
          <w:spacing w:val="0"/>
          <w:w w:val="100"/>
          <w:position w:val="0"/>
          <w:sz w:val="24"/>
          <w:szCs w:val="24"/>
        </w:rPr>
        <w:t>）道路与交通设施用地</w:t>
      </w:r>
    </w:p>
    <w:p>
      <w:pPr>
        <w:keepNext w:val="0"/>
        <w:keepLines w:val="0"/>
        <w:pageBreakBefore w:val="0"/>
        <w:widowControl/>
        <w:kinsoku/>
        <w:wordWrap/>
        <w:overflowPunct/>
        <w:topLinePunct w:val="0"/>
        <w:autoSpaceDE/>
        <w:autoSpaceDN/>
        <w:bidi w:val="0"/>
        <w:adjustRightInd w:val="0"/>
        <w:snapToGrid w:val="0"/>
        <w:spacing w:line="360" w:lineRule="auto"/>
        <w:ind w:left="420" w:leftChars="200" w:right="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道路交通设施用地主要包括园区主干道、次干道及交通场站用地等。</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4</w:t>
      </w:r>
      <w:r>
        <w:rPr>
          <w:rFonts w:ascii="Times New Roman" w:hAnsi="Times New Roman" w:eastAsia="宋体" w:cs="宋体"/>
          <w:spacing w:val="0"/>
          <w:w w:val="100"/>
          <w:position w:val="0"/>
          <w:sz w:val="24"/>
          <w:szCs w:val="24"/>
        </w:rPr>
        <w:t>）公用设施用地</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污水处理及配套公用工程用地：规划面积约</w:t>
      </w:r>
      <w:r>
        <w:rPr>
          <w:rFonts w:ascii="Times New Roman" w:hAnsi="Times New Roman" w:eastAsia="宋体" w:cs="Times New Roman"/>
          <w:spacing w:val="0"/>
          <w:w w:val="100"/>
          <w:position w:val="0"/>
          <w:sz w:val="24"/>
          <w:szCs w:val="24"/>
        </w:rPr>
        <w:t>65.83</w:t>
      </w:r>
      <w:r>
        <w:rPr>
          <w:rFonts w:ascii="Times New Roman" w:hAnsi="Times New Roman" w:eastAsia="宋体" w:cs="宋体"/>
          <w:spacing w:val="0"/>
          <w:w w:val="100"/>
          <w:position w:val="0"/>
          <w:sz w:val="24"/>
          <w:szCs w:val="24"/>
        </w:rPr>
        <w:t>亩。</w:t>
      </w:r>
    </w:p>
    <w:p>
      <w:pPr>
        <w:keepNext w:val="0"/>
        <w:keepLines w:val="0"/>
        <w:pageBreakBefore w:val="0"/>
        <w:widowControl/>
        <w:suppressLineNumbers w:val="0"/>
        <w:kinsoku/>
        <w:wordWrap/>
        <w:overflowPunct/>
        <w:topLinePunct w:val="0"/>
        <w:autoSpaceDE/>
        <w:autoSpaceDN/>
        <w:bidi w:val="0"/>
        <w:adjustRightInd w:val="0"/>
        <w:snapToGrid w:val="0"/>
        <w:jc w:val="center"/>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color w:val="000000"/>
          <w:spacing w:val="0"/>
          <w:w w:val="100"/>
          <w:kern w:val="0"/>
          <w:position w:val="0"/>
          <w:sz w:val="24"/>
          <w:szCs w:val="24"/>
          <w:lang w:val="en-US" w:eastAsia="zh-CN" w:bidi="ar"/>
        </w:rPr>
        <w:t>图4.3-1纺织产业园与可门经济开发区位置关系图</w:t>
      </w:r>
      <w:r>
        <w:rPr>
          <w:rFonts w:hint="eastAsia" w:cs="Times New Roman"/>
          <w:b/>
          <w:bCs/>
          <w:spacing w:val="0"/>
          <w:position w:val="0"/>
          <w:sz w:val="24"/>
          <w:szCs w:val="24"/>
          <w:lang w:val="en-US" w:eastAsia="zh-CN"/>
        </w:rPr>
        <w:t>（略）</w:t>
      </w:r>
    </w:p>
    <w:p>
      <w:pPr>
        <w:keepNext w:val="0"/>
        <w:keepLines w:val="0"/>
        <w:pageBreakBefore w:val="0"/>
        <w:widowControl/>
        <w:suppressLineNumbers w:val="0"/>
        <w:kinsoku/>
        <w:wordWrap/>
        <w:overflowPunct/>
        <w:topLinePunct w:val="0"/>
        <w:autoSpaceDE/>
        <w:autoSpaceDN/>
        <w:bidi w:val="0"/>
        <w:adjustRightInd w:val="0"/>
        <w:snapToGrid w:val="0"/>
        <w:jc w:val="center"/>
        <w:rPr>
          <w:rFonts w:ascii="Times New Roman" w:hAnsi="Times New Roman" w:eastAsia="宋体"/>
          <w:spacing w:val="0"/>
          <w:w w:val="100"/>
          <w:position w:val="0"/>
        </w:rPr>
      </w:pPr>
      <w:r>
        <w:rPr>
          <w:rFonts w:ascii="Times New Roman" w:hAnsi="Times New Roman" w:eastAsia="宋体" w:cs="黑体"/>
          <w:b/>
          <w:bCs/>
          <w:color w:val="000000"/>
          <w:spacing w:val="0"/>
          <w:w w:val="100"/>
          <w:kern w:val="0"/>
          <w:position w:val="0"/>
          <w:sz w:val="24"/>
          <w:szCs w:val="24"/>
          <w:lang w:val="en-US" w:eastAsia="zh-CN" w:bidi="ar"/>
        </w:rPr>
        <w:t>图</w:t>
      </w:r>
      <w:r>
        <w:rPr>
          <w:rFonts w:hint="default" w:ascii="Times New Roman" w:hAnsi="Times New Roman" w:eastAsia="宋体" w:cs="Times New Roman"/>
          <w:b/>
          <w:bCs/>
          <w:color w:val="000000"/>
          <w:spacing w:val="0"/>
          <w:w w:val="100"/>
          <w:kern w:val="0"/>
          <w:position w:val="0"/>
          <w:sz w:val="24"/>
          <w:szCs w:val="24"/>
          <w:lang w:val="en-US" w:eastAsia="zh-CN" w:bidi="ar"/>
        </w:rPr>
        <w:t>4.3-2</w:t>
      </w:r>
      <w:r>
        <w:rPr>
          <w:rFonts w:hint="eastAsia" w:ascii="Times New Roman" w:hAnsi="Times New Roman" w:eastAsia="宋体" w:cs="黑体"/>
          <w:b/>
          <w:bCs/>
          <w:color w:val="000000"/>
          <w:spacing w:val="0"/>
          <w:w w:val="100"/>
          <w:kern w:val="0"/>
          <w:position w:val="0"/>
          <w:sz w:val="24"/>
          <w:szCs w:val="24"/>
          <w:lang w:val="en-US" w:eastAsia="zh-CN" w:bidi="ar"/>
        </w:rPr>
        <w:t>可门绿色纺织产业园红线范围图</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eastAsia="宋体" w:cs="Times New Roman"/>
          <w:b/>
          <w:bCs/>
          <w:color w:val="000000"/>
          <w:spacing w:val="0"/>
          <w:kern w:val="0"/>
          <w:position w:val="0"/>
          <w:sz w:val="24"/>
          <w:szCs w:val="24"/>
          <w:lang w:val="en-US" w:eastAsia="zh-CN" w:bidi="ar"/>
        </w:rPr>
      </w:pPr>
      <w:r>
        <w:rPr>
          <w:rFonts w:hint="eastAsia" w:ascii="Times New Roman" w:hAnsi="Times New Roman" w:eastAsia="宋体" w:cs="Times New Roman"/>
          <w:b/>
          <w:bCs/>
          <w:color w:val="000000"/>
          <w:spacing w:val="0"/>
          <w:kern w:val="0"/>
          <w:position w:val="0"/>
          <w:sz w:val="24"/>
          <w:szCs w:val="24"/>
          <w:lang w:val="en-US" w:eastAsia="zh-CN" w:bidi="ar"/>
        </w:rPr>
        <w:t>图4.3-3可门绿色纺织产业园一期与本项目位置</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4.3.5功能分区</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综合考虑园区现状、用地条件、近中期建设重点、远期发展需求、主要交通流向等诸多因素，功能区域相对集中，物流相对顺畅便捷，各片区和地块以道路相连，以防护绿地、生态用地相隔。</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）工业生产区</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一期园区规划主入口位于用地南侧横一路上，一期用地北侧为污水处理区域，生产用地布置企业。各企业拟建设染色</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定型车间、织造车间、成品库</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包装、原料库、食堂</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办公、固废、地下回用水池</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地下应急用水池、地下污水池等建构筑物。</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）市政配套</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给排水、供热、供电、供气、道路、通讯、环境保护等基础设施建设。</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3</w:t>
      </w:r>
      <w:r>
        <w:rPr>
          <w:rFonts w:ascii="Times New Roman" w:hAnsi="Times New Roman" w:eastAsia="宋体" w:cs="宋体"/>
          <w:spacing w:val="0"/>
          <w:w w:val="100"/>
          <w:position w:val="0"/>
          <w:sz w:val="24"/>
          <w:szCs w:val="24"/>
        </w:rPr>
        <w:t>）园区交通</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设计环绕纺织产业园的路网结构，满足园区高效的对外交通要求。每家印染企业厂区内建筑周围设环行车道以解决交通疏散、物流运输和消防问题，宽度分别为</w:t>
      </w:r>
      <w:r>
        <w:rPr>
          <w:rFonts w:ascii="Times New Roman" w:hAnsi="Times New Roman" w:eastAsia="宋体" w:cs="Times New Roman"/>
          <w:spacing w:val="0"/>
          <w:w w:val="100"/>
          <w:position w:val="0"/>
          <w:sz w:val="24"/>
          <w:szCs w:val="24"/>
        </w:rPr>
        <w:t>10m</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8m</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6m</w:t>
      </w:r>
      <w:r>
        <w:rPr>
          <w:rFonts w:ascii="Times New Roman" w:hAnsi="Times New Roman" w:eastAsia="宋体" w:cs="宋体"/>
          <w:spacing w:val="0"/>
          <w:w w:val="100"/>
          <w:position w:val="0"/>
          <w:sz w:val="24"/>
          <w:szCs w:val="24"/>
        </w:rPr>
        <w:t>，道路为城市型，混凝土路面，最小</w:t>
      </w:r>
      <w:r>
        <w:rPr>
          <w:rFonts w:ascii="Times New Roman" w:hAnsi="Times New Roman" w:eastAsia="宋体" w:cs="宋体"/>
          <w:color w:val="000000"/>
          <w:spacing w:val="0"/>
          <w:w w:val="100"/>
          <w:position w:val="0"/>
          <w:sz w:val="24"/>
          <w:szCs w:val="24"/>
        </w:rPr>
        <w:t>纵坡不小于</w:t>
      </w:r>
      <w:r>
        <w:rPr>
          <w:rFonts w:ascii="Times New Roman" w:hAnsi="Times New Roman" w:eastAsia="宋体" w:cs="Times New Roman"/>
          <w:color w:val="000000"/>
          <w:spacing w:val="0"/>
          <w:w w:val="100"/>
          <w:position w:val="0"/>
          <w:sz w:val="24"/>
          <w:szCs w:val="24"/>
        </w:rPr>
        <w:t>0.3%</w:t>
      </w:r>
      <w:r>
        <w:rPr>
          <w:rFonts w:ascii="Times New Roman" w:hAnsi="Times New Roman" w:eastAsia="宋体" w:cs="宋体"/>
          <w:color w:val="000000"/>
          <w:spacing w:val="0"/>
          <w:w w:val="100"/>
          <w:position w:val="0"/>
          <w:sz w:val="24"/>
          <w:szCs w:val="24"/>
        </w:rPr>
        <w:t>。</w:t>
      </w:r>
      <w:r>
        <w:rPr>
          <w:rFonts w:ascii="Times New Roman" w:hAnsi="Times New Roman" w:eastAsia="宋体" w:cs="宋体"/>
          <w:spacing w:val="0"/>
          <w:w w:val="100"/>
          <w:position w:val="0"/>
          <w:sz w:val="24"/>
          <w:szCs w:val="24"/>
        </w:rPr>
        <w:t>整个道路网结构清晰、有效，能较好地保证厂区内生产、生活、物流、消防等功能的通畅运转。</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outlineLvl w:val="2"/>
        <w:rPr>
          <w:rFonts w:hint="default" w:ascii="Times New Roman" w:hAnsi="Times New Roman" w:eastAsia="宋体" w:cs="Times New Roman"/>
          <w:b/>
          <w:bCs/>
          <w:spacing w:val="0"/>
          <w:w w:val="100"/>
          <w:position w:val="0"/>
          <w:sz w:val="28"/>
          <w:szCs w:val="28"/>
          <w:lang w:val="en-US" w:eastAsia="zh-CN"/>
        </w:rPr>
      </w:pPr>
      <w:r>
        <w:rPr>
          <w:rFonts w:hint="default" w:ascii="Times New Roman" w:hAnsi="Times New Roman" w:eastAsia="宋体" w:cs="Times New Roman"/>
          <w:b/>
          <w:bCs/>
          <w:spacing w:val="0"/>
          <w:w w:val="100"/>
          <w:position w:val="0"/>
          <w:sz w:val="28"/>
          <w:szCs w:val="28"/>
          <w:lang w:val="en-US" w:eastAsia="zh-CN"/>
        </w:rPr>
        <w:t>4.3.6园区基础设施规划</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outlineLvl w:val="3"/>
        <w:rPr>
          <w:rFonts w:hint="default" w:ascii="Times New Roman" w:hAnsi="Times New Roman" w:eastAsia="宋体" w:cs="Times New Roman"/>
          <w:b/>
          <w:bCs/>
          <w:color w:val="000000"/>
          <w:spacing w:val="0"/>
          <w:w w:val="100"/>
          <w:kern w:val="0"/>
          <w:position w:val="0"/>
          <w:sz w:val="24"/>
          <w:szCs w:val="24"/>
          <w:lang w:val="en-US" w:eastAsia="zh-CN" w:bidi="ar"/>
        </w:rPr>
      </w:pPr>
      <w:r>
        <w:rPr>
          <w:rFonts w:hint="default" w:ascii="Times New Roman" w:hAnsi="Times New Roman" w:eastAsia="宋体" w:cs="Times New Roman"/>
          <w:b/>
          <w:bCs/>
          <w:color w:val="000000"/>
          <w:spacing w:val="0"/>
          <w:w w:val="100"/>
          <w:kern w:val="0"/>
          <w:position w:val="0"/>
          <w:sz w:val="24"/>
          <w:szCs w:val="24"/>
          <w:lang w:val="en-US" w:eastAsia="zh-CN" w:bidi="ar"/>
        </w:rPr>
        <w:fldChar w:fldCharType="begin"/>
      </w:r>
      <w:r>
        <w:rPr>
          <w:rFonts w:hint="default" w:ascii="Times New Roman" w:hAnsi="Times New Roman" w:eastAsia="宋体" w:cs="Times New Roman"/>
          <w:b/>
          <w:bCs/>
          <w:color w:val="000000"/>
          <w:spacing w:val="0"/>
          <w:w w:val="100"/>
          <w:kern w:val="0"/>
          <w:position w:val="0"/>
          <w:sz w:val="24"/>
          <w:szCs w:val="24"/>
          <w:lang w:val="en-US" w:eastAsia="zh-CN" w:bidi="ar"/>
        </w:rPr>
        <w:instrText xml:space="preserve"> HYPERLINK "4.3.6.1" </w:instrText>
      </w:r>
      <w:r>
        <w:rPr>
          <w:rFonts w:hint="default" w:ascii="Times New Roman" w:hAnsi="Times New Roman" w:eastAsia="宋体" w:cs="Times New Roman"/>
          <w:b/>
          <w:bCs/>
          <w:color w:val="000000"/>
          <w:spacing w:val="0"/>
          <w:w w:val="100"/>
          <w:kern w:val="0"/>
          <w:position w:val="0"/>
          <w:sz w:val="24"/>
          <w:szCs w:val="24"/>
          <w:lang w:val="en-US" w:eastAsia="zh-CN" w:bidi="ar"/>
        </w:rPr>
        <w:fldChar w:fldCharType="separate"/>
      </w:r>
      <w:r>
        <w:rPr>
          <w:rFonts w:hint="default" w:ascii="Times New Roman" w:hAnsi="Times New Roman" w:eastAsia="宋体" w:cs="Times New Roman"/>
          <w:b/>
          <w:bCs/>
          <w:color w:val="000000"/>
          <w:spacing w:val="0"/>
          <w:w w:val="100"/>
          <w:kern w:val="0"/>
          <w:position w:val="0"/>
          <w:sz w:val="24"/>
          <w:szCs w:val="24"/>
          <w:lang w:val="en-US" w:eastAsia="zh-CN" w:bidi="ar"/>
        </w:rPr>
        <w:t>4.3.6.1</w:t>
      </w:r>
      <w:r>
        <w:rPr>
          <w:rFonts w:hint="default" w:ascii="Times New Roman" w:hAnsi="Times New Roman" w:eastAsia="宋体" w:cs="Times New Roman"/>
          <w:b/>
          <w:bCs/>
          <w:color w:val="000000"/>
          <w:spacing w:val="0"/>
          <w:w w:val="100"/>
          <w:kern w:val="0"/>
          <w:position w:val="0"/>
          <w:sz w:val="24"/>
          <w:szCs w:val="24"/>
          <w:lang w:val="en-US" w:eastAsia="zh-CN" w:bidi="ar"/>
        </w:rPr>
        <w:fldChar w:fldCharType="end"/>
      </w:r>
      <w:r>
        <w:rPr>
          <w:rFonts w:hint="default" w:ascii="Times New Roman" w:hAnsi="Times New Roman" w:eastAsia="宋体" w:cs="Times New Roman"/>
          <w:b/>
          <w:bCs/>
          <w:color w:val="000000"/>
          <w:spacing w:val="0"/>
          <w:w w:val="100"/>
          <w:kern w:val="0"/>
          <w:position w:val="0"/>
          <w:sz w:val="24"/>
          <w:szCs w:val="24"/>
          <w:lang w:val="en-US" w:eastAsia="zh-CN" w:bidi="ar"/>
        </w:rPr>
        <w:t>给水工程规划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）水源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印染产业园生产用水取自塘坂引水工程，生活办公用水由金狮溪水厂统一供水。供水压力保证用户接管点处服务水头</w:t>
      </w:r>
      <w:r>
        <w:rPr>
          <w:rFonts w:ascii="Times New Roman" w:hAnsi="Times New Roman" w:eastAsia="宋体" w:cs="Times New Roman"/>
          <w:spacing w:val="0"/>
          <w:w w:val="100"/>
          <w:position w:val="0"/>
          <w:sz w:val="24"/>
          <w:szCs w:val="24"/>
        </w:rPr>
        <w:t>0.28MPa</w:t>
      </w:r>
      <w:r>
        <w:rPr>
          <w:rFonts w:ascii="Times New Roman" w:hAnsi="Times New Roman" w:eastAsia="宋体" w:cs="宋体"/>
          <w:spacing w:val="0"/>
          <w:w w:val="100"/>
          <w:position w:val="0"/>
          <w:sz w:val="24"/>
          <w:szCs w:val="24"/>
        </w:rPr>
        <w:t>以上。用水量结合生产用水及生活用水估算新鲜用水量为</w:t>
      </w:r>
      <w:r>
        <w:rPr>
          <w:rFonts w:ascii="Times New Roman" w:hAnsi="Times New Roman" w:eastAsia="宋体" w:cs="Times New Roman"/>
          <w:color w:val="FF0000"/>
          <w:spacing w:val="0"/>
          <w:w w:val="100"/>
          <w:position w:val="0"/>
          <w:sz w:val="24"/>
          <w:szCs w:val="24"/>
        </w:rPr>
        <w:t>3.5</w:t>
      </w:r>
      <w:r>
        <w:rPr>
          <w:rFonts w:ascii="Times New Roman" w:hAnsi="Times New Roman" w:eastAsia="宋体" w:cs="宋体"/>
          <w:spacing w:val="0"/>
          <w:w w:val="100"/>
          <w:position w:val="0"/>
          <w:sz w:val="24"/>
          <w:szCs w:val="24"/>
        </w:rPr>
        <w:t>万</w:t>
      </w:r>
      <w:r>
        <w:rPr>
          <w:rFonts w:ascii="Times New Roman" w:hAnsi="Times New Roman" w:eastAsia="宋体" w:cs="Times New Roman"/>
          <w:spacing w:val="0"/>
          <w:w w:val="100"/>
          <w:position w:val="0"/>
          <w:sz w:val="24"/>
          <w:szCs w:val="24"/>
        </w:rPr>
        <w:t>t/d</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）给水系统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园区内工业用水从市政接入规划园区后环状布置，送至各地块用水点，各企业可根据需要进行软化处理后接入用水点。自来水从市政自来水管网上接入，并在管网上设置室外消火栓。在规划园区内设置消防水池和泵房，管网环状布置，供给各地块消防和喷淋系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规划园区给水共有</w:t>
      </w:r>
      <w:r>
        <w:rPr>
          <w:rFonts w:ascii="Times New Roman" w:hAnsi="Times New Roman" w:eastAsia="宋体" w:cs="Times New Roman"/>
          <w:spacing w:val="0"/>
          <w:w w:val="100"/>
          <w:position w:val="0"/>
          <w:sz w:val="24"/>
          <w:szCs w:val="24"/>
        </w:rPr>
        <w:t>4</w:t>
      </w:r>
      <w:r>
        <w:rPr>
          <w:rFonts w:ascii="Times New Roman" w:hAnsi="Times New Roman" w:eastAsia="宋体" w:cs="宋体"/>
          <w:spacing w:val="0"/>
          <w:w w:val="100"/>
          <w:position w:val="0"/>
          <w:sz w:val="24"/>
          <w:szCs w:val="24"/>
        </w:rPr>
        <w:t>个系统：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宋体"/>
          <w:spacing w:val="0"/>
          <w:w w:val="100"/>
          <w:position w:val="0"/>
          <w:sz w:val="24"/>
          <w:szCs w:val="24"/>
          <w:lang w:eastAsia="zh-CN"/>
        </w:rPr>
      </w:pPr>
      <w:r>
        <w:rPr>
          <w:rFonts w:ascii="Times New Roman" w:hAnsi="Times New Roman" w:eastAsia="宋体" w:cs="宋体"/>
          <w:spacing w:val="0"/>
          <w:w w:val="100"/>
          <w:position w:val="0"/>
          <w:sz w:val="24"/>
          <w:szCs w:val="24"/>
        </w:rPr>
        <w:t>①自来水</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生活用水和市政消火栓用水</w:t>
      </w:r>
      <w:r>
        <w:rPr>
          <w:rFonts w:hint="eastAsia" w:cs="宋体"/>
          <w:spacing w:val="0"/>
          <w:w w:val="10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eastAsia" w:cs="宋体"/>
          <w:spacing w:val="0"/>
          <w:w w:val="100"/>
          <w:position w:val="0"/>
          <w:sz w:val="24"/>
          <w:szCs w:val="24"/>
          <w:lang w:val="en-US" w:eastAsia="zh-CN"/>
        </w:rPr>
      </w:pPr>
      <w:r>
        <w:rPr>
          <w:rFonts w:ascii="Times New Roman" w:hAnsi="Times New Roman" w:eastAsia="宋体" w:cs="宋体"/>
          <w:spacing w:val="0"/>
          <w:w w:val="100"/>
          <w:position w:val="0"/>
          <w:sz w:val="24"/>
          <w:szCs w:val="24"/>
        </w:rPr>
        <w:t>②自来水</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消防水池</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消防泵供给各地块室内外消防用</w:t>
      </w:r>
      <w:r>
        <w:rPr>
          <w:rFonts w:hint="eastAsia" w:cs="宋体"/>
          <w:spacing w:val="0"/>
          <w:w w:val="100"/>
          <w:position w:val="0"/>
          <w:sz w:val="24"/>
          <w:szCs w:val="24"/>
          <w:lang w:val="en-US" w:eastAsia="zh-CN"/>
        </w:rPr>
        <w:t>水；</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ascii="Times New Roman" w:hAnsi="Times New Roman" w:eastAsia="宋体" w:cs="宋体"/>
          <w:spacing w:val="0"/>
          <w:w w:val="100"/>
          <w:position w:val="0"/>
          <w:sz w:val="24"/>
          <w:szCs w:val="24"/>
          <w:lang w:eastAsia="zh-CN"/>
        </w:rPr>
      </w:pPr>
      <w:r>
        <w:rPr>
          <w:rFonts w:ascii="Times New Roman" w:hAnsi="Times New Roman" w:eastAsia="宋体" w:cs="宋体"/>
          <w:spacing w:val="0"/>
          <w:w w:val="100"/>
          <w:position w:val="0"/>
          <w:sz w:val="24"/>
          <w:szCs w:val="24"/>
        </w:rPr>
        <w:t>③自来水</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消防水池</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喷淋泵供给各地块室内喷淋用水</w:t>
      </w:r>
      <w:r>
        <w:rPr>
          <w:rFonts w:hint="eastAsia" w:cs="宋体"/>
          <w:spacing w:val="0"/>
          <w:w w:val="10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ascii="Times New Roman" w:hAnsi="Times New Roman" w:eastAsia="宋体" w:cs="宋体"/>
          <w:spacing w:val="0"/>
          <w:w w:val="100"/>
          <w:position w:val="0"/>
          <w:sz w:val="24"/>
          <w:szCs w:val="24"/>
          <w:lang w:eastAsia="zh-CN"/>
        </w:rPr>
      </w:pPr>
      <w:r>
        <w:rPr>
          <w:rFonts w:ascii="Times New Roman" w:hAnsi="Times New Roman" w:eastAsia="宋体" w:cs="宋体"/>
          <w:spacing w:val="0"/>
          <w:w w:val="100"/>
          <w:position w:val="0"/>
          <w:sz w:val="24"/>
          <w:szCs w:val="24"/>
        </w:rPr>
        <w:t>④工业用水</w:t>
      </w:r>
      <w:r>
        <w:rPr>
          <w:rFonts w:hint="eastAsia" w:cs="宋体"/>
          <w:spacing w:val="0"/>
          <w:w w:val="100"/>
          <w:position w:val="0"/>
          <w:sz w:val="24"/>
          <w:szCs w:val="24"/>
          <w:lang w:val="en-US" w:eastAsia="zh-CN"/>
        </w:rPr>
        <w:t>→</w:t>
      </w:r>
      <w:r>
        <w:rPr>
          <w:rFonts w:ascii="Times New Roman" w:hAnsi="Times New Roman" w:eastAsia="宋体" w:cs="宋体"/>
          <w:spacing w:val="0"/>
          <w:w w:val="100"/>
          <w:position w:val="0"/>
          <w:sz w:val="24"/>
          <w:szCs w:val="24"/>
        </w:rPr>
        <w:t>生产用水</w:t>
      </w:r>
      <w:r>
        <w:rPr>
          <w:rFonts w:hint="eastAsia" w:cs="宋体"/>
          <w:spacing w:val="0"/>
          <w:w w:val="10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规划园区市政消火栓用水由园区自来水管网提供；各地块消防用水由本规划园区新建消防水池及泵房统一供给。</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ascii="Times New Roman" w:hAnsi="Times New Roman" w:eastAsia="宋体" w:cs="宋体"/>
          <w:spacing w:val="0"/>
          <w:w w:val="100"/>
          <w:kern w:val="2"/>
          <w:position w:val="0"/>
          <w:sz w:val="24"/>
          <w:szCs w:val="24"/>
          <w:lang w:val="en-US" w:eastAsia="zh-CN" w:bidi="ar-SA"/>
        </w:rPr>
        <w:t>（3）</w:t>
      </w:r>
      <w:r>
        <w:rPr>
          <w:rFonts w:hint="eastAsia" w:cs="宋体"/>
          <w:spacing w:val="0"/>
          <w:w w:val="100"/>
          <w:position w:val="0"/>
          <w:sz w:val="24"/>
          <w:szCs w:val="24"/>
          <w:lang w:val="en-US" w:eastAsia="zh-CN"/>
        </w:rPr>
        <w:t>给水管网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a.工业用水、自来水和消防给水干管管道均在园区内环状布置，规划至市政主、次干道，主干道上布置主干管，次干道上布置次干管，其管径分别根据各企业用水接管需要确定。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b.园区给水管道充分利用室外管架，有管架处在管架上敷设，并做好保温隔热措施，无管架处埋地敷设，管顶覆土深度一般为地面下0.7~1.0m。</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c.园区室外埋地给水管采用孔网钢骨架聚乙烯复合管，电热熔连接。架空给水管采用内外壁热浸镀锌钢管，法兰或沟槽式卡箍连接。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d.生产用水应循环复用，以提高水的重复利用率。</w:t>
      </w:r>
    </w:p>
    <w:p>
      <w:pPr>
        <w:keepNext w:val="0"/>
        <w:keepLines w:val="0"/>
        <w:pageBreakBefore w:val="0"/>
        <w:widowControl/>
        <w:kinsoku/>
        <w:wordWrap/>
        <w:overflowPunct/>
        <w:topLinePunct w:val="0"/>
        <w:autoSpaceDE/>
        <w:autoSpaceDN/>
        <w:bidi w:val="0"/>
        <w:adjustRightInd w:val="0"/>
        <w:snapToGrid w:val="0"/>
        <w:spacing w:line="360" w:lineRule="auto"/>
        <w:ind w:left="0" w:right="0"/>
        <w:jc w:val="both"/>
        <w:textAlignment w:val="auto"/>
        <w:outlineLvl w:val="3"/>
        <w:rPr>
          <w:rFonts w:ascii="Times New Roman" w:hAnsi="Times New Roman" w:eastAsia="宋体" w:cs="黑体"/>
          <w:spacing w:val="0"/>
          <w:w w:val="100"/>
          <w:position w:val="0"/>
          <w:sz w:val="24"/>
          <w:szCs w:val="24"/>
        </w:rPr>
      </w:pPr>
      <w:r>
        <w:rPr>
          <w:rFonts w:ascii="Times New Roman" w:hAnsi="Times New Roman" w:eastAsia="宋体"/>
          <w:b/>
          <w:bCs/>
          <w:spacing w:val="0"/>
          <w:w w:val="100"/>
          <w:position w:val="0"/>
          <w:sz w:val="24"/>
        </w:rPr>
        <w:fldChar w:fldCharType="begin"/>
      </w:r>
      <w:r>
        <w:rPr>
          <w:rFonts w:ascii="Times New Roman" w:hAnsi="Times New Roman" w:eastAsia="宋体"/>
          <w:b/>
          <w:bCs/>
          <w:spacing w:val="0"/>
          <w:w w:val="100"/>
          <w:position w:val="0"/>
          <w:sz w:val="24"/>
        </w:rPr>
        <w:instrText xml:space="preserve"> HYPERLINK "4.3.6.2" </w:instrText>
      </w:r>
      <w:r>
        <w:rPr>
          <w:rFonts w:ascii="Times New Roman" w:hAnsi="Times New Roman" w:eastAsia="宋体"/>
          <w:b/>
          <w:bCs/>
          <w:spacing w:val="0"/>
          <w:w w:val="100"/>
          <w:position w:val="0"/>
          <w:sz w:val="24"/>
        </w:rPr>
        <w:fldChar w:fldCharType="separate"/>
      </w:r>
      <w:r>
        <w:rPr>
          <w:rFonts w:ascii="Times New Roman" w:hAnsi="Times New Roman" w:eastAsia="宋体" w:cs="Times New Roman"/>
          <w:b/>
          <w:bCs/>
          <w:spacing w:val="0"/>
          <w:w w:val="100"/>
          <w:position w:val="0"/>
          <w:sz w:val="24"/>
          <w:szCs w:val="24"/>
        </w:rPr>
        <w:t>4.3.6.2</w:t>
      </w:r>
      <w:r>
        <w:rPr>
          <w:rFonts w:ascii="Times New Roman" w:hAnsi="Times New Roman" w:eastAsia="宋体" w:cs="Times New Roman"/>
          <w:b/>
          <w:bCs/>
          <w:spacing w:val="0"/>
          <w:w w:val="100"/>
          <w:position w:val="0"/>
          <w:sz w:val="24"/>
          <w:szCs w:val="24"/>
        </w:rPr>
        <w:fldChar w:fldCharType="end"/>
      </w:r>
      <w:r>
        <w:rPr>
          <w:rFonts w:ascii="Times New Roman" w:hAnsi="Times New Roman" w:eastAsia="宋体" w:cs="黑体"/>
          <w:b/>
          <w:bCs/>
          <w:spacing w:val="0"/>
          <w:w w:val="100"/>
          <w:position w:val="0"/>
          <w:sz w:val="24"/>
          <w:szCs w:val="24"/>
        </w:rPr>
        <w:t>排水工程规划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）排水方式</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①排水体制采用雨污分流制和清污分流制（高、低浓度污水分流）。</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②在各地块内设置高、低浓度污水收集池，并在排放口设置在线监测设施，通过泵排至产业园区污水总管网，经产业园污水处理厂处理达到一级</w:t>
      </w:r>
      <w:r>
        <w:rPr>
          <w:rFonts w:ascii="Times New Roman" w:hAnsi="Times New Roman" w:eastAsia="宋体" w:cs="Times New Roman"/>
          <w:spacing w:val="0"/>
          <w:w w:val="100"/>
          <w:position w:val="0"/>
          <w:sz w:val="24"/>
          <w:szCs w:val="24"/>
        </w:rPr>
        <w:t>A</w:t>
      </w:r>
      <w:r>
        <w:rPr>
          <w:rFonts w:ascii="Times New Roman" w:hAnsi="Times New Roman" w:eastAsia="宋体" w:cs="宋体"/>
          <w:spacing w:val="0"/>
          <w:w w:val="100"/>
          <w:position w:val="0"/>
          <w:sz w:val="24"/>
          <w:szCs w:val="24"/>
        </w:rPr>
        <w:t>标后接入湾外排放口外排。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③雨水系统根据区域规划布局、地形，结合竖向规划和城市受纳雨水的位置，按就近分散原则排入周围发达的规划水系，雨水排至园区西侧水系。雨水管道埋地，总平面规划见图4.3-4。污水管道走管廊，总平面规划见图4.3-5。</w:t>
      </w:r>
    </w:p>
    <w:p>
      <w:pPr>
        <w:keepNext w:val="0"/>
        <w:keepLines w:val="0"/>
        <w:pageBreakBefore w:val="0"/>
        <w:widowControl/>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（2）污水处理站</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规划于产业园一期北侧建设一座污水处理站，规模为5.5万t/d。污水站分低污废水和高污废水处置。污水处理达到一级A标后接入湾外排放口外排。</w:t>
      </w:r>
    </w:p>
    <w:p>
      <w:pPr>
        <w:keepNext w:val="0"/>
        <w:keepLines w:val="0"/>
        <w:pageBreakBefore w:val="0"/>
        <w:widowControl/>
        <w:kinsoku/>
        <w:wordWrap/>
        <w:overflowPunct/>
        <w:topLinePunct w:val="0"/>
        <w:autoSpaceDE/>
        <w:autoSpaceDN/>
        <w:bidi w:val="0"/>
        <w:adjustRightInd w:val="0"/>
        <w:snapToGrid w:val="0"/>
        <w:spacing w:line="360" w:lineRule="auto"/>
        <w:ind w:left="0" w:right="0"/>
        <w:jc w:val="both"/>
        <w:textAlignment w:val="auto"/>
        <w:outlineLvl w:val="3"/>
        <w:rPr>
          <w:rFonts w:ascii="Times New Roman" w:hAnsi="Times New Roman" w:eastAsia="宋体" w:cs="黑体"/>
          <w:spacing w:val="0"/>
          <w:w w:val="100"/>
          <w:position w:val="0"/>
          <w:sz w:val="24"/>
          <w:szCs w:val="24"/>
        </w:rPr>
      </w:pPr>
      <w:r>
        <w:rPr>
          <w:rFonts w:ascii="Times New Roman" w:hAnsi="Times New Roman" w:eastAsia="宋体"/>
          <w:b/>
          <w:bCs/>
          <w:spacing w:val="0"/>
          <w:w w:val="100"/>
          <w:position w:val="0"/>
          <w:sz w:val="24"/>
        </w:rPr>
        <w:fldChar w:fldCharType="begin"/>
      </w:r>
      <w:r>
        <w:rPr>
          <w:rFonts w:ascii="Times New Roman" w:hAnsi="Times New Roman" w:eastAsia="宋体"/>
          <w:b/>
          <w:bCs/>
          <w:spacing w:val="0"/>
          <w:w w:val="100"/>
          <w:position w:val="0"/>
          <w:sz w:val="24"/>
        </w:rPr>
        <w:instrText xml:space="preserve"> HYPERLINK "4.3.6.2" </w:instrText>
      </w:r>
      <w:r>
        <w:rPr>
          <w:rFonts w:ascii="Times New Roman" w:hAnsi="Times New Roman" w:eastAsia="宋体"/>
          <w:b/>
          <w:bCs/>
          <w:spacing w:val="0"/>
          <w:w w:val="100"/>
          <w:position w:val="0"/>
          <w:sz w:val="24"/>
        </w:rPr>
        <w:fldChar w:fldCharType="separate"/>
      </w:r>
      <w:r>
        <w:rPr>
          <w:rFonts w:ascii="Times New Roman" w:hAnsi="Times New Roman" w:eastAsia="宋体" w:cs="Times New Roman"/>
          <w:b/>
          <w:bCs/>
          <w:spacing w:val="0"/>
          <w:w w:val="100"/>
          <w:position w:val="0"/>
          <w:sz w:val="24"/>
          <w:szCs w:val="24"/>
        </w:rPr>
        <w:t>4.3.6.2</w:t>
      </w:r>
      <w:r>
        <w:rPr>
          <w:rFonts w:ascii="Times New Roman" w:hAnsi="Times New Roman" w:eastAsia="宋体" w:cs="Times New Roman"/>
          <w:b/>
          <w:bCs/>
          <w:spacing w:val="0"/>
          <w:w w:val="100"/>
          <w:position w:val="0"/>
          <w:sz w:val="24"/>
          <w:szCs w:val="24"/>
        </w:rPr>
        <w:fldChar w:fldCharType="end"/>
      </w:r>
      <w:r>
        <w:rPr>
          <w:rFonts w:hint="eastAsia" w:cs="Times New Roman"/>
          <w:b/>
          <w:bCs/>
          <w:spacing w:val="0"/>
          <w:w w:val="100"/>
          <w:position w:val="0"/>
          <w:sz w:val="24"/>
          <w:szCs w:val="24"/>
          <w:lang w:val="en-US" w:eastAsia="zh-CN"/>
        </w:rPr>
        <w:t>供热</w:t>
      </w:r>
      <w:r>
        <w:rPr>
          <w:rFonts w:ascii="Times New Roman" w:hAnsi="Times New Roman" w:eastAsia="宋体" w:cs="黑体"/>
          <w:b/>
          <w:bCs/>
          <w:spacing w:val="0"/>
          <w:w w:val="100"/>
          <w:position w:val="0"/>
          <w:sz w:val="24"/>
          <w:szCs w:val="24"/>
        </w:rPr>
        <w:t>工程规划</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eastAsia="宋体" w:cs="宋体"/>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rPr>
        <w:t>本园区定型及染色工艺生产以及织造空调需使用蒸汽，一期蒸汽用量136.8t/h。</w:t>
      </w:r>
      <w:r>
        <w:rPr>
          <w:rFonts w:ascii="Times New Roman" w:hAnsi="Times New Roman" w:eastAsia="宋体" w:cs="宋体"/>
          <w:spacing w:val="0"/>
          <w:w w:val="100"/>
          <w:position w:val="0"/>
          <w:sz w:val="24"/>
          <w:szCs w:val="24"/>
        </w:rPr>
        <w:t>规划热源设置在福建申远新材料有限公司，由申远公司锅炉及化工装置产生的余热蒸汽对纺织产业园企业实施集中供热，富余蒸汽量162.4t/h可满足产业园要求</w:t>
      </w:r>
      <w:r>
        <w:rPr>
          <w:rFonts w:hint="eastAsia" w:cs="宋体"/>
          <w:spacing w:val="0"/>
          <w:w w:val="100"/>
          <w:positio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center"/>
        <w:textAlignment w:val="auto"/>
        <w:rPr>
          <w:rFonts w:hint="eastAsia" w:eastAsia="宋体" w:cs="宋体"/>
          <w:spacing w:val="0"/>
          <w:w w:val="100"/>
          <w:position w:val="0"/>
          <w:sz w:val="24"/>
          <w:szCs w:val="24"/>
          <w:lang w:val="en-US" w:eastAsia="zh-CN"/>
        </w:rPr>
      </w:pPr>
      <w:r>
        <w:rPr>
          <w:rFonts w:hint="default" w:ascii="Times New Roman" w:hAnsi="Times New Roman" w:eastAsia="宋体" w:cs="Times New Roman"/>
          <w:b/>
          <w:bCs/>
          <w:color w:val="auto"/>
          <w:spacing w:val="0"/>
          <w:w w:val="100"/>
          <w:position w:val="0"/>
          <w:sz w:val="24"/>
          <w:szCs w:val="24"/>
        </w:rPr>
        <w:t>图4.3-4可门绿色纺织产业园埋地雨水管道总平面规划</w:t>
      </w:r>
      <w:r>
        <w:rPr>
          <w:rFonts w:hint="eastAsia" w:cs="Times New Roman"/>
          <w:b/>
          <w:bCs/>
          <w:color w:val="auto"/>
          <w:spacing w:val="0"/>
          <w:w w:val="100"/>
          <w:position w:val="0"/>
          <w:sz w:val="24"/>
          <w:szCs w:val="24"/>
          <w:lang w:val="en-US" w:eastAsia="zh-CN"/>
        </w:rPr>
        <w:t>图</w:t>
      </w:r>
      <w:r>
        <w:rPr>
          <w:rFonts w:hint="eastAsia" w:cs="Times New Roman"/>
          <w:b/>
          <w:bCs/>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center"/>
        <w:textAlignment w:val="auto"/>
        <w:rPr>
          <w:rFonts w:hint="eastAsia" w:eastAsia="宋体" w:cs="宋体"/>
          <w:spacing w:val="0"/>
          <w:w w:val="100"/>
          <w:position w:val="0"/>
          <w:sz w:val="24"/>
          <w:szCs w:val="24"/>
          <w:lang w:val="en-US" w:eastAsia="zh-CN"/>
        </w:rPr>
      </w:pPr>
      <w:r>
        <w:rPr>
          <w:rFonts w:hint="default" w:ascii="Times New Roman" w:hAnsi="Times New Roman" w:eastAsia="宋体" w:cs="Times New Roman"/>
          <w:b/>
          <w:bCs/>
          <w:spacing w:val="0"/>
          <w:w w:val="100"/>
          <w:position w:val="0"/>
          <w:sz w:val="24"/>
          <w:szCs w:val="24"/>
        </w:rPr>
        <w:t>图4.3-5可门绿色纺织产业园一期管廊污水管道总平面规划</w:t>
      </w:r>
      <w:r>
        <w:rPr>
          <w:rFonts w:hint="eastAsia" w:cs="Times New Roman"/>
          <w:b/>
          <w:bCs/>
          <w:spacing w:val="0"/>
          <w:w w:val="100"/>
          <w:position w:val="0"/>
          <w:sz w:val="24"/>
          <w:szCs w:val="24"/>
          <w:lang w:val="en-US" w:eastAsia="zh-CN"/>
        </w:rPr>
        <w:t>图</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ascii="Times New Roman" w:hAnsi="Times New Roman" w:eastAsia="宋体" w:cs="黑体"/>
          <w:spacing w:val="0"/>
          <w:w w:val="100"/>
          <w:position w:val="0"/>
          <w:sz w:val="24"/>
          <w:szCs w:val="24"/>
        </w:rPr>
      </w:pPr>
      <w:r>
        <w:rPr>
          <w:rFonts w:hint="default" w:ascii="Times New Roman" w:hAnsi="Times New Roman" w:eastAsia="宋体" w:cs="Times New Roman"/>
          <w:b/>
          <w:bCs/>
          <w:spacing w:val="0"/>
          <w:w w:val="100"/>
          <w:position w:val="0"/>
          <w:sz w:val="24"/>
          <w:szCs w:val="24"/>
        </w:rPr>
        <w:t>图4.3-7可门绿色纺织产业园低压蒸汽管网图</w:t>
      </w:r>
      <w:r>
        <w:rPr>
          <w:rFonts w:hint="eastAsia" w:cs="Times New Roman"/>
          <w:b/>
          <w:bCs/>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规划热源已由福建省连江县可门经济开发区管理委员会组织编制《可门港经济区（一期）供热专项规划（2021年-2030年）》进行论证，并由连江县人民政府于2021年10月20日批复，《供热规划》审查意见指出：根据可门港经济区（一期）的发展以及可门港经济区（一期）化工园区对供热双回路、安全性、稳定性等的要求，对福建申远新材料有限公司的锅炉及化工装置产生的余热蒸汽进行综合利用，构建申远新材料一体化产业园园内供热体系是必要的，也是可行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蒸汽管网分低压蒸汽和中压蒸汽分别输送至各企业。蒸汽管网图见4.3-6和4.3-7。</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3"/>
        <w:rPr>
          <w:rFonts w:hint="eastAsia" w:cs="宋体"/>
          <w:b/>
          <w:bCs/>
          <w:spacing w:val="0"/>
          <w:w w:val="100"/>
          <w:position w:val="0"/>
          <w:sz w:val="24"/>
          <w:szCs w:val="24"/>
          <w:lang w:val="en-US" w:eastAsia="zh-CN"/>
        </w:rPr>
      </w:pPr>
      <w:r>
        <w:rPr>
          <w:rFonts w:hint="eastAsia" w:cs="宋体"/>
          <w:b/>
          <w:bCs/>
          <w:spacing w:val="0"/>
          <w:w w:val="100"/>
          <w:position w:val="0"/>
          <w:sz w:val="24"/>
          <w:szCs w:val="24"/>
          <w:lang w:val="en-US" w:eastAsia="zh-CN"/>
        </w:rPr>
        <w:t>4.3.6.4压缩空气</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本园区织造工艺需使用压缩空气，预计一期每个织造车间用气量为40Nm</w:t>
      </w:r>
      <w:r>
        <w:rPr>
          <w:rFonts w:hint="eastAsia" w:cs="宋体"/>
          <w:spacing w:val="0"/>
          <w:w w:val="100"/>
          <w:position w:val="0"/>
          <w:sz w:val="24"/>
          <w:szCs w:val="24"/>
          <w:vertAlign w:val="superscript"/>
          <w:lang w:val="en-US" w:eastAsia="zh-CN"/>
        </w:rPr>
        <w:t>3</w:t>
      </w:r>
      <w:r>
        <w:rPr>
          <w:rFonts w:hint="eastAsia" w:cs="宋体"/>
          <w:spacing w:val="0"/>
          <w:w w:val="100"/>
          <w:position w:val="0"/>
          <w:sz w:val="24"/>
          <w:szCs w:val="24"/>
          <w:lang w:val="en-US" w:eastAsia="zh-CN"/>
        </w:rPr>
        <w:t>/min，织造用气总量为240Nm</w:t>
      </w:r>
      <w:r>
        <w:rPr>
          <w:rFonts w:hint="eastAsia" w:cs="宋体"/>
          <w:spacing w:val="0"/>
          <w:w w:val="100"/>
          <w:position w:val="0"/>
          <w:sz w:val="24"/>
          <w:szCs w:val="24"/>
          <w:vertAlign w:val="superscript"/>
          <w:lang w:val="en-US" w:eastAsia="zh-CN"/>
        </w:rPr>
        <w:t>3</w:t>
      </w:r>
      <w:r>
        <w:rPr>
          <w:rFonts w:hint="eastAsia" w:cs="宋体"/>
          <w:spacing w:val="0"/>
          <w:w w:val="100"/>
          <w:position w:val="0"/>
          <w:sz w:val="24"/>
          <w:szCs w:val="24"/>
          <w:lang w:val="en-US" w:eastAsia="zh-CN"/>
        </w:rPr>
        <w:t>/min。压缩空气采用分区供气的方式，在每个织造车间辅房设置空压站，供各车间压缩空气使用，独立运行独立核算。</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3"/>
        <w:rPr>
          <w:rFonts w:hint="default" w:ascii="Times New Roman" w:hAnsi="Times New Roman" w:cs="Times New Roman"/>
          <w:b/>
          <w:bCs/>
          <w:spacing w:val="0"/>
          <w:w w:val="100"/>
          <w:position w:val="0"/>
          <w:sz w:val="24"/>
          <w:szCs w:val="24"/>
          <w:lang w:val="en-US" w:eastAsia="zh-CN"/>
        </w:rPr>
      </w:pPr>
      <w:r>
        <w:rPr>
          <w:rFonts w:hint="default" w:ascii="Times New Roman" w:hAnsi="Times New Roman" w:cs="Times New Roman"/>
          <w:b/>
          <w:bCs/>
          <w:spacing w:val="0"/>
          <w:w w:val="100"/>
          <w:position w:val="0"/>
          <w:sz w:val="24"/>
          <w:szCs w:val="24"/>
          <w:lang w:val="en-US" w:eastAsia="zh-CN"/>
        </w:rPr>
        <w:t>4.3.6.5供电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园区10kV电源引自当地供电部门。在纺织园区一期内设置一个10kV开关站为一期供电。10kV配电线路原则上以电缆为主。为提高供用电的可靠性，同时考虑各工业的特殊性，有利于分期实施，本次规划对纺织园区一期的10kV开关站采用四路10kV专用进线。</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outlineLvl w:val="2"/>
        <w:rPr>
          <w:rFonts w:hint="default" w:ascii="Times New Roman" w:hAnsi="Times New Roman" w:eastAsia="宋体" w:cs="Times New Roman"/>
          <w:b/>
          <w:bCs/>
          <w:spacing w:val="0"/>
          <w:w w:val="100"/>
          <w:position w:val="0"/>
          <w:sz w:val="28"/>
          <w:szCs w:val="28"/>
        </w:rPr>
      </w:pPr>
      <w:r>
        <w:rPr>
          <w:rFonts w:hint="default" w:ascii="Times New Roman" w:hAnsi="Times New Roman" w:eastAsia="宋体" w:cs="Times New Roman"/>
          <w:b/>
          <w:bCs/>
          <w:spacing w:val="0"/>
          <w:w w:val="100"/>
          <w:position w:val="0"/>
          <w:sz w:val="28"/>
          <w:szCs w:val="28"/>
        </w:rPr>
        <w:t>4.3.7园区污水处理厂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产业园规划新建一座污水处理厂，位于产业园一期北侧，结合用地及入驻企业废水量确定总处理规模为</w:t>
      </w:r>
      <w:r>
        <w:rPr>
          <w:rFonts w:ascii="Times New Roman" w:hAnsi="Times New Roman" w:eastAsia="宋体" w:cs="Times New Roman"/>
          <w:spacing w:val="0"/>
          <w:w w:val="100"/>
          <w:position w:val="0"/>
          <w:sz w:val="24"/>
          <w:szCs w:val="24"/>
        </w:rPr>
        <w:t>5.5</w:t>
      </w:r>
      <w:r>
        <w:rPr>
          <w:rFonts w:ascii="Times New Roman" w:hAnsi="Times New Roman" w:eastAsia="宋体" w:cs="宋体"/>
          <w:spacing w:val="0"/>
          <w:w w:val="100"/>
          <w:position w:val="0"/>
          <w:sz w:val="24"/>
          <w:szCs w:val="24"/>
        </w:rPr>
        <w:t>万</w:t>
      </w:r>
      <w:r>
        <w:rPr>
          <w:rFonts w:ascii="Times New Roman" w:hAnsi="Times New Roman" w:eastAsia="宋体" w:cs="Times New Roman"/>
          <w:spacing w:val="0"/>
          <w:w w:val="100"/>
          <w:position w:val="0"/>
          <w:sz w:val="24"/>
          <w:szCs w:val="24"/>
        </w:rPr>
        <w:t>t/d</w:t>
      </w:r>
      <w:r>
        <w:rPr>
          <w:rFonts w:ascii="Times New Roman" w:hAnsi="Times New Roman" w:eastAsia="宋体" w:cs="宋体"/>
          <w:spacing w:val="0"/>
          <w:w w:val="100"/>
          <w:position w:val="0"/>
          <w:sz w:val="24"/>
          <w:szCs w:val="24"/>
        </w:rPr>
        <w:t>，分两期建设，一期处理规模</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万</w:t>
      </w:r>
      <w:r>
        <w:rPr>
          <w:rFonts w:ascii="Times New Roman" w:hAnsi="Times New Roman" w:eastAsia="宋体" w:cs="Times New Roman"/>
          <w:spacing w:val="0"/>
          <w:w w:val="100"/>
          <w:position w:val="0"/>
          <w:sz w:val="24"/>
          <w:szCs w:val="24"/>
        </w:rPr>
        <w:t>t/d</w:t>
      </w:r>
      <w:r>
        <w:rPr>
          <w:rFonts w:ascii="Times New Roman" w:hAnsi="Times New Roman" w:eastAsia="宋体" w:cs="宋体"/>
          <w:spacing w:val="0"/>
          <w:w w:val="100"/>
          <w:position w:val="0"/>
          <w:sz w:val="24"/>
          <w:szCs w:val="24"/>
        </w:rPr>
        <w:t>，二期处理规模</w:t>
      </w:r>
      <w:r>
        <w:rPr>
          <w:rFonts w:ascii="Times New Roman" w:hAnsi="Times New Roman" w:eastAsia="宋体" w:cs="Times New Roman"/>
          <w:spacing w:val="0"/>
          <w:w w:val="100"/>
          <w:position w:val="0"/>
          <w:sz w:val="24"/>
          <w:szCs w:val="24"/>
        </w:rPr>
        <w:t>3.5</w:t>
      </w:r>
      <w:r>
        <w:rPr>
          <w:rFonts w:ascii="Times New Roman" w:hAnsi="Times New Roman" w:eastAsia="宋体" w:cs="宋体"/>
          <w:spacing w:val="0"/>
          <w:w w:val="100"/>
          <w:position w:val="0"/>
          <w:sz w:val="24"/>
          <w:szCs w:val="24"/>
        </w:rPr>
        <w:t>万</w:t>
      </w:r>
      <w:r>
        <w:rPr>
          <w:rFonts w:ascii="Times New Roman" w:hAnsi="Times New Roman" w:eastAsia="宋体" w:cs="Times New Roman"/>
          <w:spacing w:val="0"/>
          <w:w w:val="100"/>
          <w:position w:val="0"/>
          <w:sz w:val="24"/>
          <w:szCs w:val="24"/>
        </w:rPr>
        <w:t>t/d</w:t>
      </w:r>
      <w:r>
        <w:rPr>
          <w:rFonts w:ascii="Times New Roman" w:hAnsi="Times New Roman" w:eastAsia="宋体" w:cs="宋体"/>
          <w:spacing w:val="0"/>
          <w:w w:val="100"/>
          <w:position w:val="0"/>
          <w:sz w:val="24"/>
          <w:szCs w:val="24"/>
        </w:rPr>
        <w:t>。控制污水处理厂总外排水量不超过</w:t>
      </w:r>
      <w:r>
        <w:rPr>
          <w:rFonts w:ascii="Times New Roman" w:hAnsi="Times New Roman" w:eastAsia="宋体" w:cs="Times New Roman"/>
          <w:spacing w:val="0"/>
          <w:w w:val="100"/>
          <w:position w:val="0"/>
          <w:sz w:val="24"/>
          <w:szCs w:val="24"/>
        </w:rPr>
        <w:t>3</w:t>
      </w:r>
      <w:r>
        <w:rPr>
          <w:rFonts w:ascii="Times New Roman" w:hAnsi="Times New Roman" w:eastAsia="宋体" w:cs="宋体"/>
          <w:spacing w:val="0"/>
          <w:w w:val="100"/>
          <w:position w:val="0"/>
          <w:sz w:val="24"/>
          <w:szCs w:val="24"/>
        </w:rPr>
        <w:t>万</w:t>
      </w:r>
      <w:r>
        <w:rPr>
          <w:rFonts w:ascii="Times New Roman" w:hAnsi="Times New Roman" w:eastAsia="宋体" w:cs="Times New Roman"/>
          <w:spacing w:val="0"/>
          <w:w w:val="100"/>
          <w:position w:val="0"/>
          <w:sz w:val="24"/>
          <w:szCs w:val="24"/>
        </w:rPr>
        <w:t>t/d</w:t>
      </w:r>
      <w:r>
        <w:rPr>
          <w:rFonts w:ascii="Times New Roman" w:hAnsi="Times New Roman" w:eastAsia="宋体" w:cs="宋体"/>
          <w:spacing w:val="0"/>
          <w:w w:val="100"/>
          <w:position w:val="0"/>
          <w:sz w:val="24"/>
          <w:szCs w:val="24"/>
        </w:rPr>
        <w:t>，其余废水经处理后回用，中水回用率不低于</w:t>
      </w:r>
      <w:r>
        <w:rPr>
          <w:rFonts w:ascii="Times New Roman" w:hAnsi="Times New Roman" w:eastAsia="宋体" w:cs="Times New Roman"/>
          <w:spacing w:val="0"/>
          <w:w w:val="100"/>
          <w:position w:val="0"/>
          <w:sz w:val="24"/>
          <w:szCs w:val="24"/>
        </w:rPr>
        <w:t>45%</w:t>
      </w:r>
      <w:r>
        <w:rPr>
          <w:rFonts w:ascii="Times New Roman" w:hAnsi="Times New Roman" w:eastAsia="宋体" w:cs="宋体"/>
          <w:spacing w:val="0"/>
          <w:w w:val="100"/>
          <w:position w:val="0"/>
          <w:sz w:val="24"/>
          <w:szCs w:val="24"/>
        </w:rPr>
        <w:t>。污水厂分低污废水和高污废水处置，尾水排放标准执行《城镇污水处理厂污染物排放标准》（</w:t>
      </w:r>
      <w:r>
        <w:rPr>
          <w:rFonts w:ascii="Times New Roman" w:hAnsi="Times New Roman" w:eastAsia="宋体" w:cs="Times New Roman"/>
          <w:spacing w:val="0"/>
          <w:w w:val="100"/>
          <w:position w:val="0"/>
          <w:sz w:val="24"/>
          <w:szCs w:val="24"/>
        </w:rPr>
        <w:t>GB18918-2002</w:t>
      </w:r>
      <w:r>
        <w:rPr>
          <w:rFonts w:ascii="Times New Roman" w:hAnsi="Times New Roman" w:eastAsia="宋体" w:cs="宋体"/>
          <w:spacing w:val="0"/>
          <w:w w:val="100"/>
          <w:position w:val="0"/>
          <w:sz w:val="24"/>
          <w:szCs w:val="24"/>
        </w:rPr>
        <w:t>）一级</w:t>
      </w:r>
      <w:r>
        <w:rPr>
          <w:rFonts w:ascii="Times New Roman" w:hAnsi="Times New Roman" w:eastAsia="宋体" w:cs="Times New Roman"/>
          <w:spacing w:val="0"/>
          <w:w w:val="100"/>
          <w:position w:val="0"/>
          <w:sz w:val="24"/>
          <w:szCs w:val="24"/>
        </w:rPr>
        <w:t>A</w:t>
      </w:r>
      <w:r>
        <w:rPr>
          <w:rFonts w:ascii="Times New Roman" w:hAnsi="Times New Roman" w:eastAsia="宋体" w:cs="宋体"/>
          <w:spacing w:val="0"/>
          <w:w w:val="100"/>
          <w:position w:val="0"/>
          <w:sz w:val="24"/>
          <w:szCs w:val="24"/>
        </w:rPr>
        <w:t>标准接入湾外排海工程管道引致湾外排放口排放。园区污水处理厂进水最高允许纳管浓度限值见下表。污水</w:t>
      </w:r>
      <w:r>
        <w:rPr>
          <w:rFonts w:hint="eastAsia" w:cs="宋体"/>
          <w:spacing w:val="0"/>
          <w:w w:val="100"/>
          <w:position w:val="0"/>
          <w:sz w:val="24"/>
          <w:szCs w:val="24"/>
          <w:lang w:val="en-US" w:eastAsia="zh-CN"/>
        </w:rPr>
        <w:t>处理</w:t>
      </w:r>
      <w:r>
        <w:rPr>
          <w:rFonts w:ascii="Times New Roman" w:hAnsi="Times New Roman" w:eastAsia="宋体" w:cs="宋体"/>
          <w:spacing w:val="0"/>
          <w:w w:val="100"/>
          <w:position w:val="0"/>
          <w:sz w:val="24"/>
          <w:szCs w:val="24"/>
        </w:rPr>
        <w:t>厂工艺见</w:t>
      </w:r>
      <w:r>
        <w:rPr>
          <w:rFonts w:ascii="Times New Roman" w:hAnsi="Times New Roman" w:eastAsia="宋体" w:cs="Times New Roman"/>
          <w:spacing w:val="0"/>
          <w:w w:val="100"/>
          <w:position w:val="0"/>
          <w:sz w:val="24"/>
          <w:szCs w:val="24"/>
        </w:rPr>
        <w:t>7.2.1</w:t>
      </w:r>
      <w:r>
        <w:rPr>
          <w:rFonts w:hint="eastAsia" w:cs="Times New Roman"/>
          <w:spacing w:val="0"/>
          <w:w w:val="100"/>
          <w:position w:val="0"/>
          <w:sz w:val="24"/>
          <w:szCs w:val="24"/>
          <w:lang w:val="en-US" w:eastAsia="zh-CN"/>
        </w:rPr>
        <w:t>章</w:t>
      </w:r>
      <w:r>
        <w:rPr>
          <w:rFonts w:ascii="Times New Roman" w:hAnsi="Times New Roman" w:eastAsia="宋体" w:cs="宋体"/>
          <w:spacing w:val="0"/>
          <w:w w:val="100"/>
          <w:position w:val="0"/>
          <w:sz w:val="24"/>
          <w:szCs w:val="24"/>
        </w:rPr>
        <w:t>节。</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表4.3-1可门绿色纺织产业园污水处理厂进水最高允许纳管浓度限值</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45"/>
        <w:gridCol w:w="2362"/>
        <w:gridCol w:w="1464"/>
        <w:gridCol w:w="2006"/>
        <w:gridCol w:w="201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blHeader/>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序号</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控制项目</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单位</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高浓度</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低浓度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pH</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6~9</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6~9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色度</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倍</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250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3</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COD</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2000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800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4</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13"/>
              </w:rPr>
            </w:pPr>
            <w:r>
              <w:rPr>
                <w:rFonts w:ascii="Times New Roman" w:hAnsi="Times New Roman" w:eastAsia="宋体" w:cs="Times New Roman"/>
                <w:spacing w:val="0"/>
                <w:w w:val="100"/>
                <w:position w:val="0"/>
                <w:sz w:val="21"/>
                <w:szCs w:val="20"/>
              </w:rPr>
              <w:t>BOD</w:t>
            </w:r>
            <w:r>
              <w:rPr>
                <w:rFonts w:ascii="Times New Roman" w:hAnsi="Times New Roman" w:eastAsia="宋体" w:cs="Times New Roman"/>
                <w:spacing w:val="0"/>
                <w:w w:val="100"/>
                <w:position w:val="0"/>
                <w:sz w:val="21"/>
                <w:szCs w:val="13"/>
                <w:vertAlign w:val="subscript"/>
              </w:rPr>
              <w:t>5</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500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5</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悬浮物</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800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300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6</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Times New Roman"/>
                <w:spacing w:val="0"/>
                <w:w w:val="100"/>
                <w:position w:val="0"/>
                <w:sz w:val="21"/>
                <w:szCs w:val="20"/>
              </w:rPr>
              <w:t>TKN</w:t>
            </w:r>
            <w:r>
              <w:rPr>
                <w:rFonts w:ascii="Times New Roman" w:hAnsi="Times New Roman" w:eastAsia="宋体" w:cs="宋体"/>
                <w:spacing w:val="0"/>
                <w:w w:val="100"/>
                <w:position w:val="0"/>
                <w:sz w:val="21"/>
                <w:szCs w:val="20"/>
              </w:rPr>
              <w:t>（含</w:t>
            </w:r>
            <w:r>
              <w:rPr>
                <w:rFonts w:ascii="Times New Roman" w:hAnsi="Times New Roman" w:eastAsia="宋体" w:cs="Times New Roman"/>
                <w:spacing w:val="0"/>
                <w:w w:val="100"/>
                <w:position w:val="0"/>
                <w:sz w:val="21"/>
                <w:szCs w:val="20"/>
              </w:rPr>
              <w:t>NH</w:t>
            </w:r>
            <w:r>
              <w:rPr>
                <w:rFonts w:ascii="Times New Roman" w:hAnsi="Times New Roman" w:eastAsia="宋体" w:cs="Times New Roman"/>
                <w:spacing w:val="0"/>
                <w:w w:val="100"/>
                <w:position w:val="0"/>
                <w:sz w:val="21"/>
                <w:szCs w:val="13"/>
                <w:vertAlign w:val="subscript"/>
              </w:rPr>
              <w:t>3</w:t>
            </w:r>
            <w:r>
              <w:rPr>
                <w:rFonts w:ascii="Times New Roman" w:hAnsi="Times New Roman" w:eastAsia="宋体" w:cs="Times New Roman"/>
                <w:spacing w:val="0"/>
                <w:w w:val="100"/>
                <w:position w:val="0"/>
                <w:sz w:val="21"/>
                <w:szCs w:val="20"/>
              </w:rPr>
              <w:t>-N</w:t>
            </w:r>
            <w:r>
              <w:rPr>
                <w:rFonts w:ascii="Times New Roman" w:hAnsi="Times New Roman" w:eastAsia="宋体" w:cs="宋体"/>
                <w:spacing w:val="0"/>
                <w:w w:val="100"/>
                <w:position w:val="0"/>
                <w:sz w:val="21"/>
                <w:szCs w:val="20"/>
              </w:rPr>
              <w:t>）</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50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7</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总氮</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80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8</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总磷</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4</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9</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硬度（</w:t>
            </w:r>
            <w:r>
              <w:rPr>
                <w:rFonts w:ascii="Times New Roman" w:hAnsi="Times New Roman" w:eastAsia="宋体" w:cs="Times New Roman"/>
                <w:spacing w:val="0"/>
                <w:w w:val="100"/>
                <w:position w:val="0"/>
                <w:sz w:val="21"/>
                <w:szCs w:val="20"/>
              </w:rPr>
              <w:t>CaCO</w:t>
            </w:r>
            <w:r>
              <w:rPr>
                <w:rFonts w:ascii="Times New Roman" w:hAnsi="Times New Roman" w:eastAsia="宋体" w:cs="Times New Roman"/>
                <w:spacing w:val="0"/>
                <w:w w:val="100"/>
                <w:position w:val="0"/>
                <w:sz w:val="21"/>
                <w:szCs w:val="13"/>
                <w:vertAlign w:val="subscript"/>
              </w:rPr>
              <w:t>3</w:t>
            </w:r>
            <w:r>
              <w:rPr>
                <w:rFonts w:ascii="Times New Roman" w:hAnsi="Times New Roman" w:eastAsia="宋体" w:cs="宋体"/>
                <w:spacing w:val="0"/>
                <w:w w:val="100"/>
                <w:position w:val="0"/>
                <w:sz w:val="21"/>
                <w:szCs w:val="20"/>
              </w:rPr>
              <w:t>）</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450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10</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电导率</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uS/cm</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2500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800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11</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二氧化氯</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12</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AOX</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13</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硫化物</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14</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苯胺</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2.0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15</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六价铬</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0.1</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16</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总铬</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0.1</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17</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总锑</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0.15</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18</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石油类</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mg/l</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3</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19</w:t>
            </w:r>
          </w:p>
        </w:tc>
        <w:tc>
          <w:tcPr>
            <w:tcW w:w="24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温度</w:t>
            </w:r>
          </w:p>
        </w:tc>
        <w:tc>
          <w:tcPr>
            <w:tcW w:w="15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w:t>
            </w:r>
          </w:p>
        </w:tc>
        <w:tc>
          <w:tcPr>
            <w:tcW w:w="21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30-50</w:t>
            </w:r>
          </w:p>
        </w:tc>
        <w:tc>
          <w:tcPr>
            <w:tcW w:w="2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30-50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cs="宋体"/>
          <w:spacing w:val="0"/>
          <w:w w:val="100"/>
          <w:position w:val="0"/>
          <w:sz w:val="24"/>
          <w:szCs w:val="24"/>
          <w:lang w:val="en-US" w:eastAsia="zh-CN"/>
        </w:rPr>
      </w:pPr>
      <w:r>
        <w:rPr>
          <w:rFonts w:hint="eastAsia" w:cs="宋体"/>
          <w:spacing w:val="0"/>
          <w:w w:val="100"/>
          <w:position w:val="0"/>
          <w:sz w:val="24"/>
          <w:szCs w:val="24"/>
          <w:lang w:val="en-US" w:eastAsia="zh-CN"/>
        </w:rPr>
        <w:t>园区要求入驻企业水重复利用率不低于55%，园区集中污水处理厂中水回用率不低于45%。</w:t>
      </w:r>
    </w:p>
    <w:p>
      <w:pPr>
        <w:keepNext w:val="0"/>
        <w:keepLines w:val="0"/>
        <w:pageBreakBefore w:val="0"/>
        <w:widowControl/>
        <w:kinsoku/>
        <w:wordWrap/>
        <w:overflowPunct/>
        <w:topLinePunct w:val="0"/>
        <w:autoSpaceDE/>
        <w:autoSpaceDN/>
        <w:bidi w:val="0"/>
        <w:adjustRightInd w:val="0"/>
        <w:snapToGrid w:val="0"/>
        <w:spacing w:line="360" w:lineRule="auto"/>
        <w:ind w:right="0"/>
        <w:jc w:val="both"/>
        <w:textAlignment w:val="auto"/>
        <w:outlineLvl w:val="2"/>
        <w:rPr>
          <w:rFonts w:hint="default" w:ascii="Times New Roman" w:hAnsi="Times New Roman" w:eastAsia="宋体" w:cs="Times New Roman"/>
          <w:b/>
          <w:bCs/>
          <w:spacing w:val="0"/>
          <w:w w:val="100"/>
          <w:position w:val="0"/>
          <w:sz w:val="28"/>
          <w:szCs w:val="28"/>
        </w:rPr>
      </w:pPr>
      <w:r>
        <w:rPr>
          <w:rFonts w:hint="default" w:ascii="Times New Roman" w:hAnsi="Times New Roman" w:eastAsia="宋体" w:cs="Times New Roman"/>
          <w:b/>
          <w:bCs/>
          <w:spacing w:val="0"/>
          <w:w w:val="100"/>
          <w:position w:val="0"/>
          <w:sz w:val="28"/>
          <w:szCs w:val="28"/>
        </w:rPr>
        <w:t>4.3.8园区基础设施建设情况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cs="宋体"/>
          <w:spacing w:val="0"/>
          <w:w w:val="100"/>
          <w:position w:val="0"/>
          <w:sz w:val="24"/>
          <w:szCs w:val="24"/>
          <w:lang w:val="en-US" w:eastAsia="zh-CN"/>
        </w:rPr>
      </w:pPr>
      <w:r>
        <w:rPr>
          <w:rFonts w:hint="default" w:cs="宋体"/>
          <w:spacing w:val="0"/>
          <w:w w:val="100"/>
          <w:position w:val="0"/>
          <w:sz w:val="24"/>
          <w:szCs w:val="24"/>
          <w:lang w:val="en-US" w:eastAsia="zh-CN"/>
        </w:rPr>
        <w:t>（1）污水处理厂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cs="宋体"/>
          <w:spacing w:val="0"/>
          <w:w w:val="100"/>
          <w:position w:val="0"/>
          <w:sz w:val="24"/>
          <w:szCs w:val="24"/>
          <w:lang w:val="en-US" w:eastAsia="zh-CN"/>
        </w:rPr>
      </w:pPr>
      <w:r>
        <w:rPr>
          <w:rFonts w:hint="default" w:cs="宋体"/>
          <w:spacing w:val="0"/>
          <w:w w:val="100"/>
          <w:position w:val="0"/>
          <w:sz w:val="24"/>
          <w:szCs w:val="24"/>
          <w:lang w:val="en-US" w:eastAsia="zh-CN"/>
        </w:rPr>
        <w:t>《连江可门绿色纺织产业园规划</w:t>
      </w:r>
      <w:r>
        <w:rPr>
          <w:rFonts w:hint="eastAsia" w:cs="宋体"/>
          <w:spacing w:val="0"/>
          <w:w w:val="100"/>
          <w:position w:val="0"/>
          <w:sz w:val="24"/>
          <w:szCs w:val="24"/>
          <w:lang w:val="en-US" w:eastAsia="zh-CN"/>
        </w:rPr>
        <w:t>（一期）</w:t>
      </w:r>
      <w:r>
        <w:rPr>
          <w:rFonts w:hint="default" w:cs="宋体"/>
          <w:spacing w:val="0"/>
          <w:w w:val="100"/>
          <w:position w:val="0"/>
          <w:sz w:val="24"/>
          <w:szCs w:val="24"/>
          <w:lang w:val="en-US" w:eastAsia="zh-CN"/>
        </w:rPr>
        <w:t>》批复后，福建申远产业园管理有限公司（产业园运营管理单位）开始基础设施建设，加紧实施连江可门绿色纺织产业园污水处理厂和尾水排海工程，并已取得项目环评批复（附件5）。根据调查了解，该污水处理厂一期工程及其配套的事故应急池已于2023年4月投入运行使用。</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cs="宋体"/>
          <w:spacing w:val="0"/>
          <w:w w:val="100"/>
          <w:position w:val="0"/>
          <w:sz w:val="24"/>
          <w:szCs w:val="24"/>
          <w:lang w:val="en-US" w:eastAsia="zh-CN"/>
        </w:rPr>
      </w:pPr>
      <w:r>
        <w:rPr>
          <w:rFonts w:hint="default" w:cs="宋体"/>
          <w:spacing w:val="0"/>
          <w:w w:val="100"/>
          <w:position w:val="0"/>
          <w:sz w:val="24"/>
          <w:szCs w:val="24"/>
          <w:lang w:val="en-US" w:eastAsia="zh-CN"/>
        </w:rPr>
        <w:t>（2）集中供热</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cs="宋体"/>
          <w:spacing w:val="0"/>
          <w:w w:val="100"/>
          <w:position w:val="0"/>
          <w:sz w:val="24"/>
          <w:szCs w:val="24"/>
          <w:lang w:val="en-US" w:eastAsia="zh-CN"/>
        </w:rPr>
      </w:pPr>
      <w:r>
        <w:rPr>
          <w:rFonts w:hint="default" w:cs="宋体"/>
          <w:spacing w:val="0"/>
          <w:w w:val="100"/>
          <w:position w:val="0"/>
          <w:sz w:val="24"/>
          <w:szCs w:val="24"/>
          <w:lang w:val="en-US" w:eastAsia="zh-CN"/>
        </w:rPr>
        <w:t>根据《连江可门绿色纺织产业园规划</w:t>
      </w:r>
      <w:r>
        <w:rPr>
          <w:rFonts w:hint="eastAsia" w:cs="宋体"/>
          <w:spacing w:val="0"/>
          <w:w w:val="100"/>
          <w:position w:val="0"/>
          <w:sz w:val="24"/>
          <w:szCs w:val="24"/>
          <w:lang w:val="en-US" w:eastAsia="zh-CN"/>
        </w:rPr>
        <w:t>（一期）</w:t>
      </w:r>
      <w:r>
        <w:rPr>
          <w:rFonts w:hint="default" w:cs="宋体"/>
          <w:spacing w:val="0"/>
          <w:w w:val="100"/>
          <w:position w:val="0"/>
          <w:sz w:val="24"/>
          <w:szCs w:val="24"/>
          <w:lang w:val="en-US" w:eastAsia="zh-CN"/>
        </w:rPr>
        <w:t>》及《可门港经济区</w:t>
      </w:r>
      <w:r>
        <w:rPr>
          <w:rFonts w:hint="eastAsia" w:cs="宋体"/>
          <w:spacing w:val="0"/>
          <w:w w:val="100"/>
          <w:position w:val="0"/>
          <w:sz w:val="24"/>
          <w:szCs w:val="24"/>
          <w:lang w:val="en-US" w:eastAsia="zh-CN"/>
        </w:rPr>
        <w:t>（一期）</w:t>
      </w:r>
      <w:r>
        <w:rPr>
          <w:rFonts w:hint="default" w:cs="宋体"/>
          <w:spacing w:val="0"/>
          <w:w w:val="100"/>
          <w:position w:val="0"/>
          <w:sz w:val="24"/>
          <w:szCs w:val="24"/>
          <w:lang w:val="en-US" w:eastAsia="zh-CN"/>
        </w:rPr>
        <w:t>供热专项规划（2021年-2030年）》，园区集中供热源设在福建申远新材料有限公司，依托其锅炉及化工装置产生的余热蒸汽对纺织产业园企业实施集中供热。《可门港经济区（一期）供热专项规划（2021年-2030年）》供热规划已</w:t>
      </w:r>
      <w:r>
        <w:rPr>
          <w:rFonts w:hint="eastAsia" w:cs="宋体"/>
          <w:spacing w:val="0"/>
          <w:w w:val="100"/>
          <w:position w:val="0"/>
          <w:sz w:val="24"/>
          <w:szCs w:val="24"/>
          <w:lang w:val="en-US" w:eastAsia="zh-CN"/>
        </w:rPr>
        <w:t>获</w:t>
      </w:r>
      <w:r>
        <w:rPr>
          <w:rFonts w:hint="default" w:cs="宋体"/>
          <w:spacing w:val="0"/>
          <w:w w:val="100"/>
          <w:position w:val="0"/>
          <w:sz w:val="24"/>
          <w:szCs w:val="24"/>
          <w:lang w:val="en-US" w:eastAsia="zh-CN"/>
        </w:rPr>
        <w:t>批复，福建申远新材料有限公司已于2023年初完成对产业园集中供热工程。</w:t>
      </w:r>
    </w:p>
    <w:p>
      <w:pPr>
        <w:adjustRightInd w:val="0"/>
        <w:snapToGrid w:val="0"/>
        <w:spacing w:before="156" w:beforeLines="50" w:after="156" w:afterLines="50" w:line="360" w:lineRule="auto"/>
        <w:jc w:val="center"/>
        <w:outlineLvl w:val="0"/>
        <w:rPr>
          <w:b/>
          <w:bCs/>
          <w:spacing w:val="0"/>
          <w:position w:val="0"/>
          <w:sz w:val="36"/>
          <w:szCs w:val="36"/>
        </w:rPr>
      </w:pPr>
      <w:r>
        <w:rPr>
          <w:rFonts w:hint="default" w:ascii="Times New Roman" w:hAnsi="Times New Roman" w:cs="Times New Roman"/>
          <w:b w:val="0"/>
          <w:bCs w:val="0"/>
          <w:spacing w:val="0"/>
          <w:position w:val="0"/>
          <w:sz w:val="24"/>
          <w:szCs w:val="24"/>
          <w:lang w:val="en-US" w:eastAsia="zh-CN"/>
        </w:rPr>
        <w:br w:type="page"/>
      </w:r>
      <w:r>
        <w:rPr>
          <w:rFonts w:hint="eastAsia"/>
          <w:b/>
          <w:bCs/>
          <w:spacing w:val="0"/>
          <w:position w:val="0"/>
          <w:sz w:val="36"/>
          <w:szCs w:val="36"/>
        </w:rPr>
        <w:t>5环境影响预测与评价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bCs/>
          <w:spacing w:val="0"/>
          <w:position w:val="0"/>
          <w:sz w:val="30"/>
          <w:szCs w:val="30"/>
          <w:lang w:val="en-US" w:eastAsia="zh-CN"/>
        </w:rPr>
      </w:pPr>
      <w:r>
        <w:rPr>
          <w:rFonts w:hint="eastAsia"/>
          <w:b/>
          <w:bCs/>
          <w:spacing w:val="0"/>
          <w:position w:val="0"/>
          <w:sz w:val="30"/>
          <w:szCs w:val="30"/>
          <w:lang w:val="en-US" w:eastAsia="zh-CN"/>
        </w:rPr>
        <w:t>5.1环境空气影响预测与评价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5.1.1气象资料统计</w:t>
      </w:r>
      <w:r>
        <w:rPr>
          <w:rFonts w:hint="eastAsia" w:cs="Times New Roman"/>
          <w:b/>
          <w:bCs/>
          <w:spacing w:val="0"/>
          <w:position w:val="0"/>
          <w:sz w:val="28"/>
          <w:szCs w:val="28"/>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bCs/>
          <w:spacing w:val="0"/>
          <w:position w:val="0"/>
          <w:sz w:val="28"/>
          <w:szCs w:val="28"/>
          <w:lang w:val="en-US" w:eastAsia="zh-CN"/>
        </w:rPr>
      </w:pPr>
      <w:r>
        <w:rPr>
          <w:rFonts w:hint="eastAsia"/>
          <w:b/>
          <w:bCs/>
          <w:spacing w:val="0"/>
          <w:position w:val="0"/>
          <w:sz w:val="28"/>
          <w:szCs w:val="28"/>
          <w:lang w:val="en-US" w:eastAsia="zh-CN"/>
        </w:rPr>
        <w:t>5.1.2运营期环境空气影响分析</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5.1.2.1评价等级判定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color w:val="auto"/>
          <w:spacing w:val="0"/>
          <w:position w:val="0"/>
          <w:sz w:val="24"/>
          <w:szCs w:val="24"/>
          <w:lang w:val="en-US" w:eastAsia="zh-CN"/>
        </w:rPr>
      </w:pPr>
      <w:r>
        <w:rPr>
          <w:rFonts w:hint="eastAsia"/>
          <w:b w:val="0"/>
          <w:bCs w:val="0"/>
          <w:spacing w:val="0"/>
          <w:position w:val="0"/>
          <w:sz w:val="24"/>
          <w:szCs w:val="24"/>
          <w:lang w:val="en-US" w:eastAsia="zh-CN"/>
        </w:rPr>
        <w:t>根据工程分析结果选择颗粒物、非甲烷总烃、二甲苯等作为主要污染物，按照《环境影响评价技术导则大气环境》（HJ2.2-2018）规定，分别计算每一种污染物的最大地面浓度占标率Pi（第i个污染物），</w:t>
      </w:r>
      <w:r>
        <w:rPr>
          <w:rFonts w:hint="eastAsia"/>
          <w:b w:val="0"/>
          <w:bCs w:val="0"/>
          <w:color w:val="auto"/>
          <w:spacing w:val="0"/>
          <w:position w:val="0"/>
          <w:sz w:val="24"/>
          <w:szCs w:val="24"/>
          <w:lang w:val="en-US" w:eastAsia="zh-CN"/>
        </w:rPr>
        <w:t>及第i个污染物的地面浓度达标准限值10%时所对应的最远距离D</w:t>
      </w:r>
      <w:r>
        <w:rPr>
          <w:rFonts w:hint="eastAsia"/>
          <w:b w:val="0"/>
          <w:bCs w:val="0"/>
          <w:color w:val="auto"/>
          <w:spacing w:val="0"/>
          <w:position w:val="0"/>
          <w:sz w:val="24"/>
          <w:szCs w:val="24"/>
          <w:vertAlign w:val="subscript"/>
          <w:lang w:val="en-US" w:eastAsia="zh-CN"/>
        </w:rPr>
        <w:t>10%</w:t>
      </w:r>
      <w:r>
        <w:rPr>
          <w:rFonts w:hint="eastAsia"/>
          <w:b w:val="0"/>
          <w:bCs w:val="0"/>
          <w:color w:val="auto"/>
          <w:spacing w:val="0"/>
          <w:position w:val="0"/>
          <w:sz w:val="24"/>
          <w:szCs w:val="24"/>
          <w:lang w:val="en-US" w:eastAsia="zh-CN"/>
        </w:rPr>
        <w:t>，其中Pi定义为：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outlineLvl w:val="9"/>
        <w:rPr>
          <w:rFonts w:hint="eastAsia"/>
          <w:b w:val="0"/>
          <w:bCs w:val="0"/>
          <w:color w:val="auto"/>
          <w:spacing w:val="0"/>
          <w:position w:val="0"/>
          <w:sz w:val="24"/>
          <w:szCs w:val="24"/>
          <w:lang w:val="en-US" w:eastAsia="zh-CN"/>
        </w:rPr>
      </w:pPr>
      <w:r>
        <w:rPr>
          <w:rFonts w:hint="eastAsia"/>
          <w:b w:val="0"/>
          <w:bCs w:val="0"/>
          <w:color w:val="auto"/>
          <w:spacing w:val="0"/>
          <w:position w:val="0"/>
          <w:sz w:val="24"/>
          <w:szCs w:val="24"/>
          <w:lang w:val="en-US" w:eastAsia="zh-CN"/>
        </w:rPr>
        <w:t>Pi＝（C</w:t>
      </w:r>
      <w:r>
        <w:rPr>
          <w:rFonts w:hint="eastAsia"/>
          <w:b w:val="0"/>
          <w:bCs w:val="0"/>
          <w:color w:val="auto"/>
          <w:spacing w:val="0"/>
          <w:position w:val="0"/>
          <w:sz w:val="16"/>
          <w:szCs w:val="16"/>
          <w:lang w:val="en-US" w:eastAsia="zh-CN"/>
        </w:rPr>
        <w:t>i</w:t>
      </w:r>
      <w:r>
        <w:rPr>
          <w:rFonts w:hint="eastAsia"/>
          <w:b w:val="0"/>
          <w:bCs w:val="0"/>
          <w:color w:val="auto"/>
          <w:spacing w:val="0"/>
          <w:position w:val="0"/>
          <w:sz w:val="24"/>
          <w:szCs w:val="24"/>
          <w:lang w:val="en-US" w:eastAsia="zh-CN"/>
        </w:rPr>
        <w:t>/C</w:t>
      </w:r>
      <w:r>
        <w:rPr>
          <w:rFonts w:hint="eastAsia"/>
          <w:b w:val="0"/>
          <w:bCs w:val="0"/>
          <w:color w:val="auto"/>
          <w:spacing w:val="0"/>
          <w:position w:val="0"/>
          <w:sz w:val="16"/>
          <w:szCs w:val="16"/>
          <w:lang w:val="en-US" w:eastAsia="zh-CN"/>
        </w:rPr>
        <w:t>0i</w:t>
      </w:r>
      <w:r>
        <w:rPr>
          <w:rFonts w:hint="eastAsia"/>
          <w:b w:val="0"/>
          <w:bCs w:val="0"/>
          <w:color w:val="auto"/>
          <w:spacing w:val="0"/>
          <w:position w:val="0"/>
          <w:sz w:val="24"/>
          <w:szCs w:val="24"/>
          <w:lang w:val="en-US" w:eastAsia="zh-CN"/>
        </w:rPr>
        <w:t>）×100%</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color w:val="auto"/>
          <w:spacing w:val="0"/>
          <w:position w:val="0"/>
          <w:sz w:val="24"/>
          <w:szCs w:val="24"/>
          <w:lang w:val="en-US" w:eastAsia="zh-CN"/>
        </w:rPr>
      </w:pPr>
      <w:r>
        <w:rPr>
          <w:rFonts w:hint="eastAsia"/>
          <w:b w:val="0"/>
          <w:bCs w:val="0"/>
          <w:color w:val="auto"/>
          <w:spacing w:val="0"/>
          <w:position w:val="0"/>
          <w:sz w:val="24"/>
          <w:szCs w:val="24"/>
          <w:lang w:val="en-US" w:eastAsia="zh-CN"/>
        </w:rPr>
        <w:t>式中：Pi—第i个污染物的最大地面浓度占标率，%；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color w:val="auto"/>
          <w:spacing w:val="0"/>
          <w:position w:val="0"/>
          <w:sz w:val="24"/>
          <w:szCs w:val="24"/>
          <w:vertAlign w:val="baseline"/>
          <w:lang w:val="en-US" w:eastAsia="zh-CN"/>
        </w:rPr>
      </w:pPr>
      <w:r>
        <w:rPr>
          <w:rFonts w:hint="eastAsia"/>
          <w:b w:val="0"/>
          <w:bCs w:val="0"/>
          <w:color w:val="auto"/>
          <w:spacing w:val="0"/>
          <w:position w:val="0"/>
          <w:sz w:val="24"/>
          <w:szCs w:val="24"/>
          <w:lang w:val="en-US" w:eastAsia="zh-CN"/>
        </w:rPr>
        <w:t>Ci—采用估算模式计算出的第i个污染物的最大地面浓度，mg/m</w:t>
      </w:r>
      <w:r>
        <w:rPr>
          <w:rFonts w:hint="eastAsia"/>
          <w:b w:val="0"/>
          <w:bCs w:val="0"/>
          <w:color w:val="auto"/>
          <w:spacing w:val="0"/>
          <w:position w:val="0"/>
          <w:sz w:val="24"/>
          <w:szCs w:val="24"/>
          <w:vertAlign w:val="superscript"/>
          <w:lang w:val="en-US" w:eastAsia="zh-CN"/>
        </w:rPr>
        <w:t>3</w:t>
      </w:r>
      <w:r>
        <w:rPr>
          <w:rFonts w:hint="eastAsia"/>
          <w:b w:val="0"/>
          <w:bCs w:val="0"/>
          <w:color w:val="auto"/>
          <w:spacing w:val="0"/>
          <w:position w:val="0"/>
          <w:sz w:val="24"/>
          <w:szCs w:val="24"/>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color w:val="auto"/>
          <w:spacing w:val="0"/>
          <w:position w:val="0"/>
          <w:sz w:val="24"/>
          <w:szCs w:val="24"/>
          <w:vertAlign w:val="baseline"/>
          <w:lang w:val="en-US" w:eastAsia="zh-CN"/>
        </w:rPr>
      </w:pPr>
      <w:r>
        <w:rPr>
          <w:rFonts w:hint="eastAsia"/>
          <w:b w:val="0"/>
          <w:bCs w:val="0"/>
          <w:color w:val="auto"/>
          <w:spacing w:val="0"/>
          <w:position w:val="0"/>
          <w:sz w:val="24"/>
          <w:szCs w:val="24"/>
          <w:vertAlign w:val="baseline"/>
          <w:lang w:val="en-US" w:eastAsia="zh-CN"/>
        </w:rPr>
        <w:t>C0i—第i个污染物的环节空气质量标准，mg/m</w:t>
      </w:r>
      <w:r>
        <w:rPr>
          <w:rFonts w:hint="eastAsia"/>
          <w:b w:val="0"/>
          <w:bCs w:val="0"/>
          <w:color w:val="auto"/>
          <w:spacing w:val="0"/>
          <w:position w:val="0"/>
          <w:sz w:val="24"/>
          <w:szCs w:val="24"/>
          <w:vertAlign w:val="superscript"/>
          <w:lang w:val="en-US" w:eastAsia="zh-CN"/>
        </w:rPr>
        <w:t>3</w:t>
      </w:r>
      <w:r>
        <w:rPr>
          <w:rFonts w:hint="eastAsia"/>
          <w:b w:val="0"/>
          <w:bCs w:val="0"/>
          <w:color w:val="auto"/>
          <w:spacing w:val="0"/>
          <w:position w:val="0"/>
          <w:sz w:val="24"/>
          <w:szCs w:val="24"/>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color w:val="auto"/>
          <w:spacing w:val="0"/>
          <w:position w:val="0"/>
          <w:sz w:val="24"/>
          <w:szCs w:val="24"/>
          <w:vertAlign w:val="baseline"/>
          <w:lang w:val="en-US" w:eastAsia="zh-CN"/>
        </w:rPr>
      </w:pPr>
      <w:r>
        <w:rPr>
          <w:rFonts w:hint="eastAsia"/>
          <w:b w:val="0"/>
          <w:bCs w:val="0"/>
          <w:color w:val="auto"/>
          <w:spacing w:val="0"/>
          <w:position w:val="0"/>
          <w:sz w:val="24"/>
          <w:szCs w:val="24"/>
          <w:vertAlign w:val="baseline"/>
          <w:lang w:val="en-US" w:eastAsia="zh-CN"/>
        </w:rPr>
        <w:t>C0i一般选用GB3095中1小时平均取样时间的二级标准的浓度限值。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color w:val="auto"/>
          <w:spacing w:val="0"/>
          <w:position w:val="0"/>
          <w:sz w:val="24"/>
          <w:szCs w:val="24"/>
          <w:lang w:val="en-US" w:eastAsia="zh-CN"/>
        </w:rPr>
      </w:pPr>
      <w:r>
        <w:rPr>
          <w:rFonts w:hint="eastAsia"/>
          <w:b w:val="0"/>
          <w:bCs w:val="0"/>
          <w:color w:val="auto"/>
          <w:spacing w:val="0"/>
          <w:position w:val="0"/>
          <w:sz w:val="24"/>
          <w:szCs w:val="24"/>
          <w:vertAlign w:val="baseline"/>
          <w:lang w:val="en-US" w:eastAsia="zh-CN"/>
        </w:rPr>
        <w:t>评价工作等级的判定依据见表5.1-5，估算数据见表5.1-6。</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color w:val="auto"/>
          <w:spacing w:val="0"/>
          <w:position w:val="0"/>
          <w:sz w:val="24"/>
          <w:szCs w:val="24"/>
          <w:vertAlign w:val="baseline"/>
          <w:lang w:val="en-US" w:eastAsia="zh-CN"/>
        </w:rPr>
      </w:pPr>
      <w:r>
        <w:rPr>
          <w:rFonts w:hint="eastAsia"/>
          <w:b/>
          <w:bCs/>
          <w:color w:val="auto"/>
          <w:spacing w:val="0"/>
          <w:position w:val="0"/>
          <w:sz w:val="24"/>
          <w:szCs w:val="24"/>
          <w:lang w:val="en-US" w:eastAsia="zh-CN"/>
        </w:rPr>
        <w:t>表5.1-5评价工作等级</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4"/>
        <w:gridCol w:w="6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评价工作等级</w:t>
            </w:r>
          </w:p>
        </w:tc>
        <w:tc>
          <w:tcPr>
            <w:tcW w:w="65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评价工作等级判据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一级</w:t>
            </w:r>
          </w:p>
        </w:tc>
        <w:tc>
          <w:tcPr>
            <w:tcW w:w="65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P</w:t>
            </w:r>
            <w:r>
              <w:rPr>
                <w:rFonts w:hint="eastAsia" w:ascii="Times New Roman" w:hAnsi="Times New Roman" w:eastAsia="宋体"/>
                <w:b w:val="0"/>
                <w:bCs w:val="0"/>
                <w:color w:val="auto"/>
                <w:spacing w:val="0"/>
                <w:position w:val="0"/>
                <w:sz w:val="21"/>
                <w:szCs w:val="21"/>
                <w:vertAlign w:val="subscript"/>
                <w:lang w:val="en-US" w:eastAsia="zh-CN"/>
              </w:rPr>
              <w:t>max</w:t>
            </w:r>
            <w:r>
              <w:rPr>
                <w:rFonts w:hint="eastAsia" w:ascii="Times New Roman" w:hAnsi="Times New Roman"/>
                <w:b w:val="0"/>
                <w:bCs w:val="0"/>
                <w:color w:val="auto"/>
                <w:spacing w:val="0"/>
                <w:position w:val="0"/>
                <w:sz w:val="21"/>
                <w:szCs w:val="21"/>
                <w:vertAlign w:val="baseline"/>
                <w:lang w:val="en-US" w:eastAsia="zh-CN"/>
              </w:rPr>
              <w:t>≥</w:t>
            </w:r>
            <w:r>
              <w:rPr>
                <w:rFonts w:hint="eastAsia" w:ascii="Times New Roman" w:hAnsi="Times New Roman" w:eastAsia="宋体"/>
                <w:b w:val="0"/>
                <w:bCs w:val="0"/>
                <w:color w:val="auto"/>
                <w:spacing w:val="0"/>
                <w:position w:val="0"/>
                <w:sz w:val="21"/>
                <w:szCs w:val="21"/>
                <w:vertAlign w:val="baseline"/>
                <w:lang w:val="en-US" w:eastAsia="zh-CN"/>
              </w:rPr>
              <w:t>1</w:t>
            </w:r>
            <w:r>
              <w:rPr>
                <w:rFonts w:hint="eastAsia" w:ascii="Times New Roman" w:hAnsi="Times New Roman"/>
                <w:b w:val="0"/>
                <w:bCs w:val="0"/>
                <w:color w:val="auto"/>
                <w:spacing w:val="0"/>
                <w:position w:val="0"/>
                <w:sz w:val="21"/>
                <w:szCs w:val="21"/>
                <w:vertAlign w:val="baseline"/>
                <w:lang w:val="en-US" w:eastAsia="zh-CN"/>
              </w:rPr>
              <w:t>0</w:t>
            </w:r>
            <w:r>
              <w:rPr>
                <w:rFonts w:hint="eastAsia" w:ascii="Times New Roman" w:hAnsi="Times New Roman" w:eastAsia="宋体"/>
                <w:b w:val="0"/>
                <w:bCs w:val="0"/>
                <w:color w:val="auto"/>
                <w:spacing w:val="0"/>
                <w:position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二级</w:t>
            </w:r>
          </w:p>
        </w:tc>
        <w:tc>
          <w:tcPr>
            <w:tcW w:w="65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1%</w:t>
            </w:r>
            <w:r>
              <w:rPr>
                <w:rFonts w:hint="eastAsia" w:ascii="Times New Roman" w:hAnsi="Times New Roman"/>
                <w:b w:val="0"/>
                <w:bCs w:val="0"/>
                <w:color w:val="auto"/>
                <w:spacing w:val="0"/>
                <w:position w:val="0"/>
                <w:sz w:val="21"/>
                <w:szCs w:val="21"/>
                <w:vertAlign w:val="baseline"/>
                <w:lang w:val="en-US" w:eastAsia="zh-CN"/>
              </w:rPr>
              <w:t>≤</w:t>
            </w:r>
            <w:r>
              <w:rPr>
                <w:rFonts w:hint="eastAsia" w:ascii="Times New Roman" w:hAnsi="Times New Roman" w:eastAsia="宋体"/>
                <w:b w:val="0"/>
                <w:bCs w:val="0"/>
                <w:color w:val="auto"/>
                <w:spacing w:val="0"/>
                <w:position w:val="0"/>
                <w:sz w:val="21"/>
                <w:szCs w:val="21"/>
                <w:vertAlign w:val="baseline"/>
                <w:lang w:val="en-US" w:eastAsia="zh-CN"/>
              </w:rPr>
              <w:t>P</w:t>
            </w:r>
            <w:r>
              <w:rPr>
                <w:rFonts w:hint="eastAsia" w:ascii="Times New Roman" w:hAnsi="Times New Roman" w:eastAsia="宋体"/>
                <w:b w:val="0"/>
                <w:bCs w:val="0"/>
                <w:color w:val="auto"/>
                <w:spacing w:val="0"/>
                <w:position w:val="0"/>
                <w:sz w:val="21"/>
                <w:szCs w:val="21"/>
                <w:vertAlign w:val="subscript"/>
                <w:lang w:val="en-US" w:eastAsia="zh-CN"/>
              </w:rPr>
              <w:t>max</w:t>
            </w:r>
            <w:r>
              <w:rPr>
                <w:rFonts w:hint="eastAsia" w:ascii="Times New Roman" w:hAnsi="Times New Roman" w:eastAsia="宋体"/>
                <w:b w:val="0"/>
                <w:bCs w:val="0"/>
                <w:color w:val="auto"/>
                <w:spacing w:val="0"/>
                <w:position w:val="0"/>
                <w:sz w:val="21"/>
                <w:szCs w:val="21"/>
                <w:vertAlign w:val="baseline"/>
                <w:lang w:val="en-US" w:eastAsia="zh-CN"/>
              </w:rPr>
              <w:t>＜1</w:t>
            </w:r>
            <w:r>
              <w:rPr>
                <w:rFonts w:hint="eastAsia" w:ascii="Times New Roman" w:hAnsi="Times New Roman"/>
                <w:b w:val="0"/>
                <w:bCs w:val="0"/>
                <w:color w:val="auto"/>
                <w:spacing w:val="0"/>
                <w:position w:val="0"/>
                <w:sz w:val="21"/>
                <w:szCs w:val="21"/>
                <w:vertAlign w:val="baseline"/>
                <w:lang w:val="en-US" w:eastAsia="zh-CN"/>
              </w:rPr>
              <w:t>0</w:t>
            </w:r>
            <w:r>
              <w:rPr>
                <w:rFonts w:hint="eastAsia" w:ascii="Times New Roman" w:hAnsi="Times New Roman" w:eastAsia="宋体"/>
                <w:b w:val="0"/>
                <w:bCs w:val="0"/>
                <w:color w:val="auto"/>
                <w:spacing w:val="0"/>
                <w:position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三级</w:t>
            </w:r>
          </w:p>
        </w:tc>
        <w:tc>
          <w:tcPr>
            <w:tcW w:w="65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color w:val="auto"/>
                <w:spacing w:val="0"/>
                <w:position w:val="0"/>
                <w:sz w:val="21"/>
                <w:szCs w:val="21"/>
                <w:vertAlign w:val="baseline"/>
                <w:lang w:val="en-US" w:eastAsia="zh-CN"/>
              </w:rPr>
            </w:pPr>
            <w:r>
              <w:rPr>
                <w:rFonts w:hint="eastAsia" w:ascii="Times New Roman" w:hAnsi="Times New Roman" w:eastAsia="宋体"/>
                <w:b w:val="0"/>
                <w:bCs w:val="0"/>
                <w:color w:val="auto"/>
                <w:spacing w:val="0"/>
                <w:position w:val="0"/>
                <w:sz w:val="21"/>
                <w:szCs w:val="21"/>
                <w:vertAlign w:val="baseline"/>
                <w:lang w:val="en-US" w:eastAsia="zh-CN"/>
              </w:rPr>
              <w:t>P</w:t>
            </w:r>
            <w:r>
              <w:rPr>
                <w:rFonts w:hint="eastAsia" w:ascii="Times New Roman" w:hAnsi="Times New Roman" w:eastAsia="宋体"/>
                <w:b w:val="0"/>
                <w:bCs w:val="0"/>
                <w:color w:val="auto"/>
                <w:spacing w:val="0"/>
                <w:position w:val="0"/>
                <w:sz w:val="21"/>
                <w:szCs w:val="21"/>
                <w:vertAlign w:val="subscript"/>
                <w:lang w:val="en-US" w:eastAsia="zh-CN"/>
              </w:rPr>
              <w:t>max</w:t>
            </w:r>
            <w:r>
              <w:rPr>
                <w:rFonts w:hint="eastAsia" w:ascii="Times New Roman" w:hAnsi="Times New Roman" w:eastAsia="宋体"/>
                <w:b w:val="0"/>
                <w:bCs w:val="0"/>
                <w:color w:val="auto"/>
                <w:spacing w:val="0"/>
                <w:position w:val="0"/>
                <w:sz w:val="21"/>
                <w:szCs w:val="21"/>
                <w:vertAlign w:val="baseline"/>
                <w:lang w:val="en-US" w:eastAsia="zh-CN"/>
              </w:rPr>
              <w:t>＜1%</w:t>
            </w:r>
          </w:p>
        </w:tc>
      </w:tr>
    </w:tbl>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color w:val="auto"/>
          <w:spacing w:val="0"/>
          <w:position w:val="0"/>
          <w:sz w:val="24"/>
          <w:szCs w:val="24"/>
          <w:vertAlign w:val="baseline"/>
          <w:lang w:val="en-US" w:eastAsia="zh-CN"/>
        </w:rPr>
      </w:pPr>
      <w:r>
        <w:rPr>
          <w:rFonts w:hint="eastAsia"/>
          <w:b/>
          <w:bCs/>
          <w:color w:val="auto"/>
          <w:spacing w:val="0"/>
          <w:position w:val="0"/>
          <w:sz w:val="24"/>
          <w:szCs w:val="24"/>
          <w:lang w:val="en-US" w:eastAsia="zh-CN"/>
        </w:rPr>
        <w:t>表5.1-6估算模型参数表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402"/>
        <w:gridCol w:w="3159"/>
        <w:gridCol w:w="31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参数</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b/>
                <w:bCs/>
                <w:spacing w:val="0"/>
                <w:w w:val="100"/>
                <w:kern w:val="21"/>
                <w:position w:val="0"/>
                <w:sz w:val="21"/>
                <w:szCs w:val="21"/>
              </w:rPr>
            </w:pPr>
            <w:r>
              <w:rPr>
                <w:rFonts w:ascii="Times New Roman" w:hAnsi="Times New Roman" w:eastAsia="宋体"/>
                <w:b/>
                <w:bCs/>
                <w:spacing w:val="0"/>
                <w:w w:val="100"/>
                <w:kern w:val="21"/>
                <w:position w:val="0"/>
                <w:sz w:val="21"/>
                <w:szCs w:val="21"/>
              </w:rPr>
              <w:t>取值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城市/农村选项</w:t>
            </w: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城市/农村</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人口数（城市选项时）</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63.94万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最高环境温度/℃</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最低环境温度/℃</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允许使用的最小风速/m/s</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土地利用类型</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城市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4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区域湿度条件</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潮湿气候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地形数据分辨率</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90m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restart"/>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是否考虑海岸线熏烟</w:t>
            </w: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是/否</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海岸线距离/m</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p>
        </w:tc>
        <w:tc>
          <w:tcPr>
            <w:tcW w:w="331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海岸线方向/°</w:t>
            </w:r>
          </w:p>
        </w:tc>
        <w:tc>
          <w:tcPr>
            <w:tcW w:w="3286"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spacing w:val="0"/>
                <w:w w:val="100"/>
                <w:kern w:val="21"/>
                <w:position w:val="0"/>
                <w:sz w:val="21"/>
                <w:szCs w:val="21"/>
              </w:rPr>
            </w:pPr>
            <w:r>
              <w:rPr>
                <w:rFonts w:ascii="Times New Roman" w:hAnsi="Times New Roman" w:eastAsia="宋体"/>
                <w:spacing w:val="0"/>
                <w:w w:val="100"/>
                <w:kern w:val="21"/>
                <w:position w:val="0"/>
                <w:sz w:val="21"/>
                <w:szCs w:val="21"/>
              </w:rPr>
              <w:t>/</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color w:val="auto"/>
          <w:spacing w:val="0"/>
          <w:position w:val="0"/>
          <w:sz w:val="24"/>
          <w:szCs w:val="24"/>
          <w:lang w:val="en-US" w:eastAsia="zh-CN"/>
        </w:rPr>
      </w:pPr>
      <w:r>
        <w:rPr>
          <w:rFonts w:hint="eastAsia"/>
          <w:b w:val="0"/>
          <w:bCs w:val="0"/>
          <w:color w:val="auto"/>
          <w:spacing w:val="0"/>
          <w:position w:val="0"/>
          <w:sz w:val="24"/>
          <w:szCs w:val="24"/>
          <w:lang w:val="en-US" w:eastAsia="zh-CN"/>
        </w:rPr>
        <w:t>根据本项目废气污染源排放情况，估算大气污染物最大占标率、达标准限值10%时所对应的最远距离D</w:t>
      </w:r>
      <w:r>
        <w:rPr>
          <w:rFonts w:hint="eastAsia"/>
          <w:b w:val="0"/>
          <w:bCs w:val="0"/>
          <w:color w:val="auto"/>
          <w:spacing w:val="0"/>
          <w:position w:val="0"/>
          <w:sz w:val="24"/>
          <w:szCs w:val="24"/>
          <w:vertAlign w:val="subscript"/>
          <w:lang w:val="en-US" w:eastAsia="zh-CN"/>
        </w:rPr>
        <w:t>10%</w:t>
      </w:r>
      <w:r>
        <w:rPr>
          <w:rFonts w:hint="eastAsia"/>
          <w:b w:val="0"/>
          <w:bCs w:val="0"/>
          <w:color w:val="auto"/>
          <w:spacing w:val="0"/>
          <w:position w:val="0"/>
          <w:sz w:val="24"/>
          <w:szCs w:val="24"/>
          <w:lang w:val="en-US" w:eastAsia="zh-CN"/>
        </w:rPr>
        <w:t>（m），估算的预测结果如表5.1-7所示。</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color w:val="auto"/>
          <w:spacing w:val="0"/>
          <w:position w:val="0"/>
          <w:sz w:val="24"/>
          <w:szCs w:val="24"/>
          <w:vertAlign w:val="baseline"/>
          <w:lang w:val="en-US" w:eastAsia="zh-CN"/>
        </w:rPr>
      </w:pPr>
      <w:r>
        <w:rPr>
          <w:rFonts w:hint="eastAsia"/>
          <w:b/>
          <w:bCs/>
          <w:color w:val="auto"/>
          <w:spacing w:val="0"/>
          <w:position w:val="0"/>
          <w:sz w:val="24"/>
          <w:szCs w:val="24"/>
          <w:lang w:val="en-US" w:eastAsia="zh-CN"/>
        </w:rPr>
        <w:t>表5.1-7估算模式参数及估算结果一览表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1170"/>
        <w:gridCol w:w="1154"/>
        <w:gridCol w:w="1360"/>
        <w:gridCol w:w="1264"/>
        <w:gridCol w:w="1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污染源名称</w:t>
            </w:r>
          </w:p>
        </w:tc>
        <w:tc>
          <w:tcPr>
            <w:tcW w:w="8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污染源类型</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离源距离（m）</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相对源高（m）</w:t>
            </w:r>
          </w:p>
        </w:tc>
        <w:tc>
          <w:tcPr>
            <w:tcW w:w="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subscript"/>
                <w:lang w:val="en-US" w:eastAsia="zh-CN"/>
              </w:rPr>
            </w:pPr>
            <w:r>
              <w:rPr>
                <w:rFonts w:hint="eastAsia"/>
                <w:b w:val="0"/>
                <w:bCs w:val="0"/>
                <w:color w:val="auto"/>
                <w:spacing w:val="0"/>
                <w:position w:val="0"/>
                <w:sz w:val="21"/>
                <w:szCs w:val="21"/>
                <w:vertAlign w:val="baseline"/>
                <w:lang w:val="en-US" w:eastAsia="zh-CN"/>
              </w:rPr>
              <w:t>PM</w:t>
            </w:r>
            <w:r>
              <w:rPr>
                <w:rFonts w:hint="eastAsia"/>
                <w:b w:val="0"/>
                <w:bCs w:val="0"/>
                <w:color w:val="auto"/>
                <w:spacing w:val="0"/>
                <w:position w:val="0"/>
                <w:sz w:val="21"/>
                <w:szCs w:val="21"/>
                <w:vertAlign w:val="subscript"/>
                <w:lang w:val="en-US" w:eastAsia="zh-CN"/>
              </w:rPr>
              <w:t>10</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w:t>
            </w:r>
            <w:r>
              <w:rPr>
                <w:rFonts w:hint="eastAsia" w:ascii="Times New Roman" w:hAnsi="Times New Roman" w:cs="Times New Roman"/>
                <w:b w:val="0"/>
                <w:bCs w:val="0"/>
                <w:color w:val="auto"/>
                <w:spacing w:val="0"/>
                <w:position w:val="0"/>
                <w:sz w:val="21"/>
                <w:szCs w:val="21"/>
                <w:vertAlign w:val="baseline"/>
                <w:lang w:val="en-US" w:eastAsia="zh-CN"/>
              </w:rPr>
              <w:t>D</w:t>
            </w:r>
            <w:r>
              <w:rPr>
                <w:rFonts w:hint="eastAsia"/>
                <w:b w:val="0"/>
                <w:bCs w:val="0"/>
                <w:color w:val="auto"/>
                <w:spacing w:val="0"/>
                <w:position w:val="0"/>
                <w:sz w:val="21"/>
                <w:szCs w:val="21"/>
                <w:vertAlign w:val="baseline"/>
                <w:lang w:val="en-US" w:eastAsia="zh-CN"/>
              </w:rPr>
              <w:t>10(m)</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subscript"/>
                <w:lang w:val="en-US" w:eastAsia="zh-CN"/>
              </w:rPr>
            </w:pPr>
            <w:r>
              <w:rPr>
                <w:rFonts w:hint="eastAsia"/>
                <w:b w:val="0"/>
                <w:bCs w:val="0"/>
                <w:color w:val="auto"/>
                <w:spacing w:val="0"/>
                <w:position w:val="0"/>
                <w:sz w:val="21"/>
                <w:szCs w:val="21"/>
                <w:vertAlign w:val="baseline"/>
                <w:lang w:val="en-US" w:eastAsia="zh-CN"/>
              </w:rPr>
              <w:t>非甲烷总烃</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w:t>
            </w:r>
            <w:r>
              <w:rPr>
                <w:rFonts w:hint="eastAsia" w:ascii="Times New Roman" w:hAnsi="Times New Roman" w:cs="Times New Roman"/>
                <w:b w:val="0"/>
                <w:bCs w:val="0"/>
                <w:color w:val="auto"/>
                <w:spacing w:val="0"/>
                <w:position w:val="0"/>
                <w:sz w:val="21"/>
                <w:szCs w:val="21"/>
                <w:vertAlign w:val="baseline"/>
                <w:lang w:val="en-US" w:eastAsia="zh-CN"/>
              </w:rPr>
              <w:t>D</w:t>
            </w:r>
            <w:r>
              <w:rPr>
                <w:rFonts w:hint="eastAsia"/>
                <w:b w:val="0"/>
                <w:bCs w:val="0"/>
                <w:color w:val="auto"/>
                <w:spacing w:val="0"/>
                <w:position w:val="0"/>
                <w:sz w:val="21"/>
                <w:szCs w:val="21"/>
                <w:vertAlign w:val="baseline"/>
                <w:lang w:val="en-US" w:eastAsia="zh-CN"/>
              </w:rPr>
              <w:t>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DA001</w:t>
            </w:r>
          </w:p>
        </w:tc>
        <w:tc>
          <w:tcPr>
            <w:tcW w:w="8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点源</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220</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0.54</w:t>
            </w:r>
          </w:p>
        </w:tc>
        <w:tc>
          <w:tcPr>
            <w:tcW w:w="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1.27|0</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0.17|0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DA002</w:t>
            </w:r>
          </w:p>
        </w:tc>
        <w:tc>
          <w:tcPr>
            <w:tcW w:w="8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点源</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197</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-0.03</w:t>
            </w:r>
          </w:p>
        </w:tc>
        <w:tc>
          <w:tcPr>
            <w:tcW w:w="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1.13|0</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0.15|0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后整理车间</w:t>
            </w:r>
          </w:p>
        </w:tc>
        <w:tc>
          <w:tcPr>
            <w:tcW w:w="8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面源</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57</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0.00</w:t>
            </w:r>
          </w:p>
        </w:tc>
        <w:tc>
          <w:tcPr>
            <w:tcW w:w="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5.41|0</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印花及蒸化车间</w:t>
            </w:r>
          </w:p>
        </w:tc>
        <w:tc>
          <w:tcPr>
            <w:tcW w:w="8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面源</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93</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0.00</w:t>
            </w:r>
          </w:p>
        </w:tc>
        <w:tc>
          <w:tcPr>
            <w:tcW w:w="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0.00|0</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0.36|0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各源最大值</w:t>
            </w:r>
          </w:p>
        </w:tc>
        <w:tc>
          <w:tcPr>
            <w:tcW w:w="8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w:t>
            </w:r>
          </w:p>
        </w:tc>
        <w:tc>
          <w:tcPr>
            <w:tcW w:w="8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color w:val="auto"/>
                <w:spacing w:val="0"/>
                <w:position w:val="0"/>
                <w:sz w:val="21"/>
                <w:szCs w:val="21"/>
                <w:vertAlign w:val="baseline"/>
                <w:lang w:val="en-US" w:eastAsia="zh-CN"/>
              </w:rPr>
            </w:pPr>
            <w:r>
              <w:rPr>
                <w:rFonts w:hint="eastAsia"/>
                <w:b w:val="0"/>
                <w:bCs w:val="0"/>
                <w:color w:val="auto"/>
                <w:spacing w:val="0"/>
                <w:position w:val="0"/>
                <w:sz w:val="21"/>
                <w:szCs w:val="21"/>
                <w:vertAlign w:val="baseline"/>
                <w:lang w:val="en-US" w:eastAsia="zh-CN"/>
              </w:rPr>
              <w:t>--</w:t>
            </w:r>
          </w:p>
        </w:tc>
        <w:tc>
          <w:tcPr>
            <w:tcW w:w="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5.41</w:t>
            </w:r>
          </w:p>
        </w:tc>
        <w:tc>
          <w:tcPr>
            <w:tcW w:w="130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color w:val="auto"/>
                <w:spacing w:val="0"/>
                <w:position w:val="0"/>
                <w:sz w:val="21"/>
                <w:szCs w:val="21"/>
                <w:vertAlign w:val="baseline"/>
                <w:lang w:val="en-US" w:eastAsia="zh-CN"/>
              </w:rPr>
            </w:pPr>
            <w:r>
              <w:rPr>
                <w:rFonts w:hint="eastAsia"/>
                <w:spacing w:val="0"/>
                <w:position w:val="0"/>
              </w:rPr>
              <w:t>0.36</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计算得出：各污染物中后整理车间的污染物中PM</w:t>
      </w:r>
      <w:r>
        <w:rPr>
          <w:rFonts w:hint="eastAsia"/>
          <w:b w:val="0"/>
          <w:bCs w:val="0"/>
          <w:spacing w:val="0"/>
          <w:position w:val="0"/>
          <w:sz w:val="24"/>
          <w:szCs w:val="24"/>
          <w:vertAlign w:val="subscript"/>
          <w:lang w:val="en-US" w:eastAsia="zh-CN"/>
        </w:rPr>
        <w:t>10</w:t>
      </w:r>
      <w:r>
        <w:rPr>
          <w:rFonts w:hint="eastAsia"/>
          <w:b w:val="0"/>
          <w:bCs w:val="0"/>
          <w:spacing w:val="0"/>
          <w:position w:val="0"/>
          <w:sz w:val="24"/>
          <w:szCs w:val="24"/>
          <w:lang w:val="en-US" w:eastAsia="zh-CN"/>
        </w:rPr>
        <w:t>的占标率最大，为5.41%，故本项目大气环境影响评价等级为二级。</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5.1.2.2评价范围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本项目大气评价等级为二级，根据《环境影响评价技术导则 大气环境》（HJ2.2-2018），大气评级范围取边长为5km的矩形区域。</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5.1.2.3污染物排放量核算</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对照《环境影响评价技术导则大气环境》（HJ2.2-2018），大气评价工作等级为二级，不进行进一步预测与评价，本评价只对污染物排放量进行核算。参考《排污许可证申请与核发技术规范纺织印染工业》（HJ861-2017），本项目废气排气口均为一般排放口。根据工程分析，正常工况有组织废气排放源见表5.1-8，无组织排放量核算见表5.1-9，本项目大气污染物排放源强核算见表5.1-10。</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（1）有组织排放量核算</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表5.1-8大气污染物有组织排放量核算表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306"/>
        <w:gridCol w:w="1331"/>
        <w:gridCol w:w="1270"/>
        <w:gridCol w:w="1742"/>
        <w:gridCol w:w="1076"/>
        <w:gridCol w:w="1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排气筒编号</w:t>
            </w:r>
          </w:p>
        </w:tc>
        <w:tc>
          <w:tcPr>
            <w:tcW w:w="130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污染物</w:t>
            </w:r>
          </w:p>
        </w:tc>
        <w:tc>
          <w:tcPr>
            <w:tcW w:w="133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核算排放浓度（mg/m</w:t>
            </w:r>
            <w:r>
              <w:rPr>
                <w:rFonts w:hint="eastAsia"/>
                <w:b w:val="0"/>
                <w:bCs w:val="0"/>
                <w:spacing w:val="0"/>
                <w:position w:val="0"/>
                <w:sz w:val="21"/>
                <w:szCs w:val="21"/>
                <w:vertAlign w:val="superscript"/>
                <w:lang w:val="en-US" w:eastAsia="zh-CN"/>
              </w:rPr>
              <w:t>3</w:t>
            </w:r>
            <w:r>
              <w:rPr>
                <w:rFonts w:hint="eastAsia"/>
                <w:b w:val="0"/>
                <w:bCs w:val="0"/>
                <w:spacing w:val="0"/>
                <w:position w:val="0"/>
                <w:sz w:val="21"/>
                <w:szCs w:val="21"/>
                <w:vertAlign w:val="baseline"/>
                <w:lang w:val="en-US" w:eastAsia="zh-CN"/>
              </w:rPr>
              <w:t>）</w:t>
            </w:r>
          </w:p>
        </w:tc>
        <w:tc>
          <w:tcPr>
            <w:tcW w:w="12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核算排放速率（kg/h）</w:t>
            </w:r>
          </w:p>
        </w:tc>
        <w:tc>
          <w:tcPr>
            <w:tcW w:w="2818"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国家或地方污染物排放标准</w:t>
            </w:r>
          </w:p>
        </w:tc>
        <w:tc>
          <w:tcPr>
            <w:tcW w:w="10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30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3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2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7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标准名称</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浓度限值(mg/m</w:t>
            </w:r>
            <w:r>
              <w:rPr>
                <w:rFonts w:hint="eastAsia"/>
                <w:b w:val="0"/>
                <w:bCs w:val="0"/>
                <w:spacing w:val="0"/>
                <w:position w:val="0"/>
                <w:sz w:val="21"/>
                <w:szCs w:val="21"/>
                <w:vertAlign w:val="superscript"/>
                <w:lang w:val="en-US" w:eastAsia="zh-CN"/>
              </w:rPr>
              <w:t>3</w:t>
            </w:r>
            <w:r>
              <w:rPr>
                <w:rFonts w:hint="eastAsia"/>
                <w:b w:val="0"/>
                <w:bCs w:val="0"/>
                <w:spacing w:val="0"/>
                <w:position w:val="0"/>
                <w:sz w:val="21"/>
                <w:szCs w:val="21"/>
                <w:vertAlign w:val="baseline"/>
                <w:lang w:val="en-US" w:eastAsia="zh-CN"/>
              </w:rPr>
              <w:t>)</w:t>
            </w:r>
          </w:p>
        </w:tc>
        <w:tc>
          <w:tcPr>
            <w:tcW w:w="10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05" w:type="dxa"/>
            <w:gridSpan w:val="7"/>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DA001</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subscript"/>
                <w:lang w:val="en-US" w:eastAsia="zh-CN"/>
              </w:rPr>
            </w:pPr>
            <w:r>
              <w:rPr>
                <w:rFonts w:hint="eastAsia"/>
                <w:b w:val="0"/>
                <w:bCs w:val="0"/>
                <w:spacing w:val="0"/>
                <w:position w:val="0"/>
                <w:sz w:val="21"/>
                <w:szCs w:val="21"/>
                <w:vertAlign w:val="baseline"/>
                <w:lang w:val="en-US" w:eastAsia="zh-CN"/>
              </w:rPr>
              <w:t>PM</w:t>
            </w:r>
            <w:r>
              <w:rPr>
                <w:rFonts w:hint="eastAsia"/>
                <w:b w:val="0"/>
                <w:bCs w:val="0"/>
                <w:spacing w:val="0"/>
                <w:position w:val="0"/>
                <w:sz w:val="21"/>
                <w:szCs w:val="21"/>
                <w:vertAlign w:val="subscript"/>
                <w:lang w:val="en-US" w:eastAsia="zh-CN"/>
              </w:rPr>
              <w:t>10</w:t>
            </w:r>
          </w:p>
        </w:tc>
        <w:tc>
          <w:tcPr>
            <w:tcW w:w="13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9.8</w:t>
            </w:r>
          </w:p>
        </w:tc>
        <w:tc>
          <w:tcPr>
            <w:tcW w:w="12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w:t>
            </w:r>
          </w:p>
        </w:tc>
        <w:tc>
          <w:tcPr>
            <w:tcW w:w="17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default"/>
                <w:b w:val="0"/>
                <w:bCs w:val="0"/>
                <w:spacing w:val="0"/>
                <w:position w:val="0"/>
                <w:sz w:val="21"/>
                <w:szCs w:val="21"/>
                <w:vertAlign w:val="baseline"/>
                <w:lang w:val="en-US" w:eastAsia="zh-CN"/>
              </w:rPr>
              <w:t>《纺织染整工业大气污染物排放标准》</w:t>
            </w:r>
            <w:r>
              <w:rPr>
                <w:rFonts w:hint="eastAsia"/>
                <w:b w:val="0"/>
                <w:bCs w:val="0"/>
                <w:spacing w:val="0"/>
                <w:position w:val="0"/>
                <w:sz w:val="21"/>
                <w:szCs w:val="21"/>
                <w:vertAlign w:val="baseline"/>
                <w:lang w:val="en-US" w:eastAsia="zh-CN"/>
              </w:rPr>
              <w:t>(</w:t>
            </w:r>
            <w:r>
              <w:rPr>
                <w:rFonts w:hint="default"/>
                <w:b w:val="0"/>
                <w:bCs w:val="0"/>
                <w:spacing w:val="0"/>
                <w:position w:val="0"/>
                <w:sz w:val="21"/>
                <w:szCs w:val="21"/>
                <w:vertAlign w:val="baseline"/>
                <w:lang w:val="en-US" w:eastAsia="zh-CN"/>
              </w:rPr>
              <w:t>DB33/962-2015</w:t>
            </w:r>
            <w:r>
              <w:rPr>
                <w:rFonts w:hint="eastAsia"/>
                <w:b w:val="0"/>
                <w:bCs w:val="0"/>
                <w:spacing w:val="0"/>
                <w:position w:val="0"/>
                <w:sz w:val="21"/>
                <w:szCs w:val="21"/>
                <w:vertAlign w:val="baseline"/>
                <w:lang w:val="en-US" w:eastAsia="zh-CN"/>
              </w:rPr>
              <w:t>)</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15</w:t>
            </w:r>
          </w:p>
        </w:tc>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非甲烷总烃</w:t>
            </w:r>
          </w:p>
        </w:tc>
        <w:tc>
          <w:tcPr>
            <w:tcW w:w="13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5.97</w:t>
            </w:r>
          </w:p>
        </w:tc>
        <w:tc>
          <w:tcPr>
            <w:tcW w:w="12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1.83</w:t>
            </w:r>
          </w:p>
        </w:tc>
        <w:tc>
          <w:tcPr>
            <w:tcW w:w="17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40</w:t>
            </w:r>
          </w:p>
        </w:tc>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14.465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DA002</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PM</w:t>
            </w:r>
            <w:r>
              <w:rPr>
                <w:rFonts w:hint="eastAsia"/>
                <w:b w:val="0"/>
                <w:bCs w:val="0"/>
                <w:spacing w:val="0"/>
                <w:position w:val="0"/>
                <w:sz w:val="21"/>
                <w:szCs w:val="21"/>
                <w:vertAlign w:val="subscript"/>
                <w:lang w:val="en-US" w:eastAsia="zh-CN"/>
              </w:rPr>
              <w:t>10</w:t>
            </w:r>
          </w:p>
        </w:tc>
        <w:tc>
          <w:tcPr>
            <w:tcW w:w="13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10</w:t>
            </w:r>
          </w:p>
        </w:tc>
        <w:tc>
          <w:tcPr>
            <w:tcW w:w="12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2.6</w:t>
            </w:r>
          </w:p>
        </w:tc>
        <w:tc>
          <w:tcPr>
            <w:tcW w:w="17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15</w:t>
            </w:r>
          </w:p>
        </w:tc>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20.592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非甲烷总烃</w:t>
            </w:r>
          </w:p>
        </w:tc>
        <w:tc>
          <w:tcPr>
            <w:tcW w:w="13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6</w:t>
            </w:r>
          </w:p>
        </w:tc>
        <w:tc>
          <w:tcPr>
            <w:tcW w:w="12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1.56</w:t>
            </w:r>
          </w:p>
        </w:tc>
        <w:tc>
          <w:tcPr>
            <w:tcW w:w="17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40</w:t>
            </w:r>
          </w:p>
        </w:tc>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12.355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05" w:type="dxa"/>
            <w:gridSpan w:val="7"/>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有组织排放统计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eastAsia="宋体"/>
                <w:spacing w:val="0"/>
                <w:position w:val="0"/>
                <w:lang w:val="en-US" w:eastAsia="zh-CN"/>
              </w:rPr>
            </w:pPr>
            <w:r>
              <w:rPr>
                <w:rFonts w:hint="eastAsia"/>
                <w:spacing w:val="0"/>
                <w:position w:val="0"/>
                <w:lang w:val="en-US" w:eastAsia="zh-CN"/>
              </w:rPr>
              <w:t>一般排放口</w:t>
            </w: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PM</w:t>
            </w:r>
            <w:r>
              <w:rPr>
                <w:rFonts w:hint="eastAsia"/>
                <w:b w:val="0"/>
                <w:bCs w:val="0"/>
                <w:spacing w:val="0"/>
                <w:position w:val="0"/>
                <w:sz w:val="21"/>
                <w:szCs w:val="21"/>
                <w:vertAlign w:val="subscript"/>
                <w:lang w:val="en-US" w:eastAsia="zh-CN"/>
              </w:rPr>
              <w:t>10</w:t>
            </w:r>
          </w:p>
        </w:tc>
        <w:tc>
          <w:tcPr>
            <w:tcW w:w="5419"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w:t>
            </w:r>
          </w:p>
        </w:tc>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44.352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spacing w:val="0"/>
                <w:position w:val="0"/>
                <w:lang w:val="en-US" w:eastAsia="zh-CN"/>
              </w:rPr>
            </w:pPr>
          </w:p>
        </w:tc>
        <w:tc>
          <w:tcPr>
            <w:tcW w:w="1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非甲烷总烃</w:t>
            </w:r>
          </w:p>
        </w:tc>
        <w:tc>
          <w:tcPr>
            <w:tcW w:w="5419"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w:t>
            </w:r>
          </w:p>
        </w:tc>
        <w:tc>
          <w:tcPr>
            <w:tcW w:w="10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26.82</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（2）无组织排放量核算</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val="en-US" w:eastAsia="zh-CN"/>
        </w:rPr>
        <w:t>表5.1-9</w:t>
      </w:r>
      <w:r>
        <w:rPr>
          <w:rFonts w:hint="eastAsia" w:ascii="宋体" w:hAnsi="宋体" w:eastAsia="宋体" w:cs="宋体"/>
          <w:b/>
          <w:bCs/>
          <w:spacing w:val="0"/>
          <w:position w:val="0"/>
          <w:sz w:val="24"/>
          <w:szCs w:val="24"/>
        </w:rPr>
        <w:t>大气污染物无组织排放量核算表</w:t>
      </w:r>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1"/>
        <w:gridCol w:w="842"/>
        <w:gridCol w:w="1474"/>
        <w:gridCol w:w="2184"/>
        <w:gridCol w:w="1989"/>
        <w:gridCol w:w="484"/>
        <w:gridCol w:w="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污染源</w:t>
            </w:r>
          </w:p>
        </w:tc>
        <w:tc>
          <w:tcPr>
            <w:tcW w:w="8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污染物</w:t>
            </w:r>
          </w:p>
        </w:tc>
        <w:tc>
          <w:tcPr>
            <w:tcW w:w="147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主要污染防治措施</w:t>
            </w:r>
          </w:p>
        </w:tc>
        <w:tc>
          <w:tcPr>
            <w:tcW w:w="4657"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国家或地方污染物排放标准</w:t>
            </w:r>
          </w:p>
        </w:tc>
        <w:tc>
          <w:tcPr>
            <w:tcW w:w="75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年排放量</w:t>
            </w:r>
            <w:r>
              <w:rPr>
                <w:rFonts w:hint="eastAsia"/>
                <w:b/>
                <w:bCs/>
                <w:spacing w:val="0"/>
                <w:position w:val="0"/>
                <w:sz w:val="21"/>
                <w:szCs w:val="24"/>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b/>
                <w:bCs/>
                <w:spacing w:val="0"/>
                <w:position w:val="0"/>
              </w:rPr>
            </w:pPr>
          </w:p>
        </w:tc>
        <w:tc>
          <w:tcPr>
            <w:tcW w:w="8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b/>
                <w:bCs/>
                <w:spacing w:val="0"/>
                <w:position w:val="0"/>
              </w:rPr>
            </w:pPr>
          </w:p>
        </w:tc>
        <w:tc>
          <w:tcPr>
            <w:tcW w:w="1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b/>
                <w:bCs/>
                <w:spacing w:val="0"/>
                <w:position w:val="0"/>
              </w:rPr>
            </w:pPr>
          </w:p>
        </w:tc>
        <w:tc>
          <w:tcPr>
            <w:tcW w:w="2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标准名称</w:t>
            </w:r>
          </w:p>
        </w:tc>
        <w:tc>
          <w:tcPr>
            <w:tcW w:w="247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浓度限值</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4"/>
                <w:vertAlign w:val="baseline"/>
                <w:lang w:val="en-US" w:eastAsia="zh-CN"/>
              </w:rPr>
            </w:pPr>
            <w:r>
              <w:rPr>
                <w:rFonts w:hint="eastAsia" w:ascii="Times New Roman" w:hAnsi="Times New Roman" w:eastAsia="宋体"/>
                <w:b/>
                <w:bCs/>
                <w:spacing w:val="0"/>
                <w:position w:val="0"/>
                <w:sz w:val="21"/>
                <w:szCs w:val="24"/>
                <w:vertAlign w:val="baseline"/>
                <w:lang w:val="en-US" w:eastAsia="zh-CN"/>
              </w:rPr>
              <w:t>（mg/m</w:t>
            </w:r>
            <w:r>
              <w:rPr>
                <w:rFonts w:hint="eastAsia" w:ascii="Times New Roman" w:hAnsi="Times New Roman" w:eastAsia="宋体"/>
                <w:b/>
                <w:bCs/>
                <w:spacing w:val="0"/>
                <w:position w:val="0"/>
                <w:sz w:val="21"/>
                <w:szCs w:val="24"/>
                <w:vertAlign w:val="superscript"/>
                <w:lang w:val="en-US" w:eastAsia="zh-CN"/>
              </w:rPr>
              <w:t>3</w:t>
            </w:r>
            <w:r>
              <w:rPr>
                <w:rFonts w:hint="eastAsia" w:ascii="Times New Roman" w:hAnsi="Times New Roman" w:eastAsia="宋体"/>
                <w:b/>
                <w:bCs/>
                <w:spacing w:val="0"/>
                <w:position w:val="0"/>
                <w:sz w:val="21"/>
                <w:szCs w:val="24"/>
                <w:vertAlign w:val="baseline"/>
                <w:lang w:val="en-US" w:eastAsia="zh-CN"/>
              </w:rPr>
              <w:t>）</w:t>
            </w:r>
          </w:p>
        </w:tc>
        <w:tc>
          <w:tcPr>
            <w:tcW w:w="75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后整理车间</w:t>
            </w:r>
          </w:p>
        </w:tc>
        <w:tc>
          <w:tcPr>
            <w:tcW w:w="8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subscript"/>
                <w:lang w:val="en-US" w:eastAsia="zh-CN"/>
              </w:rPr>
            </w:pPr>
            <w:r>
              <w:rPr>
                <w:rFonts w:hint="eastAsia" w:ascii="Times New Roman" w:hAnsi="Times New Roman" w:eastAsia="宋体"/>
                <w:b w:val="0"/>
                <w:bCs w:val="0"/>
                <w:spacing w:val="0"/>
                <w:position w:val="0"/>
                <w:sz w:val="21"/>
                <w:szCs w:val="24"/>
                <w:vertAlign w:val="baseline"/>
                <w:lang w:val="en-US" w:eastAsia="zh-CN"/>
              </w:rPr>
              <w:t>PM</w:t>
            </w:r>
            <w:r>
              <w:rPr>
                <w:rFonts w:hint="eastAsia" w:ascii="Times New Roman" w:hAnsi="Times New Roman" w:eastAsia="宋体"/>
                <w:b w:val="0"/>
                <w:bCs w:val="0"/>
                <w:spacing w:val="0"/>
                <w:position w:val="0"/>
                <w:sz w:val="21"/>
                <w:szCs w:val="24"/>
                <w:vertAlign w:val="subscript"/>
                <w:lang w:val="en-US" w:eastAsia="zh-CN"/>
              </w:rPr>
              <w:t>10</w:t>
            </w: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生产时车间密闭+布袋除尘器</w:t>
            </w:r>
          </w:p>
        </w:tc>
        <w:tc>
          <w:tcPr>
            <w:tcW w:w="21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《大气污染物综合排放标准》(GB16297-1996)</w:t>
            </w:r>
          </w:p>
        </w:tc>
        <w:tc>
          <w:tcPr>
            <w:tcW w:w="247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1.0</w:t>
            </w:r>
          </w:p>
        </w:tc>
        <w:tc>
          <w:tcPr>
            <w:tcW w:w="7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印花及蒸化车间</w:t>
            </w:r>
          </w:p>
        </w:tc>
        <w:tc>
          <w:tcPr>
            <w:tcW w:w="8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非甲烷总烃</w:t>
            </w:r>
          </w:p>
        </w:tc>
        <w:tc>
          <w:tcPr>
            <w:tcW w:w="147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生产时车间密闭+集气罩+废气治理措施</w:t>
            </w:r>
          </w:p>
        </w:tc>
        <w:tc>
          <w:tcPr>
            <w:tcW w:w="21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《挥发性有机物无组织排放控制标准》(GB37822-2019)及《大气污染物综合排放标准》(GB16297-1996)</w:t>
            </w:r>
          </w:p>
        </w:tc>
        <w:tc>
          <w:tcPr>
            <w:tcW w:w="19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b w:val="0"/>
                <w:bCs w:val="0"/>
                <w:spacing w:val="0"/>
                <w:position w:val="0"/>
                <w:sz w:val="21"/>
                <w:szCs w:val="24"/>
                <w:vertAlign w:val="baseline"/>
                <w:lang w:val="en-US" w:eastAsia="zh-CN"/>
              </w:rPr>
            </w:pPr>
            <w:r>
              <w:rPr>
                <w:rFonts w:ascii="Times New Roman" w:hAnsi="Times New Roman" w:eastAsia="宋体"/>
                <w:spacing w:val="0"/>
                <w:w w:val="100"/>
                <w:kern w:val="21"/>
                <w:position w:val="0"/>
                <w:sz w:val="21"/>
                <w:szCs w:val="21"/>
              </w:rPr>
              <w:t>厂区内监控点处1小时平均浓度值</w:t>
            </w:r>
          </w:p>
        </w:tc>
        <w:tc>
          <w:tcPr>
            <w:tcW w:w="48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b w:val="0"/>
                <w:bCs w:val="0"/>
                <w:spacing w:val="0"/>
                <w:position w:val="0"/>
                <w:sz w:val="21"/>
                <w:szCs w:val="24"/>
                <w:vertAlign w:val="baseline"/>
                <w:lang w:val="en-US" w:eastAsia="zh-CN"/>
              </w:rPr>
            </w:pPr>
            <w:r>
              <w:rPr>
                <w:rFonts w:ascii="Times New Roman" w:hAnsi="Times New Roman" w:eastAsia="宋体"/>
                <w:spacing w:val="0"/>
                <w:w w:val="100"/>
                <w:kern w:val="21"/>
                <w:position w:val="0"/>
                <w:sz w:val="21"/>
                <w:szCs w:val="21"/>
              </w:rPr>
              <w:t>10.0</w:t>
            </w:r>
          </w:p>
        </w:tc>
        <w:tc>
          <w:tcPr>
            <w:tcW w:w="75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0.261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8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21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989"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pacing w:val="0"/>
                <w:position w:val="0"/>
              </w:rPr>
            </w:pPr>
            <w:r>
              <w:rPr>
                <w:rFonts w:ascii="Times New Roman" w:hAnsi="Times New Roman" w:eastAsia="宋体"/>
                <w:spacing w:val="0"/>
                <w:w w:val="100"/>
                <w:kern w:val="21"/>
                <w:position w:val="0"/>
                <w:sz w:val="21"/>
                <w:szCs w:val="21"/>
              </w:rPr>
              <w:t>厂区内监控点处任意一次浓度值</w:t>
            </w:r>
          </w:p>
        </w:tc>
        <w:tc>
          <w:tcPr>
            <w:tcW w:w="484"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pacing w:val="0"/>
                <w:position w:val="0"/>
              </w:rPr>
            </w:pPr>
            <w:r>
              <w:rPr>
                <w:rFonts w:ascii="Times New Roman" w:hAnsi="Times New Roman" w:eastAsia="宋体"/>
                <w:spacing w:val="0"/>
                <w:w w:val="100"/>
                <w:kern w:val="21"/>
                <w:position w:val="0"/>
                <w:sz w:val="21"/>
                <w:szCs w:val="21"/>
              </w:rPr>
              <w:t>30.0</w:t>
            </w:r>
          </w:p>
        </w:tc>
        <w:tc>
          <w:tcPr>
            <w:tcW w:w="75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pacing w:val="0"/>
                <w:position w:val="0"/>
              </w:rPr>
            </w:pPr>
          </w:p>
        </w:tc>
        <w:tc>
          <w:tcPr>
            <w:tcW w:w="842"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pacing w:val="0"/>
                <w:position w:val="0"/>
              </w:rPr>
            </w:pPr>
          </w:p>
        </w:tc>
        <w:tc>
          <w:tcPr>
            <w:tcW w:w="1474"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pacing w:val="0"/>
                <w:position w:val="0"/>
              </w:rPr>
            </w:pPr>
          </w:p>
        </w:tc>
        <w:tc>
          <w:tcPr>
            <w:tcW w:w="2184"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pacing w:val="0"/>
                <w:position w:val="0"/>
              </w:rPr>
            </w:pPr>
          </w:p>
        </w:tc>
        <w:tc>
          <w:tcPr>
            <w:tcW w:w="2473" w:type="dxa"/>
            <w:gridSpan w:val="2"/>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spacing w:val="0"/>
                <w:w w:val="100"/>
                <w:kern w:val="21"/>
                <w:position w:val="0"/>
                <w:sz w:val="21"/>
                <w:szCs w:val="21"/>
                <w:lang w:val="en-US" w:eastAsia="zh-CN"/>
              </w:rPr>
            </w:pPr>
            <w:r>
              <w:rPr>
                <w:rFonts w:hint="eastAsia" w:ascii="Times New Roman" w:hAnsi="Times New Roman"/>
                <w:spacing w:val="0"/>
                <w:w w:val="100"/>
                <w:kern w:val="21"/>
                <w:position w:val="0"/>
                <w:sz w:val="21"/>
                <w:szCs w:val="21"/>
                <w:lang w:val="en-US" w:eastAsia="zh-CN"/>
              </w:rPr>
              <w:t>4.0</w:t>
            </w:r>
          </w:p>
        </w:tc>
        <w:tc>
          <w:tcPr>
            <w:tcW w:w="754" w:type="dxa"/>
            <w:vMerge w:val="continue"/>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spacing w:val="0"/>
                <w:w w:val="100"/>
                <w:kern w:val="21"/>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688" w:type="dxa"/>
            <w:gridSpan w:val="7"/>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无组织排放统计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无组织排放统计</w:t>
            </w:r>
          </w:p>
        </w:tc>
        <w:tc>
          <w:tcPr>
            <w:tcW w:w="8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PM</w:t>
            </w:r>
            <w:r>
              <w:rPr>
                <w:rFonts w:hint="eastAsia" w:ascii="Times New Roman" w:hAnsi="Times New Roman" w:eastAsia="宋体"/>
                <w:b w:val="0"/>
                <w:bCs w:val="0"/>
                <w:spacing w:val="0"/>
                <w:position w:val="0"/>
                <w:sz w:val="21"/>
                <w:szCs w:val="24"/>
                <w:vertAlign w:val="subscript"/>
                <w:lang w:val="en-US" w:eastAsia="zh-CN"/>
              </w:rPr>
              <w:t>10</w:t>
            </w:r>
          </w:p>
        </w:tc>
        <w:tc>
          <w:tcPr>
            <w:tcW w:w="6131"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7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p>
        </w:tc>
        <w:tc>
          <w:tcPr>
            <w:tcW w:w="8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非甲烷总烃</w:t>
            </w:r>
          </w:p>
        </w:tc>
        <w:tc>
          <w:tcPr>
            <w:tcW w:w="6131"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7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0.261</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（3）</w:t>
      </w:r>
      <w:r>
        <w:rPr>
          <w:rFonts w:hint="eastAsia"/>
          <w:b w:val="0"/>
          <w:bCs w:val="0"/>
          <w:spacing w:val="0"/>
          <w:position w:val="0"/>
          <w:sz w:val="24"/>
          <w:szCs w:val="24"/>
          <w:lang w:val="en-US" w:eastAsia="zh-CN"/>
        </w:rPr>
        <w:t>大气污染物年排放量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本项目废气排放量核算见表5.1-10。</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vertAlign w:val="baseline"/>
          <w:lang w:val="en-US" w:eastAsia="zh-CN"/>
        </w:rPr>
      </w:pPr>
      <w:r>
        <w:rPr>
          <w:rFonts w:hint="eastAsia"/>
          <w:b/>
          <w:bCs/>
          <w:spacing w:val="0"/>
          <w:position w:val="0"/>
          <w:sz w:val="24"/>
          <w:szCs w:val="24"/>
          <w:lang w:val="en-US" w:eastAsia="zh-CN"/>
        </w:rPr>
        <w:t>表5.1-10</w:t>
      </w:r>
      <w:r>
        <w:rPr>
          <w:rFonts w:hint="eastAsia" w:ascii="宋体" w:hAnsi="宋体" w:eastAsia="宋体" w:cs="宋体"/>
          <w:b/>
          <w:bCs/>
          <w:spacing w:val="0"/>
          <w:position w:val="0"/>
          <w:sz w:val="24"/>
          <w:szCs w:val="24"/>
        </w:rPr>
        <w:t>项目大气污染物排放量核算表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4158"/>
        <w:gridCol w:w="3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序号</w:t>
            </w:r>
          </w:p>
        </w:tc>
        <w:tc>
          <w:tcPr>
            <w:tcW w:w="41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污染物</w:t>
            </w:r>
          </w:p>
        </w:tc>
        <w:tc>
          <w:tcPr>
            <w:tcW w:w="3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w:t>
            </w:r>
          </w:p>
        </w:tc>
        <w:tc>
          <w:tcPr>
            <w:tcW w:w="41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subscript"/>
                <w:lang w:val="en-US" w:eastAsia="zh-CN"/>
              </w:rPr>
            </w:pPr>
            <w:r>
              <w:rPr>
                <w:rFonts w:hint="eastAsia" w:ascii="Times New Roman" w:hAnsi="Times New Roman" w:eastAsia="宋体"/>
                <w:b w:val="0"/>
                <w:bCs w:val="0"/>
                <w:spacing w:val="0"/>
                <w:position w:val="0"/>
                <w:sz w:val="21"/>
                <w:szCs w:val="21"/>
                <w:vertAlign w:val="baseline"/>
                <w:lang w:val="en-US" w:eastAsia="zh-CN"/>
              </w:rPr>
              <w:t>PM</w:t>
            </w:r>
            <w:r>
              <w:rPr>
                <w:rFonts w:hint="eastAsia" w:ascii="Times New Roman" w:hAnsi="Times New Roman" w:eastAsia="宋体"/>
                <w:b w:val="0"/>
                <w:bCs w:val="0"/>
                <w:spacing w:val="0"/>
                <w:position w:val="0"/>
                <w:sz w:val="21"/>
                <w:szCs w:val="21"/>
                <w:vertAlign w:val="subscript"/>
                <w:lang w:val="en-US" w:eastAsia="zh-CN"/>
              </w:rPr>
              <w:t>10</w:t>
            </w:r>
          </w:p>
        </w:tc>
        <w:tc>
          <w:tcPr>
            <w:tcW w:w="3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44.761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w:t>
            </w:r>
          </w:p>
        </w:tc>
        <w:tc>
          <w:tcPr>
            <w:tcW w:w="41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非甲烷总烃</w:t>
            </w:r>
          </w:p>
        </w:tc>
        <w:tc>
          <w:tcPr>
            <w:tcW w:w="35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27.081</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default"/>
          <w:b w:val="0"/>
          <w:bCs w:val="0"/>
          <w:spacing w:val="0"/>
          <w:position w:val="0"/>
          <w:sz w:val="24"/>
          <w:szCs w:val="24"/>
          <w:lang w:val="en-US" w:eastAsia="zh-CN"/>
        </w:rPr>
        <w:t>经核算，项目建成后全厂污染物颗粒物、非甲烷总烃的年排放量分别为</w:t>
      </w:r>
      <w:r>
        <w:rPr>
          <w:rFonts w:hint="eastAsia"/>
          <w:b w:val="0"/>
          <w:bCs w:val="0"/>
          <w:spacing w:val="0"/>
          <w:position w:val="0"/>
          <w:sz w:val="24"/>
          <w:szCs w:val="24"/>
          <w:lang w:val="en-US" w:eastAsia="zh-CN"/>
        </w:rPr>
        <w:t>44.761</w:t>
      </w:r>
      <w:r>
        <w:rPr>
          <w:rFonts w:hint="default"/>
          <w:b w:val="0"/>
          <w:bCs w:val="0"/>
          <w:spacing w:val="0"/>
          <w:position w:val="0"/>
          <w:sz w:val="24"/>
          <w:szCs w:val="24"/>
          <w:lang w:val="en-US" w:eastAsia="zh-CN"/>
        </w:rPr>
        <w:t>t/a、</w:t>
      </w:r>
      <w:r>
        <w:rPr>
          <w:rFonts w:hint="eastAsia"/>
          <w:b w:val="0"/>
          <w:bCs w:val="0"/>
          <w:spacing w:val="0"/>
          <w:position w:val="0"/>
          <w:sz w:val="24"/>
          <w:szCs w:val="24"/>
          <w:lang w:val="en-US" w:eastAsia="zh-CN"/>
        </w:rPr>
        <w:t>27.081</w:t>
      </w:r>
      <w:r>
        <w:rPr>
          <w:rFonts w:hint="default"/>
          <w:b w:val="0"/>
          <w:bCs w:val="0"/>
          <w:spacing w:val="0"/>
          <w:position w:val="0"/>
          <w:sz w:val="24"/>
          <w:szCs w:val="24"/>
          <w:lang w:val="en-US" w:eastAsia="zh-CN"/>
        </w:rPr>
        <w:t>t/a</w:t>
      </w:r>
      <w:r>
        <w:rPr>
          <w:rFonts w:hint="eastAsia"/>
          <w:b w:val="0"/>
          <w:bCs w:val="0"/>
          <w:spacing w:val="0"/>
          <w:position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4</w:t>
      </w:r>
      <w:r>
        <w:rPr>
          <w:rFonts w:hint="eastAsia" w:ascii="Times New Roman" w:hAnsi="Times New Roman" w:eastAsia="宋体" w:cs="Times New Roman"/>
          <w:b w:val="0"/>
          <w:bCs w:val="0"/>
          <w:spacing w:val="0"/>
          <w:kern w:val="2"/>
          <w:position w:val="0"/>
          <w:sz w:val="24"/>
          <w:szCs w:val="24"/>
          <w:lang w:val="en-US" w:eastAsia="zh-CN" w:bidi="ar-SA"/>
        </w:rPr>
        <w:t>）</w:t>
      </w:r>
      <w:r>
        <w:rPr>
          <w:rFonts w:hint="eastAsia"/>
          <w:b w:val="0"/>
          <w:bCs w:val="0"/>
          <w:spacing w:val="0"/>
          <w:position w:val="0"/>
          <w:sz w:val="24"/>
          <w:szCs w:val="24"/>
          <w:lang w:val="en-US" w:eastAsia="zh-CN"/>
        </w:rPr>
        <w:t>非正常排放影响分析和排放量核算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项目大气污染物的非正常排放主要是定型废气和印花废气设施出现故障，从而引起废气大量排放到环境空气中，易造成环境空气质量污染。根据表</w:t>
      </w:r>
      <w:r>
        <w:rPr>
          <w:rFonts w:hint="eastAsia"/>
          <w:b w:val="0"/>
          <w:bCs w:val="0"/>
          <w:spacing w:val="0"/>
          <w:position w:val="0"/>
          <w:sz w:val="24"/>
          <w:szCs w:val="24"/>
          <w:lang w:val="en-US" w:eastAsia="zh-CN"/>
        </w:rPr>
        <w:t>3.4-11</w:t>
      </w:r>
      <w:r>
        <w:rPr>
          <w:rFonts w:hint="default"/>
          <w:b w:val="0"/>
          <w:bCs w:val="0"/>
          <w:spacing w:val="0"/>
          <w:position w:val="0"/>
          <w:sz w:val="24"/>
          <w:szCs w:val="24"/>
          <w:lang w:val="en-US" w:eastAsia="zh-CN"/>
        </w:rPr>
        <w:t>所示，在发生非正常排放时（废气处理效率降为30%），排放的油烟污染物浓度</w:t>
      </w:r>
      <w:r>
        <w:rPr>
          <w:rFonts w:hint="eastAsia"/>
          <w:b w:val="0"/>
          <w:bCs w:val="0"/>
          <w:spacing w:val="0"/>
          <w:position w:val="0"/>
          <w:sz w:val="24"/>
          <w:szCs w:val="24"/>
          <w:lang w:val="en-US" w:eastAsia="zh-CN"/>
        </w:rPr>
        <w:t>最高</w:t>
      </w:r>
      <w:r>
        <w:rPr>
          <w:rFonts w:hint="default"/>
          <w:b w:val="0"/>
          <w:bCs w:val="0"/>
          <w:spacing w:val="0"/>
          <w:position w:val="0"/>
          <w:sz w:val="24"/>
          <w:szCs w:val="24"/>
          <w:lang w:val="en-US" w:eastAsia="zh-CN"/>
        </w:rPr>
        <w:t>达105mg/m</w:t>
      </w:r>
      <w:r>
        <w:rPr>
          <w:rFonts w:hint="default"/>
          <w:b w:val="0"/>
          <w:bCs w:val="0"/>
          <w:spacing w:val="0"/>
          <w:position w:val="0"/>
          <w:sz w:val="24"/>
          <w:szCs w:val="24"/>
          <w:vertAlign w:val="superscript"/>
          <w:lang w:val="en-US" w:eastAsia="zh-CN"/>
        </w:rPr>
        <w:t>3</w:t>
      </w:r>
      <w:r>
        <w:rPr>
          <w:rFonts w:hint="default"/>
          <w:b w:val="0"/>
          <w:bCs w:val="0"/>
          <w:spacing w:val="0"/>
          <w:position w:val="0"/>
          <w:sz w:val="24"/>
          <w:szCs w:val="24"/>
          <w:lang w:val="en-US" w:eastAsia="zh-CN"/>
        </w:rPr>
        <w:t>，远大于废气排放执行标准15mg/m</w:t>
      </w:r>
      <w:r>
        <w:rPr>
          <w:rFonts w:hint="default"/>
          <w:b w:val="0"/>
          <w:bCs w:val="0"/>
          <w:spacing w:val="0"/>
          <w:position w:val="0"/>
          <w:sz w:val="24"/>
          <w:szCs w:val="24"/>
          <w:vertAlign w:val="superscript"/>
          <w:lang w:val="en-US" w:eastAsia="zh-CN"/>
        </w:rPr>
        <w:t>3</w:t>
      </w:r>
      <w:r>
        <w:rPr>
          <w:rFonts w:hint="default"/>
          <w:b w:val="0"/>
          <w:bCs w:val="0"/>
          <w:spacing w:val="0"/>
          <w:position w:val="0"/>
          <w:sz w:val="24"/>
          <w:szCs w:val="24"/>
          <w:lang w:val="en-US" w:eastAsia="zh-CN"/>
        </w:rPr>
        <w:t>，排放的颗粒物污染物浓度达140mg/m</w:t>
      </w:r>
      <w:r>
        <w:rPr>
          <w:rFonts w:hint="default"/>
          <w:b w:val="0"/>
          <w:bCs w:val="0"/>
          <w:spacing w:val="0"/>
          <w:position w:val="0"/>
          <w:sz w:val="24"/>
          <w:szCs w:val="24"/>
          <w:vertAlign w:val="superscript"/>
          <w:lang w:val="en-US" w:eastAsia="zh-CN"/>
        </w:rPr>
        <w:t>3</w:t>
      </w:r>
      <w:r>
        <w:rPr>
          <w:rFonts w:hint="default"/>
          <w:b w:val="0"/>
          <w:bCs w:val="0"/>
          <w:spacing w:val="0"/>
          <w:position w:val="0"/>
          <w:sz w:val="24"/>
          <w:szCs w:val="24"/>
          <w:lang w:val="en-US" w:eastAsia="zh-CN"/>
        </w:rPr>
        <w:t>，远大于废气排放执行标准15mg/m</w:t>
      </w:r>
      <w:r>
        <w:rPr>
          <w:rFonts w:hint="default"/>
          <w:b w:val="0"/>
          <w:bCs w:val="0"/>
          <w:spacing w:val="0"/>
          <w:position w:val="0"/>
          <w:sz w:val="24"/>
          <w:szCs w:val="24"/>
          <w:vertAlign w:val="superscript"/>
          <w:lang w:val="en-US" w:eastAsia="zh-CN"/>
        </w:rPr>
        <w:t>3</w:t>
      </w:r>
      <w:r>
        <w:rPr>
          <w:rFonts w:hint="default"/>
          <w:b w:val="0"/>
          <w:bCs w:val="0"/>
          <w:spacing w:val="0"/>
          <w:position w:val="0"/>
          <w:sz w:val="24"/>
          <w:szCs w:val="24"/>
          <w:lang w:val="en-US" w:eastAsia="zh-CN"/>
        </w:rPr>
        <w:t>，对大气环境造成严重影响，污染周边环境空气，影响坑园镇、下屿村、前屿村、屿头村、颜岐村等敏感点。建设单位应对车间及设备定期检查、及时排除故障，确保设备正常运行。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经核算，项目建成后全厂每根排气筒污染物非正常排放量最大值：颗粒物</w:t>
      </w:r>
      <w:r>
        <w:rPr>
          <w:rFonts w:hint="eastAsia"/>
          <w:b w:val="0"/>
          <w:bCs w:val="0"/>
          <w:spacing w:val="0"/>
          <w:position w:val="0"/>
          <w:sz w:val="24"/>
          <w:szCs w:val="24"/>
          <w:lang w:val="en-US" w:eastAsia="zh-CN"/>
        </w:rPr>
        <w:t>42</w:t>
      </w:r>
      <w:r>
        <w:rPr>
          <w:rFonts w:hint="default"/>
          <w:b w:val="0"/>
          <w:bCs w:val="0"/>
          <w:spacing w:val="0"/>
          <w:position w:val="0"/>
          <w:sz w:val="24"/>
          <w:szCs w:val="24"/>
          <w:lang w:val="en-US" w:eastAsia="zh-CN"/>
        </w:rPr>
        <w:t>kg/h、油烟</w:t>
      </w:r>
      <w:r>
        <w:rPr>
          <w:rFonts w:hint="eastAsia"/>
          <w:b w:val="0"/>
          <w:bCs w:val="0"/>
          <w:spacing w:val="0"/>
          <w:position w:val="0"/>
          <w:sz w:val="24"/>
          <w:szCs w:val="24"/>
          <w:lang w:val="en-US" w:eastAsia="zh-CN"/>
        </w:rPr>
        <w:t>31.5</w:t>
      </w:r>
      <w:r>
        <w:rPr>
          <w:rFonts w:hint="default"/>
          <w:b w:val="0"/>
          <w:bCs w:val="0"/>
          <w:spacing w:val="0"/>
          <w:position w:val="0"/>
          <w:sz w:val="24"/>
          <w:szCs w:val="24"/>
          <w:lang w:val="en-US" w:eastAsia="zh-CN"/>
        </w:rPr>
        <w:t>kg/h、非甲烷总烃</w:t>
      </w:r>
      <w:r>
        <w:rPr>
          <w:rFonts w:hint="eastAsia"/>
          <w:b w:val="0"/>
          <w:bCs w:val="0"/>
          <w:spacing w:val="0"/>
          <w:position w:val="0"/>
          <w:sz w:val="24"/>
          <w:szCs w:val="24"/>
          <w:lang w:val="en-US" w:eastAsia="zh-CN"/>
        </w:rPr>
        <w:t>6.39</w:t>
      </w:r>
      <w:r>
        <w:rPr>
          <w:rFonts w:hint="default"/>
          <w:b w:val="0"/>
          <w:bCs w:val="0"/>
          <w:spacing w:val="0"/>
          <w:position w:val="0"/>
          <w:sz w:val="24"/>
          <w:szCs w:val="24"/>
          <w:lang w:val="en-US" w:eastAsia="zh-CN"/>
        </w:rPr>
        <w:t>kg/h</w:t>
      </w:r>
      <w:r>
        <w:rPr>
          <w:rFonts w:hint="eastAsia"/>
          <w:b w:val="0"/>
          <w:bCs w:val="0"/>
          <w:spacing w:val="0"/>
          <w:position w:val="0"/>
          <w:sz w:val="24"/>
          <w:szCs w:val="24"/>
          <w:lang w:val="en-US" w:eastAsia="zh-CN"/>
        </w:rPr>
        <w:t>，后整理车间无组织排放速率约为0.35kg/h</w:t>
      </w:r>
      <w:r>
        <w:rPr>
          <w:rFonts w:hint="default"/>
          <w:b w:val="0"/>
          <w:bCs w:val="0"/>
          <w:spacing w:val="0"/>
          <w:position w:val="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5.1.2.4环境防护距离划定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（1）</w:t>
      </w:r>
      <w:r>
        <w:rPr>
          <w:rFonts w:hint="eastAsia"/>
          <w:b w:val="0"/>
          <w:bCs w:val="0"/>
          <w:spacing w:val="0"/>
          <w:position w:val="0"/>
          <w:sz w:val="24"/>
          <w:szCs w:val="24"/>
          <w:lang w:val="en-US" w:eastAsia="zh-CN"/>
        </w:rPr>
        <w:t>大气环境防护距离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采用《环境影响评价技术导则大气环境》（HJ2.2-2018）估算模式预测项目排放的各废气污染源中，筛选计算各污染源中占标率最大源为后整理车间的污染物中PM</w:t>
      </w:r>
      <w:r>
        <w:rPr>
          <w:rFonts w:hint="eastAsia" w:cs="Times New Roman"/>
          <w:b w:val="0"/>
          <w:bCs w:val="0"/>
          <w:spacing w:val="0"/>
          <w:kern w:val="2"/>
          <w:position w:val="0"/>
          <w:sz w:val="24"/>
          <w:szCs w:val="24"/>
          <w:vertAlign w:val="subscript"/>
          <w:lang w:val="en-US" w:eastAsia="zh-CN" w:bidi="ar-SA"/>
        </w:rPr>
        <w:t>10</w:t>
      </w:r>
      <w:r>
        <w:rPr>
          <w:rFonts w:hint="default" w:ascii="Times New Roman" w:hAnsi="Times New Roman" w:eastAsia="宋体" w:cs="Times New Roman"/>
          <w:b w:val="0"/>
          <w:bCs w:val="0"/>
          <w:spacing w:val="0"/>
          <w:kern w:val="2"/>
          <w:position w:val="0"/>
          <w:sz w:val="24"/>
          <w:szCs w:val="24"/>
          <w:lang w:val="en-US" w:eastAsia="zh-CN" w:bidi="ar-SA"/>
        </w:rPr>
        <w:t>，其对应1%＜Pmax=</w:t>
      </w:r>
      <w:r>
        <w:rPr>
          <w:rFonts w:hint="eastAsia" w:cs="Times New Roman"/>
          <w:b w:val="0"/>
          <w:bCs w:val="0"/>
          <w:spacing w:val="0"/>
          <w:kern w:val="2"/>
          <w:position w:val="0"/>
          <w:sz w:val="24"/>
          <w:szCs w:val="24"/>
          <w:lang w:val="en-US" w:eastAsia="zh-CN" w:bidi="ar-SA"/>
        </w:rPr>
        <w:t>5.41</w:t>
      </w:r>
      <w:r>
        <w:rPr>
          <w:rFonts w:hint="default" w:ascii="Times New Roman" w:hAnsi="Times New Roman" w:eastAsia="宋体" w:cs="Times New Roman"/>
          <w:b w:val="0"/>
          <w:bCs w:val="0"/>
          <w:spacing w:val="0"/>
          <w:kern w:val="2"/>
          <w:position w:val="0"/>
          <w:sz w:val="24"/>
          <w:szCs w:val="24"/>
          <w:lang w:val="en-US" w:eastAsia="zh-CN" w:bidi="ar-SA"/>
        </w:rPr>
        <w:t>%＜10%，由此确定评价等级为二级。项目运营对环境空气的影响很小，不需要设置大气环境防护距离。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ascii="Times New Roman" w:hAnsi="Times New Roman" w:eastAsia="宋体" w:cs="Times New Roman"/>
          <w:b w:val="0"/>
          <w:bCs w:val="0"/>
          <w:spacing w:val="0"/>
          <w:kern w:val="2"/>
          <w:position w:val="0"/>
          <w:sz w:val="24"/>
          <w:szCs w:val="24"/>
          <w:lang w:val="en-US" w:eastAsia="zh-CN" w:bidi="ar-SA"/>
        </w:rPr>
        <w:t>（2）</w:t>
      </w:r>
      <w:r>
        <w:rPr>
          <w:rFonts w:hint="eastAsia" w:cs="Times New Roman"/>
          <w:b w:val="0"/>
          <w:bCs w:val="0"/>
          <w:spacing w:val="0"/>
          <w:kern w:val="2"/>
          <w:position w:val="0"/>
          <w:sz w:val="24"/>
          <w:szCs w:val="24"/>
          <w:lang w:val="en-US" w:eastAsia="zh-CN" w:bidi="ar-SA"/>
        </w:rPr>
        <w:t>卫生防护距离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本项目位于连江可门绿色纺织产业园，现状用地无居住区、医院、学校、食品加工等环境敏感目标，在《环罗源湾地区工业产业布局规划（2020-2025年）》中规划为工业用地，未规划建设上述大气环境敏感目标，因此</w:t>
      </w:r>
      <w:r>
        <w:rPr>
          <w:rFonts w:hint="eastAsia"/>
          <w:b w:val="0"/>
          <w:bCs w:val="0"/>
          <w:spacing w:val="0"/>
          <w:position w:val="0"/>
          <w:sz w:val="24"/>
          <w:szCs w:val="24"/>
          <w:lang w:val="en-US" w:eastAsia="zh-CN"/>
        </w:rPr>
        <w:t>本评价</w:t>
      </w:r>
      <w:r>
        <w:rPr>
          <w:rFonts w:hint="default"/>
          <w:b w:val="0"/>
          <w:bCs w:val="0"/>
          <w:spacing w:val="0"/>
          <w:position w:val="0"/>
          <w:sz w:val="24"/>
          <w:szCs w:val="24"/>
          <w:lang w:val="en-US" w:eastAsia="zh-CN"/>
        </w:rPr>
        <w:t>不考虑《大气有害物质无组织排放卫生防护距离推导技术导则》（GB/T39499-2020）推荐设置的卫生防护距离。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综上，本项目不设置环境防护距离。</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5.1.3大气预测小结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（1）</w:t>
      </w:r>
      <w:r>
        <w:rPr>
          <w:rFonts w:hint="eastAsia"/>
          <w:b w:val="0"/>
          <w:bCs w:val="0"/>
          <w:spacing w:val="0"/>
          <w:position w:val="0"/>
          <w:sz w:val="24"/>
          <w:szCs w:val="24"/>
          <w:lang w:val="en-US" w:eastAsia="zh-CN"/>
        </w:rPr>
        <w:t>本项目最大落地浓度值及占标率分析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根据预测估算结果可知，PM</w:t>
      </w:r>
      <w:r>
        <w:rPr>
          <w:rFonts w:hint="default" w:ascii="Times New Roman" w:hAnsi="Times New Roman" w:eastAsia="宋体" w:cs="Times New Roman"/>
          <w:b w:val="0"/>
          <w:bCs w:val="0"/>
          <w:spacing w:val="0"/>
          <w:kern w:val="2"/>
          <w:position w:val="0"/>
          <w:sz w:val="24"/>
          <w:szCs w:val="24"/>
          <w:vertAlign w:val="subscript"/>
          <w:lang w:val="en-US" w:eastAsia="zh-CN" w:bidi="ar-SA"/>
        </w:rPr>
        <w:t>10</w:t>
      </w:r>
      <w:r>
        <w:rPr>
          <w:rFonts w:hint="default" w:ascii="Times New Roman" w:hAnsi="Times New Roman" w:eastAsia="宋体" w:cs="Times New Roman"/>
          <w:b w:val="0"/>
          <w:bCs w:val="0"/>
          <w:spacing w:val="0"/>
          <w:kern w:val="2"/>
          <w:position w:val="0"/>
          <w:sz w:val="24"/>
          <w:szCs w:val="24"/>
          <w:lang w:val="en-US" w:eastAsia="zh-CN" w:bidi="ar-SA"/>
        </w:rPr>
        <w:t>、非甲烷总烃污染物的最大落地浓度占标率为</w:t>
      </w:r>
      <w:r>
        <w:rPr>
          <w:rFonts w:hint="eastAsia" w:cs="Times New Roman"/>
          <w:b w:val="0"/>
          <w:bCs w:val="0"/>
          <w:spacing w:val="0"/>
          <w:kern w:val="2"/>
          <w:position w:val="0"/>
          <w:sz w:val="24"/>
          <w:szCs w:val="24"/>
          <w:lang w:val="en-US" w:eastAsia="zh-CN" w:bidi="ar-SA"/>
        </w:rPr>
        <w:t>5.41</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0.36</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PM</w:t>
      </w:r>
      <w:r>
        <w:rPr>
          <w:rFonts w:hint="default" w:ascii="Times New Roman" w:hAnsi="Times New Roman" w:eastAsia="宋体" w:cs="Times New Roman"/>
          <w:b w:val="0"/>
          <w:bCs w:val="0"/>
          <w:spacing w:val="0"/>
          <w:kern w:val="2"/>
          <w:position w:val="0"/>
          <w:sz w:val="24"/>
          <w:szCs w:val="24"/>
          <w:vertAlign w:val="subscript"/>
          <w:lang w:val="en-US" w:eastAsia="zh-CN" w:bidi="ar-SA"/>
        </w:rPr>
        <w:t>10</w:t>
      </w:r>
      <w:r>
        <w:rPr>
          <w:rFonts w:hint="default" w:ascii="Times New Roman" w:hAnsi="Times New Roman" w:eastAsia="宋体" w:cs="Times New Roman"/>
          <w:b w:val="0"/>
          <w:bCs w:val="0"/>
          <w:spacing w:val="0"/>
          <w:kern w:val="2"/>
          <w:position w:val="0"/>
          <w:sz w:val="24"/>
          <w:szCs w:val="24"/>
          <w:lang w:val="en-US" w:eastAsia="zh-CN" w:bidi="ar-SA"/>
        </w:rPr>
        <w:t>满足GB3095-2012《环境空气质量标准》二级标准限值要求，非甲烷总烃满足《大气污染物综合排放标准》详解要求，本项目排放各污染物能满足相应的环境质量标准要求，对周围环境的影响较小。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（2）大气环境防护距离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本项目大气环境</w:t>
      </w:r>
      <w:r>
        <w:rPr>
          <w:rFonts w:hint="default" w:ascii="Times New Roman" w:hAnsi="Times New Roman" w:eastAsia="宋体" w:cs="Times New Roman"/>
          <w:b w:val="0"/>
          <w:bCs w:val="0"/>
          <w:spacing w:val="0"/>
          <w:kern w:val="2"/>
          <w:position w:val="0"/>
          <w:sz w:val="24"/>
          <w:szCs w:val="24"/>
          <w:lang w:val="en-US" w:eastAsia="zh-CN" w:bidi="ar-SA"/>
        </w:rPr>
        <w:t>评价等级为二级</w:t>
      </w:r>
      <w:r>
        <w:rPr>
          <w:rFonts w:hint="eastAsia" w:cs="Times New Roman"/>
          <w:b w:val="0"/>
          <w:bCs w:val="0"/>
          <w:spacing w:val="0"/>
          <w:kern w:val="2"/>
          <w:position w:val="0"/>
          <w:sz w:val="24"/>
          <w:szCs w:val="24"/>
          <w:lang w:val="en-US" w:eastAsia="zh-CN" w:bidi="ar-SA"/>
        </w:rPr>
        <w:t>，经预测</w:t>
      </w:r>
      <w:r>
        <w:rPr>
          <w:rFonts w:hint="default" w:ascii="Times New Roman" w:hAnsi="Times New Roman" w:eastAsia="宋体" w:cs="Times New Roman"/>
          <w:b w:val="0"/>
          <w:bCs w:val="0"/>
          <w:spacing w:val="0"/>
          <w:kern w:val="2"/>
          <w:position w:val="0"/>
          <w:sz w:val="24"/>
          <w:szCs w:val="24"/>
          <w:lang w:val="en-US" w:eastAsia="zh-CN" w:bidi="ar-SA"/>
        </w:rPr>
        <w:t>项目运营</w:t>
      </w:r>
      <w:r>
        <w:rPr>
          <w:rFonts w:hint="eastAsia" w:cs="Times New Roman"/>
          <w:b w:val="0"/>
          <w:bCs w:val="0"/>
          <w:spacing w:val="0"/>
          <w:kern w:val="2"/>
          <w:position w:val="0"/>
          <w:sz w:val="24"/>
          <w:szCs w:val="24"/>
          <w:lang w:val="en-US" w:eastAsia="zh-CN" w:bidi="ar-SA"/>
        </w:rPr>
        <w:t>期</w:t>
      </w:r>
      <w:r>
        <w:rPr>
          <w:rFonts w:hint="default" w:ascii="Times New Roman" w:hAnsi="Times New Roman" w:eastAsia="宋体" w:cs="Times New Roman"/>
          <w:b w:val="0"/>
          <w:bCs w:val="0"/>
          <w:spacing w:val="0"/>
          <w:kern w:val="2"/>
          <w:position w:val="0"/>
          <w:sz w:val="24"/>
          <w:szCs w:val="24"/>
          <w:lang w:val="en-US" w:eastAsia="zh-CN" w:bidi="ar-SA"/>
        </w:rPr>
        <w:t>对环境空气的影响很小，不需要设置大气环境防护距离</w:t>
      </w:r>
      <w:r>
        <w:rPr>
          <w:rFonts w:hint="eastAsia" w:cs="Times New Roman"/>
          <w:b w:val="0"/>
          <w:bCs w:val="0"/>
          <w:spacing w:val="0"/>
          <w:kern w:val="2"/>
          <w:position w:val="0"/>
          <w:sz w:val="24"/>
          <w:szCs w:val="24"/>
          <w:lang w:val="en-US" w:eastAsia="zh-CN" w:bidi="ar-SA"/>
        </w:rPr>
        <w:t>；本项目位于连江可门绿色纺织产业园，在《环罗源湾地区工业产业布局规划（2020-2025年）》中规划为工业用地，未规划建设居住区、医院、学校、食品加工等环境敏感目标，因此不考虑设置卫生防护距离。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（3）</w:t>
      </w:r>
      <w:r>
        <w:rPr>
          <w:rFonts w:hint="eastAsia"/>
          <w:b w:val="0"/>
          <w:bCs w:val="0"/>
          <w:spacing w:val="0"/>
          <w:position w:val="0"/>
          <w:sz w:val="24"/>
          <w:szCs w:val="24"/>
          <w:lang w:val="en-US" w:eastAsia="zh-CN"/>
        </w:rPr>
        <w:t>大气环境影响评价结论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sectPr>
          <w:footerReference r:id="rId6" w:type="default"/>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val="0"/>
          <w:bCs w:val="0"/>
          <w:spacing w:val="0"/>
          <w:position w:val="0"/>
          <w:sz w:val="24"/>
          <w:szCs w:val="24"/>
          <w:lang w:val="en-US" w:eastAsia="zh-CN"/>
        </w:rPr>
        <w:t>综上所述，项目产生的污染物在采取合理的大气污染防治措施后，对周围大气环境影响满足《环境影响评价技术导则 大气环境》（HJ2.2-2018）中10.1.1判定标准，环境影响属可接受水平。本项目大气环境评价自查表见表5.1-7。</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4"/>
          <w:szCs w:val="24"/>
          <w:vertAlign w:val="baseline"/>
          <w:lang w:val="en-US" w:eastAsia="zh-CN"/>
        </w:rPr>
      </w:pPr>
      <w:r>
        <w:rPr>
          <w:rFonts w:hint="eastAsia"/>
          <w:b/>
          <w:bCs/>
          <w:spacing w:val="0"/>
          <w:position w:val="0"/>
          <w:sz w:val="24"/>
          <w:szCs w:val="24"/>
          <w:lang w:val="en-US" w:eastAsia="zh-CN"/>
        </w:rPr>
        <w:t>表5.1-7建设项目大气环境影响评价自查表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92"/>
        <w:gridCol w:w="2390"/>
        <w:gridCol w:w="938"/>
        <w:gridCol w:w="334"/>
        <w:gridCol w:w="159"/>
        <w:gridCol w:w="78"/>
        <w:gridCol w:w="845"/>
        <w:gridCol w:w="508"/>
        <w:gridCol w:w="1018"/>
        <w:gridCol w:w="413"/>
        <w:gridCol w:w="1431"/>
        <w:gridCol w:w="1063"/>
        <w:gridCol w:w="274"/>
        <w:gridCol w:w="94"/>
        <w:gridCol w:w="1283"/>
        <w:gridCol w:w="148"/>
        <w:gridCol w:w="1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982"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工作内容</w:t>
            </w:r>
          </w:p>
        </w:tc>
        <w:tc>
          <w:tcPr>
            <w:tcW w:w="10022" w:type="dxa"/>
            <w:gridSpan w:val="1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评价等级与范围</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评价等级</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一级</w:t>
            </w:r>
            <w:r>
              <w:rPr>
                <w:rFonts w:hint="eastAsia"/>
                <w:b w:val="0"/>
                <w:bCs w:val="0"/>
                <w:spacing w:val="0"/>
                <w:position w:val="0"/>
                <w:sz w:val="21"/>
                <w:szCs w:val="21"/>
                <w:vertAlign w:val="baseline"/>
                <w:lang w:val="en-US" w:eastAsia="zh-CN"/>
              </w:rPr>
              <w:sym w:font="Wingdings 2" w:char="00A3"/>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二级</w:t>
            </w:r>
            <w:r>
              <w:rPr>
                <w:rFonts w:hint="eastAsia"/>
                <w:b w:val="0"/>
                <w:bCs w:val="0"/>
                <w:spacing w:val="0"/>
                <w:position w:val="0"/>
                <w:sz w:val="21"/>
                <w:szCs w:val="21"/>
                <w:vertAlign w:val="baseline"/>
                <w:lang w:val="en-US" w:eastAsia="zh-CN"/>
              </w:rPr>
              <w:sym w:font="Wingdings 2" w:char="0052"/>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三级</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评价范围</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边长=50km</w:t>
            </w:r>
            <w:r>
              <w:rPr>
                <w:rFonts w:hint="eastAsia"/>
                <w:b w:val="0"/>
                <w:bCs w:val="0"/>
                <w:spacing w:val="0"/>
                <w:position w:val="0"/>
                <w:sz w:val="21"/>
                <w:szCs w:val="21"/>
                <w:vertAlign w:val="baseline"/>
                <w:lang w:val="en-US" w:eastAsia="zh-CN"/>
              </w:rPr>
              <w:sym w:font="Wingdings 2" w:char="00A3"/>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边长=5~50km</w:t>
            </w:r>
            <w:r>
              <w:rPr>
                <w:rFonts w:hint="eastAsia"/>
                <w:b w:val="0"/>
                <w:bCs w:val="0"/>
                <w:spacing w:val="0"/>
                <w:position w:val="0"/>
                <w:sz w:val="21"/>
                <w:szCs w:val="21"/>
                <w:vertAlign w:val="baseline"/>
                <w:lang w:val="en-US" w:eastAsia="zh-CN"/>
              </w:rPr>
              <w:sym w:font="Wingdings 2" w:char="00A3"/>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边长=5km</w:t>
            </w:r>
            <w:r>
              <w:rPr>
                <w:rFonts w:hint="eastAsia"/>
                <w:b w:val="0"/>
                <w:bCs w:val="0"/>
                <w:spacing w:val="0"/>
                <w:position w:val="0"/>
                <w:sz w:val="21"/>
                <w:szCs w:val="21"/>
                <w:vertAlign w:val="baseline"/>
                <w:lang w:val="en-US" w:eastAsia="zh-CN"/>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评价因子</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SO</w:t>
            </w:r>
            <w:r>
              <w:rPr>
                <w:rFonts w:hint="eastAsia"/>
                <w:b w:val="0"/>
                <w:bCs w:val="0"/>
                <w:spacing w:val="0"/>
                <w:position w:val="0"/>
                <w:sz w:val="21"/>
                <w:szCs w:val="21"/>
                <w:vertAlign w:val="subscript"/>
                <w:lang w:val="en-US" w:eastAsia="zh-CN"/>
              </w:rPr>
              <w:t>2</w:t>
            </w:r>
            <w:r>
              <w:rPr>
                <w:rFonts w:hint="eastAsia"/>
                <w:b w:val="0"/>
                <w:bCs w:val="0"/>
                <w:spacing w:val="0"/>
                <w:position w:val="0"/>
                <w:sz w:val="21"/>
                <w:szCs w:val="21"/>
                <w:vertAlign w:val="baseline"/>
                <w:lang w:val="en-US" w:eastAsia="zh-CN"/>
              </w:rPr>
              <w:t>+NO</w:t>
            </w:r>
            <w:r>
              <w:rPr>
                <w:rFonts w:hint="eastAsia"/>
                <w:b w:val="0"/>
                <w:bCs w:val="0"/>
                <w:spacing w:val="0"/>
                <w:position w:val="0"/>
                <w:sz w:val="21"/>
                <w:szCs w:val="21"/>
                <w:vertAlign w:val="subscript"/>
                <w:lang w:val="en-US" w:eastAsia="zh-CN"/>
              </w:rPr>
              <w:t>X</w:t>
            </w:r>
            <w:r>
              <w:rPr>
                <w:rFonts w:hint="eastAsia"/>
                <w:b w:val="0"/>
                <w:bCs w:val="0"/>
                <w:spacing w:val="0"/>
                <w:position w:val="0"/>
                <w:sz w:val="21"/>
                <w:szCs w:val="21"/>
                <w:vertAlign w:val="baseline"/>
                <w:lang w:val="en-US" w:eastAsia="zh-CN"/>
              </w:rPr>
              <w:t>排放量</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w:t>
            </w:r>
            <w:r>
              <w:rPr>
                <w:rFonts w:hint="default"/>
                <w:b w:val="0"/>
                <w:bCs w:val="0"/>
                <w:spacing w:val="0"/>
                <w:position w:val="0"/>
                <w:sz w:val="21"/>
                <w:szCs w:val="21"/>
                <w:vertAlign w:val="baseline"/>
                <w:lang w:val="en-US" w:eastAsia="zh-CN"/>
              </w:rPr>
              <w:t>2000t/a</w:t>
            </w:r>
            <w:r>
              <w:rPr>
                <w:rFonts w:hint="eastAsia"/>
                <w:b w:val="0"/>
                <w:bCs w:val="0"/>
                <w:spacing w:val="0"/>
                <w:position w:val="0"/>
                <w:sz w:val="21"/>
                <w:szCs w:val="21"/>
                <w:vertAlign w:val="baseline"/>
                <w:lang w:val="en-US" w:eastAsia="zh-CN"/>
              </w:rPr>
              <w:sym w:font="Wingdings 2" w:char="00A3"/>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ascii="Times New Roman" w:hAnsi="Times New Roman"/>
                <w:spacing w:val="0"/>
                <w:position w:val="0"/>
                <w:sz w:val="21"/>
                <w:lang w:val="en-US" w:eastAsia="zh-CN"/>
              </w:rPr>
              <w:t>500~</w:t>
            </w:r>
            <w:r>
              <w:rPr>
                <w:rFonts w:ascii="Times New Roman" w:hAnsi="Times New Roman"/>
                <w:spacing w:val="0"/>
                <w:position w:val="0"/>
                <w:sz w:val="21"/>
              </w:rPr>
              <w:t>2000t/a</w:t>
            </w:r>
            <w:r>
              <w:rPr>
                <w:rFonts w:hint="eastAsia"/>
                <w:b w:val="0"/>
                <w:bCs w:val="0"/>
                <w:spacing w:val="0"/>
                <w:position w:val="0"/>
                <w:sz w:val="21"/>
                <w:szCs w:val="21"/>
                <w:vertAlign w:val="baseline"/>
                <w:lang w:val="en-US" w:eastAsia="zh-CN"/>
              </w:rPr>
              <w:sym w:font="Wingdings 2" w:char="00A3"/>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ascii="Times New Roman" w:hAnsi="Times New Roman"/>
                <w:spacing w:val="0"/>
                <w:position w:val="0"/>
                <w:sz w:val="21"/>
                <w:lang w:val="en-US" w:eastAsia="zh-CN"/>
              </w:rPr>
              <w:t>＜</w:t>
            </w:r>
            <w:r>
              <w:rPr>
                <w:rFonts w:hint="eastAsia"/>
                <w:spacing w:val="0"/>
                <w:position w:val="0"/>
                <w:sz w:val="21"/>
                <w:lang w:val="en-US" w:eastAsia="zh-CN"/>
              </w:rPr>
              <w:t>500</w:t>
            </w:r>
            <w:r>
              <w:rPr>
                <w:rFonts w:ascii="Times New Roman" w:hAnsi="Times New Roman"/>
                <w:spacing w:val="0"/>
                <w:position w:val="0"/>
                <w:sz w:val="21"/>
              </w:rPr>
              <w:t>t/a</w:t>
            </w:r>
            <w:r>
              <w:rPr>
                <w:rFonts w:hint="eastAsia"/>
                <w:b w:val="0"/>
                <w:bCs w:val="0"/>
                <w:spacing w:val="0"/>
                <w:position w:val="0"/>
                <w:sz w:val="21"/>
                <w:szCs w:val="21"/>
                <w:vertAlign w:val="baseline"/>
                <w:lang w:val="en-US" w:eastAsia="zh-CN"/>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评价因子</w:t>
            </w:r>
          </w:p>
        </w:tc>
        <w:tc>
          <w:tcPr>
            <w:tcW w:w="5724" w:type="dxa"/>
            <w:gridSpan w:val="9"/>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基本污染物（PM</w:t>
            </w:r>
            <w:r>
              <w:rPr>
                <w:rFonts w:hint="eastAsia"/>
                <w:b w:val="0"/>
                <w:bCs w:val="0"/>
                <w:spacing w:val="0"/>
                <w:position w:val="0"/>
                <w:sz w:val="21"/>
                <w:szCs w:val="21"/>
                <w:vertAlign w:val="subscript"/>
                <w:lang w:val="en-US" w:eastAsia="zh-CN"/>
              </w:rPr>
              <w:t>10</w:t>
            </w:r>
            <w:r>
              <w:rPr>
                <w:rFonts w:hint="eastAsia"/>
                <w:b w:val="0"/>
                <w:bCs w:val="0"/>
                <w:spacing w:val="0"/>
                <w:position w:val="0"/>
                <w:sz w:val="21"/>
                <w:szCs w:val="21"/>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其他污染物（非甲烷总烃）</w:t>
            </w:r>
          </w:p>
        </w:tc>
        <w:tc>
          <w:tcPr>
            <w:tcW w:w="4298"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包括二次PM</w:t>
            </w:r>
            <w:r>
              <w:rPr>
                <w:rFonts w:hint="eastAsia"/>
                <w:b w:val="0"/>
                <w:bCs w:val="0"/>
                <w:spacing w:val="0"/>
                <w:position w:val="0"/>
                <w:sz w:val="21"/>
                <w:szCs w:val="21"/>
                <w:vertAlign w:val="subscript"/>
                <w:lang w:val="en-US" w:eastAsia="zh-CN"/>
              </w:rPr>
              <w:t>2.5</w:t>
            </w:r>
            <w:r>
              <w:rPr>
                <w:rFonts w:hint="eastAsia"/>
                <w:b w:val="0"/>
                <w:bCs w:val="0"/>
                <w:spacing w:val="0"/>
                <w:position w:val="0"/>
                <w:sz w:val="21"/>
                <w:szCs w:val="21"/>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不包括二次PM</w:t>
            </w:r>
            <w:r>
              <w:rPr>
                <w:rFonts w:hint="eastAsia"/>
                <w:b w:val="0"/>
                <w:bCs w:val="0"/>
                <w:spacing w:val="0"/>
                <w:position w:val="0"/>
                <w:sz w:val="21"/>
                <w:szCs w:val="21"/>
                <w:vertAlign w:val="subscript"/>
                <w:lang w:val="en-US" w:eastAsia="zh-CN"/>
              </w:rPr>
              <w:t>2.5</w:t>
            </w:r>
            <w:r>
              <w:rPr>
                <w:rFonts w:hint="eastAsia"/>
                <w:b w:val="0"/>
                <w:bCs w:val="0"/>
                <w:spacing w:val="0"/>
                <w:position w:val="0"/>
                <w:sz w:val="21"/>
                <w:szCs w:val="21"/>
                <w:vertAlign w:val="baseline"/>
                <w:lang w:val="en-US" w:eastAsia="zh-CN"/>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评价标准</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评价标准</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国家标准</w:t>
            </w:r>
            <w:r>
              <w:rPr>
                <w:rFonts w:hint="eastAsia"/>
                <w:b w:val="0"/>
                <w:bCs w:val="0"/>
                <w:spacing w:val="0"/>
                <w:position w:val="0"/>
                <w:sz w:val="21"/>
                <w:szCs w:val="21"/>
                <w:vertAlign w:val="baseline"/>
                <w:lang w:val="en-US" w:eastAsia="zh-CN"/>
              </w:rPr>
              <w:sym w:font="Wingdings 2" w:char="0052"/>
            </w:r>
          </w:p>
        </w:tc>
        <w:tc>
          <w:tcPr>
            <w:tcW w:w="3370"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地方标准</w:t>
            </w:r>
            <w:r>
              <w:rPr>
                <w:rFonts w:hint="eastAsia"/>
                <w:b w:val="0"/>
                <w:bCs w:val="0"/>
                <w:spacing w:val="0"/>
                <w:position w:val="0"/>
                <w:sz w:val="21"/>
                <w:szCs w:val="21"/>
                <w:vertAlign w:val="baseline"/>
                <w:lang w:val="en-US" w:eastAsia="zh-CN"/>
              </w:rPr>
              <w:sym w:font="Wingdings 2" w:char="00A3"/>
            </w:r>
          </w:p>
        </w:tc>
        <w:tc>
          <w:tcPr>
            <w:tcW w:w="2714"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附录D</w:t>
            </w:r>
            <w:r>
              <w:rPr>
                <w:rFonts w:hint="eastAsia"/>
                <w:b w:val="0"/>
                <w:bCs w:val="0"/>
                <w:spacing w:val="0"/>
                <w:position w:val="0"/>
                <w:sz w:val="21"/>
                <w:szCs w:val="21"/>
                <w:vertAlign w:val="baseline"/>
                <w:lang w:val="en-US" w:eastAsia="zh-CN"/>
              </w:rPr>
              <w:sym w:font="Wingdings 2" w:char="00A3"/>
            </w:r>
          </w:p>
        </w:tc>
        <w:tc>
          <w:tcPr>
            <w:tcW w:w="1584"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其他标准</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现状评价</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环境功能区</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一类区</w:t>
            </w:r>
            <w:r>
              <w:rPr>
                <w:rFonts w:hint="eastAsia"/>
                <w:b w:val="0"/>
                <w:bCs w:val="0"/>
                <w:spacing w:val="0"/>
                <w:position w:val="0"/>
                <w:sz w:val="21"/>
                <w:szCs w:val="21"/>
                <w:vertAlign w:val="baseline"/>
                <w:lang w:val="en-US" w:eastAsia="zh-CN"/>
              </w:rPr>
              <w:sym w:font="Wingdings 2" w:char="00A3"/>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二类区</w:t>
            </w:r>
            <w:r>
              <w:rPr>
                <w:rFonts w:hint="eastAsia"/>
                <w:b w:val="0"/>
                <w:bCs w:val="0"/>
                <w:spacing w:val="0"/>
                <w:position w:val="0"/>
                <w:sz w:val="21"/>
                <w:szCs w:val="21"/>
                <w:vertAlign w:val="baseline"/>
                <w:lang w:val="en-US" w:eastAsia="zh-CN"/>
              </w:rPr>
              <w:sym w:font="Wingdings 2" w:char="0052"/>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一类区和二类区</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评价基准年</w:t>
            </w:r>
          </w:p>
        </w:tc>
        <w:tc>
          <w:tcPr>
            <w:tcW w:w="10022" w:type="dxa"/>
            <w:gridSpan w:val="1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（2023）年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环境空气质量现状调查数据来源</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长期例行监测数据</w:t>
            </w:r>
            <w:r>
              <w:rPr>
                <w:rFonts w:hint="eastAsia"/>
                <w:b w:val="0"/>
                <w:bCs w:val="0"/>
                <w:spacing w:val="0"/>
                <w:position w:val="0"/>
                <w:sz w:val="21"/>
                <w:szCs w:val="21"/>
                <w:vertAlign w:val="baseline"/>
                <w:lang w:val="en-US" w:eastAsia="zh-CN"/>
              </w:rPr>
              <w:sym w:font="Wingdings 2" w:char="0052"/>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主管部门发布的数据</w:t>
            </w:r>
            <w:r>
              <w:rPr>
                <w:rFonts w:hint="eastAsia"/>
                <w:b w:val="0"/>
                <w:bCs w:val="0"/>
                <w:spacing w:val="0"/>
                <w:position w:val="0"/>
                <w:sz w:val="21"/>
                <w:szCs w:val="21"/>
                <w:vertAlign w:val="baseline"/>
                <w:lang w:val="en-US" w:eastAsia="zh-CN"/>
              </w:rPr>
              <w:sym w:font="Wingdings 2" w:char="00A3"/>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现状补充监测</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现状评价</w:t>
            </w:r>
          </w:p>
        </w:tc>
        <w:tc>
          <w:tcPr>
            <w:tcW w:w="5724" w:type="dxa"/>
            <w:gridSpan w:val="9"/>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达标区</w:t>
            </w:r>
            <w:r>
              <w:rPr>
                <w:rFonts w:hint="eastAsia"/>
                <w:b w:val="0"/>
                <w:bCs w:val="0"/>
                <w:spacing w:val="0"/>
                <w:position w:val="0"/>
                <w:sz w:val="21"/>
                <w:szCs w:val="21"/>
                <w:vertAlign w:val="baseline"/>
                <w:lang w:val="en-US" w:eastAsia="zh-CN"/>
              </w:rPr>
              <w:sym w:font="Wingdings 2" w:char="0052"/>
            </w:r>
          </w:p>
        </w:tc>
        <w:tc>
          <w:tcPr>
            <w:tcW w:w="4298"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不达标区</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污染源调查</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调查内容</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right"/>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本项目正常排放源</w:t>
            </w:r>
            <w:r>
              <w:rPr>
                <w:rFonts w:hint="eastAsia"/>
                <w:b w:val="0"/>
                <w:bCs w:val="0"/>
                <w:spacing w:val="0"/>
                <w:position w:val="0"/>
                <w:sz w:val="21"/>
                <w:szCs w:val="21"/>
                <w:vertAlign w:val="baseline"/>
                <w:lang w:val="en-US" w:eastAsia="zh-CN"/>
              </w:rPr>
              <w:sym w:font="Wingdings 2" w:char="0052"/>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本项目非正常排放源</w:t>
            </w:r>
            <w:r>
              <w:rPr>
                <w:rFonts w:hint="eastAsia"/>
                <w:b w:val="0"/>
                <w:bCs w:val="0"/>
                <w:spacing w:val="0"/>
                <w:position w:val="0"/>
                <w:sz w:val="21"/>
                <w:szCs w:val="21"/>
                <w:vertAlign w:val="baseline"/>
                <w:lang w:val="en-US" w:eastAsia="zh-CN"/>
              </w:rPr>
              <w:sym w:font="Wingdings 2" w:char="0052"/>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right"/>
              <w:textAlignment w:val="auto"/>
              <w:outlineLvl w:val="9"/>
              <w:rPr>
                <w:rFonts w:hint="default"/>
                <w:spacing w:val="0"/>
                <w:position w:val="0"/>
                <w:lang w:val="en-US" w:eastAsia="zh-CN"/>
              </w:rPr>
            </w:pPr>
            <w:r>
              <w:rPr>
                <w:rFonts w:hint="eastAsia"/>
                <w:b w:val="0"/>
                <w:bCs w:val="0"/>
                <w:spacing w:val="0"/>
                <w:position w:val="0"/>
                <w:sz w:val="21"/>
                <w:szCs w:val="21"/>
                <w:vertAlign w:val="baseline"/>
                <w:lang w:val="en-US" w:eastAsia="zh-CN"/>
              </w:rPr>
              <w:t>现有污染源</w:t>
            </w:r>
            <w:r>
              <w:rPr>
                <w:rFonts w:hint="eastAsia"/>
                <w:b w:val="0"/>
                <w:bCs w:val="0"/>
                <w:spacing w:val="0"/>
                <w:position w:val="0"/>
                <w:sz w:val="21"/>
                <w:szCs w:val="21"/>
                <w:vertAlign w:val="baseline"/>
                <w:lang w:val="en-US" w:eastAsia="zh-CN"/>
              </w:rPr>
              <w:sym w:font="Wingdings 2" w:char="00A3"/>
            </w:r>
          </w:p>
        </w:tc>
        <w:tc>
          <w:tcPr>
            <w:tcW w:w="3370"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拟替代的污染源</w:t>
            </w:r>
            <w:r>
              <w:rPr>
                <w:rFonts w:hint="eastAsia"/>
                <w:b w:val="0"/>
                <w:bCs w:val="0"/>
                <w:spacing w:val="0"/>
                <w:position w:val="0"/>
                <w:sz w:val="21"/>
                <w:szCs w:val="21"/>
                <w:vertAlign w:val="baseline"/>
                <w:lang w:val="en-US" w:eastAsia="zh-CN"/>
              </w:rPr>
              <w:sym w:font="Wingdings 2" w:char="00A3"/>
            </w:r>
          </w:p>
        </w:tc>
        <w:tc>
          <w:tcPr>
            <w:tcW w:w="2714"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right"/>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其他在建、拟建项目污染源</w:t>
            </w:r>
            <w:r>
              <w:rPr>
                <w:rFonts w:hint="eastAsia"/>
                <w:b w:val="0"/>
                <w:bCs w:val="0"/>
                <w:spacing w:val="0"/>
                <w:position w:val="0"/>
                <w:sz w:val="21"/>
                <w:szCs w:val="21"/>
                <w:vertAlign w:val="baseline"/>
                <w:lang w:val="en-US" w:eastAsia="zh-CN"/>
              </w:rPr>
              <w:sym w:font="Wingdings 2" w:char="00A3"/>
            </w:r>
          </w:p>
        </w:tc>
        <w:tc>
          <w:tcPr>
            <w:tcW w:w="1584"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区域污染源</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大气环境影响预测与评价</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预测模型</w:t>
            </w:r>
          </w:p>
        </w:tc>
        <w:tc>
          <w:tcPr>
            <w:tcW w:w="1431"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AERMOD</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sym w:font="Wingdings 2" w:char="00A3"/>
            </w:r>
          </w:p>
        </w:tc>
        <w:tc>
          <w:tcPr>
            <w:tcW w:w="1431"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ADMS</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sym w:font="Wingdings 2" w:char="00A3"/>
            </w:r>
          </w:p>
        </w:tc>
        <w:tc>
          <w:tcPr>
            <w:tcW w:w="143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AUSTAL2000</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sym w:font="Wingdings 2" w:char="00A3"/>
            </w:r>
          </w:p>
        </w:tc>
        <w:tc>
          <w:tcPr>
            <w:tcW w:w="143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EDMS/AEDT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sym w:font="Wingdings 2" w:char="00A3"/>
            </w:r>
          </w:p>
        </w:tc>
        <w:tc>
          <w:tcPr>
            <w:tcW w:w="1431"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CAKOUFF</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sym w:font="Wingdings 2" w:char="00A3"/>
            </w:r>
          </w:p>
        </w:tc>
        <w:tc>
          <w:tcPr>
            <w:tcW w:w="143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网格模型</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sym w:font="Wingdings 2" w:char="00A3"/>
            </w:r>
          </w:p>
        </w:tc>
        <w:tc>
          <w:tcPr>
            <w:tcW w:w="14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其他</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预测范围</w:t>
            </w:r>
          </w:p>
        </w:tc>
        <w:tc>
          <w:tcPr>
            <w:tcW w:w="1509"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边长≥50km</w:t>
            </w:r>
            <w:r>
              <w:rPr>
                <w:rFonts w:hint="eastAsia"/>
                <w:b w:val="0"/>
                <w:bCs w:val="0"/>
                <w:spacing w:val="0"/>
                <w:position w:val="0"/>
                <w:sz w:val="21"/>
                <w:szCs w:val="21"/>
                <w:vertAlign w:val="baseline"/>
                <w:lang w:val="en-US" w:eastAsia="zh-CN"/>
              </w:rPr>
              <w:sym w:font="Wingdings 2" w:char="00A3"/>
            </w:r>
          </w:p>
        </w:tc>
        <w:tc>
          <w:tcPr>
            <w:tcW w:w="5552" w:type="dxa"/>
            <w:gridSpan w:val="7"/>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边长5~50km</w:t>
            </w:r>
            <w:r>
              <w:rPr>
                <w:rFonts w:hint="eastAsia"/>
                <w:b w:val="0"/>
                <w:bCs w:val="0"/>
                <w:spacing w:val="0"/>
                <w:position w:val="0"/>
                <w:sz w:val="21"/>
                <w:szCs w:val="21"/>
                <w:vertAlign w:val="baseline"/>
                <w:lang w:val="en-US" w:eastAsia="zh-CN"/>
              </w:rPr>
              <w:sym w:font="Wingdings 2" w:char="00A3"/>
            </w:r>
          </w:p>
        </w:tc>
        <w:tc>
          <w:tcPr>
            <w:tcW w:w="2961"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边长=5km</w:t>
            </w:r>
            <w:r>
              <w:rPr>
                <w:rFonts w:hint="eastAsia"/>
                <w:b w:val="0"/>
                <w:bCs w:val="0"/>
                <w:spacing w:val="0"/>
                <w:position w:val="0"/>
                <w:sz w:val="21"/>
                <w:szCs w:val="21"/>
                <w:vertAlign w:val="baseline"/>
                <w:lang w:val="en-US" w:eastAsia="zh-CN"/>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预测因子</w:t>
            </w:r>
          </w:p>
        </w:tc>
        <w:tc>
          <w:tcPr>
            <w:tcW w:w="5724" w:type="dxa"/>
            <w:gridSpan w:val="9"/>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预测因子（PM</w:t>
            </w:r>
            <w:r>
              <w:rPr>
                <w:rFonts w:hint="eastAsia"/>
                <w:b w:val="0"/>
                <w:bCs w:val="0"/>
                <w:spacing w:val="0"/>
                <w:position w:val="0"/>
                <w:sz w:val="21"/>
                <w:szCs w:val="21"/>
                <w:vertAlign w:val="subscript"/>
                <w:lang w:val="en-US" w:eastAsia="zh-CN"/>
              </w:rPr>
              <w:t>10</w:t>
            </w:r>
            <w:r>
              <w:rPr>
                <w:rFonts w:hint="eastAsia"/>
                <w:b w:val="0"/>
                <w:bCs w:val="0"/>
                <w:spacing w:val="0"/>
                <w:position w:val="0"/>
                <w:sz w:val="21"/>
                <w:szCs w:val="21"/>
                <w:vertAlign w:val="baseline"/>
                <w:lang w:val="en-US" w:eastAsia="zh-CN"/>
              </w:rPr>
              <w:t>、非甲烷总烃）</w:t>
            </w:r>
          </w:p>
        </w:tc>
        <w:tc>
          <w:tcPr>
            <w:tcW w:w="4298"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包括二次PM</w:t>
            </w:r>
            <w:r>
              <w:rPr>
                <w:rFonts w:hint="eastAsia"/>
                <w:b w:val="0"/>
                <w:bCs w:val="0"/>
                <w:spacing w:val="0"/>
                <w:position w:val="0"/>
                <w:sz w:val="21"/>
                <w:szCs w:val="21"/>
                <w:vertAlign w:val="subscript"/>
                <w:lang w:val="en-US" w:eastAsia="zh-CN"/>
              </w:rPr>
              <w:t>2.5</w:t>
            </w:r>
            <w:r>
              <w:rPr>
                <w:rFonts w:hint="eastAsia"/>
                <w:b w:val="0"/>
                <w:bCs w:val="0"/>
                <w:spacing w:val="0"/>
                <w:position w:val="0"/>
                <w:sz w:val="21"/>
                <w:szCs w:val="21"/>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不包括二次PM</w:t>
            </w:r>
            <w:r>
              <w:rPr>
                <w:rFonts w:hint="eastAsia"/>
                <w:b w:val="0"/>
                <w:bCs w:val="0"/>
                <w:spacing w:val="0"/>
                <w:position w:val="0"/>
                <w:sz w:val="21"/>
                <w:szCs w:val="21"/>
                <w:vertAlign w:val="subscript"/>
                <w:lang w:val="en-US" w:eastAsia="zh-CN"/>
              </w:rPr>
              <w:t>2.5</w:t>
            </w:r>
            <w:r>
              <w:rPr>
                <w:rFonts w:hint="eastAsia"/>
                <w:b w:val="0"/>
                <w:bCs w:val="0"/>
                <w:spacing w:val="0"/>
                <w:position w:val="0"/>
                <w:sz w:val="21"/>
                <w:szCs w:val="21"/>
                <w:vertAlign w:val="baseline"/>
                <w:lang w:val="en-US" w:eastAsia="zh-CN"/>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正常排放短期浓度贡献值</w:t>
            </w:r>
          </w:p>
        </w:tc>
        <w:tc>
          <w:tcPr>
            <w:tcW w:w="5724" w:type="dxa"/>
            <w:gridSpan w:val="9"/>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本项目</w:t>
            </w:r>
            <w:r>
              <w:rPr>
                <w:rFonts w:hint="eastAsia"/>
                <w:b w:val="0"/>
                <w:bCs w:val="0"/>
                <w:spacing w:val="0"/>
                <w:position w:val="0"/>
                <w:sz w:val="21"/>
                <w:szCs w:val="21"/>
                <w:vertAlign w:val="baseline"/>
                <w:lang w:val="en-US" w:eastAsia="zh-CN"/>
              </w:rPr>
              <w:t>最大占标率≤100%</w:t>
            </w:r>
            <w:r>
              <w:rPr>
                <w:rFonts w:hint="eastAsia"/>
                <w:b w:val="0"/>
                <w:bCs w:val="0"/>
                <w:spacing w:val="0"/>
                <w:position w:val="0"/>
                <w:sz w:val="21"/>
                <w:szCs w:val="21"/>
                <w:vertAlign w:val="baseline"/>
                <w:lang w:val="en-US" w:eastAsia="zh-CN"/>
              </w:rPr>
              <w:sym w:font="Wingdings 2" w:char="0052"/>
            </w:r>
          </w:p>
        </w:tc>
        <w:tc>
          <w:tcPr>
            <w:tcW w:w="4298"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本项目</w:t>
            </w:r>
            <w:r>
              <w:rPr>
                <w:rFonts w:hint="eastAsia"/>
                <w:b w:val="0"/>
                <w:bCs w:val="0"/>
                <w:spacing w:val="0"/>
                <w:position w:val="0"/>
                <w:sz w:val="21"/>
                <w:szCs w:val="21"/>
                <w:vertAlign w:val="baseline"/>
                <w:lang w:val="en-US" w:eastAsia="zh-CN"/>
              </w:rPr>
              <w:t>最大占标率＞100%</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正常排放年均浓度贡献值</w:t>
            </w:r>
          </w:p>
        </w:tc>
        <w:tc>
          <w:tcPr>
            <w:tcW w:w="93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一类区</w:t>
            </w:r>
          </w:p>
        </w:tc>
        <w:tc>
          <w:tcPr>
            <w:tcW w:w="4786" w:type="dxa"/>
            <w:gridSpan w:val="8"/>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本项目</w:t>
            </w:r>
            <w:r>
              <w:rPr>
                <w:rFonts w:hint="eastAsia"/>
                <w:b w:val="0"/>
                <w:bCs w:val="0"/>
                <w:spacing w:val="0"/>
                <w:position w:val="0"/>
                <w:sz w:val="21"/>
                <w:szCs w:val="21"/>
                <w:vertAlign w:val="baseline"/>
                <w:lang w:val="en-US" w:eastAsia="zh-CN"/>
              </w:rPr>
              <w:t>最大占标率≤10%</w:t>
            </w:r>
            <w:r>
              <w:rPr>
                <w:rFonts w:hint="eastAsia"/>
                <w:b w:val="0"/>
                <w:bCs w:val="0"/>
                <w:spacing w:val="0"/>
                <w:position w:val="0"/>
                <w:sz w:val="21"/>
                <w:szCs w:val="21"/>
                <w:vertAlign w:val="baseline"/>
                <w:lang w:val="en-US" w:eastAsia="zh-CN"/>
              </w:rPr>
              <w:sym w:font="Wingdings 2" w:char="00A3"/>
            </w:r>
          </w:p>
        </w:tc>
        <w:tc>
          <w:tcPr>
            <w:tcW w:w="4298"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本项目</w:t>
            </w:r>
            <w:r>
              <w:rPr>
                <w:rFonts w:hint="eastAsia"/>
                <w:b w:val="0"/>
                <w:bCs w:val="0"/>
                <w:spacing w:val="0"/>
                <w:position w:val="0"/>
                <w:sz w:val="21"/>
                <w:szCs w:val="21"/>
                <w:vertAlign w:val="baseline"/>
                <w:lang w:val="en-US" w:eastAsia="zh-CN"/>
              </w:rPr>
              <w:t>最大占标率＞10%</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23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93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二类区</w:t>
            </w:r>
          </w:p>
        </w:tc>
        <w:tc>
          <w:tcPr>
            <w:tcW w:w="4786" w:type="dxa"/>
            <w:gridSpan w:val="8"/>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本项目</w:t>
            </w:r>
            <w:r>
              <w:rPr>
                <w:rFonts w:hint="eastAsia"/>
                <w:b w:val="0"/>
                <w:bCs w:val="0"/>
                <w:spacing w:val="0"/>
                <w:position w:val="0"/>
                <w:sz w:val="21"/>
                <w:szCs w:val="21"/>
                <w:vertAlign w:val="baseline"/>
                <w:lang w:val="en-US" w:eastAsia="zh-CN"/>
              </w:rPr>
              <w:t>最大占标率≤30%</w:t>
            </w:r>
            <w:r>
              <w:rPr>
                <w:rFonts w:hint="eastAsia"/>
                <w:b w:val="0"/>
                <w:bCs w:val="0"/>
                <w:spacing w:val="0"/>
                <w:position w:val="0"/>
                <w:sz w:val="21"/>
                <w:szCs w:val="21"/>
                <w:vertAlign w:val="baseline"/>
                <w:lang w:val="en-US" w:eastAsia="zh-CN"/>
              </w:rPr>
              <w:sym w:font="Wingdings 2" w:char="00A3"/>
            </w:r>
          </w:p>
        </w:tc>
        <w:tc>
          <w:tcPr>
            <w:tcW w:w="4298"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本项目</w:t>
            </w:r>
            <w:r>
              <w:rPr>
                <w:rFonts w:hint="eastAsia"/>
                <w:b w:val="0"/>
                <w:bCs w:val="0"/>
                <w:spacing w:val="0"/>
                <w:position w:val="0"/>
                <w:sz w:val="21"/>
                <w:szCs w:val="21"/>
                <w:vertAlign w:val="baseline"/>
                <w:lang w:val="en-US" w:eastAsia="zh-CN"/>
              </w:rPr>
              <w:t>最大占标率＞30%</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非正常排放1h浓度贡献值</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非正常持续时长（）h</w:t>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非正常</w:t>
            </w:r>
            <w:r>
              <w:rPr>
                <w:rFonts w:hint="eastAsia"/>
                <w:b w:val="0"/>
                <w:bCs w:val="0"/>
                <w:spacing w:val="0"/>
                <w:position w:val="0"/>
                <w:sz w:val="21"/>
                <w:szCs w:val="21"/>
                <w:vertAlign w:val="baseline"/>
                <w:lang w:val="en-US" w:eastAsia="zh-CN"/>
              </w:rPr>
              <w:t>占标率≤100%</w:t>
            </w:r>
            <w:r>
              <w:rPr>
                <w:rFonts w:hint="eastAsia"/>
                <w:b w:val="0"/>
                <w:bCs w:val="0"/>
                <w:spacing w:val="0"/>
                <w:position w:val="0"/>
                <w:sz w:val="21"/>
                <w:szCs w:val="21"/>
                <w:vertAlign w:val="baseline"/>
                <w:lang w:val="en-US" w:eastAsia="zh-CN"/>
              </w:rPr>
              <w:sym w:font="Wingdings 2" w:char="00A3"/>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非正常</w:t>
            </w:r>
            <w:r>
              <w:rPr>
                <w:rFonts w:hint="eastAsia"/>
                <w:b w:val="0"/>
                <w:bCs w:val="0"/>
                <w:spacing w:val="0"/>
                <w:position w:val="0"/>
                <w:sz w:val="21"/>
                <w:szCs w:val="21"/>
                <w:vertAlign w:val="baseline"/>
                <w:lang w:val="en-US" w:eastAsia="zh-CN"/>
              </w:rPr>
              <w:t>占标率＞100%</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保证率日平均浓度和年平均浓度叠加值</w:t>
            </w:r>
          </w:p>
        </w:tc>
        <w:tc>
          <w:tcPr>
            <w:tcW w:w="3880" w:type="dxa"/>
            <w:gridSpan w:val="7"/>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叠加</w:t>
            </w:r>
            <w:r>
              <w:rPr>
                <w:rFonts w:hint="eastAsia"/>
                <w:b w:val="0"/>
                <w:bCs w:val="0"/>
                <w:spacing w:val="0"/>
                <w:position w:val="0"/>
                <w:sz w:val="21"/>
                <w:szCs w:val="21"/>
                <w:vertAlign w:val="baseline"/>
                <w:lang w:val="en-US" w:eastAsia="zh-CN"/>
              </w:rPr>
              <w:t>达标</w:t>
            </w:r>
            <w:r>
              <w:rPr>
                <w:rFonts w:hint="eastAsia"/>
                <w:b w:val="0"/>
                <w:bCs w:val="0"/>
                <w:spacing w:val="0"/>
                <w:position w:val="0"/>
                <w:sz w:val="21"/>
                <w:szCs w:val="21"/>
                <w:vertAlign w:val="baseline"/>
                <w:lang w:val="en-US" w:eastAsia="zh-CN"/>
              </w:rPr>
              <w:sym w:font="Wingdings 2" w:char="00A3"/>
            </w:r>
          </w:p>
        </w:tc>
        <w:tc>
          <w:tcPr>
            <w:tcW w:w="6142" w:type="dxa"/>
            <w:gridSpan w:val="8"/>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C</w:t>
            </w:r>
            <w:r>
              <w:rPr>
                <w:rFonts w:hint="eastAsia"/>
                <w:b w:val="0"/>
                <w:bCs w:val="0"/>
                <w:spacing w:val="0"/>
                <w:position w:val="0"/>
                <w:sz w:val="21"/>
                <w:szCs w:val="21"/>
                <w:vertAlign w:val="subscript"/>
                <w:lang w:val="en-US" w:eastAsia="zh-CN"/>
              </w:rPr>
              <w:t>叠加</w:t>
            </w:r>
            <w:r>
              <w:rPr>
                <w:rFonts w:hint="eastAsia"/>
                <w:b w:val="0"/>
                <w:bCs w:val="0"/>
                <w:spacing w:val="0"/>
                <w:position w:val="0"/>
                <w:sz w:val="21"/>
                <w:szCs w:val="21"/>
                <w:vertAlign w:val="baseline"/>
                <w:lang w:val="en-US" w:eastAsia="zh-CN"/>
              </w:rPr>
              <w:t>不达标</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区域环境质量的整体变化情况</w:t>
            </w:r>
          </w:p>
        </w:tc>
        <w:tc>
          <w:tcPr>
            <w:tcW w:w="3880" w:type="dxa"/>
            <w:gridSpan w:val="7"/>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k≤-20%</w:t>
            </w:r>
            <w:r>
              <w:rPr>
                <w:rFonts w:hint="eastAsia"/>
                <w:b w:val="0"/>
                <w:bCs w:val="0"/>
                <w:spacing w:val="0"/>
                <w:position w:val="0"/>
                <w:sz w:val="21"/>
                <w:szCs w:val="21"/>
                <w:vertAlign w:val="baseline"/>
                <w:lang w:val="en-US" w:eastAsia="zh-CN"/>
              </w:rPr>
              <w:sym w:font="Wingdings 2" w:char="00A3"/>
            </w:r>
          </w:p>
        </w:tc>
        <w:tc>
          <w:tcPr>
            <w:tcW w:w="6142" w:type="dxa"/>
            <w:gridSpan w:val="8"/>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k＞-20%</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环境监测计划</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污染源监测</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监测因子：（颗粒物、非甲烷总烃）</w:t>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有组织废气监测</w:t>
            </w:r>
            <w:r>
              <w:rPr>
                <w:rFonts w:hint="eastAsia"/>
                <w:b w:val="0"/>
                <w:bCs w:val="0"/>
                <w:spacing w:val="0"/>
                <w:position w:val="0"/>
                <w:sz w:val="21"/>
                <w:szCs w:val="21"/>
                <w:vertAlign w:val="baseline"/>
                <w:lang w:val="en-US" w:eastAsia="zh-CN"/>
              </w:rPr>
              <w:sym w:font="Wingdings 2" w:char="0052"/>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无组织废气监测</w:t>
            </w:r>
            <w:r>
              <w:rPr>
                <w:rFonts w:hint="eastAsia"/>
                <w:b w:val="0"/>
                <w:bCs w:val="0"/>
                <w:spacing w:val="0"/>
                <w:position w:val="0"/>
                <w:sz w:val="21"/>
                <w:szCs w:val="21"/>
                <w:vertAlign w:val="baseline"/>
                <w:lang w:val="en-US" w:eastAsia="zh-CN"/>
              </w:rPr>
              <w:sym w:font="Wingdings 2" w:char="0052"/>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无监测</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环境质量监测</w:t>
            </w:r>
          </w:p>
        </w:tc>
        <w:tc>
          <w:tcPr>
            <w:tcW w:w="235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监测因子：（）</w:t>
            </w:r>
          </w:p>
        </w:tc>
        <w:tc>
          <w:tcPr>
            <w:tcW w:w="4433"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监测点位数（）</w:t>
            </w:r>
          </w:p>
        </w:tc>
        <w:tc>
          <w:tcPr>
            <w:tcW w:w="323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无监测</w:t>
            </w:r>
            <w:r>
              <w:rPr>
                <w:rFonts w:hint="eastAsia"/>
                <w:b w:val="0"/>
                <w:bCs w:val="0"/>
                <w:spacing w:val="0"/>
                <w:position w:val="0"/>
                <w:sz w:val="21"/>
                <w:szCs w:val="21"/>
                <w:vertAlign w:val="baseline"/>
                <w:lang w:val="en-US" w:eastAsia="zh-CN"/>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评价结论</w:t>
            </w: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环境影响</w:t>
            </w:r>
          </w:p>
        </w:tc>
        <w:tc>
          <w:tcPr>
            <w:tcW w:w="10022" w:type="dxa"/>
            <w:gridSpan w:val="1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可以接受</w:t>
            </w:r>
            <w:r>
              <w:rPr>
                <w:rFonts w:hint="eastAsia"/>
                <w:b w:val="0"/>
                <w:bCs w:val="0"/>
                <w:spacing w:val="0"/>
                <w:position w:val="0"/>
                <w:sz w:val="21"/>
                <w:szCs w:val="21"/>
                <w:vertAlign w:val="baseline"/>
                <w:lang w:val="en-US" w:eastAsia="zh-CN"/>
              </w:rPr>
              <w:sym w:font="Wingdings 2" w:char="0052"/>
            </w:r>
            <w:r>
              <w:rPr>
                <w:rFonts w:hint="eastAsia"/>
                <w:b w:val="0"/>
                <w:bCs w:val="0"/>
                <w:spacing w:val="0"/>
                <w:position w:val="0"/>
                <w:sz w:val="21"/>
                <w:szCs w:val="21"/>
                <w:vertAlign w:val="baseline"/>
                <w:lang w:val="en-US" w:eastAsia="zh-CN"/>
              </w:rPr>
              <w:t xml:space="preserve">    不可以接受</w:t>
            </w:r>
            <w:r>
              <w:rPr>
                <w:rFonts w:hint="eastAsia"/>
                <w:b w:val="0"/>
                <w:bCs w:val="0"/>
                <w:spacing w:val="0"/>
                <w:position w:val="0"/>
                <w:sz w:val="21"/>
                <w:szCs w:val="21"/>
                <w:vertAlign w:val="baseline"/>
                <w:lang w:val="en-US" w:eastAsia="zh-CN"/>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大气环境防护距离</w:t>
            </w:r>
          </w:p>
        </w:tc>
        <w:tc>
          <w:tcPr>
            <w:tcW w:w="10022" w:type="dxa"/>
            <w:gridSpan w:val="1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9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3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污染源年排放量</w:t>
            </w:r>
          </w:p>
        </w:tc>
        <w:tc>
          <w:tcPr>
            <w:tcW w:w="1272"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spacing w:val="0"/>
                <w:position w:val="0"/>
                <w:lang w:val="en-US" w:eastAsia="zh-CN"/>
              </w:rPr>
            </w:pPr>
            <w:r>
              <w:rPr>
                <w:rFonts w:hint="eastAsia"/>
                <w:b w:val="0"/>
                <w:bCs w:val="0"/>
                <w:spacing w:val="0"/>
                <w:position w:val="0"/>
                <w:sz w:val="21"/>
                <w:szCs w:val="21"/>
                <w:vertAlign w:val="baseline"/>
                <w:lang w:val="en-US" w:eastAsia="zh-CN"/>
              </w:rPr>
              <w:t>SO</w:t>
            </w:r>
            <w:r>
              <w:rPr>
                <w:rFonts w:hint="eastAsia"/>
                <w:b w:val="0"/>
                <w:bCs w:val="0"/>
                <w:spacing w:val="0"/>
                <w:position w:val="0"/>
                <w:sz w:val="21"/>
                <w:szCs w:val="21"/>
                <w:vertAlign w:val="subscript"/>
                <w:lang w:val="en-US" w:eastAsia="zh-CN"/>
              </w:rPr>
              <w:t>2</w:t>
            </w:r>
            <w:r>
              <w:rPr>
                <w:rFonts w:hint="eastAsia"/>
                <w:b w:val="0"/>
                <w:bCs w:val="0"/>
                <w:spacing w:val="0"/>
                <w:position w:val="0"/>
                <w:sz w:val="21"/>
                <w:szCs w:val="21"/>
                <w:vertAlign w:val="baseline"/>
                <w:lang w:val="en-US" w:eastAsia="zh-CN"/>
              </w:rPr>
              <w:t>：（/）t/a</w:t>
            </w:r>
          </w:p>
        </w:tc>
        <w:tc>
          <w:tcPr>
            <w:tcW w:w="2608"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NO</w:t>
            </w:r>
            <w:r>
              <w:rPr>
                <w:rFonts w:hint="eastAsia"/>
                <w:b w:val="0"/>
                <w:bCs w:val="0"/>
                <w:spacing w:val="0"/>
                <w:position w:val="0"/>
                <w:sz w:val="21"/>
                <w:szCs w:val="21"/>
                <w:vertAlign w:val="subscript"/>
                <w:lang w:val="en-US" w:eastAsia="zh-CN"/>
              </w:rPr>
              <w:t>X</w:t>
            </w:r>
            <w:r>
              <w:rPr>
                <w:rFonts w:hint="eastAsia"/>
                <w:b w:val="0"/>
                <w:bCs w:val="0"/>
                <w:spacing w:val="0"/>
                <w:position w:val="0"/>
                <w:sz w:val="21"/>
                <w:szCs w:val="21"/>
                <w:vertAlign w:val="baseline"/>
                <w:lang w:val="en-US" w:eastAsia="zh-CN"/>
              </w:rPr>
              <w:t>：（/）t/a</w:t>
            </w:r>
          </w:p>
        </w:tc>
        <w:tc>
          <w:tcPr>
            <w:tcW w:w="3181"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颗粒物：（44.761）t/a</w:t>
            </w:r>
          </w:p>
        </w:tc>
        <w:tc>
          <w:tcPr>
            <w:tcW w:w="2961"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VOC</w:t>
            </w:r>
            <w:r>
              <w:rPr>
                <w:rFonts w:hint="eastAsia"/>
                <w:b w:val="0"/>
                <w:bCs w:val="0"/>
                <w:spacing w:val="0"/>
                <w:position w:val="0"/>
                <w:sz w:val="21"/>
                <w:szCs w:val="21"/>
                <w:vertAlign w:val="subscript"/>
                <w:lang w:val="en-US" w:eastAsia="zh-CN"/>
              </w:rPr>
              <w:t>S</w:t>
            </w:r>
            <w:r>
              <w:rPr>
                <w:rFonts w:hint="eastAsia"/>
                <w:b w:val="0"/>
                <w:bCs w:val="0"/>
                <w:spacing w:val="0"/>
                <w:position w:val="0"/>
                <w:sz w:val="21"/>
                <w:szCs w:val="21"/>
                <w:vertAlign w:val="baseline"/>
                <w:lang w:val="en-US" w:eastAsia="zh-CN"/>
              </w:rPr>
              <w:t>：（27.081）t/a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04" w:type="dxa"/>
            <w:gridSpan w:val="17"/>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注：“□”为勾选项，填“√”；“（ ）”为内容填写项</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9"/>
        <w:rPr>
          <w:rFonts w:hint="eastAsia"/>
          <w:b w:val="0"/>
          <w:bCs w:val="0"/>
          <w:spacing w:val="0"/>
          <w:position w:val="0"/>
          <w:sz w:val="30"/>
          <w:szCs w:val="30"/>
          <w:lang w:val="en-US" w:eastAsia="zh-CN"/>
        </w:rPr>
        <w:sectPr>
          <w:pgSz w:w="16838" w:h="11906" w:orient="landscape"/>
          <w:pgMar w:top="1417"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5.2地表水环境影响预测与评价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b/>
          <w:bCs/>
          <w:spacing w:val="0"/>
          <w:position w:val="0"/>
          <w:sz w:val="28"/>
          <w:szCs w:val="28"/>
          <w:lang w:val="en-US" w:eastAsia="zh-CN"/>
        </w:rPr>
      </w:pPr>
      <w:r>
        <w:rPr>
          <w:rFonts w:hint="eastAsia"/>
          <w:b/>
          <w:bCs/>
          <w:spacing w:val="0"/>
          <w:position w:val="0"/>
          <w:sz w:val="28"/>
          <w:szCs w:val="28"/>
          <w:lang w:val="en-US" w:eastAsia="zh-CN"/>
        </w:rPr>
        <w:t>5.2.1运营期地表水环境影响分析</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8"/>
          <w:lang w:val="en-US" w:eastAsia="zh-CN"/>
        </w:rPr>
      </w:pPr>
      <w:r>
        <w:rPr>
          <w:rFonts w:hint="eastAsia"/>
          <w:b/>
          <w:bCs/>
          <w:spacing w:val="0"/>
          <w:position w:val="0"/>
          <w:sz w:val="24"/>
          <w:szCs w:val="28"/>
          <w:lang w:val="en-US" w:eastAsia="zh-CN"/>
        </w:rPr>
        <w:t>5.2.1.1地表水评价等级划分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（1）</w:t>
      </w:r>
      <w:r>
        <w:rPr>
          <w:rFonts w:hint="eastAsia"/>
          <w:b w:val="0"/>
          <w:bCs w:val="0"/>
          <w:spacing w:val="0"/>
          <w:position w:val="0"/>
          <w:sz w:val="24"/>
          <w:szCs w:val="24"/>
          <w:lang w:val="en-US" w:eastAsia="zh-CN"/>
        </w:rPr>
        <w:t>水污染源分析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拟建项目废水按照</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一企两管</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分高浓度水和低浓度水分别收集用泵排入产业园建设的高低浓度“两管”再输送至污水处理厂集中处理。产业园污水处理厂分流处理，高质高用，低质排放。高浓度废水排入园区高浓污水处理装置集中处理、集中排放；低浓度废水排入园区低浓污水处理装置集中处理达回用水标准后返回各企业回用。产业园污水处理厂尾水达到《城镇污水处理厂污染物排放标准》(GB18918-2002)一级A标准后接入湾外排放口外排。</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ascii="Times New Roman" w:hAnsi="Times New Roman" w:eastAsia="宋体" w:cs="Times New Roman"/>
          <w:b w:val="0"/>
          <w:bCs w:val="0"/>
          <w:spacing w:val="0"/>
          <w:kern w:val="2"/>
          <w:position w:val="0"/>
          <w:sz w:val="24"/>
          <w:szCs w:val="24"/>
          <w:lang w:val="en-US" w:eastAsia="zh-CN" w:bidi="ar-SA"/>
        </w:rPr>
        <w:t>（2）</w:t>
      </w:r>
      <w:r>
        <w:rPr>
          <w:rFonts w:hint="eastAsia" w:cs="Times New Roman"/>
          <w:b w:val="0"/>
          <w:bCs w:val="0"/>
          <w:spacing w:val="0"/>
          <w:kern w:val="2"/>
          <w:position w:val="0"/>
          <w:sz w:val="24"/>
          <w:szCs w:val="24"/>
          <w:lang w:val="en-US" w:eastAsia="zh-CN" w:bidi="ar-SA"/>
        </w:rPr>
        <w:t>评价等级划分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拟建项目废水排放方式为间接排放。对照《环境影响评价技术导则 地表水环境》（HJ2.3-2018）水污染型建设项目评价等级判定，本项目地表水环境影响评价等级为三级B，评价等级判定情况见表5</w:t>
      </w:r>
      <w:r>
        <w:rPr>
          <w:rFonts w:hint="eastAsia"/>
          <w:b w:val="0"/>
          <w:bCs w:val="0"/>
          <w:spacing w:val="0"/>
          <w:position w:val="0"/>
          <w:sz w:val="24"/>
          <w:szCs w:val="24"/>
          <w:lang w:val="en-US" w:eastAsia="zh-CN"/>
        </w:rPr>
        <w:t>.</w:t>
      </w:r>
      <w:r>
        <w:rPr>
          <w:rFonts w:hint="default"/>
          <w:b w:val="0"/>
          <w:bCs w:val="0"/>
          <w:spacing w:val="0"/>
          <w:position w:val="0"/>
          <w:sz w:val="24"/>
          <w:szCs w:val="24"/>
          <w:lang w:val="en-US" w:eastAsia="zh-CN"/>
        </w:rPr>
        <w:t>2-1。</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b w:val="0"/>
          <w:bCs w:val="0"/>
          <w:spacing w:val="0"/>
          <w:position w:val="0"/>
          <w:sz w:val="24"/>
          <w:szCs w:val="24"/>
          <w:lang w:val="en-US" w:eastAsia="zh-CN"/>
        </w:rPr>
      </w:pPr>
      <w:r>
        <w:rPr>
          <w:rFonts w:hint="eastAsia"/>
          <w:b/>
          <w:bCs/>
          <w:spacing w:val="0"/>
          <w:position w:val="0"/>
          <w:sz w:val="24"/>
          <w:szCs w:val="24"/>
          <w:lang w:val="en-US" w:eastAsia="zh-CN"/>
        </w:rPr>
        <w:t>表5.2-1评价等级判定</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2295"/>
        <w:gridCol w:w="4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评价等级</w:t>
            </w:r>
          </w:p>
        </w:tc>
        <w:tc>
          <w:tcPr>
            <w:tcW w:w="6576"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229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排放方式</w:t>
            </w:r>
          </w:p>
        </w:tc>
        <w:tc>
          <w:tcPr>
            <w:tcW w:w="42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废水排放量Q（m</w:t>
            </w:r>
            <w:r>
              <w:rPr>
                <w:rFonts w:hint="eastAsia"/>
                <w:b w:val="0"/>
                <w:bCs w:val="0"/>
                <w:spacing w:val="0"/>
                <w:position w:val="0"/>
                <w:sz w:val="21"/>
                <w:szCs w:val="21"/>
                <w:vertAlign w:val="superscript"/>
                <w:lang w:val="en-US" w:eastAsia="zh-CN"/>
              </w:rPr>
              <w:t>3</w:t>
            </w:r>
            <w:r>
              <w:rPr>
                <w:rFonts w:hint="eastAsia"/>
                <w:b w:val="0"/>
                <w:bCs w:val="0"/>
                <w:spacing w:val="0"/>
                <w:position w:val="0"/>
                <w:sz w:val="21"/>
                <w:szCs w:val="21"/>
                <w:vertAlign w:val="baseline"/>
                <w:lang w:val="en-US" w:eastAsia="zh-CN"/>
              </w:rPr>
              <w:t>/d）</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水污染物当量W/（无量纲)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一级</w:t>
            </w:r>
          </w:p>
        </w:tc>
        <w:tc>
          <w:tcPr>
            <w:tcW w:w="229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直接排放</w:t>
            </w:r>
          </w:p>
        </w:tc>
        <w:tc>
          <w:tcPr>
            <w:tcW w:w="42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二级</w:t>
            </w:r>
          </w:p>
        </w:tc>
        <w:tc>
          <w:tcPr>
            <w:tcW w:w="229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直接排放</w:t>
            </w:r>
          </w:p>
        </w:tc>
        <w:tc>
          <w:tcPr>
            <w:tcW w:w="42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三级A</w:t>
            </w:r>
          </w:p>
        </w:tc>
        <w:tc>
          <w:tcPr>
            <w:tcW w:w="229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直接排放</w:t>
            </w:r>
          </w:p>
        </w:tc>
        <w:tc>
          <w:tcPr>
            <w:tcW w:w="42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9"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三级B</w:t>
            </w:r>
          </w:p>
        </w:tc>
        <w:tc>
          <w:tcPr>
            <w:tcW w:w="2295"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间接排放</w:t>
            </w:r>
          </w:p>
        </w:tc>
        <w:tc>
          <w:tcPr>
            <w:tcW w:w="4281"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5.2.2海水环境影响分析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工程分析，本项目废水包括印染废水、软水站再生废水、循环冷却排水、车间冲洗废水、生活污水等。印染废水主要为染整过程产生的高浓度、低浓度废水，经分质分流收集后排入园区污水处理厂集中处理。纺织产业园污水处理厂的污水排放包含在可门湾外排污口中期设计规模（10万t/d）内，因此，常规因子COD</w:t>
      </w:r>
      <w:r>
        <w:rPr>
          <w:rFonts w:hint="eastAsia"/>
          <w:b w:val="0"/>
          <w:bCs w:val="0"/>
          <w:spacing w:val="0"/>
          <w:position w:val="0"/>
          <w:sz w:val="24"/>
          <w:szCs w:val="24"/>
          <w:vertAlign w:val="subscript"/>
          <w:lang w:val="en-US" w:eastAsia="zh-CN"/>
        </w:rPr>
        <w:t>Mn</w:t>
      </w:r>
      <w:r>
        <w:rPr>
          <w:rFonts w:hint="eastAsia"/>
          <w:b w:val="0"/>
          <w:bCs w:val="0"/>
          <w:spacing w:val="0"/>
          <w:position w:val="0"/>
          <w:sz w:val="24"/>
          <w:szCs w:val="24"/>
          <w:lang w:val="en-US" w:eastAsia="zh-CN"/>
        </w:rPr>
        <w:t>、无机氮、活性磷酸盐和石油类预测引用《环罗源湾地区工业产业布局规划（2020-2025年）环境影响报告书》（福州市环境科学研究院，2020年3月）中关于可门湾外排污口10万吨/日尾水正常、事故排放对水质影响的预测分析结论，印染废水特征因子六价铬、硫化物和苯胺类预测引用《连江可门绿色纺织产业园污水处理厂环境影响报告书》（报批稿）的预测结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（1）根据《环罗源湾地区工业产业布局规划（2020-2025年）环境影响报告书》中关于CODMn、无机氮、活性磷酸盐和石油类的预测结果：</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①尾水正常排放时，湾外海域的COD</w:t>
      </w:r>
      <w:r>
        <w:rPr>
          <w:rFonts w:hint="eastAsia"/>
          <w:b w:val="0"/>
          <w:bCs w:val="0"/>
          <w:spacing w:val="0"/>
          <w:position w:val="0"/>
          <w:sz w:val="24"/>
          <w:szCs w:val="24"/>
          <w:vertAlign w:val="subscript"/>
          <w:lang w:val="en-US" w:eastAsia="zh-CN"/>
        </w:rPr>
        <w:t>Mn</w:t>
      </w:r>
      <w:r>
        <w:rPr>
          <w:rFonts w:hint="eastAsia"/>
          <w:b w:val="0"/>
          <w:bCs w:val="0"/>
          <w:spacing w:val="0"/>
          <w:position w:val="0"/>
          <w:sz w:val="24"/>
          <w:szCs w:val="24"/>
          <w:lang w:val="en-US" w:eastAsia="zh-CN"/>
        </w:rPr>
        <w:t>湾外排污口附近增量为0.04mg/L，无机氮浓度排污口附近增量为0.04mg/L，活性磷酸盐浓度排污口附近增量为0.001mg/L，石油类排污口附近增量为0.002mg/L。正常排放时，CODMn环境容量较为充足，其次为石油类、磷酸盐、无机氮，对海域水质影响轻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②尾水事故排放情况下，湾外海域的COD</w:t>
      </w:r>
      <w:r>
        <w:rPr>
          <w:rFonts w:hint="eastAsia"/>
          <w:b w:val="0"/>
          <w:bCs w:val="0"/>
          <w:spacing w:val="0"/>
          <w:position w:val="0"/>
          <w:sz w:val="24"/>
          <w:szCs w:val="24"/>
          <w:vertAlign w:val="subscript"/>
          <w:lang w:val="en-US" w:eastAsia="zh-CN"/>
        </w:rPr>
        <w:t>Mn</w:t>
      </w:r>
      <w:r>
        <w:rPr>
          <w:rFonts w:hint="eastAsia"/>
          <w:b w:val="0"/>
          <w:bCs w:val="0"/>
          <w:spacing w:val="0"/>
          <w:position w:val="0"/>
          <w:sz w:val="24"/>
          <w:szCs w:val="24"/>
          <w:lang w:val="en-US" w:eastAsia="zh-CN"/>
        </w:rPr>
        <w:t>浓度排污口附近增量0.5mgL，无机氮浓度排污口附近增量为0.2mg/L，活性磷酸盐浓度排污口附近增量0.03mg/L，石油类浓度排污口附近增量0.05mg/L。事故排放时，CODMn环境容量依然未超出其容量，石油类、磷酸盐、无机氮虽然存在一定面积的超标区，但均远远小于3km2的混合控制区，对海域水质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（2）根据《连江可门绿色纺织产业园污水处理厂环境影响报告书》（报批稿）中关于硫化物、苯胺类、六价铬的预测结果：</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污水厂正常排放时，排污口附近海域的硫化物、苯胺类、六价铬浓度值将有所增加，硫化物、苯胺类、六价铬浓度值在排污口40m外范围的增加值小于允许的浓度增量0.008mg/L、0.0499mg/L、0.09997mg/L，项目正常排放周围海水的特征污染物浓度能达到相应功能区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若污水厂废水未经处理排放，或污水处理站发生事故排放情况下，硫化物预测增量在排污口外300m范围内超过允许增量值，对排污口附近水质影响较大，项目建设方应在日常运行管理中加强对污水处理系统的维护，杜绝事故排放的发生。</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运营期间生产废水分质分流，低浓度废水与高浓度废水分别单独收集，通过高、低浓度废水收集管道分别进入园区高、低浓度污水处理系统集中处理，低浓度废水处理后回用到园区企业，高浓度废水经达到《城镇污水处理厂污染物排放标准》（GB18918-2002）一级A标准后依托连江可门经济开发区污水处理厂湾外排海口排放，园区污水处理厂工艺对园区内企业废水污染物有较好的去除效果，能确保达标排放，处理工艺可行。本项目产生的污水经园区污水处理厂处理后湾外深海排放对周边海洋生态环境影响在可接受范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5.2.3地表水预测小结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本项目废水主要包括印染废水、软水站再生废水、循环冷却排水、车间冲洗废水，主要有COD、NH</w:t>
      </w:r>
      <w:r>
        <w:rPr>
          <w:rFonts w:hint="eastAsia"/>
          <w:b w:val="0"/>
          <w:bCs w:val="0"/>
          <w:spacing w:val="0"/>
          <w:position w:val="0"/>
          <w:sz w:val="24"/>
          <w:szCs w:val="24"/>
          <w:vertAlign w:val="subscript"/>
          <w:lang w:val="en-US" w:eastAsia="zh-CN"/>
        </w:rPr>
        <w:t>3</w:t>
      </w:r>
      <w:r>
        <w:rPr>
          <w:rFonts w:hint="eastAsia"/>
          <w:b w:val="0"/>
          <w:bCs w:val="0"/>
          <w:spacing w:val="0"/>
          <w:position w:val="0"/>
          <w:sz w:val="24"/>
          <w:szCs w:val="24"/>
          <w:lang w:val="en-US" w:eastAsia="zh-CN"/>
        </w:rPr>
        <w:t>-N、SS等污染物，项目废水按照“一企两管”分高浓度水和低浓度水分别收集用泵排入产业园建设的高低浓度“两管”输送至产业园污水处理厂集中处理。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val="0"/>
          <w:bCs w:val="0"/>
          <w:spacing w:val="0"/>
          <w:position w:val="0"/>
          <w:sz w:val="24"/>
          <w:szCs w:val="24"/>
          <w:lang w:val="en-US" w:eastAsia="zh-CN"/>
        </w:rPr>
        <w:t>项目废水经产业园污水处理厂集中处理，有效控制，统一管理，稳定达标排放和保障45%中水回用，项目的建设对地表水环境的影响较小。本项目地表水环境评价自查表见表5.2-4。</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表5.2-4地表水环境影响评价自查表</w:t>
      </w:r>
    </w:p>
    <w:tbl>
      <w:tblPr>
        <w:tblStyle w:val="1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711"/>
        <w:gridCol w:w="2389"/>
        <w:gridCol w:w="680"/>
        <w:gridCol w:w="914"/>
        <w:gridCol w:w="795"/>
        <w:gridCol w:w="1196"/>
        <w:gridCol w:w="1193"/>
        <w:gridCol w:w="799"/>
        <w:gridCol w:w="1594"/>
        <w:gridCol w:w="219"/>
        <w:gridCol w:w="21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27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工作内容</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自查项目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影响识别</w:t>
            </w: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影响类型</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水污染影响型</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ascii="Times New Roman" w:hAnsi="Times New Roman" w:eastAsia="宋体"/>
                <w:b w:val="0"/>
                <w:bCs w:val="0"/>
                <w:spacing w:val="0"/>
                <w:position w:val="0"/>
                <w:sz w:val="21"/>
                <w:szCs w:val="24"/>
                <w:vertAlign w:val="baseline"/>
                <w:lang w:val="en-US" w:eastAsia="zh-CN"/>
              </w:rPr>
              <w:t>；水文要素影响型</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水环境保护目标</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饮用水水源保护区</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；饮用水取水口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；涉水的自然保护区</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；涉水的风景名胜区</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；重要湿地</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重点保护与珍稀水生生物的栖息地</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；重要水生生物的自然产卵场及索饵场、越冬场和洄游通道</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；天然渔场等渔业水体</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水产种质资源保护区</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w:t>
            </w:r>
            <w:r>
              <w:rPr>
                <w:rFonts w:hint="eastAsia" w:ascii="Times New Roman" w:hAnsi="Times New Roman" w:eastAsia="宋体"/>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影响途径</w:t>
            </w: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水污染影响型</w:t>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水文要素影响型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直接排放</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；间接排放</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A3"/>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水温</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；径流</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；水域面积</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影响因子</w:t>
            </w: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持久性污染物</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；有毒有害污染物</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；非持久性污染物</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b w:val="0"/>
                <w:bCs w:val="0"/>
                <w:spacing w:val="0"/>
                <w:position w:val="0"/>
                <w:sz w:val="21"/>
                <w:szCs w:val="24"/>
                <w:vertAlign w:val="baseline"/>
                <w:lang w:val="en-US" w:eastAsia="zh-CN"/>
              </w:rPr>
              <w:t>pH值</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；热污染</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；富营养化</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A3"/>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水温</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；水位（水深）</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；流速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；流量</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71"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评价等级</w:t>
            </w: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水污染影响型</w:t>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水文要素影响型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71"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一级</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；二级</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；三级A</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；三级B</w:t>
            </w:r>
            <w:r>
              <w:rPr>
                <w:rFonts w:hint="eastAsia" w:ascii="Times New Roman" w:hAnsi="Times New Roman" w:eastAsia="宋体"/>
                <w:b w:val="0"/>
                <w:bCs w:val="0"/>
                <w:spacing w:val="0"/>
                <w:position w:val="0"/>
                <w:sz w:val="21"/>
                <w:szCs w:val="24"/>
                <w:vertAlign w:val="baseline"/>
                <w:lang w:val="en-US" w:eastAsia="zh-CN"/>
              </w:rPr>
              <w:sym w:font="Wingdings 2" w:char="0052"/>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一级</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；二级</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；三级</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现状调查</w:t>
            </w: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区域污染源</w:t>
            </w: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调查项目</w:t>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3069"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已建</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；在建</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；拟建</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52"/>
            </w:r>
          </w:p>
        </w:tc>
        <w:tc>
          <w:tcPr>
            <w:tcW w:w="2905"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拟替代的污染源</w:t>
            </w:r>
            <w:r>
              <w:rPr>
                <w:rFonts w:hint="eastAsia" w:ascii="Times New Roman" w:hAnsi="Times New Roman" w:eastAsia="宋体"/>
                <w:b w:val="0"/>
                <w:bCs w:val="0"/>
                <w:spacing w:val="0"/>
                <w:position w:val="0"/>
                <w:sz w:val="21"/>
                <w:szCs w:val="24"/>
                <w:vertAlign w:val="baseline"/>
                <w:lang w:val="en-US" w:eastAsia="zh-CN"/>
              </w:rPr>
              <w:sym w:font="Wingdings 2" w:char="00A3"/>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排污许可证</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；环评</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；环保验收</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；既有实测</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；现场监测</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；入河排放口数据</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受影响水体水环境质量</w:t>
            </w: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调查时期</w:t>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丰水期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；平水期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；枯水期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；冰封期</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春季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；夏季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；秋季</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ascii="Times New Roman" w:hAnsi="Times New Roman" w:eastAsia="宋体"/>
                <w:b w:val="0"/>
                <w:bCs w:val="0"/>
                <w:spacing w:val="0"/>
                <w:position w:val="0"/>
                <w:sz w:val="21"/>
                <w:szCs w:val="24"/>
                <w:vertAlign w:val="baseline"/>
                <w:lang w:val="en-US" w:eastAsia="zh-CN"/>
              </w:rPr>
              <w:t>；冬季</w:t>
            </w:r>
            <w:r>
              <w:rPr>
                <w:rFonts w:hint="eastAsia" w:ascii="Times New Roman" w:hAnsi="Times New Roman" w:eastAsia="宋体"/>
                <w:b w:val="0"/>
                <w:bCs w:val="0"/>
                <w:spacing w:val="0"/>
                <w:position w:val="0"/>
                <w:sz w:val="21"/>
                <w:szCs w:val="24"/>
                <w:vertAlign w:val="baseline"/>
                <w:lang w:val="en-US" w:eastAsia="zh-CN"/>
              </w:rPr>
              <w:sym w:font="Wingdings 2" w:char="00A3"/>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生态环境保护主管部门</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；补充监测</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区域水资源开发利用状况</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未开发</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；开发量40%以下</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；开发量40%以上</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水文情势调查</w:t>
            </w: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调查时期</w:t>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丰水期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；平水期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；枯水期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；冰封期</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春季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；夏季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；秋季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；冬季</w:t>
            </w:r>
            <w:r>
              <w:rPr>
                <w:rFonts w:hint="eastAsia" w:ascii="Times New Roman" w:hAnsi="Times New Roman" w:eastAsia="宋体"/>
                <w:b w:val="0"/>
                <w:bCs w:val="0"/>
                <w:spacing w:val="0"/>
                <w:position w:val="0"/>
                <w:sz w:val="21"/>
                <w:szCs w:val="24"/>
                <w:vertAlign w:val="baseline"/>
                <w:lang w:val="en-US" w:eastAsia="zh-CN"/>
              </w:rPr>
              <w:sym w:font="Wingdings 2" w:char="00A3"/>
            </w:r>
          </w:p>
        </w:tc>
        <w:tc>
          <w:tcPr>
            <w:tcW w:w="597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水行政主管部门</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；补充监测</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补充监测</w:t>
            </w: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监测时期</w:t>
            </w:r>
          </w:p>
        </w:tc>
        <w:tc>
          <w:tcPr>
            <w:tcW w:w="3805"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监测因子</w:t>
            </w:r>
          </w:p>
        </w:tc>
        <w:tc>
          <w:tcPr>
            <w:tcW w:w="21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监测断面或点位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5974"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丰水期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；平水期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；枯水期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；冰封期</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春季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；夏季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；秋季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；冬季</w:t>
            </w:r>
            <w:r>
              <w:rPr>
                <w:rFonts w:hint="eastAsia" w:ascii="Times New Roman" w:hAnsi="Times New Roman" w:eastAsia="宋体"/>
                <w:b w:val="0"/>
                <w:bCs w:val="0"/>
                <w:spacing w:val="0"/>
                <w:position w:val="0"/>
                <w:sz w:val="21"/>
                <w:szCs w:val="24"/>
                <w:vertAlign w:val="baseline"/>
                <w:lang w:val="en-US" w:eastAsia="zh-CN"/>
              </w:rPr>
              <w:sym w:font="Wingdings 2" w:char="00A3"/>
            </w:r>
          </w:p>
        </w:tc>
        <w:tc>
          <w:tcPr>
            <w:tcW w:w="3805"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21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监测断面或点位个数（）个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现状评价</w:t>
            </w: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评价范围</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河流：长度（）km；湖库、河口及近岸海域：面积（）km</w:t>
            </w:r>
            <w:r>
              <w:rPr>
                <w:rFonts w:hint="eastAsia" w:ascii="Times New Roman" w:hAnsi="Times New Roman" w:eastAsia="宋体"/>
                <w:b w:val="0"/>
                <w:bCs w:val="0"/>
                <w:spacing w:val="0"/>
                <w:position w:val="0"/>
                <w:sz w:val="21"/>
                <w:szCs w:val="24"/>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评价因子</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（水温、pH、悬浮物、化学需氧量、生化需氧量、溶解氧、石油类、氰化物、硫化物、挥发性酚、亚硝酸盐氮、硝酸盐氮、氨氮、活性磷酸盐）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评价标准</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河流、湖库、河口：Ⅰ类</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；Ⅱ类</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；Ⅲ类</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；Ⅳ类</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；Ⅴ类</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近岸海域：第一类</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；第二类</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；第三类</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；第四类</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规划年评价标准（）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评价时期</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丰水期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；平水期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；枯水期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；冰封期</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春季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；夏季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；秋季</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ascii="Times New Roman" w:hAnsi="Times New Roman" w:eastAsia="宋体"/>
                <w:b w:val="0"/>
                <w:bCs w:val="0"/>
                <w:spacing w:val="0"/>
                <w:position w:val="0"/>
                <w:sz w:val="21"/>
                <w:szCs w:val="24"/>
                <w:vertAlign w:val="baseline"/>
                <w:lang w:val="en-US" w:eastAsia="zh-CN"/>
              </w:rPr>
              <w:t>；冬季</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评价结论</w:t>
            </w:r>
          </w:p>
        </w:tc>
        <w:tc>
          <w:tcPr>
            <w:tcW w:w="9779" w:type="dxa"/>
            <w:gridSpan w:val="9"/>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水环境功能区或水功能区、近岸海域环境功能区水质达标状况：达标</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ascii="Times New Roman" w:hAnsi="Times New Roman" w:eastAsia="宋体"/>
                <w:b w:val="0"/>
                <w:bCs w:val="0"/>
                <w:spacing w:val="0"/>
                <w:position w:val="0"/>
                <w:sz w:val="21"/>
                <w:szCs w:val="24"/>
                <w:vertAlign w:val="baseline"/>
                <w:lang w:val="en-US" w:eastAsia="zh-CN"/>
              </w:rPr>
              <w:t>；不达标</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水环境控制单元或断面水质达标状况：达标</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；不达标</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水环境保护目标质量状况：达标</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；不达标</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对照断面、控制断面等代表性断面的水质状况：达标</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；不达标</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底泥污染评价</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水资源与开发利用程度及其水文情势评价</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水环境质量回顾评价</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流域（区域）水资源（包括水能资源）与开发利用总体状况、生态流量管理要求与现状满足程度、建设项目占用水域空间的水流状况与河湖演变状况</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依托污水处理设施稳定达标排放评价</w:t>
            </w:r>
            <w:r>
              <w:rPr>
                <w:rFonts w:hint="eastAsia" w:ascii="Times New Roman" w:hAnsi="Times New Roman" w:eastAsia="宋体"/>
                <w:b w:val="0"/>
                <w:bCs w:val="0"/>
                <w:spacing w:val="0"/>
                <w:position w:val="0"/>
                <w:sz w:val="21"/>
                <w:szCs w:val="24"/>
                <w:vertAlign w:val="baseline"/>
                <w:lang w:val="en-US" w:eastAsia="zh-CN"/>
              </w:rPr>
              <w:sym w:font="Wingdings 2" w:char="00A3"/>
            </w:r>
          </w:p>
        </w:tc>
        <w:tc>
          <w:tcPr>
            <w:tcW w:w="21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达标区</w:t>
            </w:r>
            <w:r>
              <w:rPr>
                <w:rFonts w:hint="eastAsia" w:ascii="Times New Roman" w:hAnsi="Times New Roman" w:eastAsia="宋体"/>
                <w:b w:val="0"/>
                <w:bCs w:val="0"/>
                <w:spacing w:val="0"/>
                <w:position w:val="0"/>
                <w:sz w:val="21"/>
                <w:szCs w:val="24"/>
                <w:vertAlign w:val="baseline"/>
                <w:lang w:val="en-US" w:eastAsia="zh-CN"/>
              </w:rPr>
              <w:sym w:font="Wingdings 2" w:char="0052"/>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不达标区</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影响预测</w:t>
            </w: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预测范围</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河流：长度（）km；湖库、河口及近岸海域：面积（）km</w:t>
            </w:r>
            <w:r>
              <w:rPr>
                <w:rFonts w:hint="eastAsia" w:ascii="Times New Roman" w:hAnsi="Times New Roman" w:eastAsia="宋体"/>
                <w:b w:val="0"/>
                <w:bCs w:val="0"/>
                <w:spacing w:val="0"/>
                <w:position w:val="0"/>
                <w:sz w:val="21"/>
                <w:szCs w:val="24"/>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预测因子</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预测时期</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丰水期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；平水期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；枯水期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；冰封期</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春季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；夏季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；秋季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；冬季</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设计水文条件</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预测情景</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建设期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；生产运行期</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；服务期满后</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正常工况</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；非正常工况</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污染控制和减缓措施方案</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区（流）域环境质量改善目标要求情景</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预测方法</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数值解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：解析解</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导则推荐模式</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影响评价</w:t>
            </w: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水污染控制和水环境影响减缓措施有效性评价</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区（流）域水环境质量改善目标</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；替代削减源</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水环境影响评价</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排放口混合区外满足水环境管理要求</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水环境功能区或水功能区、近岸海域环境功能区水质达标</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满足水环境保护目标水域水环境质量要求</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水环境控制单元或断面水质达标</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满足重点水污染物排放总量控制指标要求，重点行业建设项目，主要污染物排放满足等量或减量替代要求</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满足区（流）域水环境质量改善目标要求</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水文要素影响型建设项目同时应包括水文情势变化评价、主要水文特征值影响评价、生态流量符合性评价</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对于新设或调整入河（湖库、近岸海域）排放口的建设项目，应包括排放口设置的环境合理性评价</w:t>
            </w:r>
            <w:r>
              <w:rPr>
                <w:rFonts w:hint="eastAsia" w:ascii="Times New Roman" w:hAnsi="Times New Roman" w:eastAsia="宋体"/>
                <w:b w:val="0"/>
                <w:bCs w:val="0"/>
                <w:spacing w:val="0"/>
                <w:position w:val="0"/>
                <w:sz w:val="21"/>
                <w:szCs w:val="24"/>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满足生态保护红线、水环境质量底线、资源利用上线和环境准入清单管理要求</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污染源排放量核算</w:t>
            </w:r>
          </w:p>
        </w:tc>
        <w:tc>
          <w:tcPr>
            <w:tcW w:w="3069"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污染物名称</w:t>
            </w:r>
          </w:p>
        </w:tc>
        <w:tc>
          <w:tcPr>
            <w:tcW w:w="6710" w:type="dxa"/>
            <w:gridSpan w:val="7"/>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排放量/（t/a）</w:t>
            </w:r>
          </w:p>
        </w:tc>
        <w:tc>
          <w:tcPr>
            <w:tcW w:w="21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排放浓度/（mg/L）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3069"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6710" w:type="dxa"/>
            <w:gridSpan w:val="7"/>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21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替代源排放情况</w:t>
            </w:r>
          </w:p>
        </w:tc>
        <w:tc>
          <w:tcPr>
            <w:tcW w:w="238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污染源名称</w:t>
            </w:r>
          </w:p>
        </w:tc>
        <w:tc>
          <w:tcPr>
            <w:tcW w:w="2389"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排污许可证编号</w:t>
            </w:r>
          </w:p>
        </w:tc>
        <w:tc>
          <w:tcPr>
            <w:tcW w:w="2389"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污染物名称</w:t>
            </w:r>
          </w:p>
        </w:tc>
        <w:tc>
          <w:tcPr>
            <w:tcW w:w="2393"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排放量/（t/a）</w:t>
            </w:r>
          </w:p>
        </w:tc>
        <w:tc>
          <w:tcPr>
            <w:tcW w:w="2389"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排放浓度/（mg/L）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238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2389"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2389"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2393"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2389"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生态流量确定</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生态流量：一般水期（）m</w:t>
            </w:r>
            <w:r>
              <w:rPr>
                <w:rFonts w:hint="eastAsia" w:ascii="Times New Roman" w:hAnsi="Times New Roman" w:eastAsia="宋体"/>
                <w:b w:val="0"/>
                <w:bCs w:val="0"/>
                <w:spacing w:val="0"/>
                <w:position w:val="0"/>
                <w:sz w:val="21"/>
                <w:szCs w:val="24"/>
                <w:vertAlign w:val="superscript"/>
                <w:lang w:val="en-US" w:eastAsia="zh-CN"/>
              </w:rPr>
              <w:t>3</w:t>
            </w:r>
            <w:r>
              <w:rPr>
                <w:rFonts w:hint="eastAsia" w:ascii="Times New Roman" w:hAnsi="Times New Roman" w:eastAsia="宋体"/>
                <w:b w:val="0"/>
                <w:bCs w:val="0"/>
                <w:spacing w:val="0"/>
                <w:position w:val="0"/>
                <w:sz w:val="21"/>
                <w:szCs w:val="24"/>
                <w:vertAlign w:val="baseline"/>
                <w:lang w:val="en-US" w:eastAsia="zh-CN"/>
              </w:rPr>
              <w:t>/s；鱼类繁殖期（）m</w:t>
            </w:r>
            <w:r>
              <w:rPr>
                <w:rFonts w:hint="eastAsia" w:ascii="Times New Roman" w:hAnsi="Times New Roman" w:eastAsia="宋体"/>
                <w:b w:val="0"/>
                <w:bCs w:val="0"/>
                <w:spacing w:val="0"/>
                <w:position w:val="0"/>
                <w:sz w:val="21"/>
                <w:szCs w:val="24"/>
                <w:vertAlign w:val="superscript"/>
                <w:lang w:val="en-US" w:eastAsia="zh-CN"/>
              </w:rPr>
              <w:t>3</w:t>
            </w:r>
            <w:r>
              <w:rPr>
                <w:rFonts w:hint="eastAsia" w:ascii="Times New Roman" w:hAnsi="Times New Roman" w:eastAsia="宋体"/>
                <w:b w:val="0"/>
                <w:bCs w:val="0"/>
                <w:spacing w:val="0"/>
                <w:position w:val="0"/>
                <w:sz w:val="21"/>
                <w:szCs w:val="24"/>
                <w:vertAlign w:val="baseline"/>
                <w:lang w:val="en-US" w:eastAsia="zh-CN"/>
              </w:rPr>
              <w:t>/s；其他（）m</w:t>
            </w:r>
            <w:r>
              <w:rPr>
                <w:rFonts w:hint="eastAsia" w:ascii="Times New Roman" w:hAnsi="Times New Roman" w:eastAsia="宋体"/>
                <w:b w:val="0"/>
                <w:bCs w:val="0"/>
                <w:spacing w:val="0"/>
                <w:position w:val="0"/>
                <w:sz w:val="21"/>
                <w:szCs w:val="24"/>
                <w:vertAlign w:val="superscript"/>
                <w:lang w:val="en-US" w:eastAsia="zh-CN"/>
              </w:rPr>
              <w:t>3</w:t>
            </w:r>
            <w:r>
              <w:rPr>
                <w:rFonts w:hint="eastAsia" w:ascii="Times New Roman" w:hAnsi="Times New Roman" w:eastAsia="宋体"/>
                <w:b w:val="0"/>
                <w:bCs w:val="0"/>
                <w:spacing w:val="0"/>
                <w:position w:val="0"/>
                <w:sz w:val="21"/>
                <w:szCs w:val="24"/>
                <w:vertAlign w:val="baseline"/>
                <w:lang w:val="en-US" w:eastAsia="zh-CN"/>
              </w:rPr>
              <w:t>/s</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生态水位：一般水期（）m；鱼类繁殖期（）m；其他（）m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防治措施</w:t>
            </w: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环保措施</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污水处理设施</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；水文减缓设施</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；生态流量保障设施</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；区域削减</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；依托其他工程措施</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；其他</w:t>
            </w:r>
            <w:r>
              <w:rPr>
                <w:rFonts w:hint="eastAsia" w:ascii="Times New Roman" w:hAnsi="Times New Roman" w:eastAsia="宋体"/>
                <w:b w:val="0"/>
                <w:bCs w:val="0"/>
                <w:spacing w:val="0"/>
                <w:position w:val="0"/>
                <w:sz w:val="21"/>
                <w:szCs w:val="24"/>
                <w:vertAlign w:val="baseline"/>
                <w:lang w:val="en-US" w:eastAsia="zh-CN"/>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监测计划</w:t>
            </w: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3983"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环境质量</w:t>
            </w: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spacing w:val="0"/>
                <w:position w:val="0"/>
              </w:rPr>
            </w:pPr>
          </w:p>
        </w:tc>
        <w:tc>
          <w:tcPr>
            <w:tcW w:w="1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spacing w:val="0"/>
                <w:position w:val="0"/>
              </w:rPr>
            </w:pP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监测方式</w:t>
            </w:r>
          </w:p>
        </w:tc>
        <w:tc>
          <w:tcPr>
            <w:tcW w:w="3983"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手动</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；自动</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b w:val="0"/>
                <w:bCs w:val="0"/>
                <w:spacing w:val="0"/>
                <w:position w:val="0"/>
                <w:sz w:val="21"/>
                <w:szCs w:val="24"/>
                <w:vertAlign w:val="baseline"/>
                <w:lang w:val="en-US" w:eastAsia="zh-CN"/>
              </w:rPr>
              <w:t>；无监测</w:t>
            </w:r>
            <w:r>
              <w:rPr>
                <w:rFonts w:hint="eastAsia" w:ascii="Times New Roman" w:hAnsi="Times New Roman" w:eastAsia="宋体"/>
                <w:b w:val="0"/>
                <w:bCs w:val="0"/>
                <w:spacing w:val="0"/>
                <w:position w:val="0"/>
                <w:sz w:val="21"/>
                <w:szCs w:val="24"/>
                <w:vertAlign w:val="baseline"/>
                <w:lang w:val="en-US" w:eastAsia="zh-CN"/>
              </w:rPr>
              <w:sym w:font="Wingdings 2" w:char="0052"/>
            </w: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手动</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；自动</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；无监测</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监测点位</w:t>
            </w:r>
          </w:p>
        </w:tc>
        <w:tc>
          <w:tcPr>
            <w:tcW w:w="3983"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r>
              <w:rPr>
                <w:rFonts w:hint="eastAsia"/>
                <w:b w:val="0"/>
                <w:bCs w:val="0"/>
                <w:spacing w:val="0"/>
                <w:position w:val="0"/>
                <w:sz w:val="21"/>
                <w:szCs w:val="24"/>
                <w:vertAlign w:val="baseline"/>
                <w:lang w:val="en-US" w:eastAsia="zh-CN"/>
              </w:rPr>
              <w:t>高、低浓度废水排放口</w:t>
            </w:r>
            <w:r>
              <w:rPr>
                <w:rFonts w:hint="eastAsia" w:ascii="Times New Roman" w:hAnsi="Times New Roman" w:eastAsia="宋体"/>
                <w:b w:val="0"/>
                <w:bCs w:val="0"/>
                <w:spacing w:val="0"/>
                <w:position w:val="0"/>
                <w:sz w:val="21"/>
                <w:szCs w:val="24"/>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6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监测因子</w:t>
            </w:r>
          </w:p>
        </w:tc>
        <w:tc>
          <w:tcPr>
            <w:tcW w:w="3983"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w:t>
            </w:r>
          </w:p>
        </w:tc>
        <w:tc>
          <w:tcPr>
            <w:tcW w:w="398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（流量、pH、COD、氨氮、悬浮物、BOD</w:t>
            </w:r>
            <w:r>
              <w:rPr>
                <w:rFonts w:hint="eastAsia" w:ascii="Times New Roman" w:hAnsi="Times New Roman" w:eastAsia="宋体"/>
                <w:b w:val="0"/>
                <w:bCs w:val="0"/>
                <w:spacing w:val="0"/>
                <w:position w:val="0"/>
                <w:sz w:val="21"/>
                <w:szCs w:val="24"/>
                <w:vertAlign w:val="subscript"/>
                <w:lang w:val="en-US" w:eastAsia="zh-CN"/>
              </w:rPr>
              <w:t>5</w:t>
            </w:r>
            <w:r>
              <w:rPr>
                <w:rFonts w:hint="eastAsia" w:ascii="Times New Roman" w:hAnsi="Times New Roman" w:eastAsia="宋体"/>
                <w:b w:val="0"/>
                <w:bCs w:val="0"/>
                <w:spacing w:val="0"/>
                <w:position w:val="0"/>
                <w:sz w:val="21"/>
                <w:szCs w:val="24"/>
                <w:vertAlign w:val="baseline"/>
                <w:lang w:val="en-US" w:eastAsia="zh-CN"/>
              </w:rPr>
              <w:t>、总磷、总氮、硫化物</w:t>
            </w:r>
            <w:r>
              <w:rPr>
                <w:rFonts w:hint="eastAsia"/>
                <w:b w:val="0"/>
                <w:bCs w:val="0"/>
                <w:spacing w:val="0"/>
                <w:position w:val="0"/>
                <w:sz w:val="21"/>
                <w:szCs w:val="24"/>
                <w:vertAlign w:val="baseline"/>
                <w:lang w:val="en-US" w:eastAsia="zh-CN"/>
              </w:rPr>
              <w:t>、总锑</w:t>
            </w:r>
            <w:r>
              <w:rPr>
                <w:rFonts w:hint="eastAsia" w:ascii="Times New Roman" w:hAnsi="Times New Roman" w:eastAsia="宋体"/>
                <w:b w:val="0"/>
                <w:bCs w:val="0"/>
                <w:spacing w:val="0"/>
                <w:position w:val="0"/>
                <w:sz w:val="21"/>
                <w:szCs w:val="24"/>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污染物排放清单</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4"/>
                <w:vertAlign w:val="baseline"/>
                <w:lang w:val="en-US" w:eastAsia="zh-CN"/>
              </w:rPr>
            </w:pPr>
          </w:p>
        </w:tc>
        <w:tc>
          <w:tcPr>
            <w:tcW w:w="171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评价结论</w:t>
            </w:r>
          </w:p>
        </w:tc>
        <w:tc>
          <w:tcPr>
            <w:tcW w:w="11949" w:type="dxa"/>
            <w:gridSpan w:val="10"/>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可以接受</w:t>
            </w:r>
            <w:r>
              <w:rPr>
                <w:rFonts w:hint="eastAsia" w:ascii="Times New Roman" w:hAnsi="Times New Roman" w:eastAsia="宋体"/>
                <w:b w:val="0"/>
                <w:bCs w:val="0"/>
                <w:spacing w:val="0"/>
                <w:position w:val="0"/>
                <w:sz w:val="21"/>
                <w:szCs w:val="24"/>
                <w:vertAlign w:val="baseline"/>
                <w:lang w:val="en-US" w:eastAsia="zh-CN"/>
              </w:rPr>
              <w:sym w:font="Wingdings 2" w:char="0052"/>
            </w:r>
            <w:r>
              <w:rPr>
                <w:rFonts w:hint="eastAsia"/>
                <w:b w:val="0"/>
                <w:bCs w:val="0"/>
                <w:spacing w:val="0"/>
                <w:position w:val="0"/>
                <w:sz w:val="21"/>
                <w:szCs w:val="24"/>
                <w:vertAlign w:val="baseline"/>
                <w:lang w:val="en-US" w:eastAsia="zh-CN"/>
              </w:rPr>
              <w:t>；不可以接受</w:t>
            </w:r>
            <w:r>
              <w:rPr>
                <w:rFonts w:hint="eastAsia" w:ascii="Times New Roman" w:hAnsi="Times New Roman" w:eastAsia="宋体"/>
                <w:b w:val="0"/>
                <w:bCs w:val="0"/>
                <w:spacing w:val="0"/>
                <w:position w:val="0"/>
                <w:sz w:val="21"/>
                <w:szCs w:val="24"/>
                <w:vertAlign w:val="baseline"/>
                <w:lang w:val="en-US" w:eastAsia="zh-CN"/>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20" w:type="dxa"/>
            <w:gridSpan w:val="1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b w:val="0"/>
                <w:bCs w:val="0"/>
                <w:spacing w:val="0"/>
                <w:position w:val="0"/>
                <w:sz w:val="21"/>
                <w:szCs w:val="24"/>
                <w:vertAlign w:val="baseline"/>
                <w:lang w:val="en-US" w:eastAsia="zh-CN"/>
              </w:rPr>
            </w:pPr>
            <w:r>
              <w:rPr>
                <w:rFonts w:hint="eastAsia" w:ascii="Times New Roman" w:hAnsi="Times New Roman" w:eastAsia="宋体"/>
                <w:b w:val="0"/>
                <w:bCs w:val="0"/>
                <w:spacing w:val="0"/>
                <w:position w:val="0"/>
                <w:sz w:val="21"/>
                <w:szCs w:val="24"/>
                <w:vertAlign w:val="baseline"/>
                <w:lang w:val="en-US" w:eastAsia="zh-CN"/>
              </w:rPr>
              <w:t>注：“</w:t>
            </w:r>
            <w:r>
              <w:rPr>
                <w:rFonts w:hint="eastAsia" w:ascii="Times New Roman" w:hAnsi="Times New Roman" w:eastAsia="宋体"/>
                <w:b w:val="0"/>
                <w:bCs w:val="0"/>
                <w:spacing w:val="0"/>
                <w:position w:val="0"/>
                <w:sz w:val="21"/>
                <w:szCs w:val="24"/>
                <w:vertAlign w:val="baseline"/>
                <w:lang w:val="en-US" w:eastAsia="zh-CN"/>
              </w:rPr>
              <w:sym w:font="Wingdings 2" w:char="00A3"/>
            </w:r>
            <w:r>
              <w:rPr>
                <w:rFonts w:hint="eastAsia" w:ascii="Times New Roman" w:hAnsi="Times New Roman" w:eastAsia="宋体"/>
                <w:b w:val="0"/>
                <w:bCs w:val="0"/>
                <w:spacing w:val="0"/>
                <w:position w:val="0"/>
                <w:sz w:val="21"/>
                <w:szCs w:val="24"/>
                <w:vertAlign w:val="baseline"/>
                <w:lang w:val="en-US" w:eastAsia="zh-CN"/>
              </w:rPr>
              <w:t>”为勾选项，可打√；“（ ）”为内容填写项；“备注”为其他补充内容。</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bCs/>
          <w:spacing w:val="0"/>
          <w:position w:val="0"/>
          <w:sz w:val="30"/>
          <w:szCs w:val="30"/>
          <w:lang w:val="en-US" w:eastAsia="zh-CN"/>
        </w:rPr>
      </w:pPr>
      <w:r>
        <w:rPr>
          <w:rFonts w:hint="eastAsia"/>
          <w:b/>
          <w:bCs/>
          <w:spacing w:val="0"/>
          <w:position w:val="0"/>
          <w:sz w:val="30"/>
          <w:szCs w:val="30"/>
          <w:lang w:val="en-US" w:eastAsia="zh-CN"/>
        </w:rPr>
        <w:t>5.3地下水环境影响预测与评价</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5.3.1区域地下水环境概况</w:t>
      </w:r>
      <w:r>
        <w:rPr>
          <w:rFonts w:hint="eastAsia" w:cs="Times New Roman"/>
          <w:b/>
          <w:bCs/>
          <w:spacing w:val="0"/>
          <w:position w:val="0"/>
          <w:sz w:val="28"/>
          <w:szCs w:val="28"/>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5.3.2地下水评价工作等级划分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eastAsia"/>
          <w:b/>
          <w:bCs/>
          <w:spacing w:val="0"/>
          <w:position w:val="0"/>
          <w:sz w:val="24"/>
          <w:szCs w:val="24"/>
          <w:lang w:val="en-US" w:eastAsia="zh-CN"/>
        </w:rPr>
      </w:pPr>
      <w:r>
        <w:rPr>
          <w:rFonts w:hint="eastAsia" w:cs="Times New Roman"/>
          <w:b/>
          <w:bCs/>
          <w:spacing w:val="0"/>
          <w:kern w:val="2"/>
          <w:position w:val="0"/>
          <w:sz w:val="24"/>
          <w:szCs w:val="24"/>
          <w:lang w:val="en-US" w:eastAsia="zh-CN" w:bidi="ar-SA"/>
        </w:rPr>
        <w:t>5.3.2.1</w:t>
      </w:r>
      <w:r>
        <w:rPr>
          <w:rFonts w:hint="eastAsia"/>
          <w:b/>
          <w:bCs/>
          <w:spacing w:val="0"/>
          <w:position w:val="0"/>
          <w:sz w:val="24"/>
          <w:szCs w:val="24"/>
          <w:lang w:val="en-US" w:eastAsia="zh-CN"/>
        </w:rPr>
        <w:t>划分依据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ascii="Times New Roman" w:hAnsi="Times New Roman" w:eastAsia="宋体" w:cs="Times New Roman"/>
          <w:b w:val="0"/>
          <w:bCs w:val="0"/>
          <w:spacing w:val="0"/>
          <w:kern w:val="2"/>
          <w:position w:val="0"/>
          <w:sz w:val="24"/>
          <w:szCs w:val="24"/>
          <w:lang w:val="en-US" w:eastAsia="zh-CN" w:bidi="ar-SA"/>
        </w:rPr>
        <w:t>（1）</w:t>
      </w:r>
      <w:r>
        <w:rPr>
          <w:rFonts w:hint="eastAsia" w:cs="Times New Roman"/>
          <w:b w:val="0"/>
          <w:bCs w:val="0"/>
          <w:spacing w:val="0"/>
          <w:kern w:val="2"/>
          <w:position w:val="0"/>
          <w:sz w:val="24"/>
          <w:szCs w:val="24"/>
          <w:lang w:val="en-US" w:eastAsia="zh-CN" w:bidi="ar-SA"/>
        </w:rPr>
        <w:t>项目类别</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根据《环境影响评价技术导则——地下水环境》（HJ 610-2016）附录A，本项目属于“六、纺织业：20、纺织品制造”，所属的地下水环境影响评价项目类别为：Ⅰ类。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表5.3-1地下水环境影响评价行业分类表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2096"/>
        <w:gridCol w:w="1894"/>
        <w:gridCol w:w="1569"/>
        <w:gridCol w:w="1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034" w:type="dxa"/>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spacing w:val="0"/>
                <w:kern w:val="2"/>
                <w:position w:val="0"/>
                <w:sz w:val="21"/>
                <w:szCs w:val="21"/>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mc:AlternateContent>
                <mc:Choice Requires="wpsCustomData">
                  <wpsCustomData:diagonalParaType/>
                </mc:Choice>
              </mc:AlternateContent>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行业类别</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环评类别</w:t>
            </w:r>
          </w:p>
        </w:tc>
        <w:tc>
          <w:tcPr>
            <w:tcW w:w="202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报告书</w:t>
            </w:r>
          </w:p>
        </w:tc>
        <w:tc>
          <w:tcPr>
            <w:tcW w:w="1826"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报告表</w:t>
            </w:r>
          </w:p>
        </w:tc>
        <w:tc>
          <w:tcPr>
            <w:tcW w:w="3025"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202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826"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51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报告书</w:t>
            </w:r>
          </w:p>
        </w:tc>
        <w:tc>
          <w:tcPr>
            <w:tcW w:w="151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5"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O纺织化纤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120、纺织品织造</w:t>
            </w:r>
          </w:p>
        </w:tc>
        <w:tc>
          <w:tcPr>
            <w:tcW w:w="2020"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有洗毛、染整、脱胶工段的；产生缫丝废水、精炼废水的</w:t>
            </w:r>
          </w:p>
        </w:tc>
        <w:tc>
          <w:tcPr>
            <w:tcW w:w="182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其他（编织物及其制品制造除外）</w:t>
            </w:r>
          </w:p>
        </w:tc>
        <w:tc>
          <w:tcPr>
            <w:tcW w:w="1512"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I类</w:t>
            </w:r>
          </w:p>
        </w:tc>
        <w:tc>
          <w:tcPr>
            <w:tcW w:w="151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b w:val="0"/>
                <w:bCs w:val="0"/>
                <w:spacing w:val="0"/>
                <w:kern w:val="2"/>
                <w:position w:val="0"/>
                <w:sz w:val="21"/>
                <w:szCs w:val="21"/>
                <w:vertAlign w:val="baseline"/>
                <w:lang w:val="en-US" w:eastAsia="zh-CN" w:bidi="ar-SA"/>
              </w:rPr>
              <w:t>Ⅲ</w:t>
            </w:r>
            <w:r>
              <w:rPr>
                <w:rFonts w:hint="eastAsia" w:cs="Times New Roman"/>
                <w:b w:val="0"/>
                <w:bCs w:val="0"/>
                <w:spacing w:val="0"/>
                <w:kern w:val="2"/>
                <w:position w:val="0"/>
                <w:sz w:val="21"/>
                <w:szCs w:val="21"/>
                <w:vertAlign w:val="baseline"/>
                <w:lang w:val="en-US" w:eastAsia="zh-CN" w:bidi="ar-SA"/>
              </w:rPr>
              <w:t>类</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（2）建设项目的地下水环境敏感程度</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项目选址位于可门经济开发区规划临海垦区围填工业用地内，项目所在区域地下水下游无生活供水水源地准保护区以及以外的补给区，无分散居民饮用水源分布，环境敏感程度识别为</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不敏感</w:t>
      </w:r>
      <w:r>
        <w:rPr>
          <w:rFonts w:hint="eastAsia"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表5.3-2地下水环境敏感程度分级</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6072"/>
        <w:gridCol w:w="1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分级</w:t>
            </w:r>
          </w:p>
        </w:tc>
        <w:tc>
          <w:tcPr>
            <w:tcW w:w="60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项目场地的地下水环境敏感特征</w:t>
            </w:r>
          </w:p>
        </w:tc>
        <w:tc>
          <w:tcPr>
            <w:tcW w:w="192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本项目场地的地下水环境敏感特征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敏感</w:t>
            </w:r>
          </w:p>
        </w:tc>
        <w:tc>
          <w:tcPr>
            <w:tcW w:w="60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集中式饮用水水源（包括己建成的在用、备用、应急水源地，在建和规划的水源地）准保护区；除集中式饮用水水源以外的国家或地方政府设定的与地下水环境相关的其它保护区，如热水、矿泉水、温泉等特殊地下水资源保护区</w:t>
            </w:r>
            <w:r>
              <w:rPr>
                <w:rFonts w:hint="eastAsia" w:cs="Times New Roman"/>
                <w:b w:val="0"/>
                <w:bCs w:val="0"/>
                <w:spacing w:val="0"/>
                <w:kern w:val="2"/>
                <w:position w:val="0"/>
                <w:sz w:val="21"/>
                <w:szCs w:val="21"/>
                <w:vertAlign w:val="baseline"/>
                <w:lang w:val="en-US" w:eastAsia="zh-CN" w:bidi="ar-SA"/>
              </w:rPr>
              <w:t>。</w:t>
            </w:r>
          </w:p>
        </w:tc>
        <w:tc>
          <w:tcPr>
            <w:tcW w:w="1924"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项目所在地下游无集中式饮用水源，无特殊地下水资源保护区，地下水环境敏感程度属不敏感。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较敏感</w:t>
            </w:r>
          </w:p>
        </w:tc>
        <w:tc>
          <w:tcPr>
            <w:tcW w:w="60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集中式饮用水水源（包括已建成的在用、备用、应急水源地，在建和规划的水源地）准保护区以外的补给径流区；特殊地下水资源（如矿泉水、温泉等）保护区以外的分布区等其它未列入上述敏感分级的环境敏感区</w:t>
            </w:r>
            <w:r>
              <w:rPr>
                <w:rFonts w:hint="eastAsia" w:cs="Times New Roman"/>
                <w:b w:val="0"/>
                <w:bCs w:val="0"/>
                <w:spacing w:val="0"/>
                <w:kern w:val="2"/>
                <w:position w:val="0"/>
                <w:sz w:val="21"/>
                <w:szCs w:val="21"/>
                <w:vertAlign w:val="superscript"/>
                <w:lang w:val="en-US" w:eastAsia="zh-CN" w:bidi="ar-SA"/>
              </w:rPr>
              <w:t>a</w:t>
            </w:r>
            <w:r>
              <w:rPr>
                <w:rFonts w:hint="default" w:ascii="Times New Roman" w:hAnsi="Times New Roman" w:eastAsia="宋体" w:cs="Times New Roman"/>
                <w:b w:val="0"/>
                <w:bCs w:val="0"/>
                <w:spacing w:val="0"/>
                <w:kern w:val="2"/>
                <w:position w:val="0"/>
                <w:sz w:val="21"/>
                <w:szCs w:val="21"/>
                <w:vertAlign w:val="baseline"/>
                <w:lang w:val="en-US" w:eastAsia="zh-CN" w:bidi="ar-SA"/>
              </w:rPr>
              <w:t>。</w:t>
            </w:r>
          </w:p>
        </w:tc>
        <w:tc>
          <w:tcPr>
            <w:tcW w:w="192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不敏感</w:t>
            </w:r>
          </w:p>
        </w:tc>
        <w:tc>
          <w:tcPr>
            <w:tcW w:w="6072"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上述地区之外的其他地区。</w:t>
            </w:r>
          </w:p>
        </w:tc>
        <w:tc>
          <w:tcPr>
            <w:tcW w:w="192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注：a</w:t>
            </w:r>
            <w:r>
              <w:rPr>
                <w:rFonts w:hint="eastAsia" w:cs="Times New Roman"/>
                <w:b w:val="0"/>
                <w:bCs w:val="0"/>
                <w:spacing w:val="0"/>
                <w:kern w:val="2"/>
                <w:position w:val="0"/>
                <w:sz w:val="21"/>
                <w:szCs w:val="21"/>
                <w:vertAlign w:val="baseline"/>
                <w:lang w:val="en-US" w:eastAsia="zh-CN" w:bidi="ar-SA"/>
              </w:rPr>
              <w:t>“</w:t>
            </w:r>
            <w:r>
              <w:rPr>
                <w:rFonts w:hint="default" w:ascii="Times New Roman" w:hAnsi="Times New Roman" w:eastAsia="宋体" w:cs="Times New Roman"/>
                <w:b w:val="0"/>
                <w:bCs w:val="0"/>
                <w:spacing w:val="0"/>
                <w:kern w:val="2"/>
                <w:position w:val="0"/>
                <w:sz w:val="21"/>
                <w:szCs w:val="21"/>
                <w:vertAlign w:val="baseline"/>
                <w:lang w:val="en-US" w:eastAsia="zh-CN" w:bidi="ar-SA"/>
              </w:rPr>
              <w:t>环境敏感区</w:t>
            </w:r>
            <w:r>
              <w:rPr>
                <w:rFonts w:hint="eastAsia" w:cs="Times New Roman"/>
                <w:b w:val="0"/>
                <w:bCs w:val="0"/>
                <w:spacing w:val="0"/>
                <w:kern w:val="2"/>
                <w:position w:val="0"/>
                <w:sz w:val="21"/>
                <w:szCs w:val="21"/>
                <w:vertAlign w:val="baseline"/>
                <w:lang w:val="en-US" w:eastAsia="zh-CN" w:bidi="ar-SA"/>
              </w:rPr>
              <w:t>”是</w:t>
            </w:r>
            <w:r>
              <w:rPr>
                <w:rFonts w:hint="default" w:ascii="Times New Roman" w:hAnsi="Times New Roman" w:eastAsia="宋体" w:cs="Times New Roman"/>
                <w:b w:val="0"/>
                <w:bCs w:val="0"/>
                <w:spacing w:val="0"/>
                <w:kern w:val="2"/>
                <w:position w:val="0"/>
                <w:sz w:val="21"/>
                <w:szCs w:val="21"/>
                <w:vertAlign w:val="baseline"/>
                <w:lang w:val="en-US" w:eastAsia="zh-CN" w:bidi="ar-SA"/>
              </w:rPr>
              <w:t>指《建设项目环境影响评价分类管理名录》中所界定的涉及地下水的环境敏感区。</w:t>
            </w:r>
          </w:p>
        </w:tc>
        <w:tc>
          <w:tcPr>
            <w:tcW w:w="192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cs="Times New Roman"/>
          <w:b/>
          <w:bCs/>
          <w:spacing w:val="0"/>
          <w:kern w:val="2"/>
          <w:position w:val="0"/>
          <w:sz w:val="24"/>
          <w:szCs w:val="24"/>
          <w:lang w:val="en-US" w:eastAsia="zh-CN" w:bidi="ar-SA"/>
        </w:rPr>
        <w:t>5.3.2.2</w:t>
      </w:r>
      <w:r>
        <w:rPr>
          <w:rFonts w:hint="eastAsia"/>
          <w:b/>
          <w:bCs/>
          <w:spacing w:val="0"/>
          <w:position w:val="0"/>
          <w:sz w:val="24"/>
          <w:szCs w:val="24"/>
          <w:lang w:val="en-US" w:eastAsia="zh-CN"/>
        </w:rPr>
        <w:t>建设项目评价工作等级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根据《环境影响评价技术导则地下水环境》（HJ610-2016）中依据建设项目对地下水影响的特征对建设项目的分类，本项目属于“120 纺织品制造，有洗毛、染整、脱胶工段的；产生缫丝废水、精炼废水的”，其地下水环境影响评价项目类别为Ⅰ类。项目选址位于可门经济开发区规划临海垦区围填工业用地内，项目所在区域地下水下游无生活供水水源地准保护区以及以外的补给区，无分散居民饮用水源分布，环境敏感程度识别为“不敏感”，则本项目地下水环境评价等级为二级</w:t>
      </w:r>
      <w:r>
        <w:rPr>
          <w:rFonts w:hint="eastAsia" w:cs="Times New Roman"/>
          <w:b w:val="0"/>
          <w:bCs w:val="0"/>
          <w:spacing w:val="0"/>
          <w:kern w:val="2"/>
          <w:position w:val="0"/>
          <w:sz w:val="24"/>
          <w:szCs w:val="24"/>
          <w:lang w:val="en-US" w:eastAsia="zh-CN" w:bidi="ar-SA"/>
        </w:rPr>
        <w:t>，详见表5.3-3。</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val="0"/>
          <w:bCs w:val="0"/>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表5.3-3地下水评价等级分级一览表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74"/>
        <w:gridCol w:w="1457"/>
        <w:gridCol w:w="1457"/>
        <w:gridCol w:w="1457"/>
        <w:gridCol w:w="14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074"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spacing w:val="0"/>
                <w:kern w:val="2"/>
                <w:position w:val="0"/>
                <w:sz w:val="21"/>
                <w:szCs w:val="21"/>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outlineLvl w:val="9"/>
              <mc:AlternateContent>
                <mc:Choice Requires="wpsCustomData">
                  <wpsCustomData:diagonalParaType/>
                </mc:Choice>
              </mc:AlternateContent>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环境敏感程度</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right"/>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项目类别</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b/>
                <w:bCs/>
                <w:spacing w:val="0"/>
                <w:kern w:val="2"/>
                <w:position w:val="0"/>
                <w:sz w:val="21"/>
                <w:szCs w:val="21"/>
                <w:vertAlign w:val="baseline"/>
                <w:lang w:val="en-US" w:eastAsia="zh-CN" w:bidi="ar-SA"/>
              </w:rPr>
              <w:t>Ⅰ类</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b w:val="0"/>
                <w:bCs w:val="0"/>
                <w:spacing w:val="0"/>
                <w:kern w:val="2"/>
                <w:position w:val="0"/>
                <w:sz w:val="21"/>
                <w:szCs w:val="21"/>
                <w:vertAlign w:val="baseline"/>
                <w:lang w:val="en-US" w:eastAsia="zh-CN" w:bidi="ar-SA"/>
              </w:rPr>
              <w:t>Ⅱ类</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b w:val="0"/>
                <w:bCs w:val="0"/>
                <w:spacing w:val="0"/>
                <w:kern w:val="2"/>
                <w:position w:val="0"/>
                <w:sz w:val="21"/>
                <w:szCs w:val="21"/>
                <w:vertAlign w:val="baseline"/>
                <w:lang w:val="en-US" w:eastAsia="zh-CN" w:bidi="ar-SA"/>
              </w:rPr>
              <w:t>Ⅲ类</w:t>
            </w:r>
          </w:p>
        </w:tc>
        <w:tc>
          <w:tcPr>
            <w:tcW w:w="146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val="0"/>
                <w:spacing w:val="0"/>
                <w:kern w:val="2"/>
                <w:position w:val="0"/>
                <w:sz w:val="21"/>
                <w:szCs w:val="21"/>
                <w:vertAlign w:val="baseline"/>
                <w:lang w:val="en-US" w:eastAsia="zh-CN" w:bidi="ar-SA"/>
              </w:rPr>
            </w:pPr>
            <w:r>
              <w:rPr>
                <w:rFonts w:hint="eastAsia" w:ascii="Times New Roman" w:hAnsi="Times New Roman" w:cs="Times New Roman"/>
                <w:b w:val="0"/>
                <w:bCs w:val="0"/>
                <w:spacing w:val="0"/>
                <w:kern w:val="2"/>
                <w:position w:val="0"/>
                <w:sz w:val="21"/>
                <w:szCs w:val="21"/>
                <w:vertAlign w:val="baseline"/>
                <w:lang w:val="en-US" w:eastAsia="zh-CN" w:bidi="ar-SA"/>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敏感</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一</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一</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二</w:t>
            </w:r>
          </w:p>
        </w:tc>
        <w:tc>
          <w:tcPr>
            <w:tcW w:w="146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不敏感，</w:t>
            </w:r>
            <w:r>
              <w:rPr>
                <w:rFonts w:hint="default" w:ascii="Times New Roman" w:hAnsi="Times New Roman" w:cs="Times New Roman"/>
                <w:b w:val="0"/>
                <w:bCs w:val="0"/>
                <w:spacing w:val="0"/>
                <w:kern w:val="2"/>
                <w:position w:val="0"/>
                <w:sz w:val="21"/>
                <w:szCs w:val="21"/>
                <w:vertAlign w:val="baseline"/>
                <w:lang w:val="en-US" w:eastAsia="zh-CN" w:bidi="ar-SA"/>
              </w:rPr>
              <w:t>Ⅰ</w:t>
            </w:r>
            <w:r>
              <w:rPr>
                <w:rFonts w:hint="eastAsia" w:ascii="Times New Roman" w:hAnsi="Times New Roman" w:cs="Times New Roman"/>
                <w:b w:val="0"/>
                <w:bCs w:val="0"/>
                <w:spacing w:val="0"/>
                <w:kern w:val="2"/>
                <w:position w:val="0"/>
                <w:sz w:val="21"/>
                <w:szCs w:val="21"/>
                <w:vertAlign w:val="baseline"/>
                <w:lang w:val="en-US" w:eastAsia="zh-CN" w:bidi="ar-SA"/>
              </w:rPr>
              <w:t>类，评价工作等级为二级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较敏感</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一</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二</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三</w:t>
            </w:r>
          </w:p>
        </w:tc>
        <w:tc>
          <w:tcPr>
            <w:tcW w:w="14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不敏感</w:t>
            </w:r>
          </w:p>
        </w:tc>
        <w:tc>
          <w:tcPr>
            <w:tcW w:w="1457" w:type="dxa"/>
            <w:tcBorders>
              <w:tl2br w:val="nil"/>
              <w:tr2bl w:val="nil"/>
            </w:tcBorders>
            <w:shd w:val="clear" w:color="auto" w:fill="BEBEBE" w:themeFill="background1" w:themeFillShade="BF"/>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二</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三</w:t>
            </w:r>
          </w:p>
        </w:tc>
        <w:tc>
          <w:tcPr>
            <w:tcW w:w="145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三</w:t>
            </w:r>
          </w:p>
        </w:tc>
        <w:tc>
          <w:tcPr>
            <w:tcW w:w="146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spacing w:val="0"/>
                <w:kern w:val="2"/>
                <w:position w:val="0"/>
                <w:sz w:val="21"/>
                <w:szCs w:val="21"/>
                <w:vertAlign w:val="baseli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cs="Times New Roman"/>
          <w:b/>
          <w:bCs/>
          <w:spacing w:val="0"/>
          <w:kern w:val="2"/>
          <w:position w:val="0"/>
          <w:sz w:val="24"/>
          <w:szCs w:val="24"/>
          <w:lang w:val="en-US" w:eastAsia="zh-CN" w:bidi="ar-SA"/>
        </w:rPr>
        <w:t>5.3.2.3</w:t>
      </w:r>
      <w:r>
        <w:rPr>
          <w:rFonts w:hint="eastAsia"/>
          <w:b/>
          <w:bCs/>
          <w:spacing w:val="0"/>
          <w:position w:val="0"/>
          <w:sz w:val="24"/>
          <w:szCs w:val="24"/>
          <w:lang w:val="en-US" w:eastAsia="zh-CN"/>
        </w:rPr>
        <w:t>建设项目评价范围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根据《环境影响评价技术导则——地下水环境》（HJ610-2016），项目地下水环境影响现状调查评价范围可采用公式计算法进行确定。：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val="0"/>
          <w:bCs w:val="0"/>
          <w:i/>
          <w:iCs/>
          <w:spacing w:val="0"/>
          <w:kern w:val="2"/>
          <w:position w:val="0"/>
          <w:sz w:val="24"/>
          <w:szCs w:val="24"/>
          <w:lang w:val="en-US" w:eastAsia="zh-CN" w:bidi="ar-SA"/>
        </w:rPr>
      </w:pPr>
      <w:r>
        <w:rPr>
          <w:rFonts w:hint="default" w:ascii="Times New Roman" w:hAnsi="Times New Roman" w:eastAsia="宋体" w:cs="Times New Roman"/>
          <w:b w:val="0"/>
          <w:bCs w:val="0"/>
          <w:i/>
          <w:iCs/>
          <w:spacing w:val="0"/>
          <w:kern w:val="2"/>
          <w:position w:val="0"/>
          <w:sz w:val="24"/>
          <w:szCs w:val="24"/>
          <w:lang w:val="en-US" w:eastAsia="zh-CN" w:bidi="ar-SA"/>
        </w:rPr>
        <w:t>L=α×K×I×T/n</w:t>
      </w:r>
      <w:r>
        <w:rPr>
          <w:rFonts w:hint="default" w:ascii="Times New Roman" w:hAnsi="Times New Roman" w:eastAsia="宋体" w:cs="Times New Roman"/>
          <w:b w:val="0"/>
          <w:bCs w:val="0"/>
          <w:i/>
          <w:iCs/>
          <w:spacing w:val="0"/>
          <w:kern w:val="2"/>
          <w:position w:val="0"/>
          <w:sz w:val="24"/>
          <w:szCs w:val="24"/>
          <w:vertAlign w:val="subscript"/>
          <w:lang w:val="en-US" w:eastAsia="zh-CN" w:bidi="ar-SA"/>
        </w:rPr>
        <w:t>e</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式中：</w:t>
      </w:r>
      <w:r>
        <w:rPr>
          <w:rFonts w:hint="default" w:ascii="Times New Roman" w:hAnsi="Times New Roman" w:eastAsia="宋体" w:cs="Times New Roman"/>
          <w:b w:val="0"/>
          <w:bCs w:val="0"/>
          <w:i/>
          <w:iCs/>
          <w:spacing w:val="0"/>
          <w:kern w:val="2"/>
          <w:position w:val="0"/>
          <w:sz w:val="24"/>
          <w:szCs w:val="24"/>
          <w:lang w:val="en-US" w:eastAsia="zh-CN" w:bidi="ar-SA"/>
        </w:rPr>
        <w:t>L</w:t>
      </w:r>
      <w:r>
        <w:rPr>
          <w:rFonts w:hint="default" w:ascii="Times New Roman" w:hAnsi="Times New Roman" w:eastAsia="宋体" w:cs="Times New Roman"/>
          <w:b w:val="0"/>
          <w:bCs w:val="0"/>
          <w:spacing w:val="0"/>
          <w:kern w:val="2"/>
          <w:position w:val="0"/>
          <w:sz w:val="24"/>
          <w:szCs w:val="24"/>
          <w:lang w:val="en-US" w:eastAsia="zh-CN" w:bidi="ar-SA"/>
        </w:rPr>
        <w:t>——下游迁移距离，m；</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i/>
          <w:iCs/>
          <w:spacing w:val="0"/>
          <w:kern w:val="2"/>
          <w:position w:val="0"/>
          <w:sz w:val="24"/>
          <w:szCs w:val="24"/>
          <w:lang w:val="en-US" w:eastAsia="zh-CN" w:bidi="ar-SA"/>
        </w:rPr>
        <w:t>α</w:t>
      </w:r>
      <w:r>
        <w:rPr>
          <w:rFonts w:hint="default" w:ascii="Times New Roman" w:hAnsi="Times New Roman" w:eastAsia="宋体" w:cs="Times New Roman"/>
          <w:b w:val="0"/>
          <w:bCs w:val="0"/>
          <w:spacing w:val="0"/>
          <w:kern w:val="2"/>
          <w:position w:val="0"/>
          <w:sz w:val="24"/>
          <w:szCs w:val="24"/>
          <w:lang w:val="en-US" w:eastAsia="zh-CN" w:bidi="ar-SA"/>
        </w:rPr>
        <w:t>——变化系数，α≥1</w:t>
      </w:r>
      <w:r>
        <w:rPr>
          <w:rFonts w:hint="eastAsia" w:cs="Times New Roman"/>
          <w:b w:val="0"/>
          <w:bCs w:val="0"/>
          <w:spacing w:val="0"/>
          <w:kern w:val="2"/>
          <w:position w:val="0"/>
          <w:sz w:val="24"/>
          <w:szCs w:val="24"/>
          <w:lang w:val="en-US" w:eastAsia="zh-CN" w:bidi="ar-SA"/>
        </w:rPr>
        <w:t>，一般取2</w:t>
      </w:r>
      <w:r>
        <w:rPr>
          <w:rFonts w:hint="default" w:ascii="Times New Roman" w:hAnsi="Times New Roman" w:eastAsia="宋体"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i/>
          <w:iCs/>
          <w:spacing w:val="0"/>
          <w:kern w:val="2"/>
          <w:position w:val="0"/>
          <w:sz w:val="24"/>
          <w:szCs w:val="24"/>
          <w:lang w:val="en-US" w:eastAsia="zh-CN" w:bidi="ar-SA"/>
        </w:rPr>
        <w:t>K</w:t>
      </w:r>
      <w:r>
        <w:rPr>
          <w:rFonts w:hint="default" w:ascii="Times New Roman" w:hAnsi="Times New Roman" w:eastAsia="宋体" w:cs="Times New Roman"/>
          <w:b w:val="0"/>
          <w:bCs w:val="0"/>
          <w:spacing w:val="0"/>
          <w:kern w:val="2"/>
          <w:position w:val="0"/>
          <w:sz w:val="24"/>
          <w:szCs w:val="24"/>
          <w:lang w:val="en-US" w:eastAsia="zh-CN" w:bidi="ar-SA"/>
        </w:rPr>
        <w:t>——渗透系数，m/d；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i/>
          <w:iCs/>
          <w:spacing w:val="0"/>
          <w:kern w:val="2"/>
          <w:position w:val="0"/>
          <w:sz w:val="24"/>
          <w:szCs w:val="24"/>
          <w:lang w:val="en-US" w:eastAsia="zh-CN" w:bidi="ar-SA"/>
        </w:rPr>
        <w:t>I</w:t>
      </w:r>
      <w:r>
        <w:rPr>
          <w:rFonts w:hint="default" w:ascii="Times New Roman" w:hAnsi="Times New Roman" w:eastAsia="宋体" w:cs="Times New Roman"/>
          <w:b w:val="0"/>
          <w:bCs w:val="0"/>
          <w:spacing w:val="0"/>
          <w:kern w:val="2"/>
          <w:position w:val="0"/>
          <w:sz w:val="24"/>
          <w:szCs w:val="24"/>
          <w:lang w:val="en-US" w:eastAsia="zh-CN" w:bidi="ar-SA"/>
        </w:rPr>
        <w:t>——水力坡度，无量纲；</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i/>
          <w:iCs/>
          <w:spacing w:val="0"/>
          <w:kern w:val="2"/>
          <w:position w:val="0"/>
          <w:sz w:val="24"/>
          <w:szCs w:val="24"/>
          <w:lang w:val="en-US" w:eastAsia="zh-CN" w:bidi="ar-SA"/>
        </w:rPr>
        <w:t>T</w:t>
      </w:r>
      <w:r>
        <w:rPr>
          <w:rFonts w:hint="default" w:ascii="Times New Roman" w:hAnsi="Times New Roman" w:eastAsia="宋体" w:cs="Times New Roman"/>
          <w:b w:val="0"/>
          <w:bCs w:val="0"/>
          <w:spacing w:val="0"/>
          <w:kern w:val="2"/>
          <w:position w:val="0"/>
          <w:sz w:val="24"/>
          <w:szCs w:val="24"/>
          <w:lang w:val="en-US" w:eastAsia="zh-CN" w:bidi="ar-SA"/>
        </w:rPr>
        <w:t>——质点迁移天数</w:t>
      </w:r>
      <w:r>
        <w:rPr>
          <w:rFonts w:hint="eastAsia" w:cs="Times New Roman"/>
          <w:b w:val="0"/>
          <w:bCs w:val="0"/>
          <w:spacing w:val="0"/>
          <w:kern w:val="2"/>
          <w:position w:val="0"/>
          <w:sz w:val="24"/>
          <w:szCs w:val="24"/>
          <w:lang w:val="en-US" w:eastAsia="zh-CN" w:bidi="ar-SA"/>
        </w:rPr>
        <w:t>，取值不小于5000d；按工程设计年限20年计，取值7300d</w:t>
      </w:r>
      <w:r>
        <w:rPr>
          <w:rFonts w:hint="default" w:ascii="Times New Roman" w:hAnsi="Times New Roman" w:eastAsia="宋体"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i/>
          <w:iCs/>
          <w:spacing w:val="0"/>
          <w:kern w:val="2"/>
          <w:position w:val="0"/>
          <w:sz w:val="24"/>
          <w:szCs w:val="24"/>
          <w:lang w:val="en-US" w:eastAsia="zh-CN" w:bidi="ar-SA"/>
        </w:rPr>
        <w:t>n</w:t>
      </w:r>
      <w:r>
        <w:rPr>
          <w:rFonts w:hint="default" w:ascii="Times New Roman" w:hAnsi="Times New Roman" w:eastAsia="宋体" w:cs="Times New Roman"/>
          <w:b w:val="0"/>
          <w:bCs w:val="0"/>
          <w:i/>
          <w:iCs/>
          <w:spacing w:val="0"/>
          <w:kern w:val="2"/>
          <w:position w:val="0"/>
          <w:sz w:val="24"/>
          <w:szCs w:val="24"/>
          <w:vertAlign w:val="subscript"/>
          <w:lang w:val="en-US" w:eastAsia="zh-CN" w:bidi="ar-SA"/>
        </w:rPr>
        <w:t>e</w:t>
      </w:r>
      <w:r>
        <w:rPr>
          <w:rFonts w:hint="default" w:ascii="Times New Roman" w:hAnsi="Times New Roman" w:eastAsia="宋体" w:cs="Times New Roman"/>
          <w:b w:val="0"/>
          <w:bCs w:val="0"/>
          <w:spacing w:val="0"/>
          <w:kern w:val="2"/>
          <w:position w:val="0"/>
          <w:sz w:val="24"/>
          <w:szCs w:val="24"/>
          <w:lang w:val="en-US" w:eastAsia="zh-CN" w:bidi="ar-SA"/>
        </w:rPr>
        <w:t>——有效孔隙度，无量纲。</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表5.3-4项目地下水下游迁移距离取值表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694"/>
        <w:gridCol w:w="943"/>
        <w:gridCol w:w="702"/>
        <w:gridCol w:w="4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38"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项目</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单位</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取值</w:t>
            </w:r>
          </w:p>
        </w:tc>
        <w:tc>
          <w:tcPr>
            <w:tcW w:w="42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参数</w:t>
            </w: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i/>
                <w:iCs/>
                <w:spacing w:val="0"/>
                <w:kern w:val="2"/>
                <w:position w:val="0"/>
                <w:sz w:val="21"/>
                <w:szCs w:val="21"/>
                <w:lang w:val="en-US" w:eastAsia="zh-CN" w:bidi="ar-SA"/>
              </w:rPr>
              <w:t>α</w:t>
            </w:r>
            <w:r>
              <w:rPr>
                <w:rFonts w:hint="default" w:ascii="Times New Roman" w:hAnsi="Times New Roman" w:eastAsia="宋体" w:cs="Times New Roman"/>
                <w:b w:val="0"/>
                <w:bCs w:val="0"/>
                <w:spacing w:val="0"/>
                <w:kern w:val="2"/>
                <w:position w:val="0"/>
                <w:sz w:val="21"/>
                <w:szCs w:val="21"/>
                <w:lang w:val="en-US" w:eastAsia="zh-CN" w:bidi="ar-SA"/>
              </w:rPr>
              <w:t>变化系数</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无量纲</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w:t>
            </w:r>
          </w:p>
        </w:tc>
        <w:tc>
          <w:tcPr>
            <w:tcW w:w="42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i/>
                <w:iCs/>
                <w:spacing w:val="0"/>
                <w:kern w:val="2"/>
                <w:position w:val="0"/>
                <w:sz w:val="21"/>
                <w:szCs w:val="21"/>
                <w:lang w:val="en-US" w:eastAsia="zh-CN" w:bidi="ar-SA"/>
              </w:rPr>
              <w:t>K</w:t>
            </w:r>
            <w:r>
              <w:rPr>
                <w:rFonts w:hint="default" w:ascii="Times New Roman" w:hAnsi="Times New Roman" w:eastAsia="宋体" w:cs="Times New Roman"/>
                <w:b w:val="0"/>
                <w:bCs w:val="0"/>
                <w:spacing w:val="0"/>
                <w:kern w:val="2"/>
                <w:position w:val="0"/>
                <w:sz w:val="21"/>
                <w:szCs w:val="21"/>
                <w:lang w:val="en-US" w:eastAsia="zh-CN" w:bidi="ar-SA"/>
              </w:rPr>
              <w:t>渗透系数</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m/d</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20.0</w:t>
            </w:r>
          </w:p>
        </w:tc>
        <w:tc>
          <w:tcPr>
            <w:tcW w:w="42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参照《福建申远新材料有限公司二期年产40万吨聚酰胺一体化项目环境影响报告书》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i/>
                <w:iCs/>
                <w:spacing w:val="0"/>
                <w:kern w:val="2"/>
                <w:position w:val="0"/>
                <w:sz w:val="21"/>
                <w:szCs w:val="21"/>
                <w:lang w:val="en-US" w:eastAsia="zh-CN" w:bidi="ar-SA"/>
              </w:rPr>
              <w:t>I</w:t>
            </w:r>
            <w:r>
              <w:rPr>
                <w:rFonts w:hint="default" w:ascii="Times New Roman" w:hAnsi="Times New Roman" w:eastAsia="宋体" w:cs="Times New Roman"/>
                <w:b w:val="0"/>
                <w:bCs w:val="0"/>
                <w:spacing w:val="0"/>
                <w:kern w:val="2"/>
                <w:position w:val="0"/>
                <w:sz w:val="21"/>
                <w:szCs w:val="21"/>
                <w:lang w:val="en-US" w:eastAsia="zh-CN" w:bidi="ar-SA"/>
              </w:rPr>
              <w:t>水力坡度</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无量纲</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w:t>
            </w:r>
          </w:p>
        </w:tc>
        <w:tc>
          <w:tcPr>
            <w:tcW w:w="42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参照《福建申远新材料有限公司环己烷脱氢中试项目环境影响报告书》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i/>
                <w:iCs/>
                <w:spacing w:val="0"/>
                <w:kern w:val="2"/>
                <w:position w:val="0"/>
                <w:sz w:val="21"/>
                <w:szCs w:val="21"/>
                <w:lang w:val="en-US" w:eastAsia="zh-CN" w:bidi="ar-SA"/>
              </w:rPr>
              <w:t>T</w:t>
            </w:r>
            <w:r>
              <w:rPr>
                <w:rFonts w:hint="default" w:ascii="Times New Roman" w:hAnsi="Times New Roman" w:eastAsia="宋体" w:cs="Times New Roman"/>
                <w:b w:val="0"/>
                <w:bCs w:val="0"/>
                <w:spacing w:val="0"/>
                <w:kern w:val="2"/>
                <w:position w:val="0"/>
                <w:sz w:val="21"/>
                <w:szCs w:val="21"/>
                <w:lang w:val="en-US" w:eastAsia="zh-CN" w:bidi="ar-SA"/>
              </w:rPr>
              <w:t>质点迁移天数</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d</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7300</w:t>
            </w:r>
          </w:p>
        </w:tc>
        <w:tc>
          <w:tcPr>
            <w:tcW w:w="42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按20年计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i/>
                <w:iCs/>
                <w:spacing w:val="0"/>
                <w:kern w:val="2"/>
                <w:position w:val="0"/>
                <w:sz w:val="21"/>
                <w:szCs w:val="21"/>
                <w:lang w:val="en-US" w:eastAsia="zh-CN" w:bidi="ar-SA"/>
              </w:rPr>
              <w:t>n</w:t>
            </w:r>
            <w:r>
              <w:rPr>
                <w:rFonts w:hint="default" w:ascii="Times New Roman" w:hAnsi="Times New Roman" w:eastAsia="宋体" w:cs="Times New Roman"/>
                <w:b w:val="0"/>
                <w:bCs w:val="0"/>
                <w:i/>
                <w:iCs/>
                <w:spacing w:val="0"/>
                <w:kern w:val="2"/>
                <w:position w:val="0"/>
                <w:sz w:val="21"/>
                <w:szCs w:val="21"/>
                <w:vertAlign w:val="subscript"/>
                <w:lang w:val="en-US" w:eastAsia="zh-CN" w:bidi="ar-SA"/>
              </w:rPr>
              <w:t>e</w:t>
            </w:r>
            <w:r>
              <w:rPr>
                <w:rFonts w:hint="default" w:ascii="Times New Roman" w:hAnsi="Times New Roman" w:eastAsia="宋体" w:cs="Times New Roman"/>
                <w:b w:val="0"/>
                <w:bCs w:val="0"/>
                <w:spacing w:val="0"/>
                <w:kern w:val="2"/>
                <w:position w:val="0"/>
                <w:sz w:val="21"/>
                <w:szCs w:val="21"/>
                <w:lang w:val="en-US" w:eastAsia="zh-CN" w:bidi="ar-SA"/>
              </w:rPr>
              <w:t>有效孔隙度</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无量纲</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0.3</w:t>
            </w:r>
          </w:p>
        </w:tc>
        <w:tc>
          <w:tcPr>
            <w:tcW w:w="42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项目区域潜水含水层岩性主要为淤泥质土及粉质粘土层，有效孔隙度取0.3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计算结果</w:t>
            </w: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L</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m</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4867</w:t>
            </w:r>
          </w:p>
        </w:tc>
        <w:tc>
          <w:tcPr>
            <w:tcW w:w="42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取整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场地两侧</w:t>
            </w: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L/2</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m</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2434</w:t>
            </w:r>
          </w:p>
        </w:tc>
        <w:tc>
          <w:tcPr>
            <w:tcW w:w="422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场地上游距离根据评价需求确</w:t>
            </w:r>
            <w:r>
              <w:rPr>
                <w:rFonts w:hint="eastAsia" w:cs="Times New Roman"/>
                <w:b w:val="0"/>
                <w:bCs w:val="0"/>
                <w:spacing w:val="0"/>
                <w:kern w:val="2"/>
                <w:position w:val="0"/>
                <w:sz w:val="21"/>
                <w:szCs w:val="21"/>
                <w:vertAlign w:val="baseline"/>
                <w:lang w:val="en-US" w:eastAsia="zh-CN" w:bidi="ar-SA"/>
              </w:rPr>
              <w:t>定</w:t>
            </w:r>
            <w:r>
              <w:rPr>
                <w:rFonts w:hint="default" w:ascii="Times New Roman" w:hAnsi="Times New Roman" w:eastAsia="宋体" w:cs="Times New Roman"/>
                <w:b w:val="0"/>
                <w:bCs w:val="0"/>
                <w:spacing w:val="0"/>
                <w:kern w:val="2"/>
                <w:position w:val="0"/>
                <w:sz w:val="21"/>
                <w:szCs w:val="21"/>
                <w:vertAlign w:val="baseline"/>
                <w:lang w:val="en-US" w:eastAsia="zh-CN" w:bidi="ar-SA"/>
              </w:rPr>
              <w:t>，场地两侧不小于L/2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场地上游</w:t>
            </w:r>
          </w:p>
        </w:tc>
        <w:tc>
          <w:tcPr>
            <w:tcW w:w="169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subscript"/>
                <w:lang w:val="en-US" w:eastAsia="zh-CN" w:bidi="ar-SA"/>
              </w:rPr>
            </w:pPr>
            <w:r>
              <w:rPr>
                <w:rFonts w:hint="eastAsia" w:cs="Times New Roman"/>
                <w:b w:val="0"/>
                <w:bCs w:val="0"/>
                <w:spacing w:val="0"/>
                <w:kern w:val="2"/>
                <w:position w:val="0"/>
                <w:sz w:val="21"/>
                <w:szCs w:val="21"/>
                <w:vertAlign w:val="baseline"/>
                <w:lang w:val="en-US" w:eastAsia="zh-CN" w:bidi="ar-SA"/>
              </w:rPr>
              <w:t>L</w:t>
            </w:r>
            <w:r>
              <w:rPr>
                <w:rFonts w:hint="eastAsia" w:cs="Times New Roman"/>
                <w:b w:val="0"/>
                <w:bCs w:val="0"/>
                <w:spacing w:val="0"/>
                <w:kern w:val="2"/>
                <w:position w:val="0"/>
                <w:sz w:val="21"/>
                <w:szCs w:val="21"/>
                <w:vertAlign w:val="subscript"/>
                <w:lang w:val="en-US" w:eastAsia="zh-CN" w:bidi="ar-SA"/>
              </w:rPr>
              <w:t>上游</w:t>
            </w:r>
          </w:p>
        </w:tc>
        <w:tc>
          <w:tcPr>
            <w:tcW w:w="94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m</w:t>
            </w:r>
          </w:p>
        </w:tc>
        <w:tc>
          <w:tcPr>
            <w:tcW w:w="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100</w:t>
            </w:r>
          </w:p>
        </w:tc>
        <w:tc>
          <w:tcPr>
            <w:tcW w:w="422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bCs/>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通过公式计算法计算结果可知，本项目地下水评价范围为：项目厂界上游100m，下游4867m，场地东西两侧2434m，由于北侧距罗源湾海域较近，因此，从同一水文单元考虑，北侧以罗源湾海域为评价边界。</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5.3.3地下水环境影响预测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5.3.3.1预测范围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地下水预测范围以潜水含水层为主。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5.3.3.2预测时段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根据《环境影响评价技术导则地下水环境》（HJ610-2016）的要求，选定预测时段为污染发生后100d、1000d、3650d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5.3.3.3情景设置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本项目易发生地下水污染的主要为印染核心区生产装置、废水调节池、危废暂存间、事故应急池、污水管道等，应严格按耐腐蚀、防渗水等要求设计，采用防水、防腐、防冲击、耐磨的面层材料，因此正常状况下不会出现污染物泄漏进入地下水的情况发生。根据《环境影响评价技术导则地下水环境》（HJ610-2016），可不进行正常状况情景下的预测，只对非正常状况情景进行预测。本次评价设定以下预测情景：</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以项目产生地下水污染事故作为分析对象，主要考虑染整高浓度废水调节池底部破损：根据废水收集方案，假设调节池防渗层破裂，短时间内有大量废水进入含水层对地下水造成污染，且从渗漏发生到渗漏检测到最终修复的时间为40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5.3.3.4预测因子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根据《环境影响评价技术导则——地下水环境》（HJ 610-2016）的要求，项目应根据地表水导则识别出来的特征因子，按照重金属、持久性有机污染物和其他类别进行分类，并对每一类别中的各项因子采用标准指数法进行排序，分别取标准指数最大的因子作为预测因子，项目无持久性有机污染物，故项目识别出来的污染因子的平均标准指数见表5</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3-</w:t>
      </w:r>
      <w:r>
        <w:rPr>
          <w:rFonts w:hint="eastAsia" w:cs="Times New Roman"/>
          <w:b w:val="0"/>
          <w:bCs w:val="0"/>
          <w:spacing w:val="0"/>
          <w:kern w:val="2"/>
          <w:position w:val="0"/>
          <w:sz w:val="24"/>
          <w:szCs w:val="24"/>
          <w:lang w:val="en-US" w:eastAsia="zh-CN" w:bidi="ar-SA"/>
        </w:rPr>
        <w:t>5</w:t>
      </w:r>
      <w:r>
        <w:rPr>
          <w:rFonts w:hint="default" w:ascii="Times New Roman" w:hAnsi="Times New Roman" w:eastAsia="宋体"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表5.3-5项目筛选预测因子标准指数表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68"/>
        <w:gridCol w:w="2968"/>
        <w:gridCol w:w="2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污染因子</w:t>
            </w:r>
          </w:p>
        </w:tc>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标准指数</w:t>
            </w:r>
          </w:p>
        </w:tc>
        <w:tc>
          <w:tcPr>
            <w:tcW w:w="296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氨氮</w:t>
            </w:r>
          </w:p>
        </w:tc>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3.06</w:t>
            </w:r>
          </w:p>
        </w:tc>
        <w:tc>
          <w:tcPr>
            <w:tcW w:w="296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其他污染物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COD</w:t>
            </w:r>
          </w:p>
        </w:tc>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0.64</w:t>
            </w:r>
          </w:p>
        </w:tc>
        <w:tc>
          <w:tcPr>
            <w:tcW w:w="296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其他污染物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总锑</w:t>
            </w:r>
          </w:p>
        </w:tc>
        <w:tc>
          <w:tcPr>
            <w:tcW w:w="296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0.392</w:t>
            </w:r>
          </w:p>
        </w:tc>
        <w:tc>
          <w:tcPr>
            <w:tcW w:w="296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重金属</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由上表可知，项目其他分类中标准指数最大的因子为氨氮，重金属中总锑标准指数最大的因子为总锑。考虑高浓度废水池中COD浓度较高，因此高浓度废水池渗漏的预测因子选定为COD、氨氮、总锑。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5.3.3.5预测源强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因高浓度废水中污染物浓度较高，因此本次评价选取高浓度废水收集池为渗漏对象。</w:t>
      </w:r>
      <w:r>
        <w:rPr>
          <w:rFonts w:hint="default" w:ascii="Times New Roman" w:hAnsi="Times New Roman" w:eastAsia="宋体" w:cs="Times New Roman"/>
          <w:b w:val="0"/>
          <w:bCs w:val="0"/>
          <w:spacing w:val="0"/>
          <w:kern w:val="2"/>
          <w:position w:val="0"/>
          <w:sz w:val="24"/>
          <w:szCs w:val="24"/>
          <w:lang w:val="en-US" w:eastAsia="zh-CN" w:bidi="ar-SA"/>
        </w:rPr>
        <w:t>根据项目设计方案，高浓度废水池有效容积</w:t>
      </w:r>
      <w:r>
        <w:rPr>
          <w:rFonts w:hint="eastAsia" w:cs="Times New Roman"/>
          <w:b w:val="0"/>
          <w:bCs w:val="0"/>
          <w:spacing w:val="0"/>
          <w:kern w:val="2"/>
          <w:position w:val="0"/>
          <w:sz w:val="24"/>
          <w:szCs w:val="24"/>
          <w:lang w:val="en-US" w:eastAsia="zh-CN" w:bidi="ar-SA"/>
        </w:rPr>
        <w:t>1300</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，底面积</w:t>
      </w:r>
      <w:r>
        <w:rPr>
          <w:rFonts w:hint="eastAsia" w:cs="Times New Roman"/>
          <w:b w:val="0"/>
          <w:bCs w:val="0"/>
          <w:spacing w:val="0"/>
          <w:kern w:val="2"/>
          <w:position w:val="0"/>
          <w:sz w:val="24"/>
          <w:szCs w:val="24"/>
          <w:lang w:val="en-US" w:eastAsia="zh-CN" w:bidi="ar-SA"/>
        </w:rPr>
        <w:t>447.7</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。在事故情况下，高浓度废水收集池底部破损，出现较大面积的渗漏现象，假设废水池防渗层破坏面积按照底部面积的10%计，约为</w:t>
      </w:r>
      <w:r>
        <w:rPr>
          <w:rFonts w:hint="eastAsia" w:cs="Times New Roman"/>
          <w:b w:val="0"/>
          <w:bCs w:val="0"/>
          <w:spacing w:val="0"/>
          <w:kern w:val="2"/>
          <w:position w:val="0"/>
          <w:sz w:val="24"/>
          <w:szCs w:val="24"/>
          <w:lang w:val="en-US" w:eastAsia="zh-CN" w:bidi="ar-SA"/>
        </w:rPr>
        <w:t>447.7</w:t>
      </w:r>
      <w:r>
        <w:rPr>
          <w:rFonts w:hint="default" w:ascii="Times New Roman" w:hAnsi="Times New Roman" w:eastAsia="宋体" w:cs="Times New Roman"/>
          <w:b w:val="0"/>
          <w:bCs w:val="0"/>
          <w:spacing w:val="0"/>
          <w:kern w:val="2"/>
          <w:position w:val="0"/>
          <w:sz w:val="24"/>
          <w:szCs w:val="24"/>
          <w:lang w:val="en-US" w:eastAsia="zh-CN" w:bidi="ar-SA"/>
        </w:rPr>
        <w:t>m</w:t>
      </w:r>
      <w:r>
        <w:rPr>
          <w:rFonts w:hint="eastAsia"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×10%=</w:t>
      </w:r>
      <w:r>
        <w:rPr>
          <w:rFonts w:hint="eastAsia" w:cs="Times New Roman"/>
          <w:b w:val="0"/>
          <w:bCs w:val="0"/>
          <w:spacing w:val="0"/>
          <w:kern w:val="2"/>
          <w:position w:val="0"/>
          <w:sz w:val="24"/>
          <w:szCs w:val="24"/>
          <w:lang w:val="en-US" w:eastAsia="zh-CN" w:bidi="ar-SA"/>
        </w:rPr>
        <w:t>44.77</w:t>
      </w:r>
      <w:r>
        <w:rPr>
          <w:rFonts w:hint="default" w:ascii="Times New Roman" w:hAnsi="Times New Roman" w:eastAsia="宋体" w:cs="Times New Roman"/>
          <w:b w:val="0"/>
          <w:bCs w:val="0"/>
          <w:spacing w:val="0"/>
          <w:kern w:val="2"/>
          <w:position w:val="0"/>
          <w:sz w:val="24"/>
          <w:szCs w:val="24"/>
          <w:lang w:val="en-US" w:eastAsia="zh-CN" w:bidi="ar-SA"/>
        </w:rPr>
        <w:t>m</w:t>
      </w:r>
      <w:r>
        <w:rPr>
          <w:rFonts w:hint="eastAsia"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，且渗漏出来的废水全部渗入地下水系统。本次预测设置情景为从渗漏发生到渗漏检测到最终修复的时间为40天。根据渗漏量计算公式：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i/>
          <w:iCs/>
          <w:spacing w:val="0"/>
          <w:position w:val="0"/>
          <w:sz w:val="24"/>
          <w:szCs w:val="24"/>
        </w:rPr>
        <w:t>Q</w:t>
      </w:r>
      <w:r>
        <w:rPr>
          <w:rFonts w:hint="default" w:ascii="Times New Roman" w:hAnsi="Times New Roman" w:eastAsia="宋体" w:cs="Times New Roman"/>
          <w:spacing w:val="0"/>
          <w:position w:val="0"/>
          <w:sz w:val="24"/>
          <w:szCs w:val="24"/>
        </w:rPr>
        <w:t>=</w:t>
      </w:r>
      <w:r>
        <w:rPr>
          <w:rFonts w:hint="default" w:ascii="Times New Roman" w:hAnsi="Times New Roman" w:eastAsia="宋体" w:cs="Times New Roman"/>
          <w:i/>
          <w:iCs/>
          <w:spacing w:val="0"/>
          <w:position w:val="0"/>
          <w:sz w:val="24"/>
          <w:szCs w:val="24"/>
        </w:rPr>
        <w:t>K</w:t>
      </w:r>
      <w:r>
        <w:rPr>
          <w:rFonts w:hint="default" w:ascii="Times New Roman" w:hAnsi="Times New Roman" w:eastAsia="宋体" w:cs="Times New Roman"/>
          <w:spacing w:val="0"/>
          <w:position w:val="0"/>
          <w:sz w:val="24"/>
          <w:szCs w:val="24"/>
        </w:rPr>
        <w:t>×</w:t>
      </w:r>
      <w:r>
        <w:rPr>
          <w:rFonts w:hint="default" w:ascii="Times New Roman" w:hAnsi="Times New Roman" w:eastAsia="宋体" w:cs="Times New Roman"/>
          <w:i/>
          <w:iCs/>
          <w:spacing w:val="0"/>
          <w:position w:val="0"/>
          <w:sz w:val="24"/>
          <w:szCs w:val="24"/>
        </w:rPr>
        <w:t>I</w:t>
      </w:r>
      <w:r>
        <w:rPr>
          <w:rFonts w:hint="default" w:ascii="Times New Roman" w:hAnsi="Times New Roman" w:eastAsia="宋体" w:cs="Times New Roman"/>
          <w:spacing w:val="0"/>
          <w:position w:val="0"/>
          <w:sz w:val="24"/>
          <w:szCs w:val="24"/>
        </w:rPr>
        <w:t>×</w:t>
      </w:r>
      <w:r>
        <w:rPr>
          <w:rFonts w:hint="default" w:ascii="Times New Roman" w:hAnsi="Times New Roman" w:eastAsia="宋体" w:cs="Times New Roman"/>
          <w:i/>
          <w:iCs/>
          <w:spacing w:val="0"/>
          <w:position w:val="0"/>
          <w:sz w:val="24"/>
          <w:szCs w:val="24"/>
        </w:rPr>
        <w:t>A</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式</w:t>
      </w:r>
      <w:r>
        <w:rPr>
          <w:rFonts w:hint="default" w:ascii="Times New Roman" w:hAnsi="Times New Roman" w:eastAsia="宋体" w:cs="Times New Roman"/>
          <w:b w:val="0"/>
          <w:bCs w:val="0"/>
          <w:spacing w:val="0"/>
          <w:kern w:val="2"/>
          <w:position w:val="0"/>
          <w:sz w:val="24"/>
          <w:szCs w:val="24"/>
          <w:lang w:val="en-US" w:eastAsia="zh-CN" w:bidi="ar-SA"/>
        </w:rPr>
        <w:t>中：K——渗透系数，m/d。参照《福建申远新材料有限公司二期年产40万吨聚酰胺一体化项目环境影响报告书》，本次取20m/d；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A——泄漏面积，m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；取</w:t>
      </w:r>
      <w:r>
        <w:rPr>
          <w:rFonts w:hint="eastAsia" w:cs="Times New Roman"/>
          <w:b w:val="0"/>
          <w:bCs w:val="0"/>
          <w:spacing w:val="0"/>
          <w:kern w:val="2"/>
          <w:position w:val="0"/>
          <w:sz w:val="24"/>
          <w:szCs w:val="24"/>
          <w:lang w:val="en-US" w:eastAsia="zh-CN" w:bidi="ar-SA"/>
        </w:rPr>
        <w:t>44.77</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I——水力坡度，无量纲；参考《福建申远新材料有限公司环己烷脱氢中试项目环境影响报告书》，本次取0.005。</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因此</w:t>
      </w:r>
      <w:r>
        <w:rPr>
          <w:rFonts w:hint="default" w:ascii="Times New Roman" w:hAnsi="Times New Roman" w:eastAsia="宋体" w:cs="Times New Roman"/>
          <w:b w:val="0"/>
          <w:bCs w:val="0"/>
          <w:spacing w:val="0"/>
          <w:kern w:val="2"/>
          <w:position w:val="0"/>
          <w:sz w:val="24"/>
          <w:szCs w:val="24"/>
          <w:lang w:val="en-US" w:eastAsia="zh-CN" w:bidi="ar-SA"/>
        </w:rPr>
        <w:t>计算得到废水泄漏量为20×</w:t>
      </w:r>
      <w:r>
        <w:rPr>
          <w:rFonts w:hint="eastAsia" w:cs="Times New Roman"/>
          <w:b w:val="0"/>
          <w:bCs w:val="0"/>
          <w:spacing w:val="0"/>
          <w:kern w:val="2"/>
          <w:position w:val="0"/>
          <w:sz w:val="24"/>
          <w:szCs w:val="24"/>
          <w:lang w:val="en-US" w:eastAsia="zh-CN" w:bidi="ar-SA"/>
        </w:rPr>
        <w:t>44.77</w:t>
      </w:r>
      <w:r>
        <w:rPr>
          <w:rFonts w:hint="default" w:ascii="Times New Roman" w:hAnsi="Times New Roman" w:eastAsia="宋体" w:cs="Times New Roman"/>
          <w:b w:val="0"/>
          <w:bCs w:val="0"/>
          <w:spacing w:val="0"/>
          <w:kern w:val="2"/>
          <w:position w:val="0"/>
          <w:sz w:val="24"/>
          <w:szCs w:val="24"/>
          <w:lang w:val="en-US" w:eastAsia="zh-CN" w:bidi="ar-SA"/>
        </w:rPr>
        <w:t>×0.005=</w:t>
      </w:r>
      <w:r>
        <w:rPr>
          <w:rFonts w:hint="eastAsia" w:cs="Times New Roman"/>
          <w:b w:val="0"/>
          <w:bCs w:val="0"/>
          <w:spacing w:val="0"/>
          <w:kern w:val="2"/>
          <w:position w:val="0"/>
          <w:sz w:val="24"/>
          <w:szCs w:val="24"/>
          <w:lang w:val="en-US" w:eastAsia="zh-CN" w:bidi="ar-SA"/>
        </w:rPr>
        <w:t>4.477</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/d，则40天总泄漏量为</w:t>
      </w:r>
      <w:r>
        <w:rPr>
          <w:rFonts w:hint="eastAsia" w:cs="Times New Roman"/>
          <w:b w:val="0"/>
          <w:bCs w:val="0"/>
          <w:spacing w:val="0"/>
          <w:kern w:val="2"/>
          <w:position w:val="0"/>
          <w:sz w:val="24"/>
          <w:szCs w:val="24"/>
          <w:lang w:val="en-US" w:eastAsia="zh-CN" w:bidi="ar-SA"/>
        </w:rPr>
        <w:t>179.08</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，根据工程分析，高浓度废水中COD</w:t>
      </w:r>
      <w:r>
        <w:rPr>
          <w:rFonts w:hint="eastAsia" w:cs="Times New Roman"/>
          <w:b w:val="0"/>
          <w:bCs w:val="0"/>
          <w:spacing w:val="0"/>
          <w:kern w:val="2"/>
          <w:position w:val="0"/>
          <w:sz w:val="24"/>
          <w:szCs w:val="24"/>
          <w:lang w:val="en-US" w:eastAsia="zh-CN" w:bidi="ar-SA"/>
        </w:rPr>
        <w:t>接管</w:t>
      </w:r>
      <w:r>
        <w:rPr>
          <w:rFonts w:hint="default" w:ascii="Times New Roman" w:hAnsi="Times New Roman" w:eastAsia="宋体" w:cs="Times New Roman"/>
          <w:b w:val="0"/>
          <w:bCs w:val="0"/>
          <w:spacing w:val="0"/>
          <w:kern w:val="2"/>
          <w:position w:val="0"/>
          <w:sz w:val="24"/>
          <w:szCs w:val="24"/>
          <w:lang w:val="en-US" w:eastAsia="zh-CN" w:bidi="ar-SA"/>
        </w:rPr>
        <w:t>浓度为1678.62mg/L，氨氮</w:t>
      </w:r>
      <w:r>
        <w:rPr>
          <w:rFonts w:hint="eastAsia" w:cs="Times New Roman"/>
          <w:b w:val="0"/>
          <w:bCs w:val="0"/>
          <w:spacing w:val="0"/>
          <w:kern w:val="2"/>
          <w:position w:val="0"/>
          <w:sz w:val="24"/>
          <w:szCs w:val="24"/>
          <w:lang w:val="en-US" w:eastAsia="zh-CN" w:bidi="ar-SA"/>
        </w:rPr>
        <w:t>接管</w:t>
      </w:r>
      <w:r>
        <w:rPr>
          <w:rFonts w:hint="default" w:ascii="Times New Roman" w:hAnsi="Times New Roman" w:eastAsia="宋体" w:cs="Times New Roman"/>
          <w:b w:val="0"/>
          <w:bCs w:val="0"/>
          <w:spacing w:val="0"/>
          <w:kern w:val="2"/>
          <w:position w:val="0"/>
          <w:sz w:val="24"/>
          <w:szCs w:val="24"/>
          <w:lang w:val="en-US" w:eastAsia="zh-CN" w:bidi="ar-SA"/>
        </w:rPr>
        <w:t>浓度为14.30mg/L，</w:t>
      </w:r>
      <w:r>
        <w:rPr>
          <w:rFonts w:hint="eastAsia" w:cs="Times New Roman"/>
          <w:b w:val="0"/>
          <w:bCs w:val="0"/>
          <w:spacing w:val="0"/>
          <w:kern w:val="2"/>
          <w:position w:val="0"/>
          <w:sz w:val="24"/>
          <w:szCs w:val="24"/>
          <w:lang w:val="en-US" w:eastAsia="zh-CN" w:bidi="ar-SA"/>
        </w:rPr>
        <w:t>总锑接管浓度为0.13mg/L，</w:t>
      </w:r>
      <w:r>
        <w:rPr>
          <w:rFonts w:hint="default" w:ascii="Times New Roman" w:hAnsi="Times New Roman" w:eastAsia="宋体" w:cs="Times New Roman"/>
          <w:b w:val="0"/>
          <w:bCs w:val="0"/>
          <w:spacing w:val="0"/>
          <w:kern w:val="2"/>
          <w:position w:val="0"/>
          <w:sz w:val="24"/>
          <w:szCs w:val="24"/>
          <w:lang w:val="en-US" w:eastAsia="zh-CN" w:bidi="ar-SA"/>
        </w:rPr>
        <w:t>其中污染物的量为：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COD：</w:t>
      </w:r>
      <w:r>
        <w:rPr>
          <w:rFonts w:hint="eastAsia" w:cs="Times New Roman"/>
          <w:b w:val="0"/>
          <w:bCs w:val="0"/>
          <w:spacing w:val="0"/>
          <w:kern w:val="2"/>
          <w:position w:val="0"/>
          <w:sz w:val="24"/>
          <w:szCs w:val="24"/>
          <w:lang w:val="en-US" w:eastAsia="zh-CN" w:bidi="ar-SA"/>
        </w:rPr>
        <w:t>179.08</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1678.62</w:t>
      </w:r>
      <w:r>
        <w:rPr>
          <w:rFonts w:hint="default" w:ascii="Times New Roman" w:hAnsi="Times New Roman" w:eastAsia="宋体" w:cs="Times New Roman"/>
          <w:b w:val="0"/>
          <w:bCs w:val="0"/>
          <w:spacing w:val="0"/>
          <w:kern w:val="2"/>
          <w:position w:val="0"/>
          <w:sz w:val="24"/>
          <w:szCs w:val="24"/>
          <w:lang w:val="en-US" w:eastAsia="zh-CN" w:bidi="ar-SA"/>
        </w:rPr>
        <w:t>mg/L×10</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300.61</w:t>
      </w:r>
      <w:r>
        <w:rPr>
          <w:rFonts w:hint="default" w:ascii="Times New Roman" w:hAnsi="Times New Roman" w:eastAsia="宋体" w:cs="Times New Roman"/>
          <w:b w:val="0"/>
          <w:bCs w:val="0"/>
          <w:spacing w:val="0"/>
          <w:kern w:val="2"/>
          <w:position w:val="0"/>
          <w:sz w:val="24"/>
          <w:szCs w:val="24"/>
          <w:lang w:val="en-US" w:eastAsia="zh-CN" w:bidi="ar-SA"/>
        </w:rPr>
        <w:t>kg</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氨氮：</w:t>
      </w:r>
      <w:r>
        <w:rPr>
          <w:rFonts w:hint="eastAsia" w:cs="Times New Roman"/>
          <w:b w:val="0"/>
          <w:bCs w:val="0"/>
          <w:spacing w:val="0"/>
          <w:kern w:val="2"/>
          <w:position w:val="0"/>
          <w:sz w:val="24"/>
          <w:szCs w:val="24"/>
          <w:lang w:val="en-US" w:eastAsia="zh-CN" w:bidi="ar-SA"/>
        </w:rPr>
        <w:t>179.08</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14.30</w:t>
      </w:r>
      <w:r>
        <w:rPr>
          <w:rFonts w:hint="default" w:ascii="Times New Roman" w:hAnsi="Times New Roman" w:eastAsia="宋体" w:cs="Times New Roman"/>
          <w:b w:val="0"/>
          <w:bCs w:val="0"/>
          <w:spacing w:val="0"/>
          <w:kern w:val="2"/>
          <w:position w:val="0"/>
          <w:sz w:val="24"/>
          <w:szCs w:val="24"/>
          <w:lang w:val="en-US" w:eastAsia="zh-CN" w:bidi="ar-SA"/>
        </w:rPr>
        <w:t>mg/L×10</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2.56</w:t>
      </w:r>
      <w:r>
        <w:rPr>
          <w:rFonts w:hint="default" w:ascii="Times New Roman" w:hAnsi="Times New Roman" w:eastAsia="宋体" w:cs="Times New Roman"/>
          <w:b w:val="0"/>
          <w:bCs w:val="0"/>
          <w:spacing w:val="0"/>
          <w:kern w:val="2"/>
          <w:position w:val="0"/>
          <w:sz w:val="24"/>
          <w:szCs w:val="24"/>
          <w:lang w:val="en-US" w:eastAsia="zh-CN" w:bidi="ar-SA"/>
        </w:rPr>
        <w:t>kg</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总锑：179.08</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0.13</w:t>
      </w:r>
      <w:r>
        <w:rPr>
          <w:rFonts w:hint="default" w:ascii="Times New Roman" w:hAnsi="Times New Roman" w:eastAsia="宋体" w:cs="Times New Roman"/>
          <w:b w:val="0"/>
          <w:bCs w:val="0"/>
          <w:spacing w:val="0"/>
          <w:kern w:val="2"/>
          <w:position w:val="0"/>
          <w:sz w:val="24"/>
          <w:szCs w:val="24"/>
          <w:lang w:val="en-US" w:eastAsia="zh-CN" w:bidi="ar-SA"/>
        </w:rPr>
        <w:t>mg/L×10</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0.023</w:t>
      </w:r>
      <w:r>
        <w:rPr>
          <w:rFonts w:hint="default" w:ascii="Times New Roman" w:hAnsi="Times New Roman" w:eastAsia="宋体" w:cs="Times New Roman"/>
          <w:b w:val="0"/>
          <w:bCs w:val="0"/>
          <w:spacing w:val="0"/>
          <w:kern w:val="2"/>
          <w:position w:val="0"/>
          <w:sz w:val="24"/>
          <w:szCs w:val="24"/>
          <w:lang w:val="en-US" w:eastAsia="zh-CN" w:bidi="ar-SA"/>
        </w:rPr>
        <w:t>kg</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bCs/>
          <w:spacing w:val="0"/>
          <w:kern w:val="2"/>
          <w:position w:val="0"/>
          <w:sz w:val="24"/>
          <w:szCs w:val="24"/>
          <w:lang w:val="en-US" w:eastAsia="zh-CN" w:bidi="ar-SA"/>
        </w:rPr>
        <w:t>表5.</w:t>
      </w:r>
      <w:r>
        <w:rPr>
          <w:rFonts w:hint="eastAsia" w:cs="Times New Roman"/>
          <w:b/>
          <w:bCs/>
          <w:spacing w:val="0"/>
          <w:kern w:val="2"/>
          <w:position w:val="0"/>
          <w:sz w:val="24"/>
          <w:szCs w:val="24"/>
          <w:lang w:val="en-US" w:eastAsia="zh-CN" w:bidi="ar-SA"/>
        </w:rPr>
        <w:t>3-6</w:t>
      </w:r>
      <w:r>
        <w:rPr>
          <w:rFonts w:hint="default" w:ascii="Times New Roman" w:hAnsi="Times New Roman" w:eastAsia="宋体" w:cs="Times New Roman"/>
          <w:b/>
          <w:bCs/>
          <w:spacing w:val="0"/>
          <w:kern w:val="2"/>
          <w:position w:val="0"/>
          <w:sz w:val="24"/>
          <w:szCs w:val="24"/>
          <w:lang w:val="en-US" w:eastAsia="zh-CN" w:bidi="ar-SA"/>
        </w:rPr>
        <w:t>本次预测污染物渗漏源强汇</w:t>
      </w:r>
      <w:r>
        <w:rPr>
          <w:rFonts w:hint="eastAsia" w:cs="Times New Roman"/>
          <w:b/>
          <w:bCs/>
          <w:spacing w:val="0"/>
          <w:kern w:val="2"/>
          <w:position w:val="0"/>
          <w:sz w:val="24"/>
          <w:szCs w:val="24"/>
          <w:lang w:val="en-US" w:eastAsia="zh-CN" w:bidi="ar-SA"/>
        </w:rPr>
        <w:t>总一览表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539"/>
        <w:gridCol w:w="1540"/>
        <w:gridCol w:w="1540"/>
        <w:gridCol w:w="1540"/>
        <w:gridCol w:w="1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4"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渗漏源</w:t>
            </w:r>
          </w:p>
        </w:tc>
        <w:tc>
          <w:tcPr>
            <w:tcW w:w="2968"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渗漏物质</w:t>
            </w:r>
          </w:p>
        </w:tc>
        <w:tc>
          <w:tcPr>
            <w:tcW w:w="2968"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污染物</w:t>
            </w:r>
          </w:p>
        </w:tc>
        <w:tc>
          <w:tcPr>
            <w:tcW w:w="1485"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一次渗漏时间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名称</w:t>
            </w: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渗漏量</w:t>
            </w: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污染因子</w:t>
            </w: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渗漏量</w:t>
            </w:r>
          </w:p>
        </w:tc>
        <w:tc>
          <w:tcPr>
            <w:tcW w:w="1485"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4"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高浓度废水收集池</w:t>
            </w:r>
          </w:p>
        </w:tc>
        <w:tc>
          <w:tcPr>
            <w:tcW w:w="1484"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高浓度生产废水</w:t>
            </w:r>
          </w:p>
        </w:tc>
        <w:tc>
          <w:tcPr>
            <w:tcW w:w="1484"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179.08m</w:t>
            </w:r>
            <w:r>
              <w:rPr>
                <w:rFonts w:hint="eastAsia" w:cs="Times New Roman"/>
                <w:b w:val="0"/>
                <w:bCs w:val="0"/>
                <w:spacing w:val="0"/>
                <w:kern w:val="2"/>
                <w:position w:val="0"/>
                <w:sz w:val="21"/>
                <w:szCs w:val="21"/>
                <w:vertAlign w:val="superscript"/>
                <w:lang w:val="en-US" w:eastAsia="zh-CN" w:bidi="ar-SA"/>
              </w:rPr>
              <w:t>3</w:t>
            </w: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COD</w:t>
            </w: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300.61kg</w:t>
            </w:r>
          </w:p>
        </w:tc>
        <w:tc>
          <w:tcPr>
            <w:tcW w:w="1485"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40d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48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48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氨氮</w:t>
            </w: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2.56kg</w:t>
            </w:r>
          </w:p>
        </w:tc>
        <w:tc>
          <w:tcPr>
            <w:tcW w:w="1485"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48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48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总锑</w:t>
            </w:r>
          </w:p>
        </w:tc>
        <w:tc>
          <w:tcPr>
            <w:tcW w:w="148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0.023kg</w:t>
            </w:r>
          </w:p>
        </w:tc>
        <w:tc>
          <w:tcPr>
            <w:tcW w:w="1485"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5.3.3.6预测模型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本项目地下水环境影响评价工作等级为二级，根据《环境影响评价技术导则 地下水环境》（HJ610-2016），二级评价可采用数值法或解析法进行影响预测。根据本项目特征、区域水文地质条件及资料掌握程度，采用解析法对地下水环境影响进行预测。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（1）预测模型概化</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1）水流特征概化：项目场地地下水流呈一维流动，地下水位动态稳定，因此水流特征可以概化为一维稳定流。</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2）污染源概化：废水调节池防渗层破裂导致高浓度废水以入渗的方式进入含水层，从保守角度，本次模拟预测忽略包气带对污染物的削减作用，因此排放方式可以概化为点源。根据情景模拟，一次泄漏时间为40d，因此排放规律可以概化为瞬时排放。</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3）污染特征概化：在地下水流携带污染物的迁移过程中，机械弥散和分子扩散往往同时发生，机械弥散和分子扩散合称为水动力弥散。水动力弥散既发生在地下水流的流动方向，也发生在垂直于流动的方向上，因此会产生一个二维污染区。污染物在地下水系统中的迁移转化过程十分复杂，除了受到对流弥散的作用之外，还受到化学、生物化学反应、吸附、生物降解等的影响，这些作用通常会使污染浓度衰减。但是，对这些作用所进行的模拟需要很多难以获取的参数，因此本次对特征污染物的模拟仅考虑其在地下水流中的对流弥散作用。</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综上所述，本项目地下水流特征可以概化为一维稳定流，污染源可以概化为点源瞬时排放，污染特征为二维水动力弥散问题，因此选用《环境影响评价技术导则地下水环境》（HJ610-2016）附录D中</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瞬时注入示踪剂-平面瞬时点源</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预测模型。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（2）模型参数确定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瞬时注入示踪剂-平面瞬时点源</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预测模型：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val="0"/>
          <w:spacing w:val="0"/>
          <w:kern w:val="2"/>
          <w:position w:val="0"/>
          <w:sz w:val="24"/>
          <w:szCs w:val="24"/>
          <w:lang w:val="en-US" w:eastAsia="zh-CN" w:bidi="ar-SA"/>
        </w:rPr>
      </w:pPr>
      <m:oMathPara>
        <m:oMath>
          <m:r>
            <m:rPr/>
            <w:rPr>
              <w:rFonts w:hint="default" w:ascii="Cambria Math" w:hAnsi="Cambria Math" w:cs="Times New Roman"/>
              <w:spacing w:val="0"/>
              <w:kern w:val="2"/>
              <w:position w:val="0"/>
              <w:sz w:val="24"/>
              <w:szCs w:val="24"/>
              <w:lang w:val="en-US" w:eastAsia="zh-CN" w:bidi="ar-SA"/>
            </w:rPr>
            <m:t>C(x</m:t>
          </m:r>
          <m:r>
            <m:rPr/>
            <w:rPr>
              <w:rFonts w:hint="eastAsia" w:ascii="Cambria Math" w:hAnsi="Cambria Math" w:cs="Times New Roman"/>
              <w:spacing w:val="0"/>
              <w:kern w:val="2"/>
              <w:position w:val="0"/>
              <w:sz w:val="24"/>
              <w:szCs w:val="24"/>
              <w:lang w:val="en-US" w:eastAsia="zh-CN" w:bidi="ar-SA"/>
            </w:rPr>
            <m:t>，</m:t>
          </m:r>
          <m:r>
            <m:rPr/>
            <w:rPr>
              <w:rFonts w:hint="default" w:ascii="Cambria Math" w:hAnsi="Cambria Math" w:cs="Times New Roman"/>
              <w:spacing w:val="0"/>
              <w:kern w:val="2"/>
              <w:position w:val="0"/>
              <w:sz w:val="24"/>
              <w:szCs w:val="24"/>
              <w:lang w:val="en-US" w:eastAsia="zh-CN" w:bidi="ar-SA"/>
            </w:rPr>
            <m:t>y</m:t>
          </m:r>
          <m:r>
            <m:rPr/>
            <w:rPr>
              <w:rFonts w:hint="eastAsia" w:ascii="Cambria Math" w:hAnsi="Cambria Math" w:cs="Times New Roman"/>
              <w:spacing w:val="0"/>
              <w:kern w:val="2"/>
              <w:position w:val="0"/>
              <w:sz w:val="24"/>
              <w:szCs w:val="24"/>
              <w:lang w:val="en-US" w:eastAsia="zh-CN" w:bidi="ar-SA"/>
            </w:rPr>
            <m:t>，</m:t>
          </m:r>
          <m:r>
            <m:rPr/>
            <w:rPr>
              <w:rFonts w:hint="default" w:ascii="Cambria Math" w:hAnsi="Cambria Math" w:cs="Times New Roman"/>
              <w:spacing w:val="0"/>
              <w:kern w:val="2"/>
              <w:position w:val="0"/>
              <w:sz w:val="24"/>
              <w:szCs w:val="24"/>
              <w:lang w:val="en-US" w:eastAsia="zh-CN" w:bidi="ar-SA"/>
            </w:rPr>
            <m:t>z)</m:t>
          </m:r>
          <m:r>
            <m:rPr/>
            <w:rPr>
              <w:rFonts w:ascii="Cambria Math" w:hAnsi="Cambria Math" w:cs="Times New Roman"/>
              <w:spacing w:val="0"/>
              <w:kern w:val="2"/>
              <w:position w:val="0"/>
              <w:sz w:val="24"/>
              <w:szCs w:val="24"/>
              <w:lang w:val="en-US" w:bidi="ar-SA"/>
            </w:rPr>
            <m:t>=</m:t>
          </m:r>
          <m:f>
            <m:fPr>
              <m:ctrlPr>
                <w:rPr>
                  <w:rFonts w:ascii="Cambria Math" w:hAnsi="Cambria Math" w:cs="Times New Roman"/>
                  <w:b w:val="0"/>
                  <w:bCs w:val="0"/>
                  <w:i/>
                  <w:spacing w:val="0"/>
                  <w:kern w:val="2"/>
                  <w:position w:val="0"/>
                  <w:sz w:val="24"/>
                  <w:szCs w:val="24"/>
                  <w:lang w:val="en-US" w:bidi="ar-SA"/>
                </w:rPr>
              </m:ctrlPr>
            </m:fPr>
            <m:num>
              <m:sSub>
                <m:sSubPr>
                  <m:ctrlPr>
                    <w:rPr>
                      <w:rFonts w:hint="default"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m</m:t>
                  </m:r>
                  <m:ctrlPr>
                    <w:rPr>
                      <w:rFonts w:hint="default"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M</m:t>
                  </m:r>
                  <m:ctrlPr>
                    <w:rPr>
                      <w:rFonts w:hint="default" w:ascii="Cambria Math" w:hAnsi="Cambria Math" w:cs="Times New Roman"/>
                      <w:b w:val="0"/>
                      <w:bCs w:val="0"/>
                      <w:i/>
                      <w:spacing w:val="0"/>
                      <w:kern w:val="2"/>
                      <w:position w:val="0"/>
                      <w:sz w:val="24"/>
                      <w:szCs w:val="24"/>
                      <w:lang w:val="en-US" w:eastAsia="zh-CN" w:bidi="ar-SA"/>
                    </w:rPr>
                  </m:ctrlPr>
                </m:sub>
              </m:sSub>
              <m:r>
                <m:rPr/>
                <w:rPr>
                  <w:rFonts w:hint="default" w:ascii="Cambria Math" w:hAnsi="Cambria Math" w:cs="Times New Roman"/>
                  <w:spacing w:val="0"/>
                  <w:kern w:val="2"/>
                  <w:position w:val="0"/>
                  <w:sz w:val="24"/>
                  <w:szCs w:val="24"/>
                  <w:lang w:val="en-US" w:eastAsia="zh-CN" w:bidi="ar-SA"/>
                </w:rPr>
                <m:t>/M</m:t>
              </m:r>
              <m:ctrlPr>
                <w:rPr>
                  <w:rFonts w:ascii="Cambria Math" w:hAnsi="Cambria Math" w:cs="Times New Roman"/>
                  <w:b w:val="0"/>
                  <w:bCs w:val="0"/>
                  <w:i/>
                  <w:spacing w:val="0"/>
                  <w:kern w:val="2"/>
                  <w:position w:val="0"/>
                  <w:sz w:val="24"/>
                  <w:szCs w:val="24"/>
                  <w:lang w:val="en-US" w:bidi="ar-SA"/>
                </w:rPr>
              </m:ctrlPr>
            </m:num>
            <m:den>
              <m:r>
                <m:rPr/>
                <w:rPr>
                  <w:rFonts w:hint="default" w:ascii="Cambria Math" w:hAnsi="Cambria Math" w:cs="Times New Roman"/>
                  <w:spacing w:val="0"/>
                  <w:kern w:val="2"/>
                  <w:position w:val="0"/>
                  <w:sz w:val="24"/>
                  <w:szCs w:val="24"/>
                  <w:lang w:val="en-US" w:eastAsia="zh-CN" w:bidi="ar-SA"/>
                </w:rPr>
                <m:t>4πnt</m:t>
              </m:r>
              <m:rad>
                <m:radPr>
                  <m:degHide m:val="1"/>
                  <m:ctrlPr>
                    <w:rPr>
                      <w:rFonts w:hint="default" w:ascii="Cambria Math" w:hAnsi="Cambria Math" w:cs="Times New Roman"/>
                      <w:b w:val="0"/>
                      <w:bCs w:val="0"/>
                      <w:i/>
                      <w:spacing w:val="0"/>
                      <w:kern w:val="2"/>
                      <w:position w:val="0"/>
                      <w:sz w:val="24"/>
                      <w:szCs w:val="24"/>
                      <w:lang w:val="en-US" w:eastAsia="zh-CN" w:bidi="ar-SA"/>
                    </w:rPr>
                  </m:ctrlPr>
                </m:radPr>
                <m:deg>
                  <m:ctrlPr>
                    <w:rPr>
                      <w:rFonts w:hint="default" w:ascii="Cambria Math" w:hAnsi="Cambria Math" w:cs="Times New Roman"/>
                      <w:b w:val="0"/>
                      <w:bCs w:val="0"/>
                      <w:i/>
                      <w:spacing w:val="0"/>
                      <w:kern w:val="2"/>
                      <w:position w:val="0"/>
                      <w:sz w:val="24"/>
                      <w:szCs w:val="24"/>
                      <w:lang w:val="en-US" w:eastAsia="zh-CN" w:bidi="ar-SA"/>
                    </w:rPr>
                  </m:ctrlPr>
                </m:deg>
                <m:e>
                  <m:sSub>
                    <m:sSubPr>
                      <m:ctrlPr>
                        <w:rPr>
                          <w:rFonts w:hint="default"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D</m:t>
                      </m:r>
                      <m:ctrlPr>
                        <w:rPr>
                          <w:rFonts w:hint="default"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L</m:t>
                      </m:r>
                      <m:ctrlPr>
                        <w:rPr>
                          <w:rFonts w:hint="default" w:ascii="Cambria Math" w:hAnsi="Cambria Math" w:cs="Times New Roman"/>
                          <w:b w:val="0"/>
                          <w:bCs w:val="0"/>
                          <w:i/>
                          <w:spacing w:val="0"/>
                          <w:kern w:val="2"/>
                          <w:position w:val="0"/>
                          <w:sz w:val="24"/>
                          <w:szCs w:val="24"/>
                          <w:lang w:val="en-US" w:eastAsia="zh-CN" w:bidi="ar-SA"/>
                        </w:rPr>
                      </m:ctrlPr>
                    </m:sub>
                  </m:sSub>
                  <m:sSub>
                    <m:sSubPr>
                      <m:ctrlPr>
                        <w:rPr>
                          <w:rFonts w:hint="default"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D</m:t>
                      </m:r>
                      <m:ctrlPr>
                        <w:rPr>
                          <w:rFonts w:hint="default"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T</m:t>
                      </m:r>
                      <m:ctrlPr>
                        <w:rPr>
                          <w:rFonts w:hint="default" w:ascii="Cambria Math" w:hAnsi="Cambria Math" w:cs="Times New Roman"/>
                          <w:b w:val="0"/>
                          <w:bCs w:val="0"/>
                          <w:i/>
                          <w:spacing w:val="0"/>
                          <w:kern w:val="2"/>
                          <w:position w:val="0"/>
                          <w:sz w:val="24"/>
                          <w:szCs w:val="24"/>
                          <w:lang w:val="en-US" w:eastAsia="zh-CN" w:bidi="ar-SA"/>
                        </w:rPr>
                      </m:ctrlPr>
                    </m:sub>
                  </m:sSub>
                  <m:ctrlPr>
                    <w:rPr>
                      <w:rFonts w:hint="default" w:ascii="Cambria Math" w:hAnsi="Cambria Math" w:cs="Times New Roman"/>
                      <w:b w:val="0"/>
                      <w:bCs w:val="0"/>
                      <w:i/>
                      <w:spacing w:val="0"/>
                      <w:kern w:val="2"/>
                      <w:position w:val="0"/>
                      <w:sz w:val="24"/>
                      <w:szCs w:val="24"/>
                      <w:lang w:val="en-US" w:eastAsia="zh-CN" w:bidi="ar-SA"/>
                    </w:rPr>
                  </m:ctrlPr>
                </m:e>
              </m:rad>
              <m:ctrlPr>
                <w:rPr>
                  <w:rFonts w:ascii="Cambria Math" w:hAnsi="Cambria Math" w:cs="Times New Roman"/>
                  <w:b w:val="0"/>
                  <w:bCs w:val="0"/>
                  <w:i/>
                  <w:spacing w:val="0"/>
                  <w:kern w:val="2"/>
                  <w:position w:val="0"/>
                  <w:sz w:val="24"/>
                  <w:szCs w:val="24"/>
                  <w:lang w:val="en-US" w:bidi="ar-SA"/>
                </w:rPr>
              </m:ctrlPr>
            </m:den>
          </m:f>
          <m:sSup>
            <m:sSupPr>
              <m:ctrlPr>
                <w:rPr>
                  <w:rFonts w:ascii="Cambria Math" w:hAnsi="Cambria Math" w:cs="Times New Roman"/>
                  <w:b w:val="0"/>
                  <w:bCs w:val="0"/>
                  <w:i/>
                  <w:spacing w:val="0"/>
                  <w:kern w:val="2"/>
                  <w:position w:val="0"/>
                  <w:sz w:val="24"/>
                  <w:szCs w:val="24"/>
                  <w:lang w:val="en-US" w:bidi="ar-SA"/>
                </w:rPr>
              </m:ctrlPr>
            </m:sSupPr>
            <m:e>
              <m:r>
                <m:rPr/>
                <w:rPr>
                  <w:rFonts w:hint="default" w:ascii="Cambria Math" w:hAnsi="Cambria Math" w:cs="Times New Roman"/>
                  <w:spacing w:val="0"/>
                  <w:kern w:val="2"/>
                  <w:position w:val="0"/>
                  <w:sz w:val="24"/>
                  <w:szCs w:val="24"/>
                  <w:lang w:val="en-US" w:eastAsia="zh-CN" w:bidi="ar-SA"/>
                </w:rPr>
                <m:t>e</m:t>
              </m:r>
              <m:ctrlPr>
                <w:rPr>
                  <w:rFonts w:ascii="Cambria Math" w:hAnsi="Cambria Math" w:cs="Times New Roman"/>
                  <w:b w:val="0"/>
                  <w:bCs w:val="0"/>
                  <w:i/>
                  <w:spacing w:val="0"/>
                  <w:kern w:val="2"/>
                  <w:position w:val="0"/>
                  <w:sz w:val="24"/>
                  <w:szCs w:val="24"/>
                  <w:lang w:val="en-US" w:bidi="ar-SA"/>
                </w:rPr>
              </m:ctrlPr>
            </m:e>
            <m:sup>
              <m:r>
                <m:rPr/>
                <w:rPr>
                  <w:rFonts w:hint="default" w:ascii="Cambria Math" w:hAnsi="Cambria Math" w:cs="Times New Roman"/>
                  <w:spacing w:val="0"/>
                  <w:kern w:val="2"/>
                  <w:position w:val="0"/>
                  <w:sz w:val="24"/>
                  <w:szCs w:val="24"/>
                  <w:lang w:val="en-US" w:eastAsia="zh-CN" w:bidi="ar-SA"/>
                </w:rPr>
                <m:t>−</m:t>
              </m:r>
              <m:d>
                <m:dPr>
                  <m:begChr m:val="["/>
                  <m:endChr m:val="]"/>
                  <m:ctrlPr>
                    <w:rPr>
                      <w:rFonts w:hint="default" w:ascii="Cambria Math" w:hAnsi="Cambria Math" w:cs="Times New Roman"/>
                      <w:b w:val="0"/>
                      <w:bCs w:val="0"/>
                      <w:i/>
                      <w:spacing w:val="0"/>
                      <w:kern w:val="2"/>
                      <w:position w:val="0"/>
                      <w:sz w:val="24"/>
                      <w:szCs w:val="24"/>
                      <w:lang w:val="en-US" w:eastAsia="zh-CN" w:bidi="ar-SA"/>
                    </w:rPr>
                  </m:ctrlPr>
                </m:dPr>
                <m:e>
                  <m:f>
                    <m:fPr>
                      <m:ctrlPr>
                        <w:rPr>
                          <w:rFonts w:hint="default" w:ascii="Cambria Math" w:hAnsi="Cambria Math" w:cs="Times New Roman"/>
                          <w:b w:val="0"/>
                          <w:bCs w:val="0"/>
                          <w:i/>
                          <w:spacing w:val="0"/>
                          <w:kern w:val="2"/>
                          <w:position w:val="0"/>
                          <w:sz w:val="24"/>
                          <w:szCs w:val="24"/>
                          <w:lang w:val="en-US" w:eastAsia="zh-CN" w:bidi="ar-SA"/>
                        </w:rPr>
                      </m:ctrlPr>
                    </m:fPr>
                    <m:num>
                      <m:sSup>
                        <m:sSupPr>
                          <m:ctrlPr>
                            <w:rPr>
                              <w:rFonts w:hint="default" w:ascii="Cambria Math" w:hAnsi="Cambria Math" w:cs="Times New Roman"/>
                              <w:b w:val="0"/>
                              <w:bCs w:val="0"/>
                              <w:i/>
                              <w:spacing w:val="0"/>
                              <w:kern w:val="2"/>
                              <w:position w:val="0"/>
                              <w:sz w:val="24"/>
                              <w:szCs w:val="24"/>
                              <w:lang w:val="en-US" w:eastAsia="zh-CN" w:bidi="ar-SA"/>
                            </w:rPr>
                          </m:ctrlPr>
                        </m:sSupPr>
                        <m:e>
                          <m:r>
                            <m:rPr/>
                            <w:rPr>
                              <w:rFonts w:hint="default" w:ascii="Cambria Math" w:hAnsi="Cambria Math" w:cs="Times New Roman"/>
                              <w:spacing w:val="0"/>
                              <w:kern w:val="2"/>
                              <w:position w:val="0"/>
                              <w:sz w:val="24"/>
                              <w:szCs w:val="24"/>
                              <w:lang w:val="en-US" w:eastAsia="zh-CN" w:bidi="ar-SA"/>
                            </w:rPr>
                            <m:t>(X−ut)</m:t>
                          </m:r>
                          <m:ctrlPr>
                            <w:rPr>
                              <w:rFonts w:hint="default" w:ascii="Cambria Math" w:hAnsi="Cambria Math" w:cs="Times New Roman"/>
                              <w:b w:val="0"/>
                              <w:bCs w:val="0"/>
                              <w:i/>
                              <w:spacing w:val="0"/>
                              <w:kern w:val="2"/>
                              <w:position w:val="0"/>
                              <w:sz w:val="24"/>
                              <w:szCs w:val="24"/>
                              <w:lang w:val="en-US" w:eastAsia="zh-CN" w:bidi="ar-SA"/>
                            </w:rPr>
                          </m:ctrlPr>
                        </m:e>
                        <m:sup>
                          <m:r>
                            <m:rPr/>
                            <w:rPr>
                              <w:rFonts w:hint="default" w:ascii="Cambria Math" w:hAnsi="Cambria Math" w:cs="Times New Roman"/>
                              <w:spacing w:val="0"/>
                              <w:kern w:val="2"/>
                              <w:position w:val="0"/>
                              <w:sz w:val="24"/>
                              <w:szCs w:val="24"/>
                              <w:lang w:val="en-US" w:eastAsia="zh-CN" w:bidi="ar-SA"/>
                            </w:rPr>
                            <m:t>2</m:t>
                          </m:r>
                          <m:ctrlPr>
                            <w:rPr>
                              <w:rFonts w:hint="default" w:ascii="Cambria Math" w:hAnsi="Cambria Math" w:cs="Times New Roman"/>
                              <w:b w:val="0"/>
                              <w:bCs w:val="0"/>
                              <w:i/>
                              <w:spacing w:val="0"/>
                              <w:kern w:val="2"/>
                              <w:position w:val="0"/>
                              <w:sz w:val="24"/>
                              <w:szCs w:val="24"/>
                              <w:lang w:val="en-US" w:eastAsia="zh-CN" w:bidi="ar-SA"/>
                            </w:rPr>
                          </m:ctrlPr>
                        </m:sup>
                      </m:sSup>
                      <m:ctrlPr>
                        <w:rPr>
                          <w:rFonts w:hint="default" w:ascii="Cambria Math" w:hAnsi="Cambria Math" w:cs="Times New Roman"/>
                          <w:b w:val="0"/>
                          <w:bCs w:val="0"/>
                          <w:i/>
                          <w:spacing w:val="0"/>
                          <w:kern w:val="2"/>
                          <w:position w:val="0"/>
                          <w:sz w:val="24"/>
                          <w:szCs w:val="24"/>
                          <w:lang w:val="en-US" w:eastAsia="zh-CN" w:bidi="ar-SA"/>
                        </w:rPr>
                      </m:ctrlPr>
                    </m:num>
                    <m:den>
                      <m:r>
                        <m:rPr/>
                        <w:rPr>
                          <w:rFonts w:hint="default" w:ascii="Cambria Math" w:hAnsi="Cambria Math" w:cs="Times New Roman"/>
                          <w:spacing w:val="0"/>
                          <w:kern w:val="2"/>
                          <w:position w:val="0"/>
                          <w:sz w:val="24"/>
                          <w:szCs w:val="24"/>
                          <w:lang w:val="en-US" w:eastAsia="zh-CN" w:bidi="ar-SA"/>
                        </w:rPr>
                        <m:t>4</m:t>
                      </m:r>
                      <m:sSub>
                        <m:sSubPr>
                          <m:ctrlPr>
                            <w:rPr>
                              <w:rFonts w:hint="default"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D</m:t>
                          </m:r>
                          <m:ctrlPr>
                            <w:rPr>
                              <w:rFonts w:hint="default"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L</m:t>
                          </m:r>
                          <m:ctrlPr>
                            <w:rPr>
                              <w:rFonts w:hint="default" w:ascii="Cambria Math" w:hAnsi="Cambria Math" w:cs="Times New Roman"/>
                              <w:b w:val="0"/>
                              <w:bCs w:val="0"/>
                              <w:i/>
                              <w:spacing w:val="0"/>
                              <w:kern w:val="2"/>
                              <w:position w:val="0"/>
                              <w:sz w:val="24"/>
                              <w:szCs w:val="24"/>
                              <w:lang w:val="en-US" w:eastAsia="zh-CN" w:bidi="ar-SA"/>
                            </w:rPr>
                          </m:ctrlPr>
                        </m:sub>
                      </m:sSub>
                      <m:r>
                        <m:rPr/>
                        <w:rPr>
                          <w:rFonts w:hint="default" w:ascii="Cambria Math" w:hAnsi="Cambria Math" w:cs="Times New Roman"/>
                          <w:spacing w:val="0"/>
                          <w:kern w:val="2"/>
                          <w:position w:val="0"/>
                          <w:sz w:val="24"/>
                          <w:szCs w:val="24"/>
                          <w:lang w:val="en-US" w:eastAsia="zh-CN" w:bidi="ar-SA"/>
                        </w:rPr>
                        <m:t>t</m:t>
                      </m:r>
                      <m:ctrlPr>
                        <w:rPr>
                          <w:rFonts w:hint="default" w:ascii="Cambria Math" w:hAnsi="Cambria Math" w:cs="Times New Roman"/>
                          <w:b w:val="0"/>
                          <w:bCs w:val="0"/>
                          <w:i/>
                          <w:spacing w:val="0"/>
                          <w:kern w:val="2"/>
                          <w:position w:val="0"/>
                          <w:sz w:val="24"/>
                          <w:szCs w:val="24"/>
                          <w:lang w:val="en-US" w:eastAsia="zh-CN" w:bidi="ar-SA"/>
                        </w:rPr>
                      </m:ctrlPr>
                    </m:den>
                  </m:f>
                  <m:r>
                    <m:rPr/>
                    <w:rPr>
                      <w:rFonts w:hint="default" w:ascii="Cambria Math" w:hAnsi="Cambria Math" w:cs="Times New Roman"/>
                      <w:spacing w:val="0"/>
                      <w:kern w:val="2"/>
                      <w:position w:val="0"/>
                      <w:sz w:val="24"/>
                      <w:szCs w:val="24"/>
                      <w:lang w:val="en-US" w:eastAsia="zh-CN" w:bidi="ar-SA"/>
                    </w:rPr>
                    <m:t>+</m:t>
                  </m:r>
                  <m:f>
                    <m:fPr>
                      <m:ctrlPr>
                        <w:rPr>
                          <w:rFonts w:hint="default" w:ascii="Cambria Math" w:hAnsi="Cambria Math" w:cs="Times New Roman"/>
                          <w:b w:val="0"/>
                          <w:bCs w:val="0"/>
                          <w:i/>
                          <w:spacing w:val="0"/>
                          <w:kern w:val="2"/>
                          <w:position w:val="0"/>
                          <w:sz w:val="24"/>
                          <w:szCs w:val="24"/>
                          <w:lang w:val="en-US" w:eastAsia="zh-CN" w:bidi="ar-SA"/>
                        </w:rPr>
                      </m:ctrlPr>
                    </m:fPr>
                    <m:num>
                      <m:sSup>
                        <m:sSupPr>
                          <m:ctrlPr>
                            <w:rPr>
                              <w:rFonts w:hint="default" w:ascii="Cambria Math" w:hAnsi="Cambria Math" w:cs="Times New Roman"/>
                              <w:b w:val="0"/>
                              <w:bCs w:val="0"/>
                              <w:i/>
                              <w:spacing w:val="0"/>
                              <w:kern w:val="2"/>
                              <w:position w:val="0"/>
                              <w:sz w:val="24"/>
                              <w:szCs w:val="24"/>
                              <w:lang w:val="en-US" w:eastAsia="zh-CN" w:bidi="ar-SA"/>
                            </w:rPr>
                          </m:ctrlPr>
                        </m:sSupPr>
                        <m:e>
                          <m:r>
                            <m:rPr/>
                            <w:rPr>
                              <w:rFonts w:hint="default" w:ascii="Cambria Math" w:hAnsi="Cambria Math" w:cs="Times New Roman"/>
                              <w:spacing w:val="0"/>
                              <w:kern w:val="2"/>
                              <w:position w:val="0"/>
                              <w:sz w:val="24"/>
                              <w:szCs w:val="24"/>
                              <w:lang w:val="en-US" w:eastAsia="zh-CN" w:bidi="ar-SA"/>
                            </w:rPr>
                            <m:t>y</m:t>
                          </m:r>
                          <m:ctrlPr>
                            <w:rPr>
                              <w:rFonts w:hint="default" w:ascii="Cambria Math" w:hAnsi="Cambria Math" w:cs="Times New Roman"/>
                              <w:b w:val="0"/>
                              <w:bCs w:val="0"/>
                              <w:i/>
                              <w:spacing w:val="0"/>
                              <w:kern w:val="2"/>
                              <w:position w:val="0"/>
                              <w:sz w:val="24"/>
                              <w:szCs w:val="24"/>
                              <w:lang w:val="en-US" w:eastAsia="zh-CN" w:bidi="ar-SA"/>
                            </w:rPr>
                          </m:ctrlPr>
                        </m:e>
                        <m:sup>
                          <m:r>
                            <m:rPr/>
                            <w:rPr>
                              <w:rFonts w:hint="default" w:ascii="Cambria Math" w:hAnsi="Cambria Math" w:cs="Times New Roman"/>
                              <w:spacing w:val="0"/>
                              <w:kern w:val="2"/>
                              <w:position w:val="0"/>
                              <w:sz w:val="24"/>
                              <w:szCs w:val="24"/>
                              <w:lang w:val="en-US" w:eastAsia="zh-CN" w:bidi="ar-SA"/>
                            </w:rPr>
                            <m:t>2</m:t>
                          </m:r>
                          <m:ctrlPr>
                            <w:rPr>
                              <w:rFonts w:hint="default" w:ascii="Cambria Math" w:hAnsi="Cambria Math" w:cs="Times New Roman"/>
                              <w:b w:val="0"/>
                              <w:bCs w:val="0"/>
                              <w:i/>
                              <w:spacing w:val="0"/>
                              <w:kern w:val="2"/>
                              <w:position w:val="0"/>
                              <w:sz w:val="24"/>
                              <w:szCs w:val="24"/>
                              <w:lang w:val="en-US" w:eastAsia="zh-CN" w:bidi="ar-SA"/>
                            </w:rPr>
                          </m:ctrlPr>
                        </m:sup>
                      </m:sSup>
                      <m:ctrlPr>
                        <w:rPr>
                          <w:rFonts w:hint="default" w:ascii="Cambria Math" w:hAnsi="Cambria Math" w:cs="Times New Roman"/>
                          <w:b w:val="0"/>
                          <w:bCs w:val="0"/>
                          <w:i/>
                          <w:spacing w:val="0"/>
                          <w:kern w:val="2"/>
                          <w:position w:val="0"/>
                          <w:sz w:val="24"/>
                          <w:szCs w:val="24"/>
                          <w:lang w:val="en-US" w:eastAsia="zh-CN" w:bidi="ar-SA"/>
                        </w:rPr>
                      </m:ctrlPr>
                    </m:num>
                    <m:den>
                      <m:r>
                        <m:rPr/>
                        <w:rPr>
                          <w:rFonts w:hint="default" w:ascii="Cambria Math" w:hAnsi="Cambria Math" w:cs="Times New Roman"/>
                          <w:spacing w:val="0"/>
                          <w:kern w:val="2"/>
                          <w:position w:val="0"/>
                          <w:sz w:val="24"/>
                          <w:szCs w:val="24"/>
                          <w:lang w:val="en-US" w:eastAsia="zh-CN" w:bidi="ar-SA"/>
                        </w:rPr>
                        <m:t>4</m:t>
                      </m:r>
                      <m:sSub>
                        <m:sSubPr>
                          <m:ctrlPr>
                            <w:rPr>
                              <w:rFonts w:hint="default"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D</m:t>
                          </m:r>
                          <m:ctrlPr>
                            <w:rPr>
                              <w:rFonts w:hint="default"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L</m:t>
                          </m:r>
                          <m:ctrlPr>
                            <w:rPr>
                              <w:rFonts w:hint="default" w:ascii="Cambria Math" w:hAnsi="Cambria Math" w:cs="Times New Roman"/>
                              <w:b w:val="0"/>
                              <w:bCs w:val="0"/>
                              <w:i/>
                              <w:spacing w:val="0"/>
                              <w:kern w:val="2"/>
                              <w:position w:val="0"/>
                              <w:sz w:val="24"/>
                              <w:szCs w:val="24"/>
                              <w:lang w:val="en-US" w:eastAsia="zh-CN" w:bidi="ar-SA"/>
                            </w:rPr>
                          </m:ctrlPr>
                        </m:sub>
                      </m:sSub>
                      <m:r>
                        <m:rPr/>
                        <w:rPr>
                          <w:rFonts w:hint="default" w:ascii="Cambria Math" w:hAnsi="Cambria Math" w:cs="Times New Roman"/>
                          <w:spacing w:val="0"/>
                          <w:kern w:val="2"/>
                          <w:position w:val="0"/>
                          <w:sz w:val="24"/>
                          <w:szCs w:val="24"/>
                          <w:lang w:val="en-US" w:eastAsia="zh-CN" w:bidi="ar-SA"/>
                        </w:rPr>
                        <m:t>t</m:t>
                      </m:r>
                      <m:ctrlPr>
                        <w:rPr>
                          <w:rFonts w:hint="default" w:ascii="Cambria Math" w:hAnsi="Cambria Math" w:cs="Times New Roman"/>
                          <w:b w:val="0"/>
                          <w:bCs w:val="0"/>
                          <w:i/>
                          <w:spacing w:val="0"/>
                          <w:kern w:val="2"/>
                          <w:position w:val="0"/>
                          <w:sz w:val="24"/>
                          <w:szCs w:val="24"/>
                          <w:lang w:val="en-US" w:eastAsia="zh-CN" w:bidi="ar-SA"/>
                        </w:rPr>
                      </m:ctrlPr>
                    </m:den>
                  </m:f>
                  <m:ctrlPr>
                    <w:rPr>
                      <w:rFonts w:hint="default" w:ascii="Cambria Math" w:hAnsi="Cambria Math" w:cs="Times New Roman"/>
                      <w:b w:val="0"/>
                      <w:bCs w:val="0"/>
                      <w:i/>
                      <w:spacing w:val="0"/>
                      <w:kern w:val="2"/>
                      <w:position w:val="0"/>
                      <w:sz w:val="24"/>
                      <w:szCs w:val="24"/>
                      <w:lang w:val="en-US" w:eastAsia="zh-CN" w:bidi="ar-SA"/>
                    </w:rPr>
                  </m:ctrlPr>
                </m:e>
              </m:d>
              <m:ctrlPr>
                <w:rPr>
                  <w:rFonts w:ascii="Cambria Math" w:hAnsi="Cambria Math" w:cs="Times New Roman"/>
                  <w:b w:val="0"/>
                  <w:bCs w:val="0"/>
                  <w:i/>
                  <w:spacing w:val="0"/>
                  <w:kern w:val="2"/>
                  <w:position w:val="0"/>
                  <w:sz w:val="24"/>
                  <w:szCs w:val="24"/>
                  <w:lang w:val="en-US" w:bidi="ar-SA"/>
                </w:rPr>
              </m:ctrlPr>
            </m:sup>
          </m:sSup>
        </m:oMath>
      </m:oMathPara>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m:oMathPara>
        <m:oMath>
          <m:r>
            <m:rPr/>
            <w:rPr>
              <w:rFonts w:hint="default" w:ascii="Cambria Math" w:hAnsi="Cambria Math" w:cs="Times New Roman"/>
              <w:spacing w:val="0"/>
              <w:kern w:val="2"/>
              <w:position w:val="0"/>
              <w:sz w:val="24"/>
              <w:szCs w:val="24"/>
              <w:lang w:val="en-US" w:eastAsia="zh-CN" w:bidi="ar-SA"/>
            </w:rPr>
            <m:t>u</m:t>
          </m:r>
          <m:r>
            <m:rPr/>
            <w:rPr>
              <w:rFonts w:ascii="Cambria Math" w:hAnsi="Cambria Math" w:cs="Times New Roman"/>
              <w:spacing w:val="0"/>
              <w:kern w:val="2"/>
              <w:position w:val="0"/>
              <w:sz w:val="24"/>
              <w:szCs w:val="24"/>
              <w:lang w:val="en-US" w:bidi="ar-SA"/>
            </w:rPr>
            <m:t>=</m:t>
          </m:r>
          <m:f>
            <m:fPr>
              <m:ctrlPr>
                <w:rPr>
                  <w:rFonts w:ascii="Cambria Math" w:hAnsi="Cambria Math" w:cs="Times New Roman"/>
                  <w:b w:val="0"/>
                  <w:bCs w:val="0"/>
                  <w:i/>
                  <w:spacing w:val="0"/>
                  <w:kern w:val="2"/>
                  <w:position w:val="0"/>
                  <w:sz w:val="24"/>
                  <w:szCs w:val="24"/>
                  <w:lang w:val="en-US" w:bidi="ar-SA"/>
                </w:rPr>
              </m:ctrlPr>
            </m:fPr>
            <m:num>
              <m:r>
                <m:rPr/>
                <w:rPr>
                  <w:rFonts w:hint="default" w:ascii="Cambria Math" w:hAnsi="Cambria Math" w:cs="Times New Roman"/>
                  <w:spacing w:val="0"/>
                  <w:kern w:val="2"/>
                  <w:position w:val="0"/>
                  <w:sz w:val="24"/>
                  <w:szCs w:val="24"/>
                  <w:lang w:val="en-US" w:eastAsia="zh-CN" w:bidi="ar-SA"/>
                </w:rPr>
                <m:t>KI</m:t>
              </m:r>
              <m:ctrlPr>
                <w:rPr>
                  <w:rFonts w:ascii="Cambria Math" w:hAnsi="Cambria Math" w:cs="Times New Roman"/>
                  <w:b w:val="0"/>
                  <w:bCs w:val="0"/>
                  <w:i/>
                  <w:spacing w:val="0"/>
                  <w:kern w:val="2"/>
                  <w:position w:val="0"/>
                  <w:sz w:val="24"/>
                  <w:szCs w:val="24"/>
                  <w:lang w:val="en-US" w:bidi="ar-SA"/>
                </w:rPr>
              </m:ctrlPr>
            </m:num>
            <m:den>
              <m:r>
                <m:rPr/>
                <w:rPr>
                  <w:rFonts w:hint="default" w:ascii="Cambria Math" w:hAnsi="Cambria Math" w:cs="Times New Roman"/>
                  <w:spacing w:val="0"/>
                  <w:kern w:val="2"/>
                  <w:position w:val="0"/>
                  <w:sz w:val="24"/>
                  <w:szCs w:val="24"/>
                  <w:lang w:val="en-US" w:eastAsia="zh-CN" w:bidi="ar-SA"/>
                </w:rPr>
                <m:t>n</m:t>
              </m:r>
              <m:ctrlPr>
                <w:rPr>
                  <w:rFonts w:ascii="Cambria Math" w:hAnsi="Cambria Math" w:cs="Times New Roman"/>
                  <w:b w:val="0"/>
                  <w:bCs w:val="0"/>
                  <w:i/>
                  <w:spacing w:val="0"/>
                  <w:kern w:val="2"/>
                  <w:position w:val="0"/>
                  <w:sz w:val="24"/>
                  <w:szCs w:val="24"/>
                  <w:lang w:val="en-US" w:bidi="ar-SA"/>
                </w:rPr>
              </m:ctrlPr>
            </m:den>
          </m:f>
        </m:oMath>
      </m:oMathPara>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式中：x，y—计算点处的位置坐标；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t—时间，d。本次预测时间设定为污染发生后100d、1000d、3650d；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C（x，y，t）—t时刻点x，y处的示踪剂浓度，g/L；</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M—含水层厚度，m。参考《福建申远新材料有限公司环己烷脱氢中试项目环境影响报告书》，项目所在地含水层厚度取6m；</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m—瞬时注入示踪剂的质量，kg。根据情景模拟计算，高浓度废水调节池中的COD单次渗漏量为300.61kg，氨氮单次渗漏量为2.56kg，锑单次泄漏量为0.023kg；</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n</w:t>
      </w:r>
      <w:r>
        <w:rPr>
          <w:rFonts w:hint="eastAsia" w:cs="Times New Roman"/>
          <w:b w:val="0"/>
          <w:bCs w:val="0"/>
          <w:spacing w:val="0"/>
          <w:kern w:val="2"/>
          <w:position w:val="0"/>
          <w:sz w:val="24"/>
          <w:szCs w:val="24"/>
          <w:vertAlign w:val="subscript"/>
          <w:lang w:val="en-US" w:eastAsia="zh-CN" w:bidi="ar-SA"/>
        </w:rPr>
        <w:t>e</w:t>
      </w:r>
      <w:r>
        <w:rPr>
          <w:rFonts w:hint="eastAsia" w:cs="Times New Roman"/>
          <w:b w:val="0"/>
          <w:bCs w:val="0"/>
          <w:spacing w:val="0"/>
          <w:kern w:val="2"/>
          <w:position w:val="0"/>
          <w:sz w:val="24"/>
          <w:szCs w:val="24"/>
          <w:lang w:val="en-US" w:eastAsia="zh-CN" w:bidi="ar-SA"/>
        </w:rPr>
        <w:t>—有效孔隙度，无量纲，项目区域潜水含水层岩性主要为淤泥质土及粉质粘土层，有效孔隙度取0.3；</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ascii="Times New Roman" w:hAnsi="Times New Roman" w:cs="Times New Roman"/>
          <w:b w:val="0"/>
          <w:bCs w:val="0"/>
          <w:spacing w:val="0"/>
          <w:kern w:val="2"/>
          <w:position w:val="0"/>
          <w:sz w:val="24"/>
          <w:szCs w:val="24"/>
          <w:lang w:val="en-US" w:eastAsia="zh-CN" w:bidi="ar-SA"/>
        </w:rPr>
        <w:t>u</w:t>
      </w:r>
      <w:r>
        <w:rPr>
          <w:rFonts w:hint="eastAsia" w:cs="Times New Roman"/>
          <w:b w:val="0"/>
          <w:bCs w:val="0"/>
          <w:spacing w:val="0"/>
          <w:kern w:val="2"/>
          <w:position w:val="0"/>
          <w:sz w:val="24"/>
          <w:szCs w:val="24"/>
          <w:lang w:val="en-US" w:eastAsia="zh-CN" w:bidi="ar-SA"/>
        </w:rPr>
        <w:t>—水流速度，m/d。通过计算</w:t>
      </w:r>
      <w:r>
        <w:rPr>
          <w:rFonts w:hint="eastAsia" w:ascii="Times New Roman" w:hAnsi="Times New Roman" w:cs="Times New Roman"/>
          <w:b w:val="0"/>
          <w:bCs w:val="0"/>
          <w:i/>
          <w:iCs/>
          <w:spacing w:val="0"/>
          <w:kern w:val="2"/>
          <w:position w:val="0"/>
          <w:sz w:val="24"/>
          <w:szCs w:val="24"/>
          <w:lang w:val="en-US" w:eastAsia="zh-CN" w:bidi="ar-SA"/>
        </w:rPr>
        <w:t>u</w:t>
      </w:r>
      <w:r>
        <w:rPr>
          <w:rFonts w:hint="default" w:ascii="Times New Roman" w:hAnsi="Times New Roman" w:cs="Times New Roman"/>
          <w:b w:val="0"/>
          <w:bCs w:val="0"/>
          <w:spacing w:val="0"/>
          <w:kern w:val="2"/>
          <w:position w:val="0"/>
          <w:sz w:val="24"/>
          <w:szCs w:val="24"/>
          <w:lang w:val="en-US" w:eastAsia="zh-CN" w:bidi="ar-SA"/>
        </w:rPr>
        <w:t>=KI/n</w:t>
      </w:r>
      <w:r>
        <w:rPr>
          <w:rFonts w:hint="eastAsia" w:cs="Times New Roman"/>
          <w:b w:val="0"/>
          <w:bCs w:val="0"/>
          <w:spacing w:val="0"/>
          <w:kern w:val="2"/>
          <w:position w:val="0"/>
          <w:sz w:val="24"/>
          <w:szCs w:val="24"/>
          <w:lang w:val="en-US" w:eastAsia="zh-CN" w:bidi="ar-SA"/>
        </w:rPr>
        <w:t>=20×0.005/0.3=0.33m/d；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D</w:t>
      </w:r>
      <w:r>
        <w:rPr>
          <w:rFonts w:hint="eastAsia" w:cs="Times New Roman"/>
          <w:b w:val="0"/>
          <w:bCs w:val="0"/>
          <w:spacing w:val="0"/>
          <w:kern w:val="2"/>
          <w:position w:val="0"/>
          <w:sz w:val="24"/>
          <w:szCs w:val="24"/>
          <w:vertAlign w:val="subscript"/>
          <w:lang w:val="en-US" w:eastAsia="zh-CN" w:bidi="ar-SA"/>
        </w:rPr>
        <w:t>L</w:t>
      </w:r>
      <w:r>
        <w:rPr>
          <w:rFonts w:hint="eastAsia" w:cs="Times New Roman"/>
          <w:b w:val="0"/>
          <w:bCs w:val="0"/>
          <w:spacing w:val="0"/>
          <w:kern w:val="2"/>
          <w:position w:val="0"/>
          <w:sz w:val="24"/>
          <w:szCs w:val="24"/>
          <w:lang w:val="en-US" w:eastAsia="zh-CN" w:bidi="ar-SA"/>
        </w:rPr>
        <w:t>、D</w:t>
      </w:r>
      <w:r>
        <w:rPr>
          <w:rFonts w:hint="eastAsia" w:cs="Times New Roman"/>
          <w:b w:val="0"/>
          <w:bCs w:val="0"/>
          <w:spacing w:val="0"/>
          <w:kern w:val="2"/>
          <w:position w:val="0"/>
          <w:sz w:val="24"/>
          <w:szCs w:val="24"/>
          <w:vertAlign w:val="subscript"/>
          <w:lang w:val="en-US" w:eastAsia="zh-CN" w:bidi="ar-SA"/>
        </w:rPr>
        <w:t>T</w:t>
      </w:r>
      <w:r>
        <w:rPr>
          <w:rFonts w:hint="eastAsia" w:cs="Times New Roman"/>
          <w:b w:val="0"/>
          <w:bCs w:val="0"/>
          <w:spacing w:val="0"/>
          <w:kern w:val="2"/>
          <w:position w:val="0"/>
          <w:sz w:val="24"/>
          <w:szCs w:val="24"/>
          <w:lang w:val="en-US" w:eastAsia="zh-CN" w:bidi="ar-SA"/>
        </w:rPr>
        <w:t>—纵向、横向弥散系数，m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lang w:val="en-US" w:eastAsia="zh-CN" w:bidi="ar-SA"/>
        </w:rPr>
        <w:t>/d。参考《福建申远新材料有限公司年产40万吨聚酰胺一体化项目己内酰胺区域岩土工程勘察报告（详勘阶段）》，项目潜水含水层岩性主要为素填土和海砂，根据研究区已有资料和相似地区（岩性）经验值，给定弥散度a</w:t>
      </w:r>
      <w:r>
        <w:rPr>
          <w:rFonts w:hint="eastAsia" w:cs="Times New Roman"/>
          <w:b w:val="0"/>
          <w:bCs w:val="0"/>
          <w:spacing w:val="0"/>
          <w:kern w:val="2"/>
          <w:position w:val="0"/>
          <w:sz w:val="24"/>
          <w:szCs w:val="24"/>
          <w:vertAlign w:val="subscript"/>
          <w:lang w:val="en-US" w:eastAsia="zh-CN" w:bidi="ar-SA"/>
        </w:rPr>
        <w:t>L</w:t>
      </w:r>
      <w:r>
        <w:rPr>
          <w:rFonts w:hint="eastAsia" w:cs="Times New Roman"/>
          <w:b w:val="0"/>
          <w:bCs w:val="0"/>
          <w:spacing w:val="0"/>
          <w:kern w:val="2"/>
          <w:position w:val="0"/>
          <w:sz w:val="24"/>
          <w:szCs w:val="24"/>
          <w:lang w:val="en-US" w:eastAsia="zh-CN" w:bidi="ar-SA"/>
        </w:rPr>
        <w:t>=1.5m。纵向弥散系数D</w:t>
      </w:r>
      <w:r>
        <w:rPr>
          <w:rFonts w:hint="eastAsia" w:cs="Times New Roman"/>
          <w:b w:val="0"/>
          <w:bCs w:val="0"/>
          <w:spacing w:val="0"/>
          <w:kern w:val="2"/>
          <w:position w:val="0"/>
          <w:sz w:val="24"/>
          <w:szCs w:val="24"/>
          <w:vertAlign w:val="subscript"/>
          <w:lang w:val="en-US" w:eastAsia="zh-CN" w:bidi="ar-SA"/>
        </w:rPr>
        <w:t>L</w:t>
      </w:r>
      <w:r>
        <w:rPr>
          <w:rFonts w:hint="eastAsia" w:cs="Times New Roman"/>
          <w:b w:val="0"/>
          <w:bCs w:val="0"/>
          <w:spacing w:val="0"/>
          <w:kern w:val="2"/>
          <w:position w:val="0"/>
          <w:sz w:val="24"/>
          <w:szCs w:val="24"/>
          <w:lang w:val="en-US" w:eastAsia="zh-CN" w:bidi="ar-SA"/>
        </w:rPr>
        <w:t>=a</w:t>
      </w:r>
      <w:r>
        <w:rPr>
          <w:rFonts w:hint="eastAsia" w:cs="Times New Roman"/>
          <w:b w:val="0"/>
          <w:bCs w:val="0"/>
          <w:spacing w:val="0"/>
          <w:kern w:val="2"/>
          <w:position w:val="0"/>
          <w:sz w:val="24"/>
          <w:szCs w:val="24"/>
          <w:vertAlign w:val="subscript"/>
          <w:lang w:val="en-US" w:eastAsia="zh-CN" w:bidi="ar-SA"/>
        </w:rPr>
        <w:t>L</w:t>
      </w:r>
      <w:r>
        <w:rPr>
          <w:rFonts w:hint="eastAsia" w:cs="Times New Roman"/>
          <w:b w:val="0"/>
          <w:bCs w:val="0"/>
          <w:spacing w:val="0"/>
          <w:kern w:val="2"/>
          <w:position w:val="0"/>
          <w:sz w:val="24"/>
          <w:szCs w:val="24"/>
          <w:lang w:val="en-US" w:eastAsia="zh-CN" w:bidi="ar-SA"/>
        </w:rPr>
        <w:t>×u=1.5×0.16=0.25m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lang w:val="en-US" w:eastAsia="zh-CN" w:bidi="ar-SA"/>
        </w:rPr>
        <w:t>/d。根据经验，横向弥散系数DT一般为纵向弥散系数的10%，即D</w:t>
      </w:r>
      <w:r>
        <w:rPr>
          <w:rFonts w:hint="eastAsia" w:cs="Times New Roman"/>
          <w:b w:val="0"/>
          <w:bCs w:val="0"/>
          <w:spacing w:val="0"/>
          <w:kern w:val="2"/>
          <w:position w:val="0"/>
          <w:sz w:val="24"/>
          <w:szCs w:val="24"/>
          <w:vertAlign w:val="subscript"/>
          <w:lang w:val="en-US" w:eastAsia="zh-CN" w:bidi="ar-SA"/>
        </w:rPr>
        <w:t>T</w:t>
      </w:r>
      <w:r>
        <w:rPr>
          <w:rFonts w:hint="eastAsia" w:cs="Times New Roman"/>
          <w:b w:val="0"/>
          <w:bCs w:val="0"/>
          <w:spacing w:val="0"/>
          <w:kern w:val="2"/>
          <w:position w:val="0"/>
          <w:sz w:val="24"/>
          <w:szCs w:val="24"/>
          <w:lang w:val="en-US" w:eastAsia="zh-CN" w:bidi="ar-SA"/>
        </w:rPr>
        <w:t>=D</w:t>
      </w:r>
      <w:r>
        <w:rPr>
          <w:rFonts w:hint="eastAsia" w:cs="Times New Roman"/>
          <w:b w:val="0"/>
          <w:bCs w:val="0"/>
          <w:spacing w:val="0"/>
          <w:kern w:val="2"/>
          <w:position w:val="0"/>
          <w:sz w:val="24"/>
          <w:szCs w:val="24"/>
          <w:vertAlign w:val="subscript"/>
          <w:lang w:val="en-US" w:eastAsia="zh-CN" w:bidi="ar-SA"/>
        </w:rPr>
        <w:t>L</w:t>
      </w:r>
      <w:r>
        <w:rPr>
          <w:rFonts w:hint="eastAsia" w:cs="Times New Roman"/>
          <w:b w:val="0"/>
          <w:bCs w:val="0"/>
          <w:spacing w:val="0"/>
          <w:kern w:val="2"/>
          <w:position w:val="0"/>
          <w:sz w:val="24"/>
          <w:szCs w:val="24"/>
          <w:lang w:val="en-US" w:eastAsia="zh-CN" w:bidi="ar-SA"/>
        </w:rPr>
        <w:t>×10%=0.03m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lang w:val="en-US" w:eastAsia="zh-CN" w:bidi="ar-SA"/>
        </w:rPr>
        <w:t>/d；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default" w:ascii="Times New Roman" w:hAnsi="Times New Roman" w:cs="Times New Roman"/>
          <w:b w:val="0"/>
          <w:bCs w:val="0"/>
          <w:spacing w:val="0"/>
          <w:kern w:val="2"/>
          <w:position w:val="0"/>
          <w:sz w:val="24"/>
          <w:szCs w:val="24"/>
          <w:lang w:val="en-US" w:eastAsia="zh-CN" w:bidi="ar-SA"/>
        </w:rPr>
        <w:t>π</w:t>
      </w:r>
      <w:r>
        <w:rPr>
          <w:rFonts w:hint="eastAsia" w:cs="Times New Roman"/>
          <w:b w:val="0"/>
          <w:bCs w:val="0"/>
          <w:spacing w:val="0"/>
          <w:kern w:val="2"/>
          <w:position w:val="0"/>
          <w:sz w:val="24"/>
          <w:szCs w:val="24"/>
          <w:lang w:val="en-US" w:eastAsia="zh-CN" w:bidi="ar-SA"/>
        </w:rPr>
        <w:t>—圆周率；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K—渗透系数。参考《福建申远新材料有限公司二期年产40万吨聚酰胺一体化项目环境影响报告书》，本次取20m/d。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将本次预测所用模型转换形式后可得：</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m:oMathPara>
        <m:oMath>
          <m:f>
            <m:fPr>
              <m:ctrlPr>
                <w:rPr>
                  <w:rFonts w:ascii="Cambria Math" w:hAnsi="Cambria Math" w:cs="Times New Roman"/>
                  <w:b w:val="0"/>
                  <w:bCs w:val="0"/>
                  <w:i/>
                  <w:spacing w:val="0"/>
                  <w:kern w:val="2"/>
                  <w:position w:val="0"/>
                  <w:sz w:val="24"/>
                  <w:szCs w:val="24"/>
                  <w:lang w:val="en-US" w:bidi="ar-SA"/>
                </w:rPr>
              </m:ctrlPr>
            </m:fPr>
            <m:num>
              <m:sSup>
                <m:sSupPr>
                  <m:ctrlPr>
                    <w:rPr>
                      <w:rFonts w:ascii="Cambria Math" w:hAnsi="Cambria Math" w:cs="Times New Roman"/>
                      <w:b w:val="0"/>
                      <w:bCs w:val="0"/>
                      <w:i/>
                      <w:spacing w:val="0"/>
                      <w:kern w:val="2"/>
                      <w:position w:val="0"/>
                      <w:sz w:val="24"/>
                      <w:szCs w:val="24"/>
                      <w:lang w:val="en-US" w:bidi="ar-SA"/>
                    </w:rPr>
                  </m:ctrlPr>
                </m:sSupPr>
                <m:e>
                  <m:r>
                    <m:rPr/>
                    <w:rPr>
                      <w:rFonts w:hint="default" w:ascii="Cambria Math" w:hAnsi="Cambria Math" w:cs="Times New Roman"/>
                      <w:spacing w:val="0"/>
                      <w:kern w:val="2"/>
                      <w:position w:val="0"/>
                      <w:sz w:val="24"/>
                      <w:szCs w:val="24"/>
                      <w:lang w:val="en-US" w:eastAsia="zh-CN" w:bidi="ar-SA"/>
                    </w:rPr>
                    <m:t>(x−ut)</m:t>
                  </m:r>
                  <m:ctrlPr>
                    <w:rPr>
                      <w:rFonts w:ascii="Cambria Math" w:hAnsi="Cambria Math" w:cs="Times New Roman"/>
                      <w:b w:val="0"/>
                      <w:bCs w:val="0"/>
                      <w:i/>
                      <w:spacing w:val="0"/>
                      <w:kern w:val="2"/>
                      <w:position w:val="0"/>
                      <w:sz w:val="24"/>
                      <w:szCs w:val="24"/>
                      <w:lang w:val="en-US" w:bidi="ar-SA"/>
                    </w:rPr>
                  </m:ctrlPr>
                </m:e>
                <m:sup>
                  <m:r>
                    <m:rPr/>
                    <w:rPr>
                      <w:rFonts w:hint="default" w:ascii="Cambria Math" w:hAnsi="Cambria Math" w:cs="Times New Roman"/>
                      <w:spacing w:val="0"/>
                      <w:kern w:val="2"/>
                      <w:position w:val="0"/>
                      <w:sz w:val="24"/>
                      <w:szCs w:val="24"/>
                      <w:lang w:val="en-US" w:eastAsia="zh-CN" w:bidi="ar-SA"/>
                    </w:rPr>
                    <m:t>2</m:t>
                  </m:r>
                  <m:ctrlPr>
                    <w:rPr>
                      <w:rFonts w:ascii="Cambria Math" w:hAnsi="Cambria Math" w:cs="Times New Roman"/>
                      <w:b w:val="0"/>
                      <w:bCs w:val="0"/>
                      <w:i/>
                      <w:spacing w:val="0"/>
                      <w:kern w:val="2"/>
                      <w:position w:val="0"/>
                      <w:sz w:val="24"/>
                      <w:szCs w:val="24"/>
                      <w:lang w:val="en-US" w:bidi="ar-SA"/>
                    </w:rPr>
                  </m:ctrlPr>
                </m:sup>
              </m:sSup>
              <m:ctrlPr>
                <w:rPr>
                  <w:rFonts w:ascii="Cambria Math" w:hAnsi="Cambria Math" w:cs="Times New Roman"/>
                  <w:b w:val="0"/>
                  <w:bCs w:val="0"/>
                  <w:i/>
                  <w:spacing w:val="0"/>
                  <w:kern w:val="2"/>
                  <w:position w:val="0"/>
                  <w:sz w:val="24"/>
                  <w:szCs w:val="24"/>
                  <w:lang w:val="en-US" w:bidi="ar-SA"/>
                </w:rPr>
              </m:ctrlPr>
            </m:num>
            <m:den>
              <m:r>
                <m:rPr/>
                <w:rPr>
                  <w:rFonts w:hint="default" w:ascii="Cambria Math" w:hAnsi="Cambria Math" w:cs="Times New Roman"/>
                  <w:spacing w:val="0"/>
                  <w:kern w:val="2"/>
                  <w:position w:val="0"/>
                  <w:sz w:val="24"/>
                  <w:szCs w:val="24"/>
                  <w:lang w:val="en-US" w:eastAsia="zh-CN" w:bidi="ar-SA"/>
                </w:rPr>
                <m:t>4</m:t>
              </m:r>
              <m:sSub>
                <m:sSubPr>
                  <m:ctrlPr>
                    <w:rPr>
                      <w:rFonts w:ascii="Cambria Math" w:hAnsi="Cambria Math" w:cs="Times New Roman"/>
                      <w:b w:val="0"/>
                      <w:bCs w:val="0"/>
                      <w:i/>
                      <w:spacing w:val="0"/>
                      <w:kern w:val="2"/>
                      <w:position w:val="0"/>
                      <w:sz w:val="24"/>
                      <w:szCs w:val="24"/>
                      <w:lang w:val="en-US" w:bidi="ar-SA"/>
                    </w:rPr>
                  </m:ctrlPr>
                </m:sSubPr>
                <m:e>
                  <m:r>
                    <m:rPr/>
                    <w:rPr>
                      <w:rFonts w:hint="default" w:ascii="Cambria Math" w:hAnsi="Cambria Math" w:cs="Times New Roman"/>
                      <w:spacing w:val="0"/>
                      <w:kern w:val="2"/>
                      <w:position w:val="0"/>
                      <w:sz w:val="24"/>
                      <w:szCs w:val="24"/>
                      <w:lang w:val="en-US" w:eastAsia="zh-CN" w:bidi="ar-SA"/>
                    </w:rPr>
                    <m:t>D</m:t>
                  </m:r>
                  <m:ctrlPr>
                    <w:rPr>
                      <w:rFonts w:ascii="Cambria Math" w:hAnsi="Cambria Math" w:cs="Times New Roman"/>
                      <w:b w:val="0"/>
                      <w:bCs w:val="0"/>
                      <w:i/>
                      <w:spacing w:val="0"/>
                      <w:kern w:val="2"/>
                      <w:position w:val="0"/>
                      <w:sz w:val="24"/>
                      <w:szCs w:val="24"/>
                      <w:lang w:val="en-US" w:bidi="ar-SA"/>
                    </w:rPr>
                  </m:ctrlPr>
                </m:e>
                <m:sub>
                  <m:r>
                    <m:rPr/>
                    <w:rPr>
                      <w:rFonts w:hint="default" w:ascii="Cambria Math" w:hAnsi="Cambria Math" w:cs="Times New Roman"/>
                      <w:spacing w:val="0"/>
                      <w:kern w:val="2"/>
                      <w:position w:val="0"/>
                      <w:sz w:val="24"/>
                      <w:szCs w:val="24"/>
                      <w:lang w:val="en-US" w:eastAsia="zh-CN" w:bidi="ar-SA"/>
                    </w:rPr>
                    <m:t>L</m:t>
                  </m:r>
                  <m:ctrlPr>
                    <w:rPr>
                      <w:rFonts w:ascii="Cambria Math" w:hAnsi="Cambria Math" w:cs="Times New Roman"/>
                      <w:b w:val="0"/>
                      <w:bCs w:val="0"/>
                      <w:i/>
                      <w:spacing w:val="0"/>
                      <w:kern w:val="2"/>
                      <w:position w:val="0"/>
                      <w:sz w:val="24"/>
                      <w:szCs w:val="24"/>
                      <w:lang w:val="en-US" w:bidi="ar-SA"/>
                    </w:rPr>
                  </m:ctrlPr>
                </m:sub>
              </m:sSub>
              <m:r>
                <m:rPr/>
                <w:rPr>
                  <w:rFonts w:hint="default" w:ascii="Cambria Math" w:hAnsi="Cambria Math" w:cs="Times New Roman"/>
                  <w:spacing w:val="0"/>
                  <w:kern w:val="2"/>
                  <w:position w:val="0"/>
                  <w:sz w:val="24"/>
                  <w:szCs w:val="24"/>
                  <w:lang w:val="en-US" w:eastAsia="zh-CN" w:bidi="ar-SA"/>
                </w:rPr>
                <m:t>t</m:t>
              </m:r>
              <m:ctrlPr>
                <w:rPr>
                  <w:rFonts w:ascii="Cambria Math" w:hAnsi="Cambria Math" w:cs="Times New Roman"/>
                  <w:b w:val="0"/>
                  <w:bCs w:val="0"/>
                  <w:i/>
                  <w:spacing w:val="0"/>
                  <w:kern w:val="2"/>
                  <w:position w:val="0"/>
                  <w:sz w:val="24"/>
                  <w:szCs w:val="24"/>
                  <w:lang w:val="en-US" w:bidi="ar-SA"/>
                </w:rPr>
              </m:ctrlPr>
            </m:den>
          </m:f>
          <m:r>
            <m:rPr/>
            <w:rPr>
              <w:rFonts w:hint="default" w:ascii="Cambria Math" w:hAnsi="Cambria Math" w:cs="Times New Roman"/>
              <w:spacing w:val="0"/>
              <w:kern w:val="2"/>
              <w:position w:val="0"/>
              <w:sz w:val="24"/>
              <w:szCs w:val="24"/>
              <w:lang w:val="en-US" w:eastAsia="zh-CN" w:bidi="ar-SA"/>
            </w:rPr>
            <m:t>+</m:t>
          </m:r>
          <m:f>
            <m:fPr>
              <m:ctrlPr>
                <w:rPr>
                  <w:rFonts w:hint="default" w:ascii="Cambria Math" w:hAnsi="Cambria Math" w:cs="Times New Roman"/>
                  <w:b w:val="0"/>
                  <w:bCs w:val="0"/>
                  <w:i/>
                  <w:spacing w:val="0"/>
                  <w:kern w:val="2"/>
                  <w:position w:val="0"/>
                  <w:sz w:val="24"/>
                  <w:szCs w:val="24"/>
                  <w:lang w:val="en-US" w:eastAsia="zh-CN" w:bidi="ar-SA"/>
                </w:rPr>
              </m:ctrlPr>
            </m:fPr>
            <m:num>
              <m:sSup>
                <m:sSupPr>
                  <m:ctrlPr>
                    <w:rPr>
                      <w:rFonts w:hint="default" w:ascii="Cambria Math" w:hAnsi="Cambria Math" w:cs="Times New Roman"/>
                      <w:b w:val="0"/>
                      <w:bCs w:val="0"/>
                      <w:i/>
                      <w:spacing w:val="0"/>
                      <w:kern w:val="2"/>
                      <w:position w:val="0"/>
                      <w:sz w:val="24"/>
                      <w:szCs w:val="24"/>
                      <w:lang w:val="en-US" w:eastAsia="zh-CN" w:bidi="ar-SA"/>
                    </w:rPr>
                  </m:ctrlPr>
                </m:sSupPr>
                <m:e>
                  <m:r>
                    <m:rPr/>
                    <w:rPr>
                      <w:rFonts w:hint="default" w:ascii="Cambria Math" w:hAnsi="Cambria Math" w:cs="Times New Roman"/>
                      <w:spacing w:val="0"/>
                      <w:kern w:val="2"/>
                      <w:position w:val="0"/>
                      <w:sz w:val="24"/>
                      <w:szCs w:val="24"/>
                      <w:lang w:val="en-US" w:eastAsia="zh-CN" w:bidi="ar-SA"/>
                    </w:rPr>
                    <m:t>y</m:t>
                  </m:r>
                  <m:ctrlPr>
                    <w:rPr>
                      <w:rFonts w:hint="default" w:ascii="Cambria Math" w:hAnsi="Cambria Math" w:cs="Times New Roman"/>
                      <w:b w:val="0"/>
                      <w:bCs w:val="0"/>
                      <w:i/>
                      <w:spacing w:val="0"/>
                      <w:kern w:val="2"/>
                      <w:position w:val="0"/>
                      <w:sz w:val="24"/>
                      <w:szCs w:val="24"/>
                      <w:lang w:val="en-US" w:eastAsia="zh-CN" w:bidi="ar-SA"/>
                    </w:rPr>
                  </m:ctrlPr>
                </m:e>
                <m:sup>
                  <m:r>
                    <m:rPr/>
                    <w:rPr>
                      <w:rFonts w:hint="default" w:ascii="Cambria Math" w:hAnsi="Cambria Math" w:cs="Times New Roman"/>
                      <w:spacing w:val="0"/>
                      <w:kern w:val="2"/>
                      <w:position w:val="0"/>
                      <w:sz w:val="24"/>
                      <w:szCs w:val="24"/>
                      <w:lang w:val="en-US" w:eastAsia="zh-CN" w:bidi="ar-SA"/>
                    </w:rPr>
                    <m:t>2</m:t>
                  </m:r>
                  <m:ctrlPr>
                    <w:rPr>
                      <w:rFonts w:hint="default" w:ascii="Cambria Math" w:hAnsi="Cambria Math" w:cs="Times New Roman"/>
                      <w:b w:val="0"/>
                      <w:bCs w:val="0"/>
                      <w:i/>
                      <w:spacing w:val="0"/>
                      <w:kern w:val="2"/>
                      <w:position w:val="0"/>
                      <w:sz w:val="24"/>
                      <w:szCs w:val="24"/>
                      <w:lang w:val="en-US" w:eastAsia="zh-CN" w:bidi="ar-SA"/>
                    </w:rPr>
                  </m:ctrlPr>
                </m:sup>
              </m:sSup>
              <m:ctrlPr>
                <w:rPr>
                  <w:rFonts w:hint="default" w:ascii="Cambria Math" w:hAnsi="Cambria Math" w:cs="Times New Roman"/>
                  <w:b w:val="0"/>
                  <w:bCs w:val="0"/>
                  <w:i/>
                  <w:spacing w:val="0"/>
                  <w:kern w:val="2"/>
                  <w:position w:val="0"/>
                  <w:sz w:val="24"/>
                  <w:szCs w:val="24"/>
                  <w:lang w:val="en-US" w:eastAsia="zh-CN" w:bidi="ar-SA"/>
                </w:rPr>
              </m:ctrlPr>
            </m:num>
            <m:den>
              <m:r>
                <m:rPr/>
                <w:rPr>
                  <w:rFonts w:hint="default" w:ascii="Cambria Math" w:hAnsi="Cambria Math" w:cs="Times New Roman"/>
                  <w:spacing w:val="0"/>
                  <w:kern w:val="2"/>
                  <w:position w:val="0"/>
                  <w:sz w:val="24"/>
                  <w:szCs w:val="24"/>
                  <w:lang w:val="en-US" w:eastAsia="zh-CN" w:bidi="ar-SA"/>
                </w:rPr>
                <m:t>4</m:t>
              </m:r>
              <m:sSub>
                <m:sSubPr>
                  <m:ctrlPr>
                    <w:rPr>
                      <w:rFonts w:hint="default"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D</m:t>
                  </m:r>
                  <m:ctrlPr>
                    <w:rPr>
                      <w:rFonts w:hint="default"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T</m:t>
                  </m:r>
                  <m:ctrlPr>
                    <w:rPr>
                      <w:rFonts w:hint="default" w:ascii="Cambria Math" w:hAnsi="Cambria Math" w:cs="Times New Roman"/>
                      <w:b w:val="0"/>
                      <w:bCs w:val="0"/>
                      <w:i/>
                      <w:spacing w:val="0"/>
                      <w:kern w:val="2"/>
                      <w:position w:val="0"/>
                      <w:sz w:val="24"/>
                      <w:szCs w:val="24"/>
                      <w:lang w:val="en-US" w:eastAsia="zh-CN" w:bidi="ar-SA"/>
                    </w:rPr>
                  </m:ctrlPr>
                </m:sub>
              </m:sSub>
              <m:r>
                <m:rPr/>
                <w:rPr>
                  <w:rFonts w:hint="default" w:ascii="Cambria Math" w:hAnsi="Cambria Math" w:cs="Times New Roman"/>
                  <w:spacing w:val="0"/>
                  <w:kern w:val="2"/>
                  <w:position w:val="0"/>
                  <w:sz w:val="24"/>
                  <w:szCs w:val="24"/>
                  <w:lang w:val="en-US" w:eastAsia="zh-CN" w:bidi="ar-SA"/>
                </w:rPr>
                <m:t>t</m:t>
              </m:r>
              <m:ctrlPr>
                <w:rPr>
                  <w:rFonts w:hint="default" w:ascii="Cambria Math" w:hAnsi="Cambria Math" w:cs="Times New Roman"/>
                  <w:b w:val="0"/>
                  <w:bCs w:val="0"/>
                  <w:i/>
                  <w:spacing w:val="0"/>
                  <w:kern w:val="2"/>
                  <w:position w:val="0"/>
                  <w:sz w:val="24"/>
                  <w:szCs w:val="24"/>
                  <w:lang w:val="en-US" w:eastAsia="zh-CN" w:bidi="ar-SA"/>
                </w:rPr>
              </m:ctrlPr>
            </m:den>
          </m:f>
          <m:r>
            <m:rPr/>
            <w:rPr>
              <w:rFonts w:ascii="Cambria Math" w:hAnsi="Cambria Math" w:cs="Times New Roman"/>
              <w:spacing w:val="0"/>
              <w:kern w:val="2"/>
              <w:position w:val="0"/>
              <w:sz w:val="24"/>
              <w:szCs w:val="24"/>
              <w:lang w:val="en-US" w:bidi="ar-SA"/>
            </w:rPr>
            <m:t>=</m:t>
          </m:r>
          <m:r>
            <m:rPr/>
            <w:rPr>
              <w:rFonts w:hint="default" w:ascii="Cambria Math" w:hAnsi="Cambria Math" w:cs="Times New Roman"/>
              <w:spacing w:val="0"/>
              <w:kern w:val="2"/>
              <w:position w:val="0"/>
              <w:sz w:val="24"/>
              <w:szCs w:val="24"/>
              <w:lang w:val="en-US" w:eastAsia="zh-CN" w:bidi="ar-SA"/>
            </w:rPr>
            <m:t>ln</m:t>
          </m:r>
          <m:d>
            <m:dPr>
              <m:begChr m:val="["/>
              <m:endChr m:val="]"/>
              <m:ctrlPr>
                <w:rPr>
                  <w:rFonts w:ascii="Cambria Math" w:hAnsi="Cambria Math" w:cs="Times New Roman"/>
                  <w:b w:val="0"/>
                  <w:bCs w:val="0"/>
                  <w:i/>
                  <w:spacing w:val="0"/>
                  <w:kern w:val="2"/>
                  <w:position w:val="0"/>
                  <w:sz w:val="24"/>
                  <w:szCs w:val="24"/>
                  <w:lang w:val="en-US" w:bidi="ar-SA"/>
                </w:rPr>
              </m:ctrlPr>
            </m:dPr>
            <m:e>
              <m:f>
                <m:fPr>
                  <m:ctrlPr>
                    <w:rPr>
                      <w:rFonts w:ascii="Cambria Math" w:hAnsi="Cambria Math" w:cs="Times New Roman"/>
                      <w:b w:val="0"/>
                      <w:bCs w:val="0"/>
                      <w:i/>
                      <w:spacing w:val="0"/>
                      <w:kern w:val="2"/>
                      <w:position w:val="0"/>
                      <w:sz w:val="24"/>
                      <w:szCs w:val="24"/>
                      <w:lang w:val="en-US" w:bidi="ar-SA"/>
                    </w:rPr>
                  </m:ctrlPr>
                </m:fPr>
                <m:num>
                  <m:sSub>
                    <m:sSubPr>
                      <m:ctrlPr>
                        <w:rPr>
                          <w:rFonts w:ascii="Cambria Math" w:hAnsi="Cambria Math" w:cs="Times New Roman"/>
                          <w:b w:val="0"/>
                          <w:bCs w:val="0"/>
                          <w:i/>
                          <w:spacing w:val="0"/>
                          <w:kern w:val="2"/>
                          <w:position w:val="0"/>
                          <w:sz w:val="24"/>
                          <w:szCs w:val="24"/>
                          <w:lang w:val="en-US" w:bidi="ar-SA"/>
                        </w:rPr>
                      </m:ctrlPr>
                    </m:sSubPr>
                    <m:e>
                      <m:r>
                        <m:rPr/>
                        <w:rPr>
                          <w:rFonts w:hint="default" w:ascii="Cambria Math" w:hAnsi="Cambria Math" w:cs="Times New Roman"/>
                          <w:spacing w:val="0"/>
                          <w:kern w:val="2"/>
                          <w:position w:val="0"/>
                          <w:sz w:val="24"/>
                          <w:szCs w:val="24"/>
                          <w:lang w:val="en-US" w:eastAsia="zh-CN" w:bidi="ar-SA"/>
                        </w:rPr>
                        <m:t>m</m:t>
                      </m:r>
                      <m:ctrlPr>
                        <w:rPr>
                          <w:rFonts w:ascii="Cambria Math" w:hAnsi="Cambria Math" w:cs="Times New Roman"/>
                          <w:b w:val="0"/>
                          <w:bCs w:val="0"/>
                          <w:i/>
                          <w:spacing w:val="0"/>
                          <w:kern w:val="2"/>
                          <w:position w:val="0"/>
                          <w:sz w:val="24"/>
                          <w:szCs w:val="24"/>
                          <w:lang w:val="en-US" w:bidi="ar-SA"/>
                        </w:rPr>
                      </m:ctrlPr>
                    </m:e>
                    <m:sub>
                      <m:r>
                        <m:rPr/>
                        <w:rPr>
                          <w:rFonts w:hint="default" w:ascii="Cambria Math" w:hAnsi="Cambria Math" w:cs="Times New Roman"/>
                          <w:spacing w:val="0"/>
                          <w:kern w:val="2"/>
                          <w:position w:val="0"/>
                          <w:sz w:val="24"/>
                          <w:szCs w:val="24"/>
                          <w:lang w:val="en-US" w:eastAsia="zh-CN" w:bidi="ar-SA"/>
                        </w:rPr>
                        <m:t>M</m:t>
                      </m:r>
                      <m:ctrlPr>
                        <w:rPr>
                          <w:rFonts w:ascii="Cambria Math" w:hAnsi="Cambria Math" w:cs="Times New Roman"/>
                          <w:b w:val="0"/>
                          <w:bCs w:val="0"/>
                          <w:i/>
                          <w:spacing w:val="0"/>
                          <w:kern w:val="2"/>
                          <w:position w:val="0"/>
                          <w:sz w:val="24"/>
                          <w:szCs w:val="24"/>
                          <w:lang w:val="en-US" w:bidi="ar-SA"/>
                        </w:rPr>
                      </m:ctrlPr>
                    </m:sub>
                  </m:sSub>
                  <m:ctrlPr>
                    <w:rPr>
                      <w:rFonts w:ascii="Cambria Math" w:hAnsi="Cambria Math" w:cs="Times New Roman"/>
                      <w:b w:val="0"/>
                      <w:bCs w:val="0"/>
                      <w:i/>
                      <w:spacing w:val="0"/>
                      <w:kern w:val="2"/>
                      <w:position w:val="0"/>
                      <w:sz w:val="24"/>
                      <w:szCs w:val="24"/>
                      <w:lang w:val="en-US" w:bidi="ar-SA"/>
                    </w:rPr>
                  </m:ctrlPr>
                </m:num>
                <m:den>
                  <m:r>
                    <m:rPr/>
                    <w:rPr>
                      <w:rFonts w:hint="default" w:ascii="Cambria Math" w:hAnsi="Cambria Math" w:cs="Times New Roman"/>
                      <w:spacing w:val="0"/>
                      <w:kern w:val="2"/>
                      <w:position w:val="0"/>
                      <w:sz w:val="24"/>
                      <w:szCs w:val="24"/>
                      <w:lang w:val="en-US" w:eastAsia="zh-CN" w:bidi="ar-SA"/>
                    </w:rPr>
                    <m:t>4πn</m:t>
                  </m:r>
                  <m:r>
                    <m:rPr/>
                    <w:rPr>
                      <w:rFonts w:hint="eastAsia" w:ascii="Cambria Math" w:hAnsi="Cambria Math" w:cs="Times New Roman"/>
                      <w:spacing w:val="0"/>
                      <w:kern w:val="2"/>
                      <w:position w:val="0"/>
                      <w:sz w:val="24"/>
                      <w:szCs w:val="24"/>
                      <w:lang w:val="en-US" w:eastAsia="zh-CN" w:bidi="ar-SA"/>
                    </w:rPr>
                    <m:t>·</m:t>
                  </m:r>
                  <m:r>
                    <m:rPr/>
                    <w:rPr>
                      <w:rFonts w:hint="default" w:ascii="Cambria Math" w:hAnsi="Cambria Math" w:cs="Times New Roman"/>
                      <w:spacing w:val="0"/>
                      <w:kern w:val="2"/>
                      <w:position w:val="0"/>
                      <w:sz w:val="24"/>
                      <w:szCs w:val="24"/>
                      <w:lang w:val="en-US" w:eastAsia="zh-CN" w:bidi="ar-SA"/>
                    </w:rPr>
                    <m:t>M</m:t>
                  </m:r>
                  <m:r>
                    <m:rPr/>
                    <w:rPr>
                      <w:rFonts w:hint="eastAsia" w:ascii="Cambria Math" w:hAnsi="Cambria Math" w:cs="Times New Roman"/>
                      <w:spacing w:val="0"/>
                      <w:kern w:val="2"/>
                      <w:position w:val="0"/>
                      <w:sz w:val="24"/>
                      <w:szCs w:val="24"/>
                      <w:lang w:val="en-US" w:eastAsia="zh-CN" w:bidi="ar-SA"/>
                    </w:rPr>
                    <m:t>·</m:t>
                  </m:r>
                  <m:r>
                    <m:rPr/>
                    <w:rPr>
                      <w:rFonts w:hint="default" w:ascii="Cambria Math" w:hAnsi="Cambria Math" w:cs="Times New Roman"/>
                      <w:spacing w:val="0"/>
                      <w:kern w:val="2"/>
                      <w:position w:val="0"/>
                      <w:sz w:val="24"/>
                      <w:szCs w:val="24"/>
                      <w:lang w:val="en-US" w:eastAsia="zh-CN" w:bidi="ar-SA"/>
                    </w:rPr>
                    <m:t>C(x,y,z)</m:t>
                  </m:r>
                  <m:r>
                    <m:rPr/>
                    <w:rPr>
                      <w:rFonts w:hint="eastAsia" w:ascii="Cambria Math" w:hAnsi="Cambria Math" w:cs="Times New Roman"/>
                      <w:spacing w:val="0"/>
                      <w:kern w:val="2"/>
                      <w:position w:val="0"/>
                      <w:sz w:val="24"/>
                      <w:szCs w:val="24"/>
                      <w:lang w:val="en-US" w:eastAsia="zh-CN" w:bidi="ar-SA"/>
                    </w:rPr>
                    <m:t>·</m:t>
                  </m:r>
                  <m:rad>
                    <m:radPr>
                      <m:degHide m:val="1"/>
                      <m:ctrlPr>
                        <w:rPr>
                          <w:rFonts w:hint="eastAsia" w:ascii="Cambria Math" w:hAnsi="Cambria Math" w:cs="Times New Roman"/>
                          <w:b w:val="0"/>
                          <w:bCs w:val="0"/>
                          <w:i/>
                          <w:spacing w:val="0"/>
                          <w:kern w:val="2"/>
                          <w:position w:val="0"/>
                          <w:sz w:val="24"/>
                          <w:szCs w:val="24"/>
                          <w:lang w:val="en-US" w:eastAsia="zh-CN" w:bidi="ar-SA"/>
                        </w:rPr>
                      </m:ctrlPr>
                    </m:radPr>
                    <m:deg>
                      <m:ctrlPr>
                        <w:rPr>
                          <w:rFonts w:hint="eastAsia" w:ascii="Cambria Math" w:hAnsi="Cambria Math" w:cs="Times New Roman"/>
                          <w:b w:val="0"/>
                          <w:bCs w:val="0"/>
                          <w:i/>
                          <w:spacing w:val="0"/>
                          <w:kern w:val="2"/>
                          <w:position w:val="0"/>
                          <w:sz w:val="24"/>
                          <w:szCs w:val="24"/>
                          <w:lang w:val="en-US" w:eastAsia="zh-CN" w:bidi="ar-SA"/>
                        </w:rPr>
                      </m:ctrlPr>
                    </m:deg>
                    <m:e>
                      <m:sSub>
                        <m:sSubPr>
                          <m:ctrlPr>
                            <w:rPr>
                              <w:rFonts w:hint="eastAsia"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D</m:t>
                          </m:r>
                          <m:ctrlPr>
                            <w:rPr>
                              <w:rFonts w:hint="eastAsia"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L</m:t>
                          </m:r>
                          <m:ctrlPr>
                            <w:rPr>
                              <w:rFonts w:hint="eastAsia" w:ascii="Cambria Math" w:hAnsi="Cambria Math" w:cs="Times New Roman"/>
                              <w:b w:val="0"/>
                              <w:bCs w:val="0"/>
                              <w:i/>
                              <w:spacing w:val="0"/>
                              <w:kern w:val="2"/>
                              <w:position w:val="0"/>
                              <w:sz w:val="24"/>
                              <w:szCs w:val="24"/>
                              <w:lang w:val="en-US" w:eastAsia="zh-CN" w:bidi="ar-SA"/>
                            </w:rPr>
                          </m:ctrlPr>
                        </m:sub>
                      </m:sSub>
                      <m:sSub>
                        <m:sSubPr>
                          <m:ctrlPr>
                            <w:rPr>
                              <w:rFonts w:hint="eastAsia" w:ascii="Cambria Math" w:hAnsi="Cambria Math" w:cs="Times New Roman"/>
                              <w:b w:val="0"/>
                              <w:bCs w:val="0"/>
                              <w:i/>
                              <w:spacing w:val="0"/>
                              <w:kern w:val="2"/>
                              <w:position w:val="0"/>
                              <w:sz w:val="24"/>
                              <w:szCs w:val="24"/>
                              <w:lang w:val="en-US" w:eastAsia="zh-CN" w:bidi="ar-SA"/>
                            </w:rPr>
                          </m:ctrlPr>
                        </m:sSubPr>
                        <m:e>
                          <m:r>
                            <m:rPr/>
                            <w:rPr>
                              <w:rFonts w:hint="default" w:ascii="Cambria Math" w:hAnsi="Cambria Math" w:cs="Times New Roman"/>
                              <w:spacing w:val="0"/>
                              <w:kern w:val="2"/>
                              <w:position w:val="0"/>
                              <w:sz w:val="24"/>
                              <w:szCs w:val="24"/>
                              <w:lang w:val="en-US" w:eastAsia="zh-CN" w:bidi="ar-SA"/>
                            </w:rPr>
                            <m:t>D</m:t>
                          </m:r>
                          <m:ctrlPr>
                            <w:rPr>
                              <w:rFonts w:hint="eastAsia" w:ascii="Cambria Math" w:hAnsi="Cambria Math" w:cs="Times New Roman"/>
                              <w:b w:val="0"/>
                              <w:bCs w:val="0"/>
                              <w:i/>
                              <w:spacing w:val="0"/>
                              <w:kern w:val="2"/>
                              <w:position w:val="0"/>
                              <w:sz w:val="24"/>
                              <w:szCs w:val="24"/>
                              <w:lang w:val="en-US" w:eastAsia="zh-CN" w:bidi="ar-SA"/>
                            </w:rPr>
                          </m:ctrlPr>
                        </m:e>
                        <m:sub>
                          <m:r>
                            <m:rPr/>
                            <w:rPr>
                              <w:rFonts w:hint="default" w:ascii="Cambria Math" w:hAnsi="Cambria Math" w:cs="Times New Roman"/>
                              <w:spacing w:val="0"/>
                              <w:kern w:val="2"/>
                              <w:position w:val="0"/>
                              <w:sz w:val="24"/>
                              <w:szCs w:val="24"/>
                              <w:lang w:val="en-US" w:eastAsia="zh-CN" w:bidi="ar-SA"/>
                            </w:rPr>
                            <m:t>T</m:t>
                          </m:r>
                          <m:ctrlPr>
                            <w:rPr>
                              <w:rFonts w:hint="eastAsia" w:ascii="Cambria Math" w:hAnsi="Cambria Math" w:cs="Times New Roman"/>
                              <w:b w:val="0"/>
                              <w:bCs w:val="0"/>
                              <w:i/>
                              <w:spacing w:val="0"/>
                              <w:kern w:val="2"/>
                              <w:position w:val="0"/>
                              <w:sz w:val="24"/>
                              <w:szCs w:val="24"/>
                              <w:lang w:val="en-US" w:eastAsia="zh-CN" w:bidi="ar-SA"/>
                            </w:rPr>
                          </m:ctrlPr>
                        </m:sub>
                      </m:sSub>
                      <m:ctrlPr>
                        <w:rPr>
                          <w:rFonts w:hint="eastAsia" w:ascii="Cambria Math" w:hAnsi="Cambria Math" w:cs="Times New Roman"/>
                          <w:b w:val="0"/>
                          <w:bCs w:val="0"/>
                          <w:i/>
                          <w:spacing w:val="0"/>
                          <w:kern w:val="2"/>
                          <w:position w:val="0"/>
                          <w:sz w:val="24"/>
                          <w:szCs w:val="24"/>
                          <w:lang w:val="en-US" w:eastAsia="zh-CN" w:bidi="ar-SA"/>
                        </w:rPr>
                      </m:ctrlPr>
                    </m:e>
                  </m:rad>
                  <m:r>
                    <m:rPr/>
                    <w:rPr>
                      <w:rFonts w:hint="eastAsia" w:ascii="Cambria Math" w:hAnsi="Cambria Math" w:cs="Times New Roman"/>
                      <w:spacing w:val="0"/>
                      <w:kern w:val="2"/>
                      <w:position w:val="0"/>
                      <w:sz w:val="24"/>
                      <w:szCs w:val="24"/>
                      <w:lang w:val="en-US" w:eastAsia="zh-CN" w:bidi="ar-SA"/>
                    </w:rPr>
                    <m:t>·</m:t>
                  </m:r>
                  <m:r>
                    <m:rPr/>
                    <w:rPr>
                      <w:rFonts w:hint="default" w:ascii="Cambria Math" w:hAnsi="Cambria Math" w:cs="Times New Roman"/>
                      <w:spacing w:val="0"/>
                      <w:kern w:val="2"/>
                      <w:position w:val="0"/>
                      <w:sz w:val="24"/>
                      <w:szCs w:val="24"/>
                      <w:lang w:val="en-US" w:eastAsia="zh-CN" w:bidi="ar-SA"/>
                    </w:rPr>
                    <m:t>t</m:t>
                  </m:r>
                  <m:ctrlPr>
                    <w:rPr>
                      <w:rFonts w:ascii="Cambria Math" w:hAnsi="Cambria Math" w:cs="Times New Roman"/>
                      <w:b w:val="0"/>
                      <w:bCs w:val="0"/>
                      <w:i/>
                      <w:spacing w:val="0"/>
                      <w:kern w:val="2"/>
                      <w:position w:val="0"/>
                      <w:sz w:val="24"/>
                      <w:szCs w:val="24"/>
                      <w:lang w:val="en-US" w:bidi="ar-SA"/>
                    </w:rPr>
                  </m:ctrlPr>
                </m:den>
              </m:f>
              <m:ctrlPr>
                <w:rPr>
                  <w:rFonts w:ascii="Cambria Math" w:hAnsi="Cambria Math" w:cs="Times New Roman"/>
                  <w:b w:val="0"/>
                  <w:bCs w:val="0"/>
                  <w:i/>
                  <w:spacing w:val="0"/>
                  <w:kern w:val="2"/>
                  <w:position w:val="0"/>
                  <w:sz w:val="24"/>
                  <w:szCs w:val="24"/>
                  <w:lang w:val="en-US" w:bidi="ar-SA"/>
                </w:rPr>
              </m:ctrlPr>
            </m:e>
          </m:d>
        </m:oMath>
      </m:oMathPara>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可以看出，当污染物源强一定时，任一时刻t的污染物浓度等值线为一椭圆。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5.3.3.7预测结果</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（1）泄漏发生后100d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高浓度废水调节池防渗层破裂发生渗漏100d后COD、氨氮、总锑影响程度预测结果见表5.3-7~表5.3-9。根据预测表可以看出，发生瞬时泄漏100d后污染中心发生纵向运移，向下游运移距离约33.00m。</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污染中心点COD最大浓度为1534.58mg/L，大于标准限值3mg/L。超标范围为纵向49.96m，横向17.30m的椭圆区域，面积为678.83m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；影响范围为纵向64.28m，横向为22.26m的椭圆区域，面积为1123.80m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污染中心点氨氮最大浓度为13.07mg/L，大于标准限值0.5mg/L。超标范围为纵向36.12m，横向12.50m的椭圆区域，面积为354.61m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；影响范围为纵向53.56m，横向为18.54m的椭圆区域，面积为779.90m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污染中心点总锑最大浓度为0.1174mg/L，大于标准限值0.0050mg/L。超标范围为纵向35.52m，横向12.30m的椭圆区域，面积为343.14m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；影响范围为纵向53.16m，横向为18.40m的椭圆区域，面积为768.23m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表5.3-7泄漏100d后COD影响浓度预测表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-11.13</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-8.65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8.65</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0.86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8.02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0.01</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1534.58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57.98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0.01</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65.14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表5.3-8泄漏100d后氨氮影响浓度预测表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9.27</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6.25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6.25</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9.27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6.22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14.94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0.02</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13.07</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51.06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0.02</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59.78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表5.3-9泄漏100d后总锑影响浓度预测表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9.20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6.15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6.15</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9.20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6.42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15.24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0.0002</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0.1174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50.76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0.0002</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59.58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（2）泄漏发生后1000d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高浓度废水调节池防渗层破裂发生渗漏1000d后COD、氨氮、总锑影响程度预测结果见表5.3-10~表5.3-12。根据预测表可以看出，发生瞬时泄漏1000d后污染中心发生纵向运移，向下游运移距离约330.00m。</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污染中心点COD最大浓度为153.46mg/L，大于标准限值3mg/L。超标范围为纵向125.44m，横向43.46m的椭圆区域，面积为4281.69m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；影响范围为纵向179.22m，横向为62.08m的椭圆区域，面积为8738.32m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污染中心点氨氮最大浓度为1.31mg/L，大于标准限值0.5mg/L。超标范围为纵向61.98m，横向21.86m的椭圆区域，面积为1064.12m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；影响范围为纵向139.6m，横向为48.52m的椭圆区域，面积为5319.81m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污染中心点总锑最大浓度为0.0117mg/L，大于标准限值0.0050mg/L。超标范围为纵向58.42m，横向20.24m的椭圆区域，面积为928.67m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；影响范围为纵向138.06m，横向为47.82m的椭圆区域，面积为5185.22m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表5.3-10泄漏1000d后COD影响浓度预测表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31.04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21.73</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21.73</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240.39</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267.28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w:t>
            </w:r>
            <w:r>
              <w:rPr>
                <w:rFonts w:hint="eastAsia" w:cs="Times New Roman"/>
                <w:b w:val="0"/>
                <w:bCs w:val="0"/>
                <w:spacing w:val="0"/>
                <w:kern w:val="2"/>
                <w:position w:val="0"/>
                <w:sz w:val="21"/>
                <w:szCs w:val="21"/>
                <w:vertAlign w:val="baseline"/>
                <w:lang w:val="en-US" w:eastAsia="zh-CN" w:bidi="ar-SA"/>
              </w:rPr>
              <w:t>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w:t>
            </w:r>
            <w:r>
              <w:rPr>
                <w:rFonts w:hint="eastAsia" w:cs="Times New Roman"/>
                <w:b w:val="0"/>
                <w:bCs w:val="0"/>
                <w:spacing w:val="0"/>
                <w:kern w:val="2"/>
                <w:position w:val="0"/>
                <w:sz w:val="21"/>
                <w:szCs w:val="21"/>
                <w:vertAlign w:val="baseline"/>
                <w:lang w:val="en-US" w:eastAsia="zh-CN" w:bidi="ar-SA"/>
              </w:rPr>
              <w:t>6</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330.00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153.46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392.72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w:t>
            </w:r>
            <w:r>
              <w:rPr>
                <w:rFonts w:hint="eastAsia" w:cs="Times New Roman"/>
                <w:b w:val="0"/>
                <w:bCs w:val="0"/>
                <w:spacing w:val="0"/>
                <w:kern w:val="2"/>
                <w:position w:val="0"/>
                <w:sz w:val="21"/>
                <w:szCs w:val="21"/>
                <w:vertAlign w:val="baseline"/>
                <w:lang w:val="en-US" w:eastAsia="zh-CN" w:bidi="ar-SA"/>
              </w:rPr>
              <w:t>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w:t>
            </w:r>
            <w:r>
              <w:rPr>
                <w:rFonts w:hint="eastAsia" w:cs="Times New Roman"/>
                <w:b w:val="0"/>
                <w:bCs w:val="0"/>
                <w:spacing w:val="0"/>
                <w:kern w:val="2"/>
                <w:position w:val="0"/>
                <w:sz w:val="21"/>
                <w:szCs w:val="21"/>
                <w:vertAlign w:val="baseline"/>
                <w:lang w:val="en-US" w:eastAsia="zh-CN" w:bidi="ar-SA"/>
              </w:rPr>
              <w:t>6</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419.61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表5.3-11泄漏1000d后氨氮影响浓度预测表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24.26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-10.93</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10.93</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24.26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260.20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299.01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0.18</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330.00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1.31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360.99</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0.18</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399.80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表5.3-12泄漏1000d后总锑影响浓度预测表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23.91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10.12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10.12</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260.97</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300.79</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0.0021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0.0021</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330.00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0.0117</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359.21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0.0021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0.0021</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399.03</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（3）泄露发生后3650d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高浓度废水调节池防渗层破裂发生渗漏3650d后COD、氨氮、总锑影响程度预测结果见表5.3-13~表5.3-15。根据预测表可以看出，发生瞬时泄漏3650d后污染中心发生纵向运移，向下游运移距离约1204.50m。</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污染中心点COD最大浓度为42.04mg/L，大于标准限值3mg/L。超标范围为纵向196.32m，横向68.00m的椭圆区域，面积为10484.88m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；影响范围为纵向313.56m，横向为108.62m的椭圆区域，面积为26749.79m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污染中心点氨氮最大浓度为0.36mg/L，小于标准限值0.5mg/L，无超标范围。</w:t>
      </w:r>
      <w:r>
        <w:rPr>
          <w:rFonts w:hint="eastAsia" w:cs="Times New Roman"/>
          <w:b w:val="0"/>
          <w:bCs w:val="0"/>
          <w:spacing w:val="0"/>
          <w:kern w:val="2"/>
          <w:position w:val="0"/>
          <w:sz w:val="24"/>
          <w:szCs w:val="24"/>
          <w:vertAlign w:val="baseline"/>
          <w:lang w:val="en-US" w:eastAsia="zh-CN" w:bidi="ar-SA"/>
        </w:rPr>
        <w:t>影响范围为纵向228.56m，横向为79.16m的椭圆区域，面积为14210.06m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污染中心点总锑最大浓度为0.0032mg/L，小于标准限值0.0050mg/L，无超标范围。</w:t>
      </w:r>
      <w:r>
        <w:rPr>
          <w:rFonts w:hint="eastAsia" w:cs="Times New Roman"/>
          <w:b w:val="0"/>
          <w:bCs w:val="0"/>
          <w:spacing w:val="0"/>
          <w:kern w:val="2"/>
          <w:position w:val="0"/>
          <w:sz w:val="24"/>
          <w:szCs w:val="24"/>
          <w:vertAlign w:val="baseline"/>
          <w:lang w:val="en-US" w:eastAsia="zh-CN" w:bidi="ar-SA"/>
        </w:rPr>
        <w:t>影响范围为纵向225.10m，横向为77.98m的椭圆区域，面积为13786.33m</w:t>
      </w:r>
      <w:r>
        <w:rPr>
          <w:rFonts w:hint="eastAsia" w:cs="Times New Roman"/>
          <w:b w:val="0"/>
          <w:bCs w:val="0"/>
          <w:spacing w:val="0"/>
          <w:kern w:val="2"/>
          <w:position w:val="0"/>
          <w:sz w:val="24"/>
          <w:szCs w:val="24"/>
          <w:vertAlign w:val="superscript"/>
          <w:lang w:val="en-US" w:eastAsia="zh-CN" w:bidi="ar-SA"/>
        </w:rPr>
        <w:t>2</w:t>
      </w:r>
      <w:r>
        <w:rPr>
          <w:rFonts w:hint="eastAsia" w:cs="Times New Roman"/>
          <w:b w:val="0"/>
          <w:bCs w:val="0"/>
          <w:spacing w:val="0"/>
          <w:kern w:val="2"/>
          <w:position w:val="0"/>
          <w:sz w:val="24"/>
          <w:szCs w:val="24"/>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表5.3-13泄漏3650d后COD影响浓度预测表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54.31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34.00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34.00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54.31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1047.72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1106.34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0.21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0.21</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1204.50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42.04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1302.66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0.21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0.21</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1361.28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表5.3-14泄漏3650d后氨氮影响浓度预测表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39.58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20.00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39.58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1090.22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1149.00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0.06</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1204.50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0.36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0.14</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1260.00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0.15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0.06</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1318.78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表5.3-15泄漏3650d后总锑影响浓度预测表   单位：mg/L</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距离</w:t>
            </w:r>
          </w:p>
        </w:tc>
        <w:tc>
          <w:tcPr>
            <w:tcW w:w="6361" w:type="dxa"/>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横向（m）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44" w:type="dxa"/>
            <w:gridSpan w:val="2"/>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38.99</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eastAsia" w:cs="Times New Roman"/>
                <w:b w:val="0"/>
                <w:bCs w:val="0"/>
                <w:spacing w:val="0"/>
                <w:kern w:val="2"/>
                <w:position w:val="0"/>
                <w:sz w:val="21"/>
                <w:szCs w:val="21"/>
                <w:vertAlign w:val="baseline"/>
                <w:lang w:val="en-US" w:eastAsia="zh-CN" w:bidi="ar-SA"/>
              </w:rPr>
              <w:t>20.00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38.99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纵向（m）</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1091.95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1149.00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0.0014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0.0006</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1204.50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0.0013</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0.0032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0.0013</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1260.00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0.0006</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0.0014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0.0006</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1317.05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0.0001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0.00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（4）污染物迁移变化规律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根据表5.4-1</w:t>
      </w:r>
      <w:r>
        <w:rPr>
          <w:rFonts w:hint="eastAsia" w:cs="Times New Roman"/>
          <w:b w:val="0"/>
          <w:bCs w:val="0"/>
          <w:spacing w:val="0"/>
          <w:kern w:val="2"/>
          <w:position w:val="0"/>
          <w:sz w:val="24"/>
          <w:szCs w:val="24"/>
          <w:lang w:val="en-US" w:eastAsia="zh-CN" w:bidi="ar-SA"/>
        </w:rPr>
        <w:t>6</w:t>
      </w:r>
      <w:r>
        <w:rPr>
          <w:rFonts w:hint="default" w:ascii="Times New Roman" w:hAnsi="Times New Roman" w:eastAsia="宋体" w:cs="Times New Roman"/>
          <w:b w:val="0"/>
          <w:bCs w:val="0"/>
          <w:spacing w:val="0"/>
          <w:kern w:val="2"/>
          <w:position w:val="0"/>
          <w:sz w:val="24"/>
          <w:szCs w:val="24"/>
          <w:lang w:val="en-US" w:eastAsia="zh-CN" w:bidi="ar-SA"/>
        </w:rPr>
        <w:t>可以看出，在本次预测设定的事故情景下，高浓度废水池防渗层破裂导致废水发生渗漏100d、1000d、3650d的COD超标范围不断扩大，分别为</w:t>
      </w:r>
      <w:r>
        <w:rPr>
          <w:rFonts w:hint="eastAsia" w:cs="Times New Roman"/>
          <w:b w:val="0"/>
          <w:bCs w:val="0"/>
          <w:spacing w:val="0"/>
          <w:kern w:val="2"/>
          <w:position w:val="0"/>
          <w:sz w:val="24"/>
          <w:szCs w:val="24"/>
          <w:lang w:val="en-US" w:eastAsia="zh-CN" w:bidi="ar-SA"/>
        </w:rPr>
        <w:t>678.83</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4281.69</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和</w:t>
      </w:r>
      <w:r>
        <w:rPr>
          <w:rFonts w:hint="eastAsia" w:cs="Times New Roman"/>
          <w:b w:val="0"/>
          <w:bCs w:val="0"/>
          <w:spacing w:val="0"/>
          <w:kern w:val="2"/>
          <w:position w:val="0"/>
          <w:sz w:val="24"/>
          <w:szCs w:val="24"/>
          <w:lang w:val="en-US" w:eastAsia="zh-CN" w:bidi="ar-SA"/>
        </w:rPr>
        <w:t>10484.88</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；发生渗漏</w:t>
      </w:r>
      <w:r>
        <w:rPr>
          <w:rFonts w:hint="eastAsia" w:cs="Times New Roman"/>
          <w:b w:val="0"/>
          <w:bCs w:val="0"/>
          <w:spacing w:val="0"/>
          <w:kern w:val="2"/>
          <w:position w:val="0"/>
          <w:sz w:val="24"/>
          <w:szCs w:val="24"/>
          <w:lang w:val="en-US" w:eastAsia="zh-CN" w:bidi="ar-SA"/>
        </w:rPr>
        <w:t>后</w:t>
      </w:r>
      <w:r>
        <w:rPr>
          <w:rFonts w:hint="default" w:ascii="Times New Roman" w:hAnsi="Times New Roman" w:eastAsia="宋体" w:cs="Times New Roman"/>
          <w:b w:val="0"/>
          <w:bCs w:val="0"/>
          <w:spacing w:val="0"/>
          <w:kern w:val="2"/>
          <w:position w:val="0"/>
          <w:sz w:val="24"/>
          <w:szCs w:val="24"/>
          <w:lang w:val="en-US" w:eastAsia="zh-CN" w:bidi="ar-SA"/>
        </w:rPr>
        <w:t>100d、1000d的氨氮超标范围为</w:t>
      </w:r>
      <w:r>
        <w:rPr>
          <w:rFonts w:hint="eastAsia" w:cs="Times New Roman"/>
          <w:b w:val="0"/>
          <w:bCs w:val="0"/>
          <w:spacing w:val="0"/>
          <w:kern w:val="2"/>
          <w:position w:val="0"/>
          <w:sz w:val="24"/>
          <w:szCs w:val="24"/>
          <w:lang w:val="en-US" w:eastAsia="zh-CN" w:bidi="ar-SA"/>
        </w:rPr>
        <w:t>354.61</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1064.12</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，3650d后无氨氮超标范围</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发生渗漏</w:t>
      </w:r>
      <w:r>
        <w:rPr>
          <w:rFonts w:hint="eastAsia" w:cs="Times New Roman"/>
          <w:b w:val="0"/>
          <w:bCs w:val="0"/>
          <w:spacing w:val="0"/>
          <w:kern w:val="2"/>
          <w:position w:val="0"/>
          <w:sz w:val="24"/>
          <w:szCs w:val="24"/>
          <w:lang w:val="en-US" w:eastAsia="zh-CN" w:bidi="ar-SA"/>
        </w:rPr>
        <w:t>后</w:t>
      </w:r>
      <w:r>
        <w:rPr>
          <w:rFonts w:hint="default" w:ascii="Times New Roman" w:hAnsi="Times New Roman" w:eastAsia="宋体" w:cs="Times New Roman"/>
          <w:b w:val="0"/>
          <w:bCs w:val="0"/>
          <w:spacing w:val="0"/>
          <w:kern w:val="2"/>
          <w:position w:val="0"/>
          <w:sz w:val="24"/>
          <w:szCs w:val="24"/>
          <w:lang w:val="en-US" w:eastAsia="zh-CN" w:bidi="ar-SA"/>
        </w:rPr>
        <w:t>100d、1000d的</w:t>
      </w:r>
      <w:r>
        <w:rPr>
          <w:rFonts w:hint="eastAsia" w:cs="Times New Roman"/>
          <w:b w:val="0"/>
          <w:bCs w:val="0"/>
          <w:spacing w:val="0"/>
          <w:kern w:val="2"/>
          <w:position w:val="0"/>
          <w:sz w:val="24"/>
          <w:szCs w:val="24"/>
          <w:lang w:val="en-US" w:eastAsia="zh-CN" w:bidi="ar-SA"/>
        </w:rPr>
        <w:t>总锑</w:t>
      </w:r>
      <w:r>
        <w:rPr>
          <w:rFonts w:hint="default" w:ascii="Times New Roman" w:hAnsi="Times New Roman" w:eastAsia="宋体" w:cs="Times New Roman"/>
          <w:b w:val="0"/>
          <w:bCs w:val="0"/>
          <w:spacing w:val="0"/>
          <w:kern w:val="2"/>
          <w:position w:val="0"/>
          <w:sz w:val="24"/>
          <w:szCs w:val="24"/>
          <w:lang w:val="en-US" w:eastAsia="zh-CN" w:bidi="ar-SA"/>
        </w:rPr>
        <w:t>超标范围为</w:t>
      </w:r>
      <w:r>
        <w:rPr>
          <w:rFonts w:hint="eastAsia" w:cs="Times New Roman"/>
          <w:b w:val="0"/>
          <w:bCs w:val="0"/>
          <w:spacing w:val="0"/>
          <w:kern w:val="2"/>
          <w:position w:val="0"/>
          <w:sz w:val="24"/>
          <w:szCs w:val="24"/>
          <w:lang w:val="en-US" w:eastAsia="zh-CN" w:bidi="ar-SA"/>
        </w:rPr>
        <w:t>343.14</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928.67</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，3650d后无</w:t>
      </w:r>
      <w:r>
        <w:rPr>
          <w:rFonts w:hint="eastAsia" w:cs="Times New Roman"/>
          <w:b w:val="0"/>
          <w:bCs w:val="0"/>
          <w:spacing w:val="0"/>
          <w:kern w:val="2"/>
          <w:position w:val="0"/>
          <w:sz w:val="24"/>
          <w:szCs w:val="24"/>
          <w:lang w:val="en-US" w:eastAsia="zh-CN" w:bidi="ar-SA"/>
        </w:rPr>
        <w:t>总锑</w:t>
      </w:r>
      <w:r>
        <w:rPr>
          <w:rFonts w:hint="default" w:ascii="Times New Roman" w:hAnsi="Times New Roman" w:eastAsia="宋体" w:cs="Times New Roman"/>
          <w:b w:val="0"/>
          <w:bCs w:val="0"/>
          <w:spacing w:val="0"/>
          <w:kern w:val="2"/>
          <w:position w:val="0"/>
          <w:sz w:val="24"/>
          <w:szCs w:val="24"/>
          <w:lang w:val="en-US" w:eastAsia="zh-CN" w:bidi="ar-SA"/>
        </w:rPr>
        <w:t>超标范围。</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表5.3-15废水泄漏主要污染物影响预测结果</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004"/>
        <w:gridCol w:w="890"/>
        <w:gridCol w:w="890"/>
        <w:gridCol w:w="899"/>
        <w:gridCol w:w="891"/>
        <w:gridCol w:w="891"/>
        <w:gridCol w:w="891"/>
        <w:gridCol w:w="891"/>
        <w:gridCol w:w="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预测</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年限</w:t>
            </w:r>
          </w:p>
        </w:tc>
        <w:tc>
          <w:tcPr>
            <w:tcW w:w="2670"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COD超标范围</w:t>
            </w:r>
          </w:p>
        </w:tc>
        <w:tc>
          <w:tcPr>
            <w:tcW w:w="2672"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氨氮超标范围</w:t>
            </w:r>
          </w:p>
        </w:tc>
        <w:tc>
          <w:tcPr>
            <w:tcW w:w="2673"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总锑超标范围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面积（m</w:t>
            </w:r>
            <w:r>
              <w:rPr>
                <w:rFonts w:hint="eastAsia" w:cs="Times New Roman"/>
                <w:b w:val="0"/>
                <w:bCs w:val="0"/>
                <w:spacing w:val="0"/>
                <w:kern w:val="2"/>
                <w:position w:val="0"/>
                <w:sz w:val="21"/>
                <w:szCs w:val="21"/>
                <w:vertAlign w:val="superscript"/>
                <w:lang w:val="en-US" w:eastAsia="zh-CN" w:bidi="ar-SA"/>
              </w:rPr>
              <w:t>2</w:t>
            </w:r>
            <w:r>
              <w:rPr>
                <w:rFonts w:hint="eastAsia" w:cs="Times New Roman"/>
                <w:b w:val="0"/>
                <w:bCs w:val="0"/>
                <w:spacing w:val="0"/>
                <w:kern w:val="2"/>
                <w:position w:val="0"/>
                <w:sz w:val="21"/>
                <w:szCs w:val="21"/>
                <w:vertAlign w:val="baseline"/>
                <w:lang w:val="en-US" w:eastAsia="zh-CN" w:bidi="ar-SA"/>
              </w:rPr>
              <w:t>）</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横向（m）</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纵向（m）</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面积（m</w:t>
            </w:r>
            <w:r>
              <w:rPr>
                <w:rFonts w:hint="eastAsia" w:cs="Times New Roman"/>
                <w:b w:val="0"/>
                <w:bCs w:val="0"/>
                <w:spacing w:val="0"/>
                <w:kern w:val="2"/>
                <w:position w:val="0"/>
                <w:sz w:val="21"/>
                <w:szCs w:val="21"/>
                <w:vertAlign w:val="superscript"/>
                <w:lang w:val="en-US" w:eastAsia="zh-CN" w:bidi="ar-SA"/>
              </w:rPr>
              <w:t>2</w:t>
            </w:r>
            <w:r>
              <w:rPr>
                <w:rFonts w:hint="eastAsia" w:cs="Times New Roman"/>
                <w:b w:val="0"/>
                <w:bCs w:val="0"/>
                <w:spacing w:val="0"/>
                <w:kern w:val="2"/>
                <w:position w:val="0"/>
                <w:sz w:val="21"/>
                <w:szCs w:val="21"/>
                <w:vertAlign w:val="baseline"/>
                <w:lang w:val="en-US" w:eastAsia="zh-CN" w:bidi="ar-SA"/>
              </w:rPr>
              <w:t>）</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横向（m）</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纵向（m）</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面积（m</w:t>
            </w:r>
            <w:r>
              <w:rPr>
                <w:rFonts w:hint="eastAsia" w:cs="Times New Roman"/>
                <w:b w:val="0"/>
                <w:bCs w:val="0"/>
                <w:spacing w:val="0"/>
                <w:kern w:val="2"/>
                <w:position w:val="0"/>
                <w:sz w:val="21"/>
                <w:szCs w:val="21"/>
                <w:vertAlign w:val="superscript"/>
                <w:lang w:val="en-US" w:eastAsia="zh-CN" w:bidi="ar-SA"/>
              </w:rPr>
              <w:t>2</w:t>
            </w:r>
            <w:r>
              <w:rPr>
                <w:rFonts w:hint="eastAsia" w:cs="Times New Roman"/>
                <w:b w:val="0"/>
                <w:bCs w:val="0"/>
                <w:spacing w:val="0"/>
                <w:kern w:val="2"/>
                <w:position w:val="0"/>
                <w:sz w:val="21"/>
                <w:szCs w:val="21"/>
                <w:vertAlign w:val="baseline"/>
                <w:lang w:val="en-US" w:eastAsia="zh-CN" w:bidi="ar-SA"/>
              </w:rPr>
              <w:t>）</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横向（m）</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纵向（m）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100d</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678.83</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17.30</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49.96</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354.61</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12.50</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36.12</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343.14</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12.30</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35.52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1000d</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4281.69</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43.46</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125.44</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1064.12</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21.86</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61.98</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928.67</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20.24</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58.42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3650d</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10484.88</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68.00</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196.32</w:t>
            </w:r>
          </w:p>
        </w:tc>
        <w:tc>
          <w:tcPr>
            <w:tcW w:w="89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w:t>
            </w:r>
          </w:p>
        </w:tc>
        <w:tc>
          <w:tcPr>
            <w:tcW w:w="89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5.3.4地下水环境影响预测小结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（1）本项目选址位于可门经济开发区规划工业用地内，项目所在区域地下水下游无生活供水水源地准保护区以及以外的补给区，无分散居民饮用水源分布。因此根据《环境影响评价技术导则 地下水》（HJ610-2016）判定，本项目地下水环境敏感程度为</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不敏感</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，其地下水环境影响评价工作等级为二级</w:t>
      </w:r>
      <w:r>
        <w:rPr>
          <w:rFonts w:hint="eastAsia" w:cs="Times New Roman"/>
          <w:b w:val="0"/>
          <w:bCs w:val="0"/>
          <w:spacing w:val="0"/>
          <w:kern w:val="2"/>
          <w:position w:val="0"/>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2）本项目易发生地下水污染的生产单位按要求采取了防渗、防腐等措施，正常状况下不会出现污染物泄漏进入地下水的情况，本次评价仅对非正常状况情景进行预测。在本次预测设定的事故情景下，高浓度废水池防渗层破裂导致废水发生渗漏100d、1000d、3650d的COD超标范围不断扩大，分别为</w:t>
      </w:r>
      <w:r>
        <w:rPr>
          <w:rFonts w:hint="eastAsia" w:cs="Times New Roman"/>
          <w:b w:val="0"/>
          <w:bCs w:val="0"/>
          <w:spacing w:val="0"/>
          <w:kern w:val="2"/>
          <w:position w:val="0"/>
          <w:sz w:val="24"/>
          <w:szCs w:val="24"/>
          <w:lang w:val="en-US" w:eastAsia="zh-CN" w:bidi="ar-SA"/>
        </w:rPr>
        <w:t>678.83</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4281.69</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和</w:t>
      </w:r>
      <w:r>
        <w:rPr>
          <w:rFonts w:hint="eastAsia" w:cs="Times New Roman"/>
          <w:b w:val="0"/>
          <w:bCs w:val="0"/>
          <w:spacing w:val="0"/>
          <w:kern w:val="2"/>
          <w:position w:val="0"/>
          <w:sz w:val="24"/>
          <w:szCs w:val="24"/>
          <w:lang w:val="en-US" w:eastAsia="zh-CN" w:bidi="ar-SA"/>
        </w:rPr>
        <w:t>10484.88</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；发生渗漏</w:t>
      </w:r>
      <w:r>
        <w:rPr>
          <w:rFonts w:hint="eastAsia" w:cs="Times New Roman"/>
          <w:b w:val="0"/>
          <w:bCs w:val="0"/>
          <w:spacing w:val="0"/>
          <w:kern w:val="2"/>
          <w:position w:val="0"/>
          <w:sz w:val="24"/>
          <w:szCs w:val="24"/>
          <w:lang w:val="en-US" w:eastAsia="zh-CN" w:bidi="ar-SA"/>
        </w:rPr>
        <w:t>后</w:t>
      </w:r>
      <w:r>
        <w:rPr>
          <w:rFonts w:hint="default" w:ascii="Times New Roman" w:hAnsi="Times New Roman" w:eastAsia="宋体" w:cs="Times New Roman"/>
          <w:b w:val="0"/>
          <w:bCs w:val="0"/>
          <w:spacing w:val="0"/>
          <w:kern w:val="2"/>
          <w:position w:val="0"/>
          <w:sz w:val="24"/>
          <w:szCs w:val="24"/>
          <w:lang w:val="en-US" w:eastAsia="zh-CN" w:bidi="ar-SA"/>
        </w:rPr>
        <w:t>100d、1000d的氨氮超标范围为</w:t>
      </w:r>
      <w:r>
        <w:rPr>
          <w:rFonts w:hint="eastAsia" w:cs="Times New Roman"/>
          <w:b w:val="0"/>
          <w:bCs w:val="0"/>
          <w:spacing w:val="0"/>
          <w:kern w:val="2"/>
          <w:position w:val="0"/>
          <w:sz w:val="24"/>
          <w:szCs w:val="24"/>
          <w:lang w:val="en-US" w:eastAsia="zh-CN" w:bidi="ar-SA"/>
        </w:rPr>
        <w:t>354.61</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1064.12</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，3650d后无氨氮超标范围</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发生渗漏</w:t>
      </w:r>
      <w:r>
        <w:rPr>
          <w:rFonts w:hint="eastAsia" w:cs="Times New Roman"/>
          <w:b w:val="0"/>
          <w:bCs w:val="0"/>
          <w:spacing w:val="0"/>
          <w:kern w:val="2"/>
          <w:position w:val="0"/>
          <w:sz w:val="24"/>
          <w:szCs w:val="24"/>
          <w:lang w:val="en-US" w:eastAsia="zh-CN" w:bidi="ar-SA"/>
        </w:rPr>
        <w:t>后</w:t>
      </w:r>
      <w:r>
        <w:rPr>
          <w:rFonts w:hint="default" w:ascii="Times New Roman" w:hAnsi="Times New Roman" w:eastAsia="宋体" w:cs="Times New Roman"/>
          <w:b w:val="0"/>
          <w:bCs w:val="0"/>
          <w:spacing w:val="0"/>
          <w:kern w:val="2"/>
          <w:position w:val="0"/>
          <w:sz w:val="24"/>
          <w:szCs w:val="24"/>
          <w:lang w:val="en-US" w:eastAsia="zh-CN" w:bidi="ar-SA"/>
        </w:rPr>
        <w:t>100d、1000d的</w:t>
      </w:r>
      <w:r>
        <w:rPr>
          <w:rFonts w:hint="eastAsia" w:cs="Times New Roman"/>
          <w:b w:val="0"/>
          <w:bCs w:val="0"/>
          <w:spacing w:val="0"/>
          <w:kern w:val="2"/>
          <w:position w:val="0"/>
          <w:sz w:val="24"/>
          <w:szCs w:val="24"/>
          <w:lang w:val="en-US" w:eastAsia="zh-CN" w:bidi="ar-SA"/>
        </w:rPr>
        <w:t>总锑</w:t>
      </w:r>
      <w:r>
        <w:rPr>
          <w:rFonts w:hint="default" w:ascii="Times New Roman" w:hAnsi="Times New Roman" w:eastAsia="宋体" w:cs="Times New Roman"/>
          <w:b w:val="0"/>
          <w:bCs w:val="0"/>
          <w:spacing w:val="0"/>
          <w:kern w:val="2"/>
          <w:position w:val="0"/>
          <w:sz w:val="24"/>
          <w:szCs w:val="24"/>
          <w:lang w:val="en-US" w:eastAsia="zh-CN" w:bidi="ar-SA"/>
        </w:rPr>
        <w:t>超标范围为</w:t>
      </w:r>
      <w:r>
        <w:rPr>
          <w:rFonts w:hint="eastAsia" w:cs="Times New Roman"/>
          <w:b w:val="0"/>
          <w:bCs w:val="0"/>
          <w:spacing w:val="0"/>
          <w:kern w:val="2"/>
          <w:position w:val="0"/>
          <w:sz w:val="24"/>
          <w:szCs w:val="24"/>
          <w:lang w:val="en-US" w:eastAsia="zh-CN" w:bidi="ar-SA"/>
        </w:rPr>
        <w:t>343.14</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928.67</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，3650d后无</w:t>
      </w:r>
      <w:r>
        <w:rPr>
          <w:rFonts w:hint="eastAsia" w:cs="Times New Roman"/>
          <w:b w:val="0"/>
          <w:bCs w:val="0"/>
          <w:spacing w:val="0"/>
          <w:kern w:val="2"/>
          <w:position w:val="0"/>
          <w:sz w:val="24"/>
          <w:szCs w:val="24"/>
          <w:lang w:val="en-US" w:eastAsia="zh-CN" w:bidi="ar-SA"/>
        </w:rPr>
        <w:t>总锑</w:t>
      </w:r>
      <w:r>
        <w:rPr>
          <w:rFonts w:hint="default" w:ascii="Times New Roman" w:hAnsi="Times New Roman" w:eastAsia="宋体" w:cs="Times New Roman"/>
          <w:b w:val="0"/>
          <w:bCs w:val="0"/>
          <w:spacing w:val="0"/>
          <w:kern w:val="2"/>
          <w:position w:val="0"/>
          <w:sz w:val="24"/>
          <w:szCs w:val="24"/>
          <w:lang w:val="en-US" w:eastAsia="zh-CN" w:bidi="ar-SA"/>
        </w:rPr>
        <w:t>超标范围</w:t>
      </w:r>
      <w:r>
        <w:rPr>
          <w:rFonts w:hint="eastAsia"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（3）地下水污染具有隐蔽性和难以逆转性，一旦受污染，治理及恢复的成本很高，难度很大。因此建设单位要按照</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源头控制、分区防控、污染监控、应急响应</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的原则，严格落实本次评价提出的地下水污染防治措施。项目生产装置区、废水调节池、仓库、固废暂存库、污水管道、事故应急池等要严格按照《环境影响评价技术导则 地下水环境》（HJ610-2016）的相关要求设置防渗层，采用防水、防腐、防冲击、耐磨的面层材料，杜绝地下水污染事故的发生</w:t>
      </w:r>
      <w:r>
        <w:rPr>
          <w:rFonts w:hint="eastAsia" w:cs="Times New Roman"/>
          <w:b w:val="0"/>
          <w:bCs w:val="0"/>
          <w:spacing w:val="0"/>
          <w:kern w:val="2"/>
          <w:positio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bCs/>
          <w:spacing w:val="0"/>
          <w:position w:val="0"/>
          <w:sz w:val="30"/>
          <w:szCs w:val="30"/>
          <w:lang w:val="en-US" w:eastAsia="zh-CN"/>
        </w:rPr>
      </w:pPr>
      <w:r>
        <w:rPr>
          <w:rFonts w:hint="eastAsia"/>
          <w:b/>
          <w:bCs/>
          <w:spacing w:val="0"/>
          <w:position w:val="0"/>
          <w:sz w:val="30"/>
          <w:szCs w:val="30"/>
          <w:lang w:val="en-US" w:eastAsia="zh-CN"/>
        </w:rPr>
        <w:t>5.4声环境影响预测与评价</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5.4.1噪声源分析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根据上述生产过程及工程污染源分析，本项目的噪声源主要来自定型机、染色机、经编机等生产设备的运转噪声。噪声源强约70~90dB(A)，本项目产生噪声的设备主要置于封闭车间内，并通过设备的优化选型和采取有效的隔声、减震等综合降噪措施控制噪声传播。本项目主要噪声源的设备噪声源强如表5.4-1所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表5.4-1</w:t>
      </w:r>
      <w:r>
        <w:rPr>
          <w:rFonts w:hint="default" w:ascii="Times New Roman" w:hAnsi="Times New Roman" w:eastAsia="宋体" w:cs="Times New Roman"/>
          <w:b/>
          <w:bCs/>
          <w:spacing w:val="0"/>
          <w:kern w:val="2"/>
          <w:position w:val="0"/>
          <w:sz w:val="24"/>
          <w:szCs w:val="24"/>
          <w:lang w:val="en-US" w:eastAsia="zh-CN" w:bidi="ar-SA"/>
        </w:rPr>
        <w:t>主要设备噪声源强及分布情况一览表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3"/>
        <w:gridCol w:w="678"/>
        <w:gridCol w:w="548"/>
        <w:gridCol w:w="1889"/>
        <w:gridCol w:w="592"/>
        <w:gridCol w:w="721"/>
        <w:gridCol w:w="1108"/>
        <w:gridCol w:w="1848"/>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blHeader/>
          <w:jc w:val="center"/>
        </w:trPr>
        <w:tc>
          <w:tcPr>
            <w:tcW w:w="1061"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建筑物</w:t>
            </w:r>
          </w:p>
        </w:tc>
        <w:tc>
          <w:tcPr>
            <w:tcW w:w="54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序号</w:t>
            </w:r>
          </w:p>
        </w:tc>
        <w:tc>
          <w:tcPr>
            <w:tcW w:w="188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设备名称</w:t>
            </w:r>
          </w:p>
        </w:tc>
        <w:tc>
          <w:tcPr>
            <w:tcW w:w="59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设备数量</w:t>
            </w:r>
          </w:p>
        </w:tc>
        <w:tc>
          <w:tcPr>
            <w:tcW w:w="72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声源类型</w:t>
            </w:r>
          </w:p>
        </w:tc>
        <w:tc>
          <w:tcPr>
            <w:tcW w:w="110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声源表达量/dB（A）</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blHeader/>
          <w:jc w:val="center"/>
        </w:trPr>
        <w:tc>
          <w:tcPr>
            <w:tcW w:w="1061"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pacing w:val="0"/>
                <w:position w:val="0"/>
              </w:rPr>
            </w:pPr>
          </w:p>
        </w:tc>
        <w:tc>
          <w:tcPr>
            <w:tcW w:w="5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pacing w:val="0"/>
                <w:position w:val="0"/>
              </w:rPr>
            </w:pPr>
          </w:p>
        </w:tc>
        <w:tc>
          <w:tcPr>
            <w:tcW w:w="188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pacing w:val="0"/>
                <w:position w:val="0"/>
              </w:rPr>
            </w:pPr>
          </w:p>
        </w:tc>
        <w:tc>
          <w:tcPr>
            <w:tcW w:w="5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pacing w:val="0"/>
                <w:position w:val="0"/>
              </w:rPr>
            </w:pPr>
          </w:p>
        </w:tc>
        <w:tc>
          <w:tcPr>
            <w:tcW w:w="72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pacing w:val="0"/>
                <w:position w:val="0"/>
              </w:rPr>
            </w:pPr>
          </w:p>
        </w:tc>
        <w:tc>
          <w:tcPr>
            <w:tcW w:w="110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pacing w:val="0"/>
                <w:position w:val="0"/>
              </w:rPr>
            </w:pP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降噪</w:t>
            </w:r>
            <w:r>
              <w:rPr>
                <w:rFonts w:hint="eastAsia" w:ascii="Times New Roman" w:hAnsi="Times New Roman" w:eastAsia="宋体"/>
                <w:b/>
                <w:bCs/>
                <w:spacing w:val="0"/>
                <w:position w:val="0"/>
                <w:sz w:val="21"/>
                <w:szCs w:val="21"/>
                <w:vertAlign w:val="baseline"/>
                <w:lang w:val="en-US" w:eastAsia="zh-CN"/>
              </w:rPr>
              <w:t>工艺</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降噪效果/dB（A）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生产厂房</w:t>
            </w: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地下一层</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水泵</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10</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90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织造车间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经编机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30</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100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w:t>
            </w:r>
            <w:r>
              <w:rPr>
                <w:rFonts w:hint="eastAsia"/>
                <w:b w:val="0"/>
                <w:bCs w:val="0"/>
                <w:spacing w:val="0"/>
                <w:position w:val="0"/>
                <w:sz w:val="21"/>
                <w:szCs w:val="21"/>
                <w:vertAlign w:val="baseline"/>
                <w:lang w:val="en-US" w:eastAsia="zh-CN"/>
              </w:rPr>
              <w:t>#</w:t>
            </w:r>
            <w:r>
              <w:rPr>
                <w:rFonts w:hint="eastAsia" w:ascii="Times New Roman" w:hAnsi="Times New Roman" w:eastAsia="宋体"/>
                <w:b w:val="0"/>
                <w:bCs w:val="0"/>
                <w:spacing w:val="0"/>
                <w:position w:val="0"/>
                <w:sz w:val="21"/>
                <w:szCs w:val="21"/>
                <w:vertAlign w:val="baseline"/>
                <w:lang w:val="en-US" w:eastAsia="zh-CN"/>
              </w:rPr>
              <w:t>染色车间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3</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高温溢流染色机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60</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平幅水洗机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5</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脱水机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90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6</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理布机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7</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冷冻机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4</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b w:val="0"/>
                <w:bCs w:val="0"/>
                <w:spacing w:val="0"/>
                <w:position w:val="0"/>
                <w:sz w:val="21"/>
                <w:szCs w:val="21"/>
                <w:vertAlign w:val="baseline"/>
                <w:lang w:val="en-US" w:eastAsia="zh-CN"/>
              </w:rPr>
              <w:t>2#</w:t>
            </w:r>
            <w:r>
              <w:rPr>
                <w:rFonts w:hint="eastAsia" w:ascii="Times New Roman" w:hAnsi="Times New Roman" w:eastAsia="宋体"/>
                <w:b w:val="0"/>
                <w:bCs w:val="0"/>
                <w:spacing w:val="0"/>
                <w:position w:val="0"/>
                <w:sz w:val="21"/>
                <w:szCs w:val="21"/>
                <w:vertAlign w:val="baseline"/>
                <w:lang w:val="en-US" w:eastAsia="zh-CN"/>
              </w:rPr>
              <w:t>染色车间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8</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高温溢流染色机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60</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9</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平幅水洗机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10</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lang w:val="en-US" w:eastAsia="zh-CN"/>
              </w:rPr>
              <w:t>脱水机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90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11</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理布机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12</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b w:val="0"/>
                <w:bCs w:val="0"/>
                <w:spacing w:val="0"/>
                <w:position w:val="0"/>
                <w:sz w:val="21"/>
                <w:szCs w:val="21"/>
                <w:vertAlign w:val="baseline"/>
                <w:lang w:val="en-US" w:eastAsia="zh-CN"/>
              </w:rPr>
              <w:t>空压机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4</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90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检验车间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13</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r>
              <w:rPr>
                <w:rFonts w:hint="eastAsia" w:ascii="Times New Roman" w:hAnsi="Times New Roman" w:eastAsia="宋体"/>
                <w:b w:val="0"/>
                <w:bCs w:val="0"/>
                <w:spacing w:val="0"/>
                <w:position w:val="0"/>
                <w:sz w:val="21"/>
                <w:szCs w:val="21"/>
                <w:vertAlign w:val="baseline"/>
              </w:rPr>
              <w:t>自动包装系统</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14</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打卷机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1#定型车间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15</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7</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后整理车间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16</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拉毛机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32</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eastAsia" w:cs="Times New Roman"/>
                <w:i w:val="0"/>
                <w:iCs w:val="0"/>
                <w:color w:val="000000"/>
                <w:spacing w:val="0"/>
                <w:kern w:val="0"/>
                <w:position w:val="0"/>
                <w:sz w:val="21"/>
                <w:szCs w:val="21"/>
                <w:u w:val="none"/>
                <w:lang w:val="en-US" w:eastAsia="zh-CN" w:bidi="ar"/>
              </w:rPr>
              <w:t>17</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剪毛机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kern w:val="0"/>
                <w:position w:val="0"/>
                <w:sz w:val="21"/>
                <w:szCs w:val="21"/>
                <w:u w:val="none"/>
                <w:lang w:val="en-US" w:eastAsia="zh-CN" w:bidi="ar"/>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2#定型车间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19</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蒸化车间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eastAsia" w:cs="Times New Roman"/>
                <w:i w:val="0"/>
                <w:iCs w:val="0"/>
                <w:color w:val="000000"/>
                <w:spacing w:val="0"/>
                <w:kern w:val="0"/>
                <w:position w:val="0"/>
                <w:sz w:val="21"/>
                <w:szCs w:val="21"/>
                <w:u w:val="none"/>
                <w:lang w:val="en-US" w:eastAsia="zh-CN" w:bidi="ar"/>
              </w:rPr>
              <w:t>20</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绳装水洗机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w:t>
            </w:r>
            <w:r>
              <w:rPr>
                <w:rFonts w:hint="eastAsia" w:cs="Times New Roman"/>
                <w:i w:val="0"/>
                <w:iCs w:val="0"/>
                <w:color w:val="000000"/>
                <w:spacing w:val="0"/>
                <w:kern w:val="0"/>
                <w:position w:val="0"/>
                <w:sz w:val="21"/>
                <w:szCs w:val="21"/>
                <w:u w:val="none"/>
                <w:lang w:val="en-US" w:eastAsia="zh-CN" w:bidi="ar"/>
              </w:rPr>
              <w:t>1</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cs="宋体"/>
                <w:color w:val="000000"/>
                <w:spacing w:val="0"/>
                <w:kern w:val="0"/>
                <w:position w:val="0"/>
                <w:szCs w:val="24"/>
                <w:lang w:bidi="ar"/>
              </w:rPr>
              <w:t>印花水洗机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22</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蒸化机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印花车间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23</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数码印花机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24</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圆网印花机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3#定型车间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25</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定型机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4#定型车间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26</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定型机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7</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5#定型车间</w:t>
            </w:r>
          </w:p>
        </w:tc>
        <w:tc>
          <w:tcPr>
            <w:tcW w:w="5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27</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定型机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7</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基础减振、厂房隔声</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rPr>
            </w:pPr>
          </w:p>
        </w:tc>
        <w:tc>
          <w:tcPr>
            <w:tcW w:w="6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顶楼</w:t>
            </w:r>
          </w:p>
        </w:tc>
        <w:tc>
          <w:tcPr>
            <w:tcW w:w="5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28</w:t>
            </w:r>
          </w:p>
        </w:tc>
        <w:tc>
          <w:tcPr>
            <w:tcW w:w="18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宋体"/>
                <w:color w:val="000000"/>
                <w:spacing w:val="0"/>
                <w:kern w:val="0"/>
                <w:position w:val="0"/>
                <w:szCs w:val="24"/>
                <w:lang w:val="en-US" w:eastAsia="zh-CN" w:bidi="ar"/>
              </w:rPr>
            </w:pPr>
            <w:r>
              <w:rPr>
                <w:rFonts w:hint="eastAsia" w:cs="宋体"/>
                <w:color w:val="000000"/>
                <w:spacing w:val="0"/>
                <w:kern w:val="0"/>
                <w:position w:val="0"/>
                <w:szCs w:val="24"/>
                <w:lang w:val="en-US" w:eastAsia="zh-CN" w:bidi="ar"/>
              </w:rPr>
              <w:t>废气处理设施引风机</w:t>
            </w:r>
          </w:p>
        </w:tc>
        <w:tc>
          <w:tcPr>
            <w:tcW w:w="5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w:t>
            </w:r>
          </w:p>
        </w:tc>
        <w:tc>
          <w:tcPr>
            <w:tcW w:w="7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频发</w:t>
            </w:r>
          </w:p>
        </w:tc>
        <w:tc>
          <w:tcPr>
            <w:tcW w:w="11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80</w:t>
            </w:r>
          </w:p>
        </w:tc>
        <w:tc>
          <w:tcPr>
            <w:tcW w:w="18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基础减振</w:t>
            </w:r>
          </w:p>
        </w:tc>
        <w:tc>
          <w:tcPr>
            <w:tcW w:w="9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10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9"/>
        <w:rPr>
          <w:rFonts w:hint="eastAsia" w:cs="Times New Roman"/>
          <w:b/>
          <w:bCs/>
          <w:spacing w:val="0"/>
          <w:kern w:val="2"/>
          <w:position w:val="0"/>
          <w:sz w:val="28"/>
          <w:szCs w:val="28"/>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5.4.2预测范围、点位与评价因子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噪声预测范围为：厂区厂界外1m。由于本项目厂界200m范围内无居民区，因而本次预测评价不考虑噪声源对敏感点的影响。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预测点位：以现状监测点为预测评价点。</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预测内容：昼、夜间预测点位等效连续A声级。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5.4.3工业噪声预测模式</w:t>
      </w:r>
    </w:p>
    <w:p>
      <w:pPr>
        <w:pStyle w:val="54"/>
        <w:bidi w:val="0"/>
        <w:spacing w:line="360" w:lineRule="auto"/>
        <w:ind w:left="0" w:leftChars="0" w:firstLine="480" w:firstLineChars="200"/>
        <w:rPr>
          <w:rFonts w:hint="default" w:ascii="Times New Roman" w:hAnsi="Times New Roman" w:eastAsia="宋体" w:cs="Times New Roman"/>
          <w:color w:val="auto"/>
          <w:spacing w:val="0"/>
          <w:position w:val="0"/>
          <w:sz w:val="24"/>
          <w:szCs w:val="24"/>
        </w:rPr>
      </w:pPr>
      <w:r>
        <w:rPr>
          <w:rFonts w:hint="eastAsia"/>
          <w:b w:val="0"/>
          <w:bCs w:val="0"/>
          <w:spacing w:val="0"/>
          <w:position w:val="0"/>
          <w:sz w:val="24"/>
          <w:szCs w:val="24"/>
          <w:lang w:val="en-US" w:eastAsia="zh-CN"/>
        </w:rPr>
        <w:t>评价采用《环境影响评价技术导则——声环境》（HJ2.4-2021）推荐的工业噪声预测计算模式。</w:t>
      </w:r>
      <w:r>
        <w:rPr>
          <w:rFonts w:hint="eastAsia" w:cs="Times New Roman"/>
          <w:b w:val="0"/>
          <w:bCs w:val="0"/>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5.4.3厂界噪声预测结果</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i w:val="0"/>
          <w:spacing w:val="0"/>
          <w:position w:val="0"/>
          <w:sz w:val="24"/>
          <w:szCs w:val="24"/>
          <w:vertAlign w:val="baseline"/>
          <w:lang w:val="en-US" w:eastAsia="zh-CN"/>
        </w:rPr>
      </w:pPr>
      <w:r>
        <w:rPr>
          <w:rFonts w:hint="eastAsia" w:hAnsi="Cambria Math"/>
          <w:i w:val="0"/>
          <w:spacing w:val="0"/>
          <w:position w:val="0"/>
          <w:sz w:val="24"/>
          <w:szCs w:val="24"/>
          <w:vertAlign w:val="baseline"/>
          <w:lang w:val="en-US" w:eastAsia="zh-CN"/>
        </w:rPr>
        <w:t>根据《环境影响评价技术导则 声环境》（HJ2.4-2021），新建项目以厂界噪声贡献值作为噪声评价量。估算出项目建成运行后的厂界噪声值，具体结果见表5.4-2。</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表5.4-2噪声预测结果    单位：dB(A)</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72"/>
        <w:gridCol w:w="1272"/>
        <w:gridCol w:w="1272"/>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编号</w:t>
            </w:r>
          </w:p>
        </w:tc>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位置</w:t>
            </w:r>
          </w:p>
        </w:tc>
        <w:tc>
          <w:tcPr>
            <w:tcW w:w="127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贡献值</w:t>
            </w:r>
          </w:p>
        </w:tc>
        <w:tc>
          <w:tcPr>
            <w:tcW w:w="2544"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昼间</w:t>
            </w:r>
          </w:p>
        </w:tc>
        <w:tc>
          <w:tcPr>
            <w:tcW w:w="2545"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p>
        </w:tc>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p>
        </w:tc>
        <w:tc>
          <w:tcPr>
            <w:tcW w:w="1272"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标准值</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是否达标</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标准值</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1</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西北厂界</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50.7</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65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55</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2</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西南厂界</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53.9</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65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55</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3</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东南厂界</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51.8</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65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55</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4</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东北厂界</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49.7</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65</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c>
          <w:tcPr>
            <w:tcW w:w="127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55</w:t>
            </w:r>
          </w:p>
        </w:tc>
        <w:tc>
          <w:tcPr>
            <w:tcW w:w="1273"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i w:val="0"/>
                <w:spacing w:val="0"/>
                <w:position w:val="0"/>
                <w:sz w:val="21"/>
                <w:szCs w:val="21"/>
                <w:vertAlign w:val="baseline"/>
                <w:lang w:val="en-US" w:eastAsia="zh-CN"/>
              </w:rPr>
            </w:pPr>
            <w:r>
              <w:rPr>
                <w:rFonts w:hint="eastAsia" w:ascii="Times New Roman" w:hAnsi="Times New Roman" w:eastAsia="宋体"/>
                <w:b w:val="0"/>
                <w:bCs w:val="0"/>
                <w:i w:val="0"/>
                <w:spacing w:val="0"/>
                <w:position w:val="0"/>
                <w:sz w:val="21"/>
                <w:szCs w:val="21"/>
                <w:vertAlign w:val="baseline"/>
                <w:lang w:val="en-US" w:eastAsia="zh-CN"/>
              </w:rPr>
              <w:t>达标</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预测结果表明，在采取相应的隔声降噪措施处理后，生产过程中厂内各种设备运转产生的噪声，对厂界噪声的影响值均能满足《工业企业厂界环境噪声排放标准》（GB12348-2008）中3类标准的要求。</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bCs/>
          <w:spacing w:val="0"/>
          <w:position w:val="0"/>
          <w:sz w:val="30"/>
          <w:szCs w:val="30"/>
          <w:lang w:val="en-US" w:eastAsia="zh-CN"/>
        </w:rPr>
      </w:pPr>
      <w:r>
        <w:rPr>
          <w:rFonts w:hint="eastAsia"/>
          <w:b/>
          <w:bCs/>
          <w:spacing w:val="0"/>
          <w:position w:val="0"/>
          <w:sz w:val="30"/>
          <w:szCs w:val="30"/>
          <w:lang w:val="en-US" w:eastAsia="zh-CN"/>
        </w:rPr>
        <w:t>5.5固体废物环境影响分析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5.5.1项目固体废物产生情况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根据工程分析，本项目运营期的固体废物主要为废丝、废布及次品、普通废包装、危化品废包装、废气处理废油、废机油、化验室废液、生活垃圾等。按照《国家危险废物名录》（2021年）、《一般固体废物分类与代码》（GB/T39198-2020）对本项目产生的固体废物进行分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本项目运营期固体废物产生量、产生规律及分类统计见下表所示。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表5.5-1固体废物源强及处置情况一览表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815"/>
        <w:gridCol w:w="2070"/>
        <w:gridCol w:w="1245"/>
        <w:gridCol w:w="1610"/>
        <w:gridCol w:w="1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序号</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固废名称</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产生环节</w:t>
            </w:r>
          </w:p>
        </w:tc>
        <w:tc>
          <w:tcPr>
            <w:tcW w:w="124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产生量(t/a)</w:t>
            </w:r>
          </w:p>
        </w:tc>
        <w:tc>
          <w:tcPr>
            <w:tcW w:w="161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固废类别</w:t>
            </w:r>
          </w:p>
        </w:tc>
        <w:tc>
          <w:tcPr>
            <w:tcW w:w="148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处置方法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1</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default" w:hAnsi="Cambria Math"/>
                <w:b w:val="0"/>
                <w:bCs w:val="0"/>
                <w:i w:val="0"/>
                <w:spacing w:val="0"/>
                <w:position w:val="0"/>
                <w:sz w:val="21"/>
                <w:szCs w:val="21"/>
                <w:vertAlign w:val="baseline"/>
                <w:lang w:val="en-US" w:eastAsia="zh-CN"/>
              </w:rPr>
              <w:t>废丝、废布及次品</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default" w:hAnsi="Cambria Math"/>
                <w:b w:val="0"/>
                <w:bCs w:val="0"/>
                <w:i w:val="0"/>
                <w:spacing w:val="0"/>
                <w:position w:val="0"/>
                <w:sz w:val="21"/>
                <w:szCs w:val="21"/>
                <w:vertAlign w:val="baseline"/>
                <w:lang w:val="en-US" w:eastAsia="zh-CN"/>
              </w:rPr>
              <w:t>坯布</w:t>
            </w:r>
            <w:r>
              <w:rPr>
                <w:rFonts w:hint="eastAsia" w:hAnsi="Cambria Math"/>
                <w:b w:val="0"/>
                <w:bCs w:val="0"/>
                <w:i w:val="0"/>
                <w:spacing w:val="0"/>
                <w:position w:val="0"/>
                <w:sz w:val="21"/>
                <w:szCs w:val="21"/>
                <w:vertAlign w:val="baseline"/>
                <w:lang w:val="en-US" w:eastAsia="zh-CN"/>
              </w:rPr>
              <w:t>生产、</w:t>
            </w:r>
            <w:r>
              <w:rPr>
                <w:rFonts w:hint="default" w:hAnsi="Cambria Math"/>
                <w:b w:val="0"/>
                <w:bCs w:val="0"/>
                <w:i w:val="0"/>
                <w:spacing w:val="0"/>
                <w:position w:val="0"/>
                <w:sz w:val="21"/>
                <w:szCs w:val="21"/>
                <w:vertAlign w:val="baseline"/>
                <w:lang w:val="en-US" w:eastAsia="zh-CN"/>
              </w:rPr>
              <w:t>成品检验</w:t>
            </w:r>
          </w:p>
        </w:tc>
        <w:tc>
          <w:tcPr>
            <w:tcW w:w="1245" w:type="dxa"/>
            <w:tcBorders>
              <w:tl2br w:val="nil"/>
              <w:tr2bl w:val="nil"/>
            </w:tcBorders>
            <w:vAlign w:val="center"/>
          </w:tcPr>
          <w:p>
            <w:pPr>
              <w:keepNext w:val="0"/>
              <w:keepLines w:val="0"/>
              <w:pageBreakBefore w:val="0"/>
              <w:widowControl/>
              <w:numPr>
                <w:ilvl w:val="0"/>
                <w:numId w:val="0"/>
              </w:numPr>
              <w:tabs>
                <w:tab w:val="left" w:pos="222"/>
              </w:tabs>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633</w:t>
            </w:r>
          </w:p>
        </w:tc>
        <w:tc>
          <w:tcPr>
            <w:tcW w:w="161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default" w:hAnsi="Cambria Math"/>
                <w:b w:val="0"/>
                <w:bCs w:val="0"/>
                <w:i w:val="0"/>
                <w:spacing w:val="0"/>
                <w:position w:val="0"/>
                <w:sz w:val="21"/>
                <w:szCs w:val="21"/>
                <w:vertAlign w:val="baseline"/>
                <w:lang w:val="en-US" w:eastAsia="zh-CN"/>
              </w:rPr>
              <w:t>一般固废</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170-001-01</w:t>
            </w:r>
          </w:p>
        </w:tc>
        <w:tc>
          <w:tcPr>
            <w:tcW w:w="1485" w:type="dxa"/>
            <w:tcBorders>
              <w:tl2br w:val="nil"/>
              <w:tr2bl w:val="nil"/>
            </w:tcBorders>
            <w:vAlign w:val="center"/>
          </w:tcPr>
          <w:p>
            <w:pPr>
              <w:widowControl/>
              <w:adjustRightInd w:val="0"/>
              <w:snapToGrid w:val="0"/>
              <w:jc w:val="center"/>
              <w:rPr>
                <w:rFonts w:hint="default" w:hAnsi="Cambria Math"/>
                <w:b w:val="0"/>
                <w:bCs w:val="0"/>
                <w:i w:val="0"/>
                <w:spacing w:val="0"/>
                <w:position w:val="0"/>
                <w:sz w:val="21"/>
                <w:szCs w:val="21"/>
                <w:vertAlign w:val="baseline"/>
                <w:lang w:val="en-US" w:eastAsia="zh-CN"/>
              </w:rPr>
            </w:pPr>
            <w:r>
              <w:rPr>
                <w:rFonts w:hint="eastAsia"/>
                <w:spacing w:val="0"/>
                <w:position w:val="0"/>
                <w:szCs w:val="21"/>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2</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普通废包装</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染料助剂配置房</w:t>
            </w:r>
          </w:p>
        </w:tc>
        <w:tc>
          <w:tcPr>
            <w:tcW w:w="124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2.0</w:t>
            </w:r>
          </w:p>
        </w:tc>
        <w:tc>
          <w:tcPr>
            <w:tcW w:w="161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default" w:hAnsi="Cambria Math"/>
                <w:b w:val="0"/>
                <w:bCs w:val="0"/>
                <w:i w:val="0"/>
                <w:spacing w:val="0"/>
                <w:position w:val="0"/>
                <w:sz w:val="21"/>
                <w:szCs w:val="21"/>
                <w:vertAlign w:val="baseline"/>
                <w:lang w:val="en-US" w:eastAsia="zh-CN"/>
              </w:rPr>
              <w:t>一般固废</w:t>
            </w:r>
            <w:r>
              <w:rPr>
                <w:rFonts w:hint="eastAsia" w:hAnsi="Cambria Math"/>
                <w:b w:val="0"/>
                <w:bCs w:val="0"/>
                <w:i w:val="0"/>
                <w:spacing w:val="0"/>
                <w:position w:val="0"/>
                <w:sz w:val="21"/>
                <w:szCs w:val="21"/>
                <w:vertAlign w:val="baseline"/>
                <w:lang w:val="en-US" w:eastAsia="zh-CN"/>
              </w:rPr>
              <w:t>170-999-07</w:t>
            </w:r>
          </w:p>
        </w:tc>
        <w:tc>
          <w:tcPr>
            <w:tcW w:w="1485" w:type="dxa"/>
            <w:tcBorders>
              <w:tl2br w:val="nil"/>
              <w:tr2bl w:val="nil"/>
            </w:tcBorders>
            <w:vAlign w:val="center"/>
          </w:tcPr>
          <w:p>
            <w:pPr>
              <w:widowControl/>
              <w:adjustRightInd w:val="0"/>
              <w:snapToGrid w:val="0"/>
              <w:jc w:val="center"/>
              <w:rPr>
                <w:rFonts w:hint="default" w:hAnsi="Cambria Math"/>
                <w:b w:val="0"/>
                <w:bCs w:val="0"/>
                <w:i w:val="0"/>
                <w:spacing w:val="0"/>
                <w:position w:val="0"/>
                <w:sz w:val="21"/>
                <w:szCs w:val="21"/>
                <w:vertAlign w:val="baseline"/>
                <w:lang w:val="en-US" w:eastAsia="zh-CN"/>
              </w:rPr>
            </w:pPr>
            <w:r>
              <w:rPr>
                <w:rFonts w:hint="eastAsia"/>
                <w:spacing w:val="0"/>
                <w:position w:val="0"/>
                <w:szCs w:val="21"/>
              </w:rPr>
              <w:t>外售回收企业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3</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危化品废包装</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染料助剂配置房</w:t>
            </w:r>
          </w:p>
        </w:tc>
        <w:tc>
          <w:tcPr>
            <w:tcW w:w="124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8.1</w:t>
            </w:r>
          </w:p>
        </w:tc>
        <w:tc>
          <w:tcPr>
            <w:tcW w:w="16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HW49</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spacing w:val="0"/>
                <w:position w:val="0"/>
                <w:szCs w:val="21"/>
              </w:rPr>
              <w:t>900-041-49</w:t>
            </w:r>
          </w:p>
        </w:tc>
        <w:tc>
          <w:tcPr>
            <w:tcW w:w="1485" w:type="dxa"/>
            <w:tcBorders>
              <w:tl2br w:val="nil"/>
              <w:tr2bl w:val="nil"/>
            </w:tcBorders>
            <w:vAlign w:val="center"/>
          </w:tcPr>
          <w:p>
            <w:pPr>
              <w:widowControl w:val="0"/>
              <w:jc w:val="center"/>
              <w:rPr>
                <w:rFonts w:hint="default" w:hAnsi="Cambria Math"/>
                <w:b w:val="0"/>
                <w:bCs w:val="0"/>
                <w:i w:val="0"/>
                <w:spacing w:val="0"/>
                <w:position w:val="0"/>
                <w:sz w:val="21"/>
                <w:szCs w:val="21"/>
                <w:vertAlign w:val="baseline"/>
                <w:lang w:val="en-US" w:eastAsia="zh-CN"/>
              </w:rPr>
            </w:pPr>
            <w:r>
              <w:rPr>
                <w:rFonts w:hint="eastAsia" w:ascii="宋体" w:hAnsi="宋体"/>
                <w:spacing w:val="0"/>
                <w:position w:val="0"/>
                <w:szCs w:val="24"/>
              </w:rPr>
              <w:t>委托有资质单位进行处置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4</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废气处理废油</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default" w:hAnsi="Cambria Math"/>
                <w:b w:val="0"/>
                <w:bCs w:val="0"/>
                <w:i w:val="0"/>
                <w:spacing w:val="0"/>
                <w:position w:val="0"/>
                <w:sz w:val="21"/>
                <w:szCs w:val="21"/>
                <w:vertAlign w:val="baseline"/>
                <w:lang w:val="en-US" w:eastAsia="zh-CN"/>
              </w:rPr>
              <w:t>废气处理设施</w:t>
            </w:r>
          </w:p>
        </w:tc>
        <w:tc>
          <w:tcPr>
            <w:tcW w:w="124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598.75</w:t>
            </w:r>
          </w:p>
        </w:tc>
        <w:tc>
          <w:tcPr>
            <w:tcW w:w="16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HW08</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spacing w:val="0"/>
                <w:position w:val="0"/>
                <w:szCs w:val="21"/>
              </w:rPr>
              <w:t>900-210-08</w:t>
            </w:r>
          </w:p>
        </w:tc>
        <w:tc>
          <w:tcPr>
            <w:tcW w:w="1485" w:type="dxa"/>
            <w:tcBorders>
              <w:tl2br w:val="nil"/>
              <w:tr2bl w:val="nil"/>
            </w:tcBorders>
            <w:vAlign w:val="center"/>
          </w:tcPr>
          <w:p>
            <w:pPr>
              <w:widowControl/>
              <w:adjustRightInd w:val="0"/>
              <w:snapToGrid w:val="0"/>
              <w:jc w:val="center"/>
              <w:rPr>
                <w:rFonts w:hint="default" w:hAnsi="Cambria Math"/>
                <w:b w:val="0"/>
                <w:bCs w:val="0"/>
                <w:i w:val="0"/>
                <w:spacing w:val="0"/>
                <w:position w:val="0"/>
                <w:sz w:val="21"/>
                <w:szCs w:val="21"/>
                <w:vertAlign w:val="baseline"/>
                <w:lang w:val="en-US" w:eastAsia="zh-CN"/>
              </w:rPr>
            </w:pPr>
            <w:r>
              <w:rPr>
                <w:rFonts w:hint="eastAsia" w:ascii="宋体" w:hAnsi="宋体"/>
                <w:spacing w:val="0"/>
                <w:position w:val="0"/>
                <w:szCs w:val="24"/>
              </w:rPr>
              <w:t>委托有资质单位进行处置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5</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废机油</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设备维护</w:t>
            </w:r>
          </w:p>
        </w:tc>
        <w:tc>
          <w:tcPr>
            <w:tcW w:w="124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0.1</w:t>
            </w:r>
          </w:p>
        </w:tc>
        <w:tc>
          <w:tcPr>
            <w:tcW w:w="16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HW08</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spacing w:val="0"/>
                <w:position w:val="0"/>
                <w:szCs w:val="21"/>
              </w:rPr>
              <w:t>900-249-08</w:t>
            </w:r>
          </w:p>
        </w:tc>
        <w:tc>
          <w:tcPr>
            <w:tcW w:w="1485" w:type="dxa"/>
            <w:tcBorders>
              <w:tl2br w:val="nil"/>
              <w:tr2bl w:val="nil"/>
            </w:tcBorders>
            <w:vAlign w:val="center"/>
          </w:tcPr>
          <w:p>
            <w:pPr>
              <w:widowControl/>
              <w:adjustRightInd w:val="0"/>
              <w:snapToGrid w:val="0"/>
              <w:jc w:val="center"/>
              <w:rPr>
                <w:rFonts w:hint="default" w:hAnsi="Cambria Math"/>
                <w:b w:val="0"/>
                <w:bCs w:val="0"/>
                <w:i w:val="0"/>
                <w:spacing w:val="0"/>
                <w:position w:val="0"/>
                <w:sz w:val="21"/>
                <w:szCs w:val="21"/>
                <w:vertAlign w:val="baseline"/>
                <w:lang w:val="en-US" w:eastAsia="zh-CN"/>
              </w:rPr>
            </w:pPr>
            <w:r>
              <w:rPr>
                <w:rFonts w:hint="eastAsia" w:ascii="宋体" w:hAnsi="宋体"/>
                <w:spacing w:val="0"/>
                <w:position w:val="0"/>
                <w:szCs w:val="24"/>
              </w:rPr>
              <w:t>委托有资质单位进行处置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6</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化验室废液</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化验室检验</w:t>
            </w:r>
          </w:p>
        </w:tc>
        <w:tc>
          <w:tcPr>
            <w:tcW w:w="124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0.5</w:t>
            </w:r>
          </w:p>
        </w:tc>
        <w:tc>
          <w:tcPr>
            <w:tcW w:w="1610" w:type="dxa"/>
            <w:tcBorders>
              <w:tl2br w:val="nil"/>
              <w:tr2bl w:val="nil"/>
            </w:tcBorders>
            <w:vAlign w:val="center"/>
          </w:tcPr>
          <w:p>
            <w:pPr>
              <w:widowControl/>
              <w:adjustRightInd w:val="0"/>
              <w:snapToGrid w:val="0"/>
              <w:jc w:val="center"/>
              <w:rPr>
                <w:spacing w:val="0"/>
                <w:position w:val="0"/>
                <w:szCs w:val="21"/>
              </w:rPr>
            </w:pPr>
            <w:r>
              <w:rPr>
                <w:rFonts w:hint="eastAsia"/>
                <w:spacing w:val="0"/>
                <w:position w:val="0"/>
                <w:szCs w:val="21"/>
              </w:rPr>
              <w:t>HW49</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spacing w:val="0"/>
                <w:position w:val="0"/>
                <w:szCs w:val="21"/>
              </w:rPr>
              <w:t>900-047-49</w:t>
            </w:r>
          </w:p>
        </w:tc>
        <w:tc>
          <w:tcPr>
            <w:tcW w:w="1485" w:type="dxa"/>
            <w:tcBorders>
              <w:tl2br w:val="nil"/>
              <w:tr2bl w:val="nil"/>
            </w:tcBorders>
            <w:vAlign w:val="center"/>
          </w:tcPr>
          <w:p>
            <w:pPr>
              <w:widowControl/>
              <w:adjustRightInd w:val="0"/>
              <w:snapToGrid w:val="0"/>
              <w:jc w:val="center"/>
              <w:rPr>
                <w:rFonts w:hint="default" w:hAnsi="Cambria Math"/>
                <w:b w:val="0"/>
                <w:bCs w:val="0"/>
                <w:i w:val="0"/>
                <w:spacing w:val="0"/>
                <w:position w:val="0"/>
                <w:sz w:val="21"/>
                <w:szCs w:val="21"/>
                <w:vertAlign w:val="baseline"/>
                <w:lang w:val="en-US" w:eastAsia="zh-CN"/>
              </w:rPr>
            </w:pPr>
            <w:r>
              <w:rPr>
                <w:rFonts w:hint="eastAsia" w:ascii="宋体" w:hAnsi="宋体"/>
                <w:spacing w:val="0"/>
                <w:position w:val="0"/>
                <w:szCs w:val="24"/>
              </w:rPr>
              <w:t>委托有资质单位进行处置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7</w:t>
            </w:r>
          </w:p>
        </w:tc>
        <w:tc>
          <w:tcPr>
            <w:tcW w:w="181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生活垃圾</w:t>
            </w:r>
          </w:p>
        </w:tc>
        <w:tc>
          <w:tcPr>
            <w:tcW w:w="207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办公、生活</w:t>
            </w:r>
          </w:p>
        </w:tc>
        <w:tc>
          <w:tcPr>
            <w:tcW w:w="124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42.74</w:t>
            </w:r>
          </w:p>
        </w:tc>
        <w:tc>
          <w:tcPr>
            <w:tcW w:w="161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default" w:hAnsi="Cambria Math"/>
                <w:b w:val="0"/>
                <w:bCs w:val="0"/>
                <w:i w:val="0"/>
                <w:spacing w:val="0"/>
                <w:position w:val="0"/>
                <w:sz w:val="21"/>
                <w:szCs w:val="21"/>
                <w:vertAlign w:val="baseline"/>
                <w:lang w:val="en-US" w:eastAsia="zh-CN"/>
              </w:rPr>
              <w:t>一般固废</w:t>
            </w:r>
          </w:p>
        </w:tc>
        <w:tc>
          <w:tcPr>
            <w:tcW w:w="1485" w:type="dxa"/>
            <w:tcBorders>
              <w:tl2br w:val="nil"/>
              <w:tr2bl w:val="nil"/>
            </w:tcBorders>
            <w:vAlign w:val="center"/>
          </w:tcPr>
          <w:p>
            <w:pPr>
              <w:widowControl/>
              <w:adjustRightInd w:val="0"/>
              <w:snapToGrid w:val="0"/>
              <w:jc w:val="center"/>
              <w:rPr>
                <w:rFonts w:hint="default" w:hAnsi="Cambria Math"/>
                <w:b w:val="0"/>
                <w:bCs w:val="0"/>
                <w:i w:val="0"/>
                <w:spacing w:val="0"/>
                <w:position w:val="0"/>
                <w:sz w:val="21"/>
                <w:szCs w:val="21"/>
                <w:vertAlign w:val="baseline"/>
                <w:lang w:val="en-US" w:eastAsia="zh-CN"/>
              </w:rPr>
            </w:pPr>
            <w:r>
              <w:rPr>
                <w:rFonts w:hint="eastAsia"/>
                <w:spacing w:val="0"/>
                <w:position w:val="0"/>
                <w:szCs w:val="21"/>
              </w:rPr>
              <w:t>收集后由园区环卫统一清理</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eastAsia"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5.5.2本项目固体废物具体处置和管理对策</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（1）危险废物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项目</w:t>
      </w:r>
      <w:r>
        <w:rPr>
          <w:rFonts w:hint="eastAsia" w:cs="Times New Roman"/>
          <w:b w:val="0"/>
          <w:bCs w:val="0"/>
          <w:spacing w:val="0"/>
          <w:kern w:val="2"/>
          <w:position w:val="0"/>
          <w:sz w:val="24"/>
          <w:szCs w:val="24"/>
          <w:lang w:val="en-US" w:eastAsia="zh-CN" w:bidi="ar-SA"/>
        </w:rPr>
        <w:t>租用芳达纺织厂</w:t>
      </w:r>
      <w:r>
        <w:rPr>
          <w:rFonts w:hint="default" w:ascii="Times New Roman" w:hAnsi="Times New Roman" w:eastAsia="宋体" w:cs="Times New Roman"/>
          <w:b w:val="0"/>
          <w:bCs w:val="0"/>
          <w:spacing w:val="0"/>
          <w:kern w:val="2"/>
          <w:position w:val="0"/>
          <w:sz w:val="24"/>
          <w:szCs w:val="24"/>
          <w:lang w:val="en-US" w:eastAsia="zh-CN" w:bidi="ar-SA"/>
        </w:rPr>
        <w:t>危废库1间，规格为</w:t>
      </w:r>
      <w:r>
        <w:rPr>
          <w:rFonts w:hint="eastAsia" w:cs="Times New Roman"/>
          <w:b w:val="0"/>
          <w:bCs w:val="0"/>
          <w:spacing w:val="0"/>
          <w:kern w:val="2"/>
          <w:position w:val="0"/>
          <w:sz w:val="24"/>
          <w:szCs w:val="24"/>
          <w:lang w:val="en-US" w:eastAsia="zh-CN" w:bidi="ar-SA"/>
        </w:rPr>
        <w:t>57.6</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，采取了</w:t>
      </w:r>
      <w:r>
        <w:rPr>
          <w:rFonts w:hint="eastAsia" w:ascii="Times New Roman" w:hAnsi="Times New Roman" w:eastAsia="宋体"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四防</w:t>
      </w:r>
      <w:r>
        <w:rPr>
          <w:rFonts w:hint="eastAsia" w:ascii="Times New Roman" w:hAnsi="Times New Roman" w:eastAsia="宋体"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（防风、防雨、防晒、防渗漏）措施，危废库采用封闭结构，用于存放本项目产生的危险废物（危废库面积约</w:t>
      </w:r>
      <w:r>
        <w:rPr>
          <w:rFonts w:hint="eastAsia" w:cs="Times New Roman"/>
          <w:b w:val="0"/>
          <w:bCs w:val="0"/>
          <w:spacing w:val="0"/>
          <w:kern w:val="2"/>
          <w:position w:val="0"/>
          <w:sz w:val="24"/>
          <w:szCs w:val="24"/>
          <w:lang w:val="en-US" w:eastAsia="zh-CN" w:bidi="ar-SA"/>
        </w:rPr>
        <w:t>57.6</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，最大贮存能力约</w:t>
      </w:r>
      <w:r>
        <w:rPr>
          <w:rFonts w:hint="eastAsia" w:cs="Times New Roman"/>
          <w:b w:val="0"/>
          <w:bCs w:val="0"/>
          <w:spacing w:val="0"/>
          <w:kern w:val="2"/>
          <w:position w:val="0"/>
          <w:sz w:val="24"/>
          <w:szCs w:val="24"/>
          <w:lang w:val="en-US" w:eastAsia="zh-CN" w:bidi="ar-SA"/>
        </w:rPr>
        <w:t>31</w:t>
      </w:r>
      <w:r>
        <w:rPr>
          <w:rFonts w:hint="default" w:ascii="Times New Roman" w:hAnsi="Times New Roman" w:eastAsia="宋体" w:cs="Times New Roman"/>
          <w:b w:val="0"/>
          <w:bCs w:val="0"/>
          <w:spacing w:val="0"/>
          <w:kern w:val="2"/>
          <w:position w:val="0"/>
          <w:sz w:val="24"/>
          <w:szCs w:val="24"/>
          <w:lang w:val="en-US" w:eastAsia="zh-CN" w:bidi="ar-SA"/>
        </w:rPr>
        <w:t>t），项目建成后全厂危险废物转移量为</w:t>
      </w:r>
      <w:r>
        <w:rPr>
          <w:rFonts w:hint="eastAsia" w:cs="Times New Roman"/>
          <w:b w:val="0"/>
          <w:bCs w:val="0"/>
          <w:spacing w:val="0"/>
          <w:kern w:val="2"/>
          <w:position w:val="0"/>
          <w:sz w:val="24"/>
          <w:szCs w:val="24"/>
          <w:lang w:val="en-US" w:eastAsia="zh-CN" w:bidi="ar-SA"/>
        </w:rPr>
        <w:t>607.45</w:t>
      </w:r>
      <w:r>
        <w:rPr>
          <w:rFonts w:hint="default" w:ascii="Times New Roman" w:hAnsi="Times New Roman" w:eastAsia="宋体" w:cs="Times New Roman"/>
          <w:b w:val="0"/>
          <w:bCs w:val="0"/>
          <w:spacing w:val="0"/>
          <w:kern w:val="2"/>
          <w:position w:val="0"/>
          <w:sz w:val="24"/>
          <w:szCs w:val="24"/>
          <w:lang w:val="en-US" w:eastAsia="zh-CN" w:bidi="ar-SA"/>
        </w:rPr>
        <w:t>t/a，即危险废物年转移次数至少</w:t>
      </w:r>
      <w:r>
        <w:rPr>
          <w:rFonts w:hint="eastAsia" w:cs="Times New Roman"/>
          <w:b w:val="0"/>
          <w:bCs w:val="0"/>
          <w:spacing w:val="0"/>
          <w:kern w:val="2"/>
          <w:position w:val="0"/>
          <w:sz w:val="24"/>
          <w:szCs w:val="24"/>
          <w:lang w:val="en-US" w:eastAsia="zh-CN" w:bidi="ar-SA"/>
        </w:rPr>
        <w:t>20</w:t>
      </w:r>
      <w:r>
        <w:rPr>
          <w:rFonts w:hint="default" w:ascii="Times New Roman" w:hAnsi="Times New Roman" w:eastAsia="宋体" w:cs="Times New Roman"/>
          <w:b w:val="0"/>
          <w:bCs w:val="0"/>
          <w:spacing w:val="0"/>
          <w:kern w:val="2"/>
          <w:position w:val="0"/>
          <w:sz w:val="24"/>
          <w:szCs w:val="24"/>
          <w:lang w:val="en-US" w:eastAsia="zh-CN" w:bidi="ar-SA"/>
        </w:rPr>
        <w:t>次以上，能够满足项目危险废物贮存要求。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建设单位可通过查询福建省生态环境厅网站公示的福建省危险废物经营许可证发放情况（http://sthjt.fujian.gov.cn/zwgk/ywxx/gtfwhjgl/wxfwjyxkzspgg/），根据危险废物处置单位的处置能力、资质类别等，选择具备相应处置资质的处置单位，委托其处置危险废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default" w:hAnsi="Cambria Math"/>
          <w:b w:val="0"/>
          <w:bCs w:val="0"/>
          <w:i w:val="0"/>
          <w:spacing w:val="0"/>
          <w:position w:val="0"/>
          <w:sz w:val="24"/>
          <w:szCs w:val="24"/>
          <w:vertAlign w:val="baseline"/>
          <w:lang w:val="en-US" w:eastAsia="zh-CN"/>
        </w:rPr>
        <w:t>（2）一般固废</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①</w:t>
      </w:r>
      <w:r>
        <w:rPr>
          <w:rFonts w:hint="default" w:hAnsi="Cambria Math"/>
          <w:b w:val="0"/>
          <w:bCs w:val="0"/>
          <w:i w:val="0"/>
          <w:spacing w:val="0"/>
          <w:position w:val="0"/>
          <w:sz w:val="24"/>
          <w:szCs w:val="24"/>
          <w:vertAlign w:val="baseline"/>
          <w:lang w:val="en-US" w:eastAsia="zh-CN"/>
        </w:rPr>
        <w:t>项目生产过程产生的废丝、废布及次品外售处理。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②</w:t>
      </w:r>
      <w:r>
        <w:rPr>
          <w:rFonts w:hint="default" w:hAnsi="Cambria Math"/>
          <w:b w:val="0"/>
          <w:bCs w:val="0"/>
          <w:i w:val="0"/>
          <w:spacing w:val="0"/>
          <w:position w:val="0"/>
          <w:sz w:val="24"/>
          <w:szCs w:val="24"/>
          <w:vertAlign w:val="baseline"/>
          <w:lang w:val="en-US" w:eastAsia="zh-CN"/>
        </w:rPr>
        <w:t>普通废包装</w:t>
      </w:r>
      <w:r>
        <w:rPr>
          <w:rFonts w:hint="eastAsia" w:hAnsi="Cambria Math"/>
          <w:b w:val="0"/>
          <w:bCs w:val="0"/>
          <w:i w:val="0"/>
          <w:spacing w:val="0"/>
          <w:position w:val="0"/>
          <w:sz w:val="24"/>
          <w:szCs w:val="24"/>
          <w:vertAlign w:val="baseline"/>
          <w:lang w:val="en-US" w:eastAsia="zh-CN"/>
        </w:rPr>
        <w:t>外售</w:t>
      </w:r>
      <w:r>
        <w:rPr>
          <w:rFonts w:hint="default" w:hAnsi="Cambria Math"/>
          <w:b w:val="0"/>
          <w:bCs w:val="0"/>
          <w:i w:val="0"/>
          <w:spacing w:val="0"/>
          <w:position w:val="0"/>
          <w:sz w:val="24"/>
          <w:szCs w:val="24"/>
          <w:vertAlign w:val="baseline"/>
          <w:lang w:val="en-US" w:eastAsia="zh-CN"/>
        </w:rPr>
        <w:t>资源回收单位回收。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③</w:t>
      </w:r>
      <w:r>
        <w:rPr>
          <w:rFonts w:hint="default" w:hAnsi="Cambria Math"/>
          <w:b w:val="0"/>
          <w:bCs w:val="0"/>
          <w:i w:val="0"/>
          <w:spacing w:val="0"/>
          <w:position w:val="0"/>
          <w:sz w:val="24"/>
          <w:szCs w:val="24"/>
          <w:vertAlign w:val="baseline"/>
          <w:lang w:val="en-US" w:eastAsia="zh-CN"/>
        </w:rPr>
        <w:t>生活垃圾由环卫部门统一清运处理。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default" w:hAnsi="Cambria Math"/>
          <w:b w:val="0"/>
          <w:bCs w:val="0"/>
          <w:i w:val="0"/>
          <w:spacing w:val="0"/>
          <w:position w:val="0"/>
          <w:sz w:val="24"/>
          <w:szCs w:val="24"/>
          <w:vertAlign w:val="baseline"/>
          <w:lang w:val="en-US" w:eastAsia="zh-CN"/>
        </w:rPr>
        <w:t>本项目在厂区内拟建一间一般固废库，面积80m</w:t>
      </w:r>
      <w:r>
        <w:rPr>
          <w:rFonts w:hint="default" w:hAnsi="Cambria Math"/>
          <w:b w:val="0"/>
          <w:bCs w:val="0"/>
          <w:i w:val="0"/>
          <w:spacing w:val="0"/>
          <w:position w:val="0"/>
          <w:sz w:val="24"/>
          <w:szCs w:val="24"/>
          <w:vertAlign w:val="superscript"/>
          <w:lang w:val="en-US" w:eastAsia="zh-CN"/>
        </w:rPr>
        <w:t>2</w:t>
      </w:r>
      <w:r>
        <w:rPr>
          <w:rFonts w:hint="default" w:hAnsi="Cambria Math"/>
          <w:b w:val="0"/>
          <w:bCs w:val="0"/>
          <w:i w:val="0"/>
          <w:spacing w:val="0"/>
          <w:position w:val="0"/>
          <w:sz w:val="24"/>
          <w:szCs w:val="24"/>
          <w:vertAlign w:val="baseline"/>
          <w:lang w:val="en-US" w:eastAsia="zh-CN"/>
        </w:rPr>
        <w:t>，一般固废需及时处理。全厂最大贮存能力约44t，项目建成后全厂一般固废转移量为</w:t>
      </w:r>
      <w:r>
        <w:rPr>
          <w:rFonts w:hint="eastAsia" w:hAnsi="Cambria Math"/>
          <w:b w:val="0"/>
          <w:bCs w:val="0"/>
          <w:i w:val="0"/>
          <w:spacing w:val="0"/>
          <w:position w:val="0"/>
          <w:sz w:val="24"/>
          <w:szCs w:val="24"/>
          <w:vertAlign w:val="baseline"/>
          <w:lang w:val="en-US" w:eastAsia="zh-CN"/>
        </w:rPr>
        <w:t>635</w:t>
      </w:r>
      <w:r>
        <w:rPr>
          <w:rFonts w:hint="default" w:hAnsi="Cambria Math"/>
          <w:b w:val="0"/>
          <w:bCs w:val="0"/>
          <w:i w:val="0"/>
          <w:spacing w:val="0"/>
          <w:position w:val="0"/>
          <w:sz w:val="24"/>
          <w:szCs w:val="24"/>
          <w:vertAlign w:val="baseline"/>
          <w:lang w:val="en-US" w:eastAsia="zh-CN"/>
        </w:rPr>
        <w:t>t/a，即建成后项目至少需要转运</w:t>
      </w:r>
      <w:r>
        <w:rPr>
          <w:rFonts w:hint="eastAsia" w:hAnsi="Cambria Math"/>
          <w:b w:val="0"/>
          <w:bCs w:val="0"/>
          <w:i w:val="0"/>
          <w:spacing w:val="0"/>
          <w:position w:val="0"/>
          <w:sz w:val="24"/>
          <w:szCs w:val="24"/>
          <w:vertAlign w:val="baseline"/>
          <w:lang w:val="en-US" w:eastAsia="zh-CN"/>
        </w:rPr>
        <w:t>15</w:t>
      </w:r>
      <w:r>
        <w:rPr>
          <w:rFonts w:hint="default" w:hAnsi="Cambria Math"/>
          <w:b w:val="0"/>
          <w:bCs w:val="0"/>
          <w:i w:val="0"/>
          <w:spacing w:val="0"/>
          <w:position w:val="0"/>
          <w:sz w:val="24"/>
          <w:szCs w:val="24"/>
          <w:vertAlign w:val="baseline"/>
          <w:lang w:val="en-US" w:eastAsia="zh-CN"/>
        </w:rPr>
        <w:t>次，</w:t>
      </w:r>
      <w:r>
        <w:rPr>
          <w:rFonts w:hint="eastAsia" w:hAnsi="Cambria Math"/>
          <w:b w:val="0"/>
          <w:bCs w:val="0"/>
          <w:i w:val="0"/>
          <w:spacing w:val="0"/>
          <w:position w:val="0"/>
          <w:sz w:val="24"/>
          <w:szCs w:val="24"/>
          <w:vertAlign w:val="baseline"/>
          <w:lang w:val="en-US" w:eastAsia="zh-CN"/>
        </w:rPr>
        <w:t>约</w:t>
      </w:r>
      <w:r>
        <w:rPr>
          <w:rFonts w:hint="default" w:hAnsi="Cambria Math"/>
          <w:b w:val="0"/>
          <w:bCs w:val="0"/>
          <w:i w:val="0"/>
          <w:spacing w:val="0"/>
          <w:position w:val="0"/>
          <w:sz w:val="24"/>
          <w:szCs w:val="24"/>
          <w:vertAlign w:val="baseline"/>
          <w:lang w:val="en-US" w:eastAsia="zh-CN"/>
        </w:rPr>
        <w:t>每</w:t>
      </w:r>
      <w:r>
        <w:rPr>
          <w:rFonts w:hint="eastAsia" w:hAnsi="Cambria Math"/>
          <w:b w:val="0"/>
          <w:bCs w:val="0"/>
          <w:i w:val="0"/>
          <w:spacing w:val="0"/>
          <w:position w:val="0"/>
          <w:sz w:val="24"/>
          <w:szCs w:val="24"/>
          <w:vertAlign w:val="baseline"/>
          <w:lang w:val="en-US" w:eastAsia="zh-CN"/>
        </w:rPr>
        <w:t>22</w:t>
      </w:r>
      <w:r>
        <w:rPr>
          <w:rFonts w:hint="default" w:hAnsi="Cambria Math"/>
          <w:b w:val="0"/>
          <w:bCs w:val="0"/>
          <w:i w:val="0"/>
          <w:spacing w:val="0"/>
          <w:position w:val="0"/>
          <w:sz w:val="24"/>
          <w:szCs w:val="24"/>
          <w:vertAlign w:val="baseline"/>
          <w:lang w:val="en-US" w:eastAsia="zh-CN"/>
        </w:rPr>
        <w:t>天转移一次。故本项目一般固废库贮存能力可</w:t>
      </w:r>
      <w:r>
        <w:rPr>
          <w:rFonts w:hint="eastAsia" w:hAnsi="Cambria Math"/>
          <w:b w:val="0"/>
          <w:bCs w:val="0"/>
          <w:i w:val="0"/>
          <w:spacing w:val="0"/>
          <w:position w:val="0"/>
          <w:sz w:val="24"/>
          <w:szCs w:val="24"/>
          <w:vertAlign w:val="baseline"/>
          <w:lang w:val="en-US" w:eastAsia="zh-CN"/>
        </w:rPr>
        <w:t>行。</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eastAsia"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5.5.3固体废物环境影响分析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4"/>
        <w:rPr>
          <w:rFonts w:hint="default"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5.5.3.1危险废物临时贮存、转运、处置影响分析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（1）危险废物临时贮存环境影响分析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危废库应根据《危险废物贮存污染控制标准》（GB18597—2023）进行建设，采取“四防”（防风、防雨、防晒、防渗漏）措施，危化品库周边无村庄等敏感目标，因此，危险废物贮存过程中对环境空气、地表水、地下水、土壤以及环境敏感保护目标影响不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（2）运输过程的环境影响分析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产生的危险废物为固态和液态，其中，染料内包装袋为固态危废采用袋装，废机油等液态危废采用桶装，在项目的产生点进行有效收集，厂区内采用小型装卸车作为运输工具，从产生点转运至危废库，运输在厂区内完成，盛装危险废物的容器均符合《危险废物贮存污染控制标准》（GB18597—2023），运输路线沿线无敏感目标，因此厂区内运输过程环境影响较小。厂区外运输由有危废处理资质单位负责，均为由省环保厅审批的有资质单位，运输路线及运输方式是在经过相应论证和预测的前提下选择的，厂区外运输过程环境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（3）利用或者处置的环境影响分析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产生的危险废物均暂存在厂区的危废库，定期外委有资质单位进行处置。危险废物外委处置前，建设单位应与有资质的单位签定危险废物委托处置合同。危险废物的运输执行危险废物转移“电子联单”制度，保证运输安全，防止非法转移和非法处置，保证危险废物的安全监控，防止危险废物污染事故发生。</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企业应做好固体废物管理计划，转移危险废物之前向生态环境局备案，以台账为基础发起“电子联单”，“电子联单”应通过福建省固体废物环境监管平台申请，电子联单实行每转移一车同类危险废物，执行一份电子联单；每车中有多类危险废物时，每一类别危险废物执行一份电子联单。危险废物移出者应当如实填写电子联单中产生单位栏目。危险废物运营单位通过扫描电子联单条码进行接受确认后进行运输，危险废物运输单位按照联单对危险废物填写的情况核实，通过扫描电子联单条码进行交接确认，并在运输过程中随车携带。危险废物运至接受单位后，运输单位将随车携带的纸质联单交接受单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4"/>
        <w:rPr>
          <w:rFonts w:hint="default"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5.5.3.2一般固废收集、存放、转运和处置要求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①</w:t>
      </w:r>
      <w:r>
        <w:rPr>
          <w:rFonts w:hint="default" w:hAnsi="Cambria Math"/>
          <w:b w:val="0"/>
          <w:bCs w:val="0"/>
          <w:i w:val="0"/>
          <w:spacing w:val="0"/>
          <w:position w:val="0"/>
          <w:sz w:val="24"/>
          <w:szCs w:val="24"/>
          <w:vertAlign w:val="baseline"/>
          <w:lang w:val="en-US" w:eastAsia="zh-CN"/>
        </w:rPr>
        <w:t>一般固体废物产生后，应按不同类别和相应要求及时放置到临时存放场所。并按GB15562.2</w:t>
      </w:r>
      <w:r>
        <w:rPr>
          <w:rFonts w:hint="eastAsia" w:hAnsi="Cambria Math"/>
          <w:b w:val="0"/>
          <w:bCs w:val="0"/>
          <w:i w:val="0"/>
          <w:spacing w:val="0"/>
          <w:position w:val="0"/>
          <w:sz w:val="24"/>
          <w:szCs w:val="24"/>
          <w:vertAlign w:val="baseline"/>
          <w:lang w:val="en-US" w:eastAsia="zh-CN"/>
        </w:rPr>
        <w:t>及其修改单</w:t>
      </w:r>
      <w:r>
        <w:rPr>
          <w:rFonts w:hint="default" w:hAnsi="Cambria Math"/>
          <w:b w:val="0"/>
          <w:bCs w:val="0"/>
          <w:i w:val="0"/>
          <w:spacing w:val="0"/>
          <w:position w:val="0"/>
          <w:sz w:val="24"/>
          <w:szCs w:val="24"/>
          <w:vertAlign w:val="baseline"/>
          <w:lang w:val="en-US" w:eastAsia="zh-CN"/>
        </w:rPr>
        <w:t>设置环境保护图形标志。</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②</w:t>
      </w:r>
      <w:r>
        <w:rPr>
          <w:rFonts w:hint="default" w:hAnsi="Cambria Math"/>
          <w:b w:val="0"/>
          <w:bCs w:val="0"/>
          <w:i w:val="0"/>
          <w:spacing w:val="0"/>
          <w:position w:val="0"/>
          <w:sz w:val="24"/>
          <w:szCs w:val="24"/>
          <w:vertAlign w:val="baseline"/>
          <w:lang w:val="en-US" w:eastAsia="zh-CN"/>
        </w:rPr>
        <w:t>存放场所应具备防雨淋、防泄漏、防扬散、防流失等设施或措施。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③</w:t>
      </w:r>
      <w:r>
        <w:rPr>
          <w:rFonts w:hint="default" w:hAnsi="Cambria Math"/>
          <w:b w:val="0"/>
          <w:bCs w:val="0"/>
          <w:i w:val="0"/>
          <w:spacing w:val="0"/>
          <w:position w:val="0"/>
          <w:sz w:val="24"/>
          <w:szCs w:val="24"/>
          <w:vertAlign w:val="baseline"/>
          <w:lang w:val="en-US" w:eastAsia="zh-CN"/>
        </w:rPr>
        <w:t>一般固体废物贮存场禁止将危险废物和生活垃圾混入。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④</w:t>
      </w:r>
      <w:r>
        <w:rPr>
          <w:rFonts w:hint="default" w:hAnsi="Cambria Math"/>
          <w:b w:val="0"/>
          <w:bCs w:val="0"/>
          <w:i w:val="0"/>
          <w:spacing w:val="0"/>
          <w:position w:val="0"/>
          <w:sz w:val="24"/>
          <w:szCs w:val="24"/>
          <w:vertAlign w:val="baseline"/>
          <w:lang w:val="en-US" w:eastAsia="zh-CN"/>
        </w:rPr>
        <w:t>建设单位应建立检查维护制度。定期检查维护堆存设施，发现异常及时处理，以保障正常运行。</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⑤</w:t>
      </w:r>
      <w:r>
        <w:rPr>
          <w:rFonts w:hint="default" w:hAnsi="Cambria Math"/>
          <w:b w:val="0"/>
          <w:bCs w:val="0"/>
          <w:i w:val="0"/>
          <w:spacing w:val="0"/>
          <w:position w:val="0"/>
          <w:sz w:val="24"/>
          <w:szCs w:val="24"/>
          <w:vertAlign w:val="baseline"/>
          <w:lang w:val="en-US" w:eastAsia="zh-CN"/>
        </w:rPr>
        <w:t>应合理采用先进的生产技术和设备，减少工业固体废物的产生，降低工业固体废物的危害性。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⑥</w:t>
      </w:r>
      <w:r>
        <w:rPr>
          <w:rFonts w:hint="default" w:hAnsi="Cambria Math"/>
          <w:b w:val="0"/>
          <w:bCs w:val="0"/>
          <w:i w:val="0"/>
          <w:spacing w:val="0"/>
          <w:position w:val="0"/>
          <w:sz w:val="24"/>
          <w:szCs w:val="24"/>
          <w:vertAlign w:val="baseline"/>
          <w:lang w:val="en-US" w:eastAsia="zh-CN"/>
        </w:rPr>
        <w:t>出厂的固体废物应运至协议内指定的堆场，运输单位不得擅自向固体废物贮存场所以外的区域倾倒、堆放、丢弃、遗撒固体废物。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⑦</w:t>
      </w:r>
      <w:r>
        <w:rPr>
          <w:rFonts w:hint="default" w:hAnsi="Cambria Math"/>
          <w:b w:val="0"/>
          <w:bCs w:val="0"/>
          <w:i w:val="0"/>
          <w:spacing w:val="0"/>
          <w:position w:val="0"/>
          <w:sz w:val="24"/>
          <w:szCs w:val="24"/>
          <w:vertAlign w:val="baseline"/>
          <w:lang w:val="en-US" w:eastAsia="zh-CN"/>
        </w:rPr>
        <w:t>建立一般固体废物产生、贮存、处置、利用等记录台账，按时上报。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default" w:hAnsi="Cambria Math"/>
          <w:b w:val="0"/>
          <w:bCs w:val="0"/>
          <w:i w:val="0"/>
          <w:spacing w:val="0"/>
          <w:position w:val="0"/>
          <w:sz w:val="24"/>
          <w:szCs w:val="24"/>
          <w:vertAlign w:val="baseline"/>
          <w:lang w:val="en-US" w:eastAsia="zh-CN"/>
        </w:rPr>
        <w:t>综上所述，本项目所产生的固体废物通过以上方法处理处置后，不会对周围环境产生二次污染。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5.5.4固体废物环境影响分析小结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综上所述，本项目厂内按规范要求相应设置规模的固体废物分类暂存设施，强化废物产生、收集、贮放各环节的管理，防止二次污染，并遵循固体废物减量化、资源化和无害化的要求，分别采用综合利用、安全处置的方法予以处置，做到固体废物零排放，因此，采取以上措施后，本项目产生的固体废物对周围环境影响较小。</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b/>
          <w:bCs/>
          <w:spacing w:val="0"/>
          <w:position w:val="0"/>
          <w:sz w:val="30"/>
          <w:szCs w:val="30"/>
          <w:lang w:val="en-US" w:eastAsia="zh-CN"/>
        </w:rPr>
      </w:pPr>
      <w:r>
        <w:rPr>
          <w:rFonts w:hint="eastAsia"/>
          <w:b/>
          <w:bCs/>
          <w:spacing w:val="0"/>
          <w:position w:val="0"/>
          <w:sz w:val="30"/>
          <w:szCs w:val="30"/>
          <w:lang w:val="en-US" w:eastAsia="zh-CN"/>
        </w:rPr>
        <w:t>5.6土壤环境影响预测与评价</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本评价按照《环境影响评价技术导则 土壤环境（试行）》（HJ964-2018）、《土壤环境质量 建设用地土壤污染风险管控标准（试行）》（GB36600-2018）等的相关要求，进行土壤环境影响分析，通过对土壤环境影响识别、预测分析和评价，提出土壤环境保护措施与对策。</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cs="Times New Roman"/>
          <w:b/>
          <w:bCs/>
          <w:spacing w:val="0"/>
          <w:kern w:val="2"/>
          <w:position w:val="0"/>
          <w:sz w:val="28"/>
          <w:szCs w:val="28"/>
          <w:lang w:val="en-US" w:eastAsia="zh-CN" w:bidi="ar-SA"/>
        </w:rPr>
      </w:pPr>
      <w:r>
        <w:rPr>
          <w:rFonts w:hint="eastAsia" w:cs="Times New Roman"/>
          <w:b/>
          <w:bCs/>
          <w:spacing w:val="0"/>
          <w:kern w:val="2"/>
          <w:position w:val="0"/>
          <w:sz w:val="28"/>
          <w:szCs w:val="28"/>
          <w:lang w:val="en-US" w:eastAsia="zh-CN" w:bidi="ar-SA"/>
        </w:rPr>
        <w:t>5.6.1土壤环境影响识别</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5.6.1.1项目类别</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根据《环境影响评价技术导则 土壤环境（试行）》（HJ964-2018）中附录A，本项目的土壤环境影响评价项目类别为</w:t>
      </w:r>
      <w:r>
        <w:rPr>
          <w:rFonts w:hint="default" w:ascii="Times New Roman" w:hAnsi="Times New Roman" w:cs="Times New Roman"/>
          <w:b w:val="0"/>
          <w:bCs w:val="0"/>
          <w:i w:val="0"/>
          <w:spacing w:val="0"/>
          <w:position w:val="0"/>
          <w:sz w:val="24"/>
          <w:szCs w:val="24"/>
          <w:vertAlign w:val="baseline"/>
          <w:lang w:val="en-US" w:eastAsia="zh-CN"/>
        </w:rPr>
        <w:t>Ⅱ</w:t>
      </w:r>
      <w:r>
        <w:rPr>
          <w:rFonts w:hint="eastAsia" w:hAnsi="Cambria Math"/>
          <w:b w:val="0"/>
          <w:bCs w:val="0"/>
          <w:i w:val="0"/>
          <w:spacing w:val="0"/>
          <w:position w:val="0"/>
          <w:sz w:val="24"/>
          <w:szCs w:val="24"/>
          <w:vertAlign w:val="baseline"/>
          <w:lang w:val="en-US" w:eastAsia="zh-CN"/>
        </w:rPr>
        <w:t>类（“制造业——纺织、化纤、皮革等及服装、鞋制造——有染整工段的纺织品”）。</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5.6.1.2土壤环境影响类型与影响途径、影响源及影响因子识别</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（1）土壤环境影响类型与影响途径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根据工程分析，初步分析项目运营期土壤环境影响类型为污染影响型，项目污染物可以通过多种途径进入土壤，土壤环境影响主要有以下几种类型：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①大气沉降：污染物来源于被污染的大气，主要集中在土壤表层，主要污染物是大气中的颗粒物，它们降落到地表可引起土壤土质发生变化，破坏土壤肥力与生态系统的平衡，对土壤产生污染。本项目设备均位于车间内，厂房加盖，厂内路面均硬化，项目厂界周边均为工业用地，因此大气沉降对土壤的影响不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②地面漫流：拟建项目产生的废水事故状态下直接排入外环境，或发生废水泄漏事故，致使土壤受到污染；另外，污水管线泄漏可也能导致土壤受到污染。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③垂直入渗：本项目废水调节池、染化料仓库等物料及危废暂存间等通过扩散、降水淋洗等直接或间接的影响土壤。</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本项目可能的影响途径见表5.6-1。</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表5.6-1土壤环境影响类型与影响途径</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2226"/>
        <w:gridCol w:w="2226"/>
        <w:gridCol w:w="22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6"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不同时段</w:t>
            </w:r>
          </w:p>
        </w:tc>
        <w:tc>
          <w:tcPr>
            <w:tcW w:w="6679"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6"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222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大气沉降</w:t>
            </w:r>
          </w:p>
        </w:tc>
        <w:tc>
          <w:tcPr>
            <w:tcW w:w="222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地面漫流</w:t>
            </w:r>
          </w:p>
        </w:tc>
        <w:tc>
          <w:tcPr>
            <w:tcW w:w="222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垂直入渗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运营期</w:t>
            </w:r>
          </w:p>
        </w:tc>
        <w:tc>
          <w:tcPr>
            <w:tcW w:w="222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w:t>
            </w:r>
          </w:p>
        </w:tc>
        <w:tc>
          <w:tcPr>
            <w:tcW w:w="222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val="0"/>
                <w:i w:val="0"/>
                <w:spacing w:val="0"/>
                <w:position w:val="0"/>
                <w:sz w:val="21"/>
                <w:szCs w:val="21"/>
                <w:vertAlign w:val="baseline"/>
                <w:lang w:val="en-US" w:eastAsia="zh-CN"/>
              </w:rPr>
            </w:pPr>
            <w:r>
              <w:rPr>
                <w:rFonts w:hint="default" w:ascii="Times New Roman" w:hAnsi="Times New Roman" w:cs="Times New Roman"/>
                <w:b w:val="0"/>
                <w:bCs w:val="0"/>
                <w:i w:val="0"/>
                <w:spacing w:val="0"/>
                <w:position w:val="0"/>
                <w:sz w:val="21"/>
                <w:szCs w:val="21"/>
                <w:vertAlign w:val="baseline"/>
                <w:lang w:val="en-US" w:eastAsia="zh-CN"/>
              </w:rPr>
              <w:t>√</w:t>
            </w:r>
          </w:p>
        </w:tc>
        <w:tc>
          <w:tcPr>
            <w:tcW w:w="2227"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val="0"/>
                <w:i w:val="0"/>
                <w:spacing w:val="0"/>
                <w:position w:val="0"/>
                <w:sz w:val="21"/>
                <w:szCs w:val="21"/>
                <w:vertAlign w:val="baseline"/>
                <w:lang w:val="en-US" w:eastAsia="zh-CN"/>
              </w:rPr>
            </w:pPr>
            <w:r>
              <w:rPr>
                <w:rFonts w:hint="default" w:ascii="Times New Roman" w:hAnsi="Times New Roman" w:cs="Times New Roman"/>
                <w:b w:val="0"/>
                <w:bCs w:val="0"/>
                <w:i w:val="0"/>
                <w:spacing w:val="0"/>
                <w:position w:val="0"/>
                <w:sz w:val="21"/>
                <w:szCs w:val="21"/>
                <w:vertAlign w:val="baseli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注：“</w:t>
      </w:r>
      <w:r>
        <w:rPr>
          <w:rFonts w:hint="default" w:ascii="Times New Roman" w:hAnsi="Times New Roman" w:cs="Times New Roman"/>
          <w:b w:val="0"/>
          <w:bCs w:val="0"/>
          <w:i w:val="0"/>
          <w:spacing w:val="0"/>
          <w:position w:val="0"/>
          <w:sz w:val="21"/>
          <w:szCs w:val="21"/>
          <w:vertAlign w:val="baseline"/>
          <w:lang w:val="en-US" w:eastAsia="zh-CN"/>
        </w:rPr>
        <w:t>√</w:t>
      </w:r>
      <w:r>
        <w:rPr>
          <w:rFonts w:hint="eastAsia" w:hAnsi="Cambria Math"/>
          <w:b w:val="0"/>
          <w:bCs w:val="0"/>
          <w:i w:val="0"/>
          <w:spacing w:val="0"/>
          <w:position w:val="0"/>
          <w:sz w:val="21"/>
          <w:szCs w:val="21"/>
          <w:vertAlign w:val="baseline"/>
          <w:lang w:val="en-US" w:eastAsia="zh-CN"/>
        </w:rPr>
        <w:t>”表示可能产生的土壤环境影响类型。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（2）土壤环境影响源及影响因子识别</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根据工程分析，初步分析项目运营期土壤环境影响源及影响因子见表5.6-2。</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表5.6-2土壤环境影响源及影响因子识别表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1781"/>
        <w:gridCol w:w="1781"/>
        <w:gridCol w:w="1781"/>
        <w:gridCol w:w="1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污染源</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工艺流程/节点</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污染途径</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主要污染物指标</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废水收集池及废水收集管线</w:t>
            </w:r>
          </w:p>
        </w:tc>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废水收集</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垂直入渗</w:t>
            </w:r>
          </w:p>
        </w:tc>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default" w:ascii="Times New Roman" w:hAnsi="Times New Roman" w:eastAsia="宋体"/>
                <w:b w:val="0"/>
                <w:bCs w:val="0"/>
                <w:i w:val="0"/>
                <w:spacing w:val="0"/>
                <w:position w:val="0"/>
                <w:sz w:val="21"/>
                <w:szCs w:val="24"/>
                <w:vertAlign w:val="baseline"/>
                <w:lang w:val="en-US" w:eastAsia="zh-CN"/>
              </w:rPr>
              <w:t>pH、COD、氨氮、SS、总氮、总锑</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地面漫流</w:t>
            </w:r>
          </w:p>
        </w:tc>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染料、助剂仓库</w:t>
            </w:r>
          </w:p>
        </w:tc>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仓储</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垂直入渗</w:t>
            </w:r>
          </w:p>
        </w:tc>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pH、COD</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地面漫流</w:t>
            </w:r>
          </w:p>
        </w:tc>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危废及危废间</w:t>
            </w:r>
          </w:p>
        </w:tc>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运输/仓储</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垂直入渗</w:t>
            </w:r>
          </w:p>
        </w:tc>
        <w:tc>
          <w:tcPr>
            <w:tcW w:w="17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COD、石油烃</w:t>
            </w: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地面漫流</w:t>
            </w:r>
          </w:p>
        </w:tc>
        <w:tc>
          <w:tcPr>
            <w:tcW w:w="17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p>
        </w:tc>
        <w:tc>
          <w:tcPr>
            <w:tcW w:w="17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i w:val="0"/>
                <w:spacing w:val="0"/>
                <w:position w:val="0"/>
                <w:sz w:val="21"/>
                <w:szCs w:val="24"/>
                <w:vertAlign w:val="baseline"/>
                <w:lang w:val="en-US" w:eastAsia="zh-CN"/>
              </w:rPr>
            </w:pPr>
            <w:r>
              <w:rPr>
                <w:rFonts w:hint="eastAsia" w:ascii="Times New Roman" w:hAnsi="Times New Roman" w:eastAsia="宋体"/>
                <w:b w:val="0"/>
                <w:bCs w:val="0"/>
                <w:i w:val="0"/>
                <w:spacing w:val="0"/>
                <w:position w:val="0"/>
                <w:sz w:val="21"/>
                <w:szCs w:val="24"/>
                <w:vertAlign w:val="baseline"/>
                <w:lang w:val="en-US" w:eastAsia="zh-CN"/>
              </w:rPr>
              <w:t>事故</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eastAsia"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5.6.1.3土地利用类型识别</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hAnsi="Cambria Math"/>
          <w:b w:val="0"/>
          <w:bCs w:val="0"/>
          <w:i w:val="0"/>
          <w:spacing w:val="0"/>
          <w:position w:val="0"/>
          <w:sz w:val="24"/>
          <w:szCs w:val="24"/>
          <w:vertAlign w:val="baseline"/>
          <w:lang w:val="en-US" w:eastAsia="zh-CN"/>
        </w:rPr>
      </w:pPr>
      <w:r>
        <w:rPr>
          <w:rFonts w:hint="default" w:hAnsi="Cambria Math"/>
          <w:b w:val="0"/>
          <w:bCs w:val="0"/>
          <w:i w:val="0"/>
          <w:spacing w:val="0"/>
          <w:position w:val="0"/>
          <w:sz w:val="24"/>
          <w:szCs w:val="24"/>
          <w:vertAlign w:val="baseline"/>
          <w:lang w:val="en-US" w:eastAsia="zh-CN"/>
        </w:rPr>
        <w:t>根据《土地利用现状分类》（GB/T21010-2017）及图3.7-5土地利用规划图，本项目土地利用类型为三类工业用地，项目周边无敏感目标</w:t>
      </w:r>
      <w:r>
        <w:rPr>
          <w:rFonts w:hint="eastAsia" w:hAnsi="Cambria Math"/>
          <w:b w:val="0"/>
          <w:bCs w:val="0"/>
          <w:i w:val="0"/>
          <w:spacing w:val="0"/>
          <w:position w:val="0"/>
          <w:sz w:val="24"/>
          <w:szCs w:val="24"/>
          <w:vertAlign w:val="baseline"/>
          <w:lang w:val="en-US" w:eastAsia="zh-CN"/>
        </w:rPr>
        <w:t>，土壤环境敏感程度属不敏感</w:t>
      </w:r>
      <w:r>
        <w:rPr>
          <w:rFonts w:hint="default" w:hAnsi="Cambria Math"/>
          <w:b w:val="0"/>
          <w:bCs w:val="0"/>
          <w:i w:val="0"/>
          <w:spacing w:val="0"/>
          <w:position w:val="0"/>
          <w:sz w:val="24"/>
          <w:szCs w:val="24"/>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hAnsi="Cambria Math"/>
          <w:b/>
          <w:bCs/>
          <w:i w:val="0"/>
          <w:spacing w:val="0"/>
          <w:position w:val="0"/>
          <w:sz w:val="28"/>
          <w:szCs w:val="28"/>
          <w:vertAlign w:val="baseline"/>
          <w:lang w:val="en-US" w:eastAsia="zh-CN"/>
        </w:rPr>
      </w:pPr>
      <w:r>
        <w:rPr>
          <w:rFonts w:hint="eastAsia" w:hAnsi="Cambria Math"/>
          <w:b/>
          <w:bCs/>
          <w:i w:val="0"/>
          <w:spacing w:val="0"/>
          <w:position w:val="0"/>
          <w:sz w:val="28"/>
          <w:szCs w:val="28"/>
          <w:vertAlign w:val="baseline"/>
          <w:lang w:val="en-US" w:eastAsia="zh-CN"/>
        </w:rPr>
        <w:t>5.6.2评价工作等级及评价范围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本项目类别为Ⅱ类，建设项目土壤环境敏感程度属不敏感，占地规模属于小型，故本项目土壤评价工作等级为三级。评价工作等级的判定依据见表2.4-8。根据《环境影响评价技术导则 土壤环境（试行）》（HJ964-2018），项目土壤环境影响评价范围为项目占地范围及厂界外0.05km范围内，评价范围内无敏感保护目标。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hAnsi="Cambria Math"/>
          <w:b/>
          <w:bCs/>
          <w:i w:val="0"/>
          <w:spacing w:val="0"/>
          <w:position w:val="0"/>
          <w:sz w:val="28"/>
          <w:szCs w:val="28"/>
          <w:vertAlign w:val="baseline"/>
          <w:lang w:val="en-US" w:eastAsia="zh-CN"/>
        </w:rPr>
      </w:pPr>
      <w:r>
        <w:rPr>
          <w:rFonts w:hint="eastAsia" w:hAnsi="Cambria Math"/>
          <w:b/>
          <w:bCs/>
          <w:i w:val="0"/>
          <w:spacing w:val="0"/>
          <w:position w:val="0"/>
          <w:sz w:val="28"/>
          <w:szCs w:val="28"/>
          <w:vertAlign w:val="baseline"/>
          <w:lang w:val="en-US" w:eastAsia="zh-CN"/>
        </w:rPr>
        <w:t>5.6.3土壤环境影响分析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土壤环境评价等级为三级，可采用定性描述进行影响分析。土壤污染与大气、水体污染有所不同，大气、水体污染比较直观，严重时通过人的感官即能发现，而土壤污染往往是以食物链方式通过粮食、蔬菜、水果、茶叶及草食性动物（如家禽家畜）乃至肉食性动物等最后进入人体而影响人群健康。因此，这是一个逐步累积的过程，具有隐蔽性和潜伏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（1）地面漫流</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项目建成后，全厂废水包括：染印染废水、软水站再生废水、循环冷却排水、车间冲洗废水及生活污水等。生活污水经化粪池处理后通过低浓度管网系统排入园区污水处理厂处理；所有废水经分质分流收集后排入园区污水处理厂集中处理，部分回用于生产工序，其余的处理达标后排放。厂区设置三级防控体系，事故情况下废水可全部导入事故水池，可避免事故状态废水直接排入外环境及产生地面漫流。项目运行过程中应加强污水管线日常维护，杜绝污水管网跑冒滴漏现象。采取污染防治措施后，项目不会因地面漫流导致厂区内及周边土壤环境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（2）垂直下渗影响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项目对土壤的垂直入渗影响主要是液体物质如助剂泄漏、危废车间废油泄漏以及染整废水渗透，这些物料若直接进入土壤将会造成土壤污染。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拟建项目厂区实施分区防渗，将厂区划分为重点防渗区、一般防渗区和简单防渗区，涉及垂直下渗污染源的危化品库、染料库、危险废物暂存间、废水收集池等区域采取重点防渗，厂房车间采取一般防渗，通过防渗层的设置，正常情况下上述物料不会渗入地下污染土壤环境。同时企业应对以上液体物料区域做好防渗层的检查和维修工作，及时发现并对破损的防渗层进行修补，采取以上措施后，不会因垂直入渗导致厂区内及周边土壤环境受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因此，项目通过设置三级防控体系并采取地面防渗措施，正常情况下不会通过地面漫流、垂直入渗等形式对厂区内及周边土壤造成影响。但若发生防渗层开裂、废水泄漏等事故，相关污染物将进入土壤中，对土壤环境造成污染，并随着持续泄漏，进而影响地下水。因此，企业应落实分区防渗措施，加强日常环境管理以及对环保设施及相关防渗系统的检修维护，设置地下水监测井进行跟踪监测，一旦发生污染物泄漏和地下水水质异常，应及时采取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hAnsi="Cambria Math"/>
          <w:b/>
          <w:bCs/>
          <w:i w:val="0"/>
          <w:spacing w:val="0"/>
          <w:position w:val="0"/>
          <w:sz w:val="28"/>
          <w:szCs w:val="28"/>
          <w:vertAlign w:val="baseline"/>
          <w:lang w:val="en-US" w:eastAsia="zh-CN"/>
        </w:rPr>
      </w:pPr>
      <w:r>
        <w:rPr>
          <w:rFonts w:hint="eastAsia" w:hAnsi="Cambria Math"/>
          <w:b/>
          <w:bCs/>
          <w:i w:val="0"/>
          <w:spacing w:val="0"/>
          <w:position w:val="0"/>
          <w:sz w:val="28"/>
          <w:szCs w:val="28"/>
          <w:vertAlign w:val="baseline"/>
          <w:lang w:val="en-US" w:eastAsia="zh-CN"/>
        </w:rPr>
        <w:t>5.6.4土壤环境保护措施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（1）加强环保设施运行管理，保障各项污染物达标排放。</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2）对于事故泄漏液渗漏对土壤环境造成的污染，本项目应采用主动防渗漏措施与被动防渗漏措施相结合方法，防止土壤、地下水受到污染。主动防渗漏是从源头采取控制措施，主要包括在工艺、管道、设备、阀门等方面采取相应措施，防止和减少污染物跑、冒、滴、漏，将污染物泄漏的环境风险事故降到最低程度。被动防渗漏措施指在污染区地面进行防渗处理，其防渗措施与防止地下水污染防渗措施一致，见7.2.5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（3）加强风险管控，防治环境风险事故发生。</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（4）加强对环保设施以及防渗系统定期维护，发现防渗层破损应及时修补。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（5）结合地下水监测井监控地下水污染情况，一旦发生地下水污染应立即采取应急处置措施，全面评估其对土壤环境的影响并及时对受污染的土壤进行修复。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综上所述，建设单位应切实落实废水的收集、输送以及各类危化品和危险废物的贮存工作，做好各类设施及地面的防腐、防渗措施，加强环保设施及相关防渗系统的检修、维护，在此基础上，本项目的建设对土壤环境影响整体是可接受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hAnsi="Cambria Math"/>
          <w:b/>
          <w:bCs/>
          <w:i w:val="0"/>
          <w:spacing w:val="0"/>
          <w:position w:val="0"/>
          <w:sz w:val="28"/>
          <w:szCs w:val="28"/>
          <w:vertAlign w:val="baseline"/>
          <w:lang w:val="en-US" w:eastAsia="zh-CN"/>
        </w:rPr>
      </w:pPr>
      <w:r>
        <w:rPr>
          <w:rFonts w:hint="eastAsia" w:hAnsi="Cambria Math"/>
          <w:b/>
          <w:bCs/>
          <w:i w:val="0"/>
          <w:spacing w:val="0"/>
          <w:position w:val="0"/>
          <w:sz w:val="28"/>
          <w:szCs w:val="28"/>
          <w:vertAlign w:val="baseline"/>
          <w:lang w:val="en-US" w:eastAsia="zh-CN"/>
        </w:rPr>
        <w:t>5.6.5土壤环境影响分析小结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对照《环境影响评价技术导则 土壤环境（试行）》（HJ964-2018），本项目土壤评价工作等级为三级。根据土壤环境质量现状监测结果，本项目厂区及周边土壤环境质量现状较好。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可能对土壤环境影响主要途径为地面漫流和垂直入渗。项目通过采取分区防渗措施，正常情况下不会通过地面漫流、垂直入渗等形式对厂区内及周边土壤造成影响。但若发生防渗层开裂、废水泄漏等事故，相关污染物将进入土壤中，对土壤环境造成污染，并随着持续泄漏，进而影响地下水。因此，企业应落实分区防渗措施，加强日常环境管理以及对环保设施及相关防渗系统的检修维护，设置地下水监测井进行跟踪监测，一旦发生污染物泄漏和地下水水质异常，应及时采取措施。</w:t>
      </w:r>
    </w:p>
    <w:p>
      <w:pPr>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br w:type="page"/>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bCs/>
          <w:i w:val="0"/>
          <w:spacing w:val="0"/>
          <w:position w:val="0"/>
          <w:sz w:val="24"/>
          <w:szCs w:val="24"/>
          <w:vertAlign w:val="baseline"/>
          <w:lang w:val="en-US" w:eastAsia="zh-CN"/>
        </w:rPr>
      </w:pPr>
      <w:r>
        <w:rPr>
          <w:rFonts w:hint="eastAsia" w:hAnsi="Cambria Math"/>
          <w:b/>
          <w:bCs/>
          <w:i w:val="0"/>
          <w:spacing w:val="0"/>
          <w:position w:val="0"/>
          <w:sz w:val="24"/>
          <w:szCs w:val="24"/>
          <w:vertAlign w:val="baseline"/>
          <w:lang w:val="en-US" w:eastAsia="zh-CN"/>
        </w:rPr>
        <w:t>表5.6-3建设项目土壤环境影响评价自查表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9"/>
        <w:gridCol w:w="1702"/>
        <w:gridCol w:w="1350"/>
        <w:gridCol w:w="531"/>
        <w:gridCol w:w="755"/>
        <w:gridCol w:w="1126"/>
        <w:gridCol w:w="310"/>
        <w:gridCol w:w="1571"/>
        <w:gridCol w:w="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12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工作内容</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完成情况</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影响识别</w:t>
            </w: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影响类型</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污染影响型</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；生态影响型</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；两种兼有</w:t>
            </w:r>
            <w:r>
              <w:rPr>
                <w:rFonts w:hint="eastAsia" w:hAnsi="Cambria Math"/>
                <w:b w:val="0"/>
                <w:bCs w:val="0"/>
                <w:i w:val="0"/>
                <w:spacing w:val="0"/>
                <w:position w:val="0"/>
                <w:sz w:val="21"/>
                <w:szCs w:val="21"/>
                <w:vertAlign w:val="baseline"/>
                <w:lang w:val="en-US" w:eastAsia="zh-CN"/>
              </w:rPr>
              <w:sym w:font="Wingdings 2" w:char="00A3"/>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土地利用类型</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建设用地</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；农用地</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；未利用地</w:t>
            </w:r>
            <w:r>
              <w:rPr>
                <w:rFonts w:hint="eastAsia" w:hAnsi="Cambria Math"/>
                <w:b w:val="0"/>
                <w:bCs w:val="0"/>
                <w:i w:val="0"/>
                <w:spacing w:val="0"/>
                <w:position w:val="0"/>
                <w:sz w:val="21"/>
                <w:szCs w:val="21"/>
                <w:vertAlign w:val="baseline"/>
                <w:lang w:val="en-US" w:eastAsia="zh-CN"/>
              </w:rPr>
              <w:sym w:font="Wingdings 2" w:char="00A3"/>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土地利用类型图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占地规模</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（）hm</w:t>
            </w:r>
            <w:r>
              <w:rPr>
                <w:rFonts w:hint="eastAsia" w:hAnsi="Cambria Math"/>
                <w:b w:val="0"/>
                <w:bCs w:val="0"/>
                <w:i w:val="0"/>
                <w:spacing w:val="0"/>
                <w:position w:val="0"/>
                <w:sz w:val="21"/>
                <w:szCs w:val="21"/>
                <w:vertAlign w:val="superscript"/>
                <w:lang w:val="en-US" w:eastAsia="zh-CN"/>
              </w:rPr>
              <w:t>2</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敏感目标信息</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敏感目标（）、方位（）、距离（）</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影响途径</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大气沉降</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；地面漫流</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；垂直入渗</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；地下水位</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；其他（）</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全部污染物</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特征因子</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所属土壤环境影响评价项目类别</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Ⅰ类</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；Ⅱ类</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；Ⅲ类；Ⅳ类</w:t>
            </w:r>
            <w:r>
              <w:rPr>
                <w:rFonts w:hint="eastAsia" w:hAnsi="Cambria Math"/>
                <w:b w:val="0"/>
                <w:bCs w:val="0"/>
                <w:i w:val="0"/>
                <w:spacing w:val="0"/>
                <w:position w:val="0"/>
                <w:sz w:val="21"/>
                <w:szCs w:val="21"/>
                <w:vertAlign w:val="baseline"/>
                <w:lang w:val="en-US" w:eastAsia="zh-CN"/>
              </w:rPr>
              <w:sym w:font="Wingdings 2" w:char="00A3"/>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敏感程度</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敏感</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；较敏感</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；不敏感</w:t>
            </w:r>
            <w:r>
              <w:rPr>
                <w:rFonts w:hint="eastAsia" w:hAnsi="Cambria Math"/>
                <w:b w:val="0"/>
                <w:bCs w:val="0"/>
                <w:i w:val="0"/>
                <w:spacing w:val="0"/>
                <w:position w:val="0"/>
                <w:sz w:val="21"/>
                <w:szCs w:val="21"/>
                <w:vertAlign w:val="baseline"/>
                <w:lang w:val="en-US" w:eastAsia="zh-CN"/>
              </w:rPr>
              <w:sym w:font="Wingdings 2" w:char="00A3"/>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12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评价工作等级</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一级</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；二级</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；三级</w:t>
            </w:r>
            <w:r>
              <w:rPr>
                <w:rFonts w:hint="eastAsia" w:hAnsi="Cambria Math"/>
                <w:b w:val="0"/>
                <w:bCs w:val="0"/>
                <w:i w:val="0"/>
                <w:spacing w:val="0"/>
                <w:position w:val="0"/>
                <w:sz w:val="21"/>
                <w:szCs w:val="21"/>
                <w:vertAlign w:val="baseline"/>
                <w:lang w:val="en-US" w:eastAsia="zh-CN"/>
              </w:rPr>
              <w:sym w:font="Wingdings 2" w:char="00A3"/>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现状调查内容</w:t>
            </w: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资料收集</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a）</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；b）</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；c）</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；d）</w:t>
            </w:r>
            <w:r>
              <w:rPr>
                <w:rFonts w:hint="eastAsia" w:hAnsi="Cambria Math"/>
                <w:b w:val="0"/>
                <w:bCs w:val="0"/>
                <w:i w:val="0"/>
                <w:spacing w:val="0"/>
                <w:position w:val="0"/>
                <w:sz w:val="21"/>
                <w:szCs w:val="21"/>
                <w:vertAlign w:val="baseline"/>
                <w:lang w:val="en-US" w:eastAsia="zh-CN"/>
              </w:rPr>
              <w:sym w:font="Wingdings 2" w:char="00A3"/>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理化特性</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同附录c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 w:hRule="atLeast"/>
        </w:trPr>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现状监测点位</w:t>
            </w:r>
          </w:p>
        </w:tc>
        <w:tc>
          <w:tcPr>
            <w:tcW w:w="135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1286"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占地范围内</w:t>
            </w:r>
          </w:p>
        </w:tc>
        <w:tc>
          <w:tcPr>
            <w:tcW w:w="1436"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占地范围外</w:t>
            </w:r>
          </w:p>
        </w:tc>
        <w:tc>
          <w:tcPr>
            <w:tcW w:w="15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深度</w:t>
            </w:r>
          </w:p>
        </w:tc>
        <w:tc>
          <w:tcPr>
            <w:tcW w:w="925"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点位布置图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 w:hRule="atLeast"/>
        </w:trPr>
        <w:tc>
          <w:tcPr>
            <w:tcW w:w="4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70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35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eastAsia="宋体"/>
                <w:spacing w:val="0"/>
                <w:position w:val="0"/>
                <w:lang w:val="en-US" w:eastAsia="zh-CN"/>
              </w:rPr>
            </w:pPr>
            <w:r>
              <w:rPr>
                <w:rFonts w:hint="eastAsia"/>
                <w:spacing w:val="0"/>
                <w:position w:val="0"/>
                <w:lang w:val="en-US" w:eastAsia="zh-CN"/>
              </w:rPr>
              <w:t>表层样点数</w:t>
            </w:r>
          </w:p>
        </w:tc>
        <w:tc>
          <w:tcPr>
            <w:tcW w:w="1286"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436"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5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 w:hRule="atLeast"/>
        </w:trPr>
        <w:tc>
          <w:tcPr>
            <w:tcW w:w="4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170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135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柱状样点数</w:t>
            </w:r>
          </w:p>
        </w:tc>
        <w:tc>
          <w:tcPr>
            <w:tcW w:w="1286"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1436"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15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现状监测因子</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现状评价</w:t>
            </w: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评价因子</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评价标准</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GB15618</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；GB36600</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；表D.1</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；表D.2</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；其他（）</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现状评价结论</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影响预测</w:t>
            </w: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预测因子</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预测方法</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附录E</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；附录F</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；其他（）</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预测分析内容</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影响范围（）</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影响程度（）</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预测结论</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达标结论：a）</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；b）</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；c）</w:t>
            </w:r>
            <w:r>
              <w:rPr>
                <w:rFonts w:hint="eastAsia" w:hAnsi="Cambria Math"/>
                <w:b w:val="0"/>
                <w:bCs w:val="0"/>
                <w:i w:val="0"/>
                <w:spacing w:val="0"/>
                <w:position w:val="0"/>
                <w:sz w:val="21"/>
                <w:szCs w:val="21"/>
                <w:vertAlign w:val="baseline"/>
                <w:lang w:val="en-US" w:eastAsia="zh-CN"/>
              </w:rPr>
              <w:sym w:font="Wingdings 2" w:char="00A3"/>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不达标结论：a）</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；b）</w:t>
            </w:r>
            <w:r>
              <w:rPr>
                <w:rFonts w:hint="eastAsia" w:hAnsi="Cambria Math"/>
                <w:b w:val="0"/>
                <w:bCs w:val="0"/>
                <w:i w:val="0"/>
                <w:spacing w:val="0"/>
                <w:position w:val="0"/>
                <w:sz w:val="21"/>
                <w:szCs w:val="21"/>
                <w:vertAlign w:val="baseline"/>
                <w:lang w:val="en-US" w:eastAsia="zh-CN"/>
              </w:rPr>
              <w:sym w:font="Wingdings 2" w:char="00A3"/>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防治措施</w:t>
            </w: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防控措施</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土壤环境质量现状保障</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；源头控制</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；过程防控</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；其他（）</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1" w:hRule="atLeast"/>
        </w:trPr>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跟踪监测</w:t>
            </w:r>
          </w:p>
        </w:tc>
        <w:tc>
          <w:tcPr>
            <w:tcW w:w="188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监测点数</w:t>
            </w:r>
          </w:p>
        </w:tc>
        <w:tc>
          <w:tcPr>
            <w:tcW w:w="188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监测指标</w:t>
            </w:r>
          </w:p>
        </w:tc>
        <w:tc>
          <w:tcPr>
            <w:tcW w:w="188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监测频次</w:t>
            </w:r>
          </w:p>
        </w:tc>
        <w:tc>
          <w:tcPr>
            <w:tcW w:w="925"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1" w:hRule="atLeast"/>
        </w:trPr>
        <w:tc>
          <w:tcPr>
            <w:tcW w:w="41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70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88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88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188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spacing w:val="0"/>
                <w:position w:val="0"/>
              </w:rPr>
            </w:pPr>
          </w:p>
        </w:tc>
        <w:tc>
          <w:tcPr>
            <w:tcW w:w="9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spacing w:val="0"/>
                <w:positio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p>
        </w:tc>
        <w:tc>
          <w:tcPr>
            <w:tcW w:w="170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信息公开指标</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12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评价结论</w:t>
            </w:r>
          </w:p>
        </w:tc>
        <w:tc>
          <w:tcPr>
            <w:tcW w:w="5643" w:type="dxa"/>
            <w:gridSpan w:val="6"/>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764" w:type="dxa"/>
            <w:gridSpan w:val="8"/>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注1：“</w:t>
            </w:r>
            <w:r>
              <w:rPr>
                <w:rFonts w:hint="eastAsia" w:hAnsi="Cambria Math"/>
                <w:b w:val="0"/>
                <w:bCs w:val="0"/>
                <w:i w:val="0"/>
                <w:spacing w:val="0"/>
                <w:position w:val="0"/>
                <w:sz w:val="21"/>
                <w:szCs w:val="21"/>
                <w:vertAlign w:val="baseline"/>
                <w:lang w:val="en-US" w:eastAsia="zh-CN"/>
              </w:rPr>
              <w:sym w:font="Wingdings 2" w:char="00A3"/>
            </w:r>
            <w:r>
              <w:rPr>
                <w:rFonts w:hint="eastAsia" w:hAnsi="Cambria Math"/>
                <w:b w:val="0"/>
                <w:bCs w:val="0"/>
                <w:i w:val="0"/>
                <w:spacing w:val="0"/>
                <w:position w:val="0"/>
                <w:sz w:val="21"/>
                <w:szCs w:val="21"/>
                <w:vertAlign w:val="baseline"/>
                <w:lang w:val="en-US" w:eastAsia="zh-CN"/>
              </w:rPr>
              <w:t>”为勾选项，可</w:t>
            </w:r>
            <w:r>
              <w:rPr>
                <w:rFonts w:hint="default" w:ascii="Times New Roman" w:hAnsi="Times New Roman" w:cs="Times New Roman"/>
                <w:b w:val="0"/>
                <w:bCs w:val="0"/>
                <w:i w:val="0"/>
                <w:spacing w:val="0"/>
                <w:position w:val="0"/>
                <w:sz w:val="21"/>
                <w:szCs w:val="21"/>
                <w:vertAlign w:val="baseline"/>
                <w:lang w:val="en-US" w:eastAsia="zh-CN"/>
              </w:rPr>
              <w:t>√</w:t>
            </w:r>
            <w:r>
              <w:rPr>
                <w:rFonts w:hint="eastAsia" w:ascii="Times New Roman" w:hAnsi="Times New Roman" w:cs="Times New Roman"/>
                <w:b w:val="0"/>
                <w:bCs w:val="0"/>
                <w:i w:val="0"/>
                <w:spacing w:val="0"/>
                <w:position w:val="0"/>
                <w:sz w:val="21"/>
                <w:szCs w:val="21"/>
                <w:vertAlign w:val="baseline"/>
                <w:lang w:val="en-US" w:eastAsia="zh-CN"/>
              </w:rPr>
              <w:t>；“（）”为内容填写项；“备注”为其他补充内容。</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hAnsi="Cambria Math"/>
                <w:b w:val="0"/>
                <w:bCs w:val="0"/>
                <w:i w:val="0"/>
                <w:spacing w:val="0"/>
                <w:position w:val="0"/>
                <w:sz w:val="21"/>
                <w:szCs w:val="21"/>
                <w:vertAlign w:val="baseline"/>
                <w:lang w:val="en-US" w:eastAsia="zh-CN"/>
              </w:rPr>
            </w:pPr>
            <w:r>
              <w:rPr>
                <w:rFonts w:hint="eastAsia" w:hAnsi="Cambria Math"/>
                <w:b w:val="0"/>
                <w:bCs w:val="0"/>
                <w:i w:val="0"/>
                <w:spacing w:val="0"/>
                <w:position w:val="0"/>
                <w:sz w:val="21"/>
                <w:szCs w:val="21"/>
                <w:vertAlign w:val="baseline"/>
                <w:lang w:val="en-US" w:eastAsia="zh-CN"/>
              </w:rPr>
              <w:t>注2：需要分别开展土壤环境影响评级工作的，分别填写自查表。</w:t>
            </w:r>
          </w:p>
        </w:tc>
        <w:tc>
          <w:tcPr>
            <w:tcW w:w="92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hAnsi="Cambria Math"/>
                <w:b w:val="0"/>
                <w:bCs w:val="0"/>
                <w:i w:val="0"/>
                <w:spacing w:val="0"/>
                <w:position w:val="0"/>
                <w:sz w:val="21"/>
                <w:szCs w:val="21"/>
                <w:vertAlign w:val="baseline"/>
                <w:lang w:val="en-US" w:eastAsia="zh-CN"/>
              </w:rPr>
            </w:pPr>
          </w:p>
        </w:tc>
      </w:tr>
    </w:tbl>
    <w:p>
      <w:pPr>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br w:type="page"/>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5.7生态环境影响分析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项目不涉及生态敏感区，且位于已批准规划环评的产业园区内且符合规划环评要求，根据《环境影响评价技术导则 生态影响》（HJ19-2022）中6.1.8要求，可不确定评价等级，直接进行生态影响简单分析。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(1)对土壤利用的影响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本项目在已规划的纺丝织造一体化产业园内，属于工业用地，对土壤利用的影响较小。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(2)对植被的影响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项目建设区域内无国家重点保护野生植物物种的分布，该区域内植被的直接经济价值并不高，因此该区域内植被的间接价值，如调节气候，涵养水土等可以通过原位、异地进行一定程度补偿。因此规划实施造成的生态效益损失是局部的，较小的，对区域生态环境不存在制约，不会对整个地区的植被生态形成威胁。</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(3)对野生动植物的影响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根据现场调查可知，项目建设区域内动物种类较少，项目实施后，区域内动物物种多样性将降低，区内植被单一，地形变得平坦，一些动物失去其赖以生存的生境，栖息地的丧失，造成动物迁往别处，但项目的实施不会使动物种群数量受到大的影响，也不会使区域分布的某一物种的灭绝。因此项目的实施对动物的影响较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9"/>
        <w:rPr>
          <w:rFonts w:hint="default" w:hAnsi="Cambria Math"/>
          <w:b w:val="0"/>
          <w:bCs w:val="0"/>
          <w:i w:val="0"/>
          <w:spacing w:val="0"/>
          <w:position w:val="0"/>
          <w:sz w:val="24"/>
          <w:szCs w:val="24"/>
          <w:vertAlign w:val="baseline"/>
          <w:lang w:val="en-US" w:eastAsia="zh-CN"/>
        </w:rPr>
      </w:pPr>
      <w:r>
        <w:rPr>
          <w:rFonts w:hint="eastAsia" w:hAnsi="Cambria Math"/>
          <w:b w:val="0"/>
          <w:bCs w:val="0"/>
          <w:i w:val="0"/>
          <w:spacing w:val="0"/>
          <w:position w:val="0"/>
          <w:sz w:val="24"/>
          <w:szCs w:val="24"/>
          <w:vertAlign w:val="baseline"/>
          <w:lang w:val="en-US" w:eastAsia="zh-CN"/>
        </w:rPr>
        <w:t>项目区域内没有珍稀濒危动植物，无文物古迹，项目的建设对自然景观的影响，仅存在与地表形态的改变，是在人为活动下，有计划的对自然景观的改造。项目的绿地景观建设，将使得集中区的自然景观由无序状态演替为较为有序的景观状态，不会影响整个生态系统的稳定性。</w:t>
      </w:r>
    </w:p>
    <w:p>
      <w:pPr>
        <w:adjustRightInd w:val="0"/>
        <w:snapToGrid w:val="0"/>
        <w:spacing w:before="156" w:beforeLines="50" w:after="156" w:afterLines="50" w:line="360" w:lineRule="auto"/>
        <w:jc w:val="center"/>
        <w:outlineLvl w:val="0"/>
        <w:rPr>
          <w:b/>
          <w:bCs/>
          <w:spacing w:val="0"/>
          <w:position w:val="0"/>
          <w:sz w:val="36"/>
          <w:szCs w:val="36"/>
        </w:rPr>
      </w:pPr>
      <w:r>
        <w:rPr>
          <w:b/>
          <w:bCs/>
          <w:spacing w:val="0"/>
          <w:position w:val="0"/>
          <w:sz w:val="36"/>
          <w:szCs w:val="36"/>
        </w:rPr>
        <w:br w:type="page"/>
      </w:r>
      <w:r>
        <w:rPr>
          <w:rFonts w:hint="eastAsia"/>
          <w:b/>
          <w:bCs/>
          <w:spacing w:val="0"/>
          <w:position w:val="0"/>
          <w:sz w:val="36"/>
          <w:szCs w:val="36"/>
        </w:rPr>
        <w:t>6环境风险分析</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r>
        <w:rPr>
          <w:rFonts w:hint="eastAsia" w:ascii="Times New Roman" w:hAnsi="Times New Roman" w:eastAsia="宋体" w:cs="Times New Roman"/>
          <w:b/>
          <w:bCs/>
          <w:spacing w:val="0"/>
          <w:w w:val="100"/>
          <w:position w:val="0"/>
          <w:sz w:val="30"/>
          <w:szCs w:val="30"/>
          <w:lang w:val="en-US" w:eastAsia="zh-CN"/>
        </w:rPr>
        <w:t>6.1评价依据</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6.1.1风险调查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宋体"/>
          <w:spacing w:val="0"/>
          <w:w w:val="100"/>
          <w:position w:val="0"/>
          <w:sz w:val="24"/>
          <w:szCs w:val="24"/>
          <w:lang w:val="en-US" w:eastAsia="zh-CN"/>
        </w:rPr>
      </w:pPr>
      <w:r>
        <w:rPr>
          <w:rFonts w:hint="eastAsia" w:ascii="Times New Roman" w:hAnsi="Times New Roman" w:eastAsia="宋体" w:cs="宋体"/>
          <w:spacing w:val="0"/>
          <w:w w:val="100"/>
          <w:kern w:val="2"/>
          <w:position w:val="0"/>
          <w:sz w:val="24"/>
          <w:szCs w:val="24"/>
          <w:lang w:val="en-US" w:eastAsia="zh-CN"/>
        </w:rPr>
        <w:t>（1）</w:t>
      </w:r>
      <w:r>
        <w:rPr>
          <w:rFonts w:hint="eastAsia" w:ascii="Times New Roman" w:hAnsi="Times New Roman" w:eastAsia="宋体" w:cs="宋体"/>
          <w:spacing w:val="0"/>
          <w:w w:val="100"/>
          <w:position w:val="0"/>
          <w:sz w:val="24"/>
          <w:szCs w:val="24"/>
          <w:lang w:val="en-US" w:eastAsia="zh-CN"/>
        </w:rPr>
        <w:t>危险物质数量和分布情况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本项目主要原辅材料理化性质见</w:t>
      </w:r>
      <w:r>
        <w:rPr>
          <w:rFonts w:hint="eastAsia" w:ascii="Times New Roman" w:hAnsi="Times New Roman" w:eastAsia="宋体" w:cs="Times New Roman"/>
          <w:spacing w:val="0"/>
          <w:w w:val="100"/>
          <w:position w:val="0"/>
          <w:sz w:val="24"/>
          <w:szCs w:val="24"/>
          <w:lang w:val="en-US" w:eastAsia="zh-CN"/>
        </w:rPr>
        <w:t>3.2-3</w:t>
      </w:r>
      <w:r>
        <w:rPr>
          <w:rFonts w:hint="eastAsia" w:cs="Times New Roman"/>
          <w:spacing w:val="0"/>
          <w:w w:val="100"/>
          <w:position w:val="0"/>
          <w:sz w:val="24"/>
          <w:szCs w:val="24"/>
          <w:lang w:val="en-US" w:eastAsia="zh-CN"/>
        </w:rPr>
        <w:t>章节</w:t>
      </w:r>
      <w:r>
        <w:rPr>
          <w:rFonts w:hint="default" w:ascii="Times New Roman" w:hAnsi="Times New Roman" w:eastAsia="宋体" w:cs="Times New Roman"/>
          <w:spacing w:val="0"/>
          <w:w w:val="100"/>
          <w:position w:val="0"/>
          <w:sz w:val="24"/>
          <w:szCs w:val="24"/>
          <w:lang w:val="en-US" w:eastAsia="zh-CN"/>
        </w:rPr>
        <w:t>。根据《建设项目环境风险评价技术导则》（HJ169-2018）附录B中重点关注的危险物质及临界量表中涉及的物质，厂区涉及的主要危险物质为工程使用的冰醋酸、片碱、纯碱等。其物料情况见表</w:t>
      </w:r>
      <w:r>
        <w:rPr>
          <w:rFonts w:hint="eastAsia" w:ascii="Times New Roman" w:hAnsi="Times New Roman" w:eastAsia="宋体" w:cs="Times New Roman"/>
          <w:spacing w:val="0"/>
          <w:w w:val="100"/>
          <w:position w:val="0"/>
          <w:sz w:val="24"/>
          <w:szCs w:val="24"/>
          <w:lang w:val="en-US" w:eastAsia="zh-CN"/>
        </w:rPr>
        <w:t>6.1</w:t>
      </w:r>
      <w:r>
        <w:rPr>
          <w:rFonts w:hint="default" w:ascii="Times New Roman" w:hAnsi="Times New Roman" w:eastAsia="宋体" w:cs="Times New Roman"/>
          <w:spacing w:val="0"/>
          <w:w w:val="100"/>
          <w:position w:val="0"/>
          <w:sz w:val="24"/>
          <w:szCs w:val="24"/>
          <w:lang w:val="en-US" w:eastAsia="zh-CN"/>
        </w:rPr>
        <w:t>-1。</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表6.1-</w:t>
      </w:r>
      <w:r>
        <w:rPr>
          <w:rFonts w:hint="eastAsia" w:ascii="Times New Roman" w:hAnsi="Times New Roman" w:eastAsia="宋体" w:cs="Times New Roman"/>
          <w:b/>
          <w:bCs/>
          <w:spacing w:val="0"/>
          <w:w w:val="100"/>
          <w:position w:val="0"/>
          <w:sz w:val="24"/>
          <w:szCs w:val="24"/>
          <w:lang w:val="en-US" w:eastAsia="zh-CN"/>
        </w:rPr>
        <w:t>1</w:t>
      </w:r>
      <w:r>
        <w:rPr>
          <w:rFonts w:hint="default" w:ascii="Times New Roman" w:hAnsi="Times New Roman" w:eastAsia="宋体" w:cs="Times New Roman"/>
          <w:b/>
          <w:bCs/>
          <w:spacing w:val="0"/>
          <w:w w:val="100"/>
          <w:position w:val="0"/>
          <w:sz w:val="24"/>
          <w:szCs w:val="24"/>
        </w:rPr>
        <w:t>本项目</w:t>
      </w:r>
      <w:r>
        <w:rPr>
          <w:rFonts w:hint="eastAsia" w:ascii="Times New Roman" w:hAnsi="Times New Roman" w:eastAsia="宋体" w:cs="Times New Roman"/>
          <w:b/>
          <w:bCs/>
          <w:spacing w:val="0"/>
          <w:w w:val="100"/>
          <w:position w:val="0"/>
          <w:sz w:val="24"/>
          <w:szCs w:val="24"/>
          <w:lang w:eastAsia="zh-CN"/>
        </w:rPr>
        <w:t>风险物质</w:t>
      </w:r>
      <w:r>
        <w:rPr>
          <w:rFonts w:hint="default" w:ascii="Times New Roman" w:hAnsi="Times New Roman" w:eastAsia="宋体" w:cs="Times New Roman"/>
          <w:b/>
          <w:bCs/>
          <w:spacing w:val="0"/>
          <w:w w:val="100"/>
          <w:position w:val="0"/>
          <w:sz w:val="24"/>
          <w:szCs w:val="24"/>
        </w:rPr>
        <w:t>最大储存量和分布情况一览表</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061"/>
        <w:gridCol w:w="1295"/>
        <w:gridCol w:w="1332"/>
        <w:gridCol w:w="963"/>
        <w:gridCol w:w="1454"/>
        <w:gridCol w:w="1221"/>
        <w:gridCol w:w="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3"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原辅料名称</w:t>
            </w:r>
          </w:p>
        </w:tc>
        <w:tc>
          <w:tcPr>
            <w:tcW w:w="574"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bCs/>
                <w:color w:val="auto"/>
                <w:spacing w:val="0"/>
                <w:w w:val="100"/>
                <w:position w:val="0"/>
                <w:sz w:val="21"/>
                <w:szCs w:val="21"/>
                <w:lang w:eastAsia="zh-CN"/>
              </w:rPr>
            </w:pPr>
            <w:r>
              <w:rPr>
                <w:rFonts w:hint="eastAsia" w:ascii="Times New Roman" w:hAnsi="Times New Roman" w:eastAsia="宋体" w:cs="Times New Roman"/>
                <w:b/>
                <w:bCs/>
                <w:color w:val="auto"/>
                <w:spacing w:val="0"/>
                <w:w w:val="100"/>
                <w:position w:val="0"/>
                <w:sz w:val="21"/>
                <w:szCs w:val="21"/>
                <w:lang w:eastAsia="zh-CN"/>
              </w:rPr>
              <w:t>风险物质成分</w:t>
            </w:r>
          </w:p>
        </w:tc>
        <w:tc>
          <w:tcPr>
            <w:tcW w:w="70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CAS编号</w:t>
            </w:r>
          </w:p>
        </w:tc>
        <w:tc>
          <w:tcPr>
            <w:tcW w:w="7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w w:val="100"/>
                <w:position w:val="0"/>
                <w:sz w:val="21"/>
                <w:szCs w:val="21"/>
              </w:rPr>
            </w:pPr>
            <w:r>
              <w:rPr>
                <w:rFonts w:hint="eastAsia" w:ascii="Times New Roman" w:hAnsi="Times New Roman" w:eastAsia="宋体" w:cs="Times New Roman"/>
                <w:b/>
                <w:bCs/>
                <w:color w:val="auto"/>
                <w:spacing w:val="0"/>
                <w:w w:val="100"/>
                <w:position w:val="0"/>
                <w:sz w:val="21"/>
                <w:szCs w:val="21"/>
                <w:lang w:eastAsia="zh-CN"/>
              </w:rPr>
              <w:t>原辅料</w:t>
            </w:r>
            <w:r>
              <w:rPr>
                <w:rFonts w:hint="default" w:ascii="Times New Roman" w:hAnsi="Times New Roman" w:eastAsia="宋体" w:cs="Times New Roman"/>
                <w:b/>
                <w:bCs/>
                <w:color w:val="auto"/>
                <w:spacing w:val="0"/>
                <w:w w:val="100"/>
                <w:position w:val="0"/>
                <w:sz w:val="21"/>
                <w:szCs w:val="21"/>
              </w:rPr>
              <w:t>最大贮量（t）</w:t>
            </w:r>
          </w:p>
        </w:tc>
        <w:tc>
          <w:tcPr>
            <w:tcW w:w="5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bCs/>
                <w:color w:val="auto"/>
                <w:spacing w:val="0"/>
                <w:w w:val="100"/>
                <w:position w:val="0"/>
                <w:sz w:val="21"/>
                <w:szCs w:val="21"/>
                <w:lang w:eastAsia="zh-CN"/>
              </w:rPr>
            </w:pPr>
            <w:r>
              <w:rPr>
                <w:rFonts w:hint="eastAsia" w:ascii="Times New Roman" w:hAnsi="Times New Roman" w:eastAsia="宋体" w:cs="Times New Roman"/>
                <w:b/>
                <w:bCs/>
                <w:color w:val="auto"/>
                <w:spacing w:val="0"/>
                <w:w w:val="100"/>
                <w:position w:val="0"/>
                <w:sz w:val="21"/>
                <w:szCs w:val="21"/>
                <w:lang w:eastAsia="zh-CN"/>
              </w:rPr>
              <w:t>风险物质含量</w:t>
            </w:r>
          </w:p>
        </w:tc>
        <w:tc>
          <w:tcPr>
            <w:tcW w:w="78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bCs/>
                <w:color w:val="auto"/>
                <w:spacing w:val="0"/>
                <w:w w:val="100"/>
                <w:position w:val="0"/>
                <w:sz w:val="21"/>
                <w:szCs w:val="21"/>
                <w:lang w:eastAsia="zh-CN"/>
              </w:rPr>
            </w:pPr>
            <w:r>
              <w:rPr>
                <w:rFonts w:hint="eastAsia" w:ascii="Times New Roman" w:hAnsi="Times New Roman" w:eastAsia="宋体" w:cs="Times New Roman"/>
                <w:b/>
                <w:bCs/>
                <w:color w:val="auto"/>
                <w:spacing w:val="0"/>
                <w:w w:val="100"/>
                <w:position w:val="0"/>
                <w:sz w:val="21"/>
                <w:szCs w:val="21"/>
                <w:lang w:eastAsia="zh-CN"/>
              </w:rPr>
              <w:t>风险物质储量</w:t>
            </w:r>
            <w:r>
              <w:rPr>
                <w:rFonts w:hint="default" w:ascii="Times New Roman" w:hAnsi="Times New Roman" w:eastAsia="宋体" w:cs="Times New Roman"/>
                <w:b/>
                <w:bCs/>
                <w:color w:val="auto"/>
                <w:spacing w:val="0"/>
                <w:w w:val="100"/>
                <w:position w:val="0"/>
                <w:sz w:val="21"/>
                <w:szCs w:val="21"/>
              </w:rPr>
              <w:t>（t）</w:t>
            </w:r>
          </w:p>
        </w:tc>
        <w:tc>
          <w:tcPr>
            <w:tcW w:w="66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贮存、包装形式</w:t>
            </w:r>
          </w:p>
        </w:tc>
        <w:tc>
          <w:tcPr>
            <w:tcW w:w="478"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贮存地点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3"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保险粉</w:t>
            </w:r>
          </w:p>
        </w:tc>
        <w:tc>
          <w:tcPr>
            <w:tcW w:w="574"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spacing w:val="0"/>
                <w:w w:val="100"/>
                <w:position w:val="0"/>
                <w:sz w:val="21"/>
                <w:szCs w:val="21"/>
              </w:rPr>
              <w:t>连二亚硫酸钠</w:t>
            </w:r>
          </w:p>
        </w:tc>
        <w:tc>
          <w:tcPr>
            <w:tcW w:w="70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7775-14-6</w:t>
            </w:r>
          </w:p>
        </w:tc>
        <w:tc>
          <w:tcPr>
            <w:tcW w:w="7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3</w:t>
            </w:r>
          </w:p>
        </w:tc>
        <w:tc>
          <w:tcPr>
            <w:tcW w:w="5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100%</w:t>
            </w:r>
          </w:p>
        </w:tc>
        <w:tc>
          <w:tcPr>
            <w:tcW w:w="78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3</w:t>
            </w:r>
          </w:p>
        </w:tc>
        <w:tc>
          <w:tcPr>
            <w:tcW w:w="66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固体、袋装</w:t>
            </w:r>
          </w:p>
        </w:tc>
        <w:tc>
          <w:tcPr>
            <w:tcW w:w="478" w:type="pct"/>
            <w:vMerge w:val="restar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化学品仓库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3"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冰醋酸</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乙酸</w:t>
            </w:r>
          </w:p>
        </w:tc>
        <w:tc>
          <w:tcPr>
            <w:tcW w:w="70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64-19-7</w:t>
            </w:r>
          </w:p>
        </w:tc>
        <w:tc>
          <w:tcPr>
            <w:tcW w:w="7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9</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99%</w:t>
            </w:r>
          </w:p>
        </w:tc>
        <w:tc>
          <w:tcPr>
            <w:tcW w:w="78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8.91</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val="en-US" w:eastAsia="zh-CN"/>
              </w:rPr>
              <w:t>液态、桶装</w:t>
            </w:r>
          </w:p>
        </w:tc>
        <w:tc>
          <w:tcPr>
            <w:tcW w:w="478" w:type="pct"/>
            <w:vMerge w:val="continue"/>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3"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硫酸铵</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硫酸铵</w:t>
            </w:r>
          </w:p>
        </w:tc>
        <w:tc>
          <w:tcPr>
            <w:tcW w:w="70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7783-20-2</w:t>
            </w:r>
          </w:p>
        </w:tc>
        <w:tc>
          <w:tcPr>
            <w:tcW w:w="7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9</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100%</w:t>
            </w:r>
          </w:p>
        </w:tc>
        <w:tc>
          <w:tcPr>
            <w:tcW w:w="78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9</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val="en-US" w:eastAsia="zh-CN"/>
              </w:rPr>
              <w:t>固体、袋装</w:t>
            </w:r>
          </w:p>
        </w:tc>
        <w:tc>
          <w:tcPr>
            <w:tcW w:w="478" w:type="pct"/>
            <w:vMerge w:val="continue"/>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3"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染料浆</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乙酸</w:t>
            </w:r>
          </w:p>
        </w:tc>
        <w:tc>
          <w:tcPr>
            <w:tcW w:w="70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64-19-7</w:t>
            </w:r>
          </w:p>
        </w:tc>
        <w:tc>
          <w:tcPr>
            <w:tcW w:w="7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5</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50%</w:t>
            </w:r>
          </w:p>
        </w:tc>
        <w:tc>
          <w:tcPr>
            <w:tcW w:w="78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2.50</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val="en-US" w:eastAsia="zh-CN"/>
              </w:rPr>
              <w:t>液态、桶装</w:t>
            </w:r>
          </w:p>
        </w:tc>
        <w:tc>
          <w:tcPr>
            <w:tcW w:w="478" w:type="pct"/>
            <w:vMerge w:val="continue"/>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3"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片碱</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氢氧化钠</w:t>
            </w:r>
          </w:p>
        </w:tc>
        <w:tc>
          <w:tcPr>
            <w:tcW w:w="70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0"/>
                <w:szCs w:val="20"/>
              </w:rPr>
              <w:t>1310-73-2</w:t>
            </w:r>
          </w:p>
        </w:tc>
        <w:tc>
          <w:tcPr>
            <w:tcW w:w="721"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1.5</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100%</w:t>
            </w:r>
          </w:p>
        </w:tc>
        <w:tc>
          <w:tcPr>
            <w:tcW w:w="78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1.5</w:t>
            </w:r>
          </w:p>
        </w:tc>
        <w:tc>
          <w:tcPr>
            <w:tcW w:w="6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固体、袋装</w:t>
            </w:r>
          </w:p>
        </w:tc>
        <w:tc>
          <w:tcPr>
            <w:tcW w:w="478" w:type="pct"/>
            <w:vMerge w:val="continue"/>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position w:val="0"/>
                <w:sz w:val="21"/>
                <w:szCs w:val="21"/>
                <w:lang w:eastAsia="zh-CN"/>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注：经查CAS数据库，氢氧化钠的急性毒性为LD50500mg/kg（兔，经口）。对照《化学品分类和标签规范第18部分：急性毒性》（GB30000.18-2013），氢氧化钠的急性毒性属于类别4，可不计算临界量。</w:t>
      </w:r>
    </w:p>
    <w:p>
      <w:pPr>
        <w:keepNext w:val="0"/>
        <w:keepLines w:val="0"/>
        <w:pageBreakBefore w:val="0"/>
        <w:widowControl/>
        <w:numPr>
          <w:ilvl w:val="0"/>
          <w:numId w:val="0"/>
        </w:numPr>
        <w:kinsoku/>
        <w:wordWrap/>
        <w:overflowPunct/>
        <w:topLinePunct w:val="0"/>
        <w:autoSpaceDE/>
        <w:autoSpaceDN/>
        <w:bidi w:val="0"/>
        <w:adjustRightInd w:val="0"/>
        <w:snapToGrid w:val="0"/>
        <w:spacing w:before="157" w:beforeLines="50" w:line="360" w:lineRule="auto"/>
        <w:jc w:val="left"/>
        <w:textAlignment w:val="auto"/>
        <w:rPr>
          <w:rFonts w:hint="eastAsia" w:ascii="Times New Roman" w:hAnsi="Times New Roman" w:eastAsia="宋体" w:cs="宋体"/>
          <w:spacing w:val="0"/>
          <w:w w:val="100"/>
          <w:position w:val="0"/>
          <w:sz w:val="24"/>
          <w:szCs w:val="24"/>
          <w:lang w:val="en-US" w:eastAsia="zh-CN"/>
        </w:rPr>
      </w:pPr>
      <w:r>
        <w:rPr>
          <w:rFonts w:hint="eastAsia" w:ascii="Times New Roman" w:hAnsi="Times New Roman" w:eastAsia="宋体" w:cs="宋体"/>
          <w:spacing w:val="0"/>
          <w:w w:val="100"/>
          <w:position w:val="0"/>
          <w:sz w:val="24"/>
          <w:szCs w:val="24"/>
          <w:lang w:val="en-US" w:eastAsia="zh-CN"/>
        </w:rPr>
        <w:t>（2）环境风险物质的理化性质</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bCs/>
          <w:spacing w:val="0"/>
          <w:w w:val="100"/>
          <w:position w:val="0"/>
          <w:sz w:val="24"/>
          <w:szCs w:val="24"/>
        </w:rPr>
      </w:pPr>
      <w:r>
        <w:rPr>
          <w:rFonts w:ascii="Times New Roman" w:hAnsi="Times New Roman" w:eastAsia="宋体" w:cs="宋体"/>
          <w:spacing w:val="0"/>
          <w:w w:val="100"/>
          <w:position w:val="0"/>
          <w:sz w:val="24"/>
          <w:szCs w:val="24"/>
        </w:rPr>
        <w:t>本项目涉及的主要环境风险物质的理化性质见表</w:t>
      </w:r>
      <w:r>
        <w:rPr>
          <w:rFonts w:ascii="Times New Roman" w:hAnsi="Times New Roman" w:eastAsia="宋体" w:cs="Times New Roman"/>
          <w:spacing w:val="0"/>
          <w:w w:val="100"/>
          <w:position w:val="0"/>
          <w:sz w:val="24"/>
          <w:szCs w:val="24"/>
        </w:rPr>
        <w:t>6.1-</w:t>
      </w:r>
      <w:r>
        <w:rPr>
          <w:rFonts w:hint="eastAsia" w:ascii="Times New Roman" w:hAnsi="Times New Roman" w:eastAsia="宋体" w:cs="Times New Roman"/>
          <w:spacing w:val="0"/>
          <w:w w:val="100"/>
          <w:position w:val="0"/>
          <w:sz w:val="24"/>
          <w:szCs w:val="24"/>
          <w:lang w:val="en-US" w:eastAsia="zh-CN"/>
        </w:rPr>
        <w:t>2</w:t>
      </w:r>
      <w:r>
        <w:rPr>
          <w:rFonts w:ascii="Times New Roman" w:hAnsi="Times New Roman" w:eastAsia="宋体" w:cs="宋体"/>
          <w:spacing w:val="0"/>
          <w:w w:val="100"/>
          <w:position w:val="0"/>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pacing w:val="0"/>
          <w:w w:val="100"/>
          <w:position w:val="0"/>
          <w:sz w:val="24"/>
          <w:szCs w:val="24"/>
          <w:lang w:eastAsia="zh-CN"/>
        </w:rPr>
      </w:pPr>
      <w:r>
        <w:rPr>
          <w:rFonts w:hint="default" w:ascii="Times New Roman" w:hAnsi="Times New Roman" w:eastAsia="宋体" w:cs="Times New Roman"/>
          <w:b/>
          <w:bCs/>
          <w:spacing w:val="0"/>
          <w:w w:val="100"/>
          <w:position w:val="0"/>
          <w:sz w:val="24"/>
          <w:szCs w:val="24"/>
        </w:rPr>
        <w:t>表6.1-</w:t>
      </w:r>
      <w:r>
        <w:rPr>
          <w:rFonts w:hint="eastAsia" w:ascii="Times New Roman" w:hAnsi="Times New Roman" w:eastAsia="宋体" w:cs="Times New Roman"/>
          <w:b/>
          <w:bCs/>
          <w:spacing w:val="0"/>
          <w:w w:val="100"/>
          <w:position w:val="0"/>
          <w:sz w:val="24"/>
          <w:szCs w:val="24"/>
          <w:lang w:val="en-US" w:eastAsia="zh-CN"/>
        </w:rPr>
        <w:t>2</w:t>
      </w:r>
      <w:r>
        <w:rPr>
          <w:rFonts w:hint="default" w:ascii="Times New Roman" w:hAnsi="Times New Roman" w:eastAsia="宋体" w:cs="Times New Roman"/>
          <w:b/>
          <w:bCs/>
          <w:spacing w:val="0"/>
          <w:w w:val="100"/>
          <w:position w:val="0"/>
          <w:sz w:val="24"/>
          <w:szCs w:val="24"/>
        </w:rPr>
        <w:t>本项目</w:t>
      </w:r>
      <w:r>
        <w:rPr>
          <w:rFonts w:hint="eastAsia" w:ascii="Times New Roman" w:hAnsi="Times New Roman" w:eastAsia="宋体" w:cs="Times New Roman"/>
          <w:b/>
          <w:bCs/>
          <w:spacing w:val="0"/>
          <w:w w:val="100"/>
          <w:position w:val="0"/>
          <w:sz w:val="24"/>
          <w:szCs w:val="24"/>
          <w:lang w:eastAsia="zh-CN"/>
        </w:rPr>
        <w:t>风险物质理化特性一览表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9"/>
        <w:gridCol w:w="800"/>
        <w:gridCol w:w="712"/>
        <w:gridCol w:w="1556"/>
        <w:gridCol w:w="2245"/>
        <w:gridCol w:w="2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3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vertAlign w:val="baseline"/>
                <w:lang w:val="en-US" w:eastAsia="zh-CN"/>
              </w:rPr>
            </w:pPr>
            <w:r>
              <w:rPr>
                <w:rFonts w:hint="eastAsia" w:ascii="Times New Roman" w:hAnsi="Times New Roman" w:eastAsia="宋体" w:cs="Times New Roman"/>
                <w:b/>
                <w:bCs/>
                <w:spacing w:val="0"/>
                <w:w w:val="100"/>
                <w:position w:val="0"/>
                <w:sz w:val="21"/>
                <w:szCs w:val="21"/>
                <w:vertAlign w:val="baseline"/>
                <w:lang w:val="en-US" w:eastAsia="zh-CN"/>
              </w:rPr>
              <w:t>名称</w:t>
            </w:r>
          </w:p>
        </w:tc>
        <w:tc>
          <w:tcPr>
            <w:tcW w:w="63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vertAlign w:val="baseline"/>
                <w:lang w:val="en-US" w:eastAsia="zh-CN"/>
              </w:rPr>
            </w:pPr>
            <w:r>
              <w:rPr>
                <w:rFonts w:hint="eastAsia" w:ascii="Times New Roman" w:hAnsi="Times New Roman" w:eastAsia="宋体" w:cs="Times New Roman"/>
                <w:b/>
                <w:bCs/>
                <w:spacing w:val="0"/>
                <w:w w:val="100"/>
                <w:position w:val="0"/>
                <w:sz w:val="21"/>
                <w:szCs w:val="21"/>
                <w:vertAlign w:val="baseline"/>
                <w:lang w:val="en-US" w:eastAsia="zh-CN"/>
              </w:rPr>
              <w:t>CAS号</w:t>
            </w:r>
          </w:p>
        </w:tc>
        <w:tc>
          <w:tcPr>
            <w:tcW w:w="43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vertAlign w:val="baseline"/>
                <w:lang w:val="en-US" w:eastAsia="zh-CN"/>
              </w:rPr>
            </w:pPr>
            <w:r>
              <w:rPr>
                <w:rFonts w:hint="eastAsia" w:ascii="Times New Roman" w:hAnsi="Times New Roman" w:eastAsia="宋体" w:cs="Times New Roman"/>
                <w:b/>
                <w:bCs/>
                <w:spacing w:val="0"/>
                <w:w w:val="100"/>
                <w:position w:val="0"/>
                <w:sz w:val="21"/>
                <w:szCs w:val="21"/>
                <w:vertAlign w:val="baseline"/>
                <w:lang w:val="en-US" w:eastAsia="zh-CN"/>
              </w:rPr>
              <w:t>外观与性状</w:t>
            </w:r>
          </w:p>
        </w:tc>
        <w:tc>
          <w:tcPr>
            <w:tcW w:w="38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vertAlign w:val="baseline"/>
                <w:lang w:val="en-US" w:eastAsia="zh-CN"/>
              </w:rPr>
            </w:pPr>
            <w:r>
              <w:rPr>
                <w:rFonts w:hint="eastAsia" w:ascii="Times New Roman" w:hAnsi="Times New Roman" w:eastAsia="宋体" w:cs="Times New Roman"/>
                <w:b/>
                <w:bCs/>
                <w:spacing w:val="0"/>
                <w:w w:val="100"/>
                <w:position w:val="0"/>
                <w:sz w:val="21"/>
                <w:szCs w:val="21"/>
                <w:vertAlign w:val="baseline"/>
                <w:lang w:val="en-US" w:eastAsia="zh-CN"/>
              </w:rPr>
              <w:t>闪点(℃)</w:t>
            </w:r>
          </w:p>
        </w:tc>
        <w:tc>
          <w:tcPr>
            <w:tcW w:w="8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vertAlign w:val="baseline"/>
                <w:lang w:val="en-US" w:eastAsia="zh-CN"/>
              </w:rPr>
            </w:pPr>
            <w:r>
              <w:rPr>
                <w:rFonts w:hint="eastAsia" w:ascii="Times New Roman" w:hAnsi="Times New Roman" w:eastAsia="宋体" w:cs="Times New Roman"/>
                <w:b/>
                <w:bCs/>
                <w:spacing w:val="0"/>
                <w:w w:val="100"/>
                <w:position w:val="0"/>
                <w:sz w:val="21"/>
                <w:szCs w:val="21"/>
                <w:vertAlign w:val="baseline"/>
                <w:lang w:val="en-US" w:eastAsia="zh-CN"/>
              </w:rPr>
              <w:t>主要危险特性</w:t>
            </w:r>
          </w:p>
        </w:tc>
        <w:tc>
          <w:tcPr>
            <w:tcW w:w="121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vertAlign w:val="baseline"/>
                <w:lang w:val="en-US" w:eastAsia="zh-CN"/>
              </w:rPr>
            </w:pPr>
            <w:r>
              <w:rPr>
                <w:rFonts w:hint="eastAsia" w:ascii="Times New Roman" w:hAnsi="Times New Roman" w:eastAsia="宋体" w:cs="Times New Roman"/>
                <w:b/>
                <w:bCs/>
                <w:spacing w:val="0"/>
                <w:w w:val="100"/>
                <w:position w:val="0"/>
                <w:sz w:val="21"/>
                <w:szCs w:val="21"/>
                <w:vertAlign w:val="baseline"/>
                <w:lang w:val="en-US" w:eastAsia="zh-CN"/>
              </w:rPr>
              <w:t>健康危害/侵入途径</w:t>
            </w:r>
          </w:p>
        </w:tc>
        <w:tc>
          <w:tcPr>
            <w:tcW w:w="1154"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vertAlign w:val="baseline"/>
                <w:lang w:val="en-US" w:eastAsia="zh-CN"/>
              </w:rPr>
            </w:pPr>
            <w:r>
              <w:rPr>
                <w:rFonts w:hint="eastAsia" w:ascii="Times New Roman" w:hAnsi="Times New Roman" w:eastAsia="宋体" w:cs="Times New Roman"/>
                <w:b/>
                <w:bCs/>
                <w:spacing w:val="0"/>
                <w:w w:val="100"/>
                <w:position w:val="0"/>
                <w:sz w:val="21"/>
                <w:szCs w:val="21"/>
                <w:vertAlign w:val="baseline"/>
                <w:lang w:val="en-US" w:eastAsia="zh-CN"/>
              </w:rPr>
              <w:t>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9" w:hRule="atLeast"/>
          <w:jc w:val="center"/>
        </w:trPr>
        <w:tc>
          <w:tcPr>
            <w:tcW w:w="33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default" w:ascii="Times New Roman" w:hAnsi="Times New Roman" w:eastAsia="宋体" w:cs="Times New Roman"/>
                <w:spacing w:val="0"/>
                <w:w w:val="100"/>
                <w:position w:val="0"/>
                <w:sz w:val="21"/>
                <w:szCs w:val="21"/>
              </w:rPr>
              <w:t>连二亚硫酸钠</w:t>
            </w:r>
          </w:p>
        </w:tc>
        <w:tc>
          <w:tcPr>
            <w:tcW w:w="63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default" w:ascii="Times New Roman" w:hAnsi="Times New Roman" w:eastAsia="宋体" w:cs="Times New Roman"/>
                <w:spacing w:val="0"/>
                <w:w w:val="100"/>
                <w:position w:val="0"/>
                <w:sz w:val="21"/>
                <w:szCs w:val="21"/>
              </w:rPr>
              <w:t>7775-14-6</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白色结晶性粉末</w:t>
            </w:r>
          </w:p>
        </w:tc>
        <w:tc>
          <w:tcPr>
            <w:tcW w:w="38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w:t>
            </w:r>
          </w:p>
        </w:tc>
        <w:tc>
          <w:tcPr>
            <w:tcW w:w="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易燃：遇湿易燃物品是指遇水或受潮时，发生剧烈化学反应，放出大量的易燃气体和热量的物品，有些不需要明火，即能燃烧或爆炸。有害燃烧产物：硫化物。</w:t>
            </w:r>
          </w:p>
        </w:tc>
        <w:tc>
          <w:tcPr>
            <w:tcW w:w="12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侵入途径为吸入、食入、经皮吸收。本品对眼、呼吸道和批复有刺激性，接触后可引起头痛、恶心和呕吐。</w:t>
            </w:r>
          </w:p>
        </w:tc>
        <w:tc>
          <w:tcPr>
            <w:tcW w:w="11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毒害：连二亚硫酸钠本身就是一种有毒物质，对人的眼睛、呼吸道黏膜有刺激性，一旦遇水发生燃烧或者爆炸，其燃烧后生成的产物大部分都是有毒的气体。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乙酸</w:t>
            </w:r>
          </w:p>
        </w:tc>
        <w:tc>
          <w:tcPr>
            <w:tcW w:w="63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default" w:ascii="Times New Roman" w:hAnsi="Times New Roman" w:eastAsia="宋体" w:cs="Times New Roman"/>
                <w:spacing w:val="0"/>
                <w:w w:val="100"/>
                <w:position w:val="0"/>
                <w:sz w:val="21"/>
                <w:szCs w:val="21"/>
              </w:rPr>
              <w:t>64-19-7</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无色透明液体，有刺激性气味</w:t>
            </w:r>
          </w:p>
        </w:tc>
        <w:tc>
          <w:tcPr>
            <w:tcW w:w="38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39</w:t>
            </w:r>
          </w:p>
        </w:tc>
        <w:tc>
          <w:tcPr>
            <w:tcW w:w="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能与氧化剂发生强烈反应，与氢氧化钠与氢氧化钾等反应剧烈。稀释后对金属有腐蚀性。</w:t>
            </w:r>
          </w:p>
        </w:tc>
        <w:tc>
          <w:tcPr>
            <w:tcW w:w="12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侵入途径为吸入、食入、经皮吸收。吸入后对鼻、喉和呼吸道有刺激性。对眼有强烈刺激作用。皮肤接触，轻者出现红斑，重者引起化学灼伤。误服浓乙酸，口腔和消化道可产生糜烂，重者可因休克而致死。</w:t>
            </w:r>
          </w:p>
        </w:tc>
        <w:tc>
          <w:tcPr>
            <w:tcW w:w="11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宋体"/>
                <w:color w:val="000000"/>
                <w:spacing w:val="0"/>
                <w:w w:val="100"/>
                <w:kern w:val="0"/>
                <w:position w:val="0"/>
                <w:sz w:val="21"/>
                <w:szCs w:val="21"/>
                <w:lang w:val="en-US" w:eastAsia="zh-CN" w:bidi="ar"/>
              </w:rPr>
              <w:t>急性毒性：</w:t>
            </w:r>
            <w:r>
              <w:rPr>
                <w:rFonts w:hint="default" w:ascii="Times New Roman" w:hAnsi="Times New Roman" w:eastAsia="宋体" w:cs="Times New Roman"/>
                <w:color w:val="000000"/>
                <w:spacing w:val="0"/>
                <w:w w:val="100"/>
                <w:kern w:val="0"/>
                <w:position w:val="0"/>
                <w:sz w:val="21"/>
                <w:szCs w:val="21"/>
                <w:lang w:val="en-US" w:eastAsia="zh-CN" w:bidi="ar"/>
              </w:rPr>
              <w:t>LD50</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3.3g/kg(</w:t>
            </w:r>
            <w:r>
              <w:rPr>
                <w:rFonts w:hint="eastAsia" w:ascii="Times New Roman" w:hAnsi="Times New Roman" w:eastAsia="宋体" w:cs="宋体"/>
                <w:color w:val="000000"/>
                <w:spacing w:val="0"/>
                <w:w w:val="100"/>
                <w:kern w:val="0"/>
                <w:position w:val="0"/>
                <w:sz w:val="21"/>
                <w:szCs w:val="21"/>
                <w:lang w:val="en-US" w:eastAsia="zh-CN" w:bidi="ar"/>
              </w:rPr>
              <w:t>大鼠经口</w:t>
            </w:r>
            <w:r>
              <w:rPr>
                <w:rFonts w:hint="default" w:ascii="Times New Roman" w:hAnsi="Times New Roman" w:eastAsia="宋体" w:cs="Times New Roman"/>
                <w:color w:val="000000"/>
                <w:spacing w:val="0"/>
                <w:w w:val="100"/>
                <w:kern w:val="0"/>
                <w:position w:val="0"/>
                <w:sz w:val="21"/>
                <w:szCs w:val="21"/>
                <w:lang w:val="en-US" w:eastAsia="zh-CN" w:bidi="ar"/>
              </w:rPr>
              <w:t>)</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1060mg/kg(</w:t>
            </w:r>
            <w:r>
              <w:rPr>
                <w:rFonts w:hint="eastAsia" w:ascii="Times New Roman" w:hAnsi="Times New Roman" w:eastAsia="宋体" w:cs="宋体"/>
                <w:color w:val="000000"/>
                <w:spacing w:val="0"/>
                <w:w w:val="100"/>
                <w:kern w:val="0"/>
                <w:position w:val="0"/>
                <w:sz w:val="21"/>
                <w:szCs w:val="21"/>
                <w:lang w:val="en-US" w:eastAsia="zh-CN" w:bidi="ar"/>
              </w:rPr>
              <w:t>兔经皮</w:t>
            </w:r>
            <w:r>
              <w:rPr>
                <w:rFonts w:hint="default" w:ascii="Times New Roman" w:hAnsi="Times New Roman" w:eastAsia="宋体" w:cs="Times New Roman"/>
                <w:color w:val="000000"/>
                <w:spacing w:val="0"/>
                <w:w w:val="100"/>
                <w:kern w:val="0"/>
                <w:position w:val="0"/>
                <w:sz w:val="21"/>
                <w:szCs w:val="21"/>
                <w:lang w:val="en-US" w:eastAsia="zh-CN" w:bidi="ar"/>
              </w:rPr>
              <w:t>)</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LC50</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5620ppm</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1h(</w:t>
            </w:r>
            <w:r>
              <w:rPr>
                <w:rFonts w:hint="eastAsia" w:ascii="Times New Roman" w:hAnsi="Times New Roman" w:eastAsia="宋体" w:cs="宋体"/>
                <w:color w:val="000000"/>
                <w:spacing w:val="0"/>
                <w:w w:val="100"/>
                <w:kern w:val="0"/>
                <w:position w:val="0"/>
                <w:sz w:val="21"/>
                <w:szCs w:val="21"/>
                <w:lang w:val="en-US" w:eastAsia="zh-CN" w:bidi="ar"/>
              </w:rPr>
              <w:t>小鼠吸入</w:t>
            </w:r>
            <w:r>
              <w:rPr>
                <w:rFonts w:hint="default" w:ascii="Times New Roman" w:hAnsi="Times New Roman" w:eastAsia="宋体" w:cs="Times New Roman"/>
                <w:color w:val="000000"/>
                <w:spacing w:val="0"/>
                <w:w w:val="100"/>
                <w:kern w:val="0"/>
                <w:position w:val="0"/>
                <w:sz w:val="21"/>
                <w:szCs w:val="21"/>
                <w:lang w:val="en-US" w:eastAsia="zh-CN" w:bidi="ar"/>
              </w:rPr>
              <w:t>)</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12.3g/m</w:t>
            </w:r>
            <w:r>
              <w:rPr>
                <w:rFonts w:hint="default" w:ascii="Times New Roman" w:hAnsi="Times New Roman" w:eastAsia="宋体" w:cs="Times New Roman"/>
                <w:color w:val="000000"/>
                <w:spacing w:val="0"/>
                <w:w w:val="100"/>
                <w:kern w:val="0"/>
                <w:position w:val="0"/>
                <w:sz w:val="21"/>
                <w:szCs w:val="21"/>
                <w:vertAlign w:val="superscript"/>
                <w:lang w:val="en-US" w:eastAsia="zh-CN" w:bidi="ar"/>
              </w:rPr>
              <w:t>3</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1h</w:t>
            </w:r>
            <w:r>
              <w:rPr>
                <w:rFonts w:hint="eastAsia" w:ascii="Times New Roman" w:hAnsi="Times New Roman" w:eastAsia="宋体" w:cs="宋体"/>
                <w:color w:val="000000"/>
                <w:spacing w:val="0"/>
                <w:w w:val="100"/>
                <w:kern w:val="0"/>
                <w:position w:val="0"/>
                <w:sz w:val="21"/>
                <w:szCs w:val="21"/>
                <w:lang w:val="en-US" w:eastAsia="zh-CN" w:bidi="ar"/>
              </w:rPr>
              <w:t>（大鼠吸入）。人经口</w:t>
            </w:r>
            <w:r>
              <w:rPr>
                <w:rFonts w:hint="default" w:ascii="Times New Roman" w:hAnsi="Times New Roman" w:eastAsia="宋体" w:cs="Times New Roman"/>
                <w:color w:val="000000"/>
                <w:spacing w:val="0"/>
                <w:w w:val="100"/>
                <w:kern w:val="0"/>
                <w:position w:val="0"/>
                <w:sz w:val="21"/>
                <w:szCs w:val="21"/>
                <w:lang w:val="en-US" w:eastAsia="zh-CN" w:bidi="ar"/>
              </w:rPr>
              <w:t>1.47mg/kg</w:t>
            </w:r>
            <w:r>
              <w:rPr>
                <w:rFonts w:hint="eastAsia" w:ascii="Times New Roman" w:hAnsi="Times New Roman" w:eastAsia="宋体" w:cs="宋体"/>
                <w:color w:val="000000"/>
                <w:spacing w:val="0"/>
                <w:w w:val="100"/>
                <w:kern w:val="0"/>
                <w:position w:val="0"/>
                <w:sz w:val="21"/>
                <w:szCs w:val="21"/>
                <w:lang w:val="en-US" w:eastAsia="zh-CN" w:bidi="ar"/>
              </w:rPr>
              <w:t>，最低中毒量，出现消化道症状；人经口</w:t>
            </w:r>
            <w:r>
              <w:rPr>
                <w:rFonts w:hint="default" w:ascii="Times New Roman" w:hAnsi="Times New Roman" w:eastAsia="宋体" w:cs="Times New Roman"/>
                <w:color w:val="000000"/>
                <w:spacing w:val="0"/>
                <w:w w:val="100"/>
                <w:kern w:val="0"/>
                <w:position w:val="0"/>
                <w:sz w:val="21"/>
                <w:szCs w:val="21"/>
                <w:lang w:val="en-US" w:eastAsia="zh-CN" w:bidi="ar"/>
              </w:rPr>
              <w:t>20</w:t>
            </w:r>
            <w:r>
              <w:rPr>
                <w:rFonts w:hint="eastAsia" w:ascii="Times New Roman" w:hAnsi="Times New Roman" w:eastAsia="宋体" w:cs="宋体"/>
                <w:color w:val="000000"/>
                <w:spacing w:val="0"/>
                <w:w w:val="100"/>
                <w:kern w:val="0"/>
                <w:position w:val="0"/>
                <w:sz w:val="21"/>
                <w:szCs w:val="21"/>
                <w:lang w:val="en-US" w:eastAsia="zh-CN" w:bidi="ar"/>
              </w:rPr>
              <w:t>～</w:t>
            </w:r>
            <w:r>
              <w:rPr>
                <w:rFonts w:hint="default" w:ascii="Times New Roman" w:hAnsi="Times New Roman" w:eastAsia="宋体" w:cs="Times New Roman"/>
                <w:color w:val="000000"/>
                <w:spacing w:val="0"/>
                <w:w w:val="100"/>
                <w:kern w:val="0"/>
                <w:position w:val="0"/>
                <w:sz w:val="21"/>
                <w:szCs w:val="21"/>
                <w:lang w:val="en-US" w:eastAsia="zh-CN" w:bidi="ar"/>
              </w:rPr>
              <w:t>50g</w:t>
            </w:r>
            <w:r>
              <w:rPr>
                <w:rFonts w:hint="eastAsia" w:ascii="Times New Roman" w:hAnsi="Times New Roman" w:eastAsia="宋体" w:cs="宋体"/>
                <w:color w:val="000000"/>
                <w:spacing w:val="0"/>
                <w:w w:val="100"/>
                <w:kern w:val="0"/>
                <w:position w:val="0"/>
                <w:sz w:val="21"/>
                <w:szCs w:val="21"/>
                <w:lang w:val="en-US" w:eastAsia="zh-CN" w:bidi="ar"/>
              </w:rPr>
              <w:t>，致死剂量。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color w:val="auto"/>
                <w:spacing w:val="0"/>
                <w:w w:val="100"/>
                <w:position w:val="0"/>
                <w:sz w:val="21"/>
                <w:szCs w:val="21"/>
                <w:lang w:eastAsia="zh-CN"/>
              </w:rPr>
              <w:t>硫酸铵</w:t>
            </w:r>
          </w:p>
        </w:tc>
        <w:tc>
          <w:tcPr>
            <w:tcW w:w="63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default" w:ascii="Times New Roman" w:hAnsi="Times New Roman" w:eastAsia="宋体" w:cs="Times New Roman"/>
                <w:spacing w:val="0"/>
                <w:w w:val="100"/>
                <w:position w:val="0"/>
                <w:sz w:val="21"/>
                <w:szCs w:val="21"/>
              </w:rPr>
              <w:t>7783-20-2</w:t>
            </w:r>
          </w:p>
        </w:tc>
        <w:tc>
          <w:tcPr>
            <w:tcW w:w="43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ascii="Times New Roman" w:hAnsi="Times New Roman" w:eastAsia="宋体" w:cs="宋体"/>
                <w:spacing w:val="0"/>
                <w:w w:val="100"/>
                <w:position w:val="0"/>
                <w:sz w:val="21"/>
                <w:szCs w:val="21"/>
              </w:rPr>
              <w:t>白色至淡黄色结晶体</w:t>
            </w:r>
          </w:p>
        </w:tc>
        <w:tc>
          <w:tcPr>
            <w:tcW w:w="38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w:t>
            </w:r>
          </w:p>
        </w:tc>
        <w:tc>
          <w:tcPr>
            <w:tcW w:w="8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受热分解产生有毒的烟气</w:t>
            </w:r>
          </w:p>
        </w:tc>
        <w:tc>
          <w:tcPr>
            <w:tcW w:w="12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both"/>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侵入途径：吸入、食入、经皮肤吸收。</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ascii="Times New Roman" w:hAnsi="Times New Roman" w:eastAsia="宋体" w:cs="宋体"/>
                <w:spacing w:val="0"/>
                <w:w w:val="100"/>
                <w:position w:val="0"/>
                <w:sz w:val="21"/>
                <w:szCs w:val="21"/>
              </w:rPr>
              <w:t>健康危害：对眼睛、粘膜和皮肤有刺激作用。</w:t>
            </w:r>
          </w:p>
        </w:tc>
        <w:tc>
          <w:tcPr>
            <w:tcW w:w="11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both"/>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环境危害：长期使用会使土壤出现酸化板结现象。</w:t>
            </w:r>
          </w:p>
          <w:p>
            <w:pPr>
              <w:keepNext w:val="0"/>
              <w:keepLines w:val="0"/>
              <w:pageBreakBefore w:val="0"/>
              <w:widowControl/>
              <w:kinsoku/>
              <w:wordWrap/>
              <w:overflowPunct/>
              <w:topLinePunct w:val="0"/>
              <w:autoSpaceDE/>
              <w:autoSpaceDN/>
              <w:bidi w:val="0"/>
              <w:adjustRightInd w:val="0"/>
              <w:snapToGrid w:val="0"/>
              <w:spacing w:line="240" w:lineRule="auto"/>
              <w:ind w:left="0"/>
              <w:jc w:val="both"/>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燃爆危险：本品不燃，具刺激性。</w:t>
            </w:r>
          </w:p>
          <w:p>
            <w:pPr>
              <w:keepNext w:val="0"/>
              <w:keepLines w:val="0"/>
              <w:pageBreakBefore w:val="0"/>
              <w:widowControl/>
              <w:kinsoku/>
              <w:wordWrap/>
              <w:overflowPunct/>
              <w:topLinePunct w:val="0"/>
              <w:autoSpaceDE/>
              <w:autoSpaceDN/>
              <w:bidi w:val="0"/>
              <w:adjustRightInd w:val="0"/>
              <w:snapToGrid w:val="0"/>
              <w:spacing w:line="240" w:lineRule="auto"/>
              <w:ind w:left="0"/>
              <w:jc w:val="both"/>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危险特性：受热分解产生有毒的烟气。</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ascii="Times New Roman" w:hAnsi="Times New Roman" w:eastAsia="宋体" w:cs="宋体"/>
                <w:spacing w:val="0"/>
                <w:w w:val="100"/>
                <w:position w:val="0"/>
                <w:sz w:val="21"/>
                <w:szCs w:val="21"/>
              </w:rPr>
              <w:t>有害燃烧产物：氨气、氮气、二氧化硫。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color w:val="auto"/>
                <w:spacing w:val="0"/>
                <w:w w:val="100"/>
                <w:position w:val="0"/>
                <w:sz w:val="21"/>
                <w:szCs w:val="21"/>
                <w:lang w:eastAsia="zh-CN"/>
              </w:rPr>
              <w:t>氢氧化钠</w:t>
            </w:r>
          </w:p>
        </w:tc>
        <w:tc>
          <w:tcPr>
            <w:tcW w:w="637" w:type="pct"/>
            <w:tcBorders>
              <w:tl2br w:val="nil"/>
              <w:tr2bl w:val="nil"/>
            </w:tcBorders>
            <w:noWrap w:val="0"/>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0"/>
              </w:rPr>
              <w:t>1310-73-2</w:t>
            </w:r>
          </w:p>
        </w:tc>
        <w:tc>
          <w:tcPr>
            <w:tcW w:w="43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宋体"/>
                <w:spacing w:val="0"/>
                <w:w w:val="100"/>
                <w:position w:val="0"/>
                <w:sz w:val="21"/>
                <w:szCs w:val="21"/>
                <w:lang w:val="en-US" w:eastAsia="zh-CN"/>
              </w:rPr>
            </w:pPr>
            <w:r>
              <w:rPr>
                <w:rFonts w:hint="eastAsia" w:ascii="Times New Roman" w:hAnsi="Times New Roman" w:eastAsia="宋体" w:cs="宋体"/>
                <w:spacing w:val="0"/>
                <w:w w:val="100"/>
                <w:position w:val="0"/>
                <w:sz w:val="21"/>
                <w:szCs w:val="21"/>
                <w:lang w:val="en-US" w:eastAsia="zh-CN"/>
              </w:rPr>
              <w:t>无色透明晶体</w:t>
            </w:r>
          </w:p>
        </w:tc>
        <w:tc>
          <w:tcPr>
            <w:tcW w:w="38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w:t>
            </w:r>
          </w:p>
        </w:tc>
        <w:tc>
          <w:tcPr>
            <w:tcW w:w="8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b w:val="0"/>
                <w:bCs w:val="0"/>
                <w:spacing w:val="0"/>
                <w:w w:val="100"/>
                <w:position w:val="0"/>
                <w:sz w:val="21"/>
                <w:szCs w:val="21"/>
                <w:vertAlign w:val="baseline"/>
                <w:lang w:val="en-US" w:eastAsia="zh-CN"/>
              </w:rPr>
            </w:pPr>
            <w:r>
              <w:rPr>
                <w:rFonts w:hint="eastAsia" w:ascii="Times New Roman" w:hAnsi="Times New Roman" w:eastAsia="宋体" w:cs="Times New Roman"/>
                <w:b w:val="0"/>
                <w:bCs w:val="0"/>
                <w:spacing w:val="0"/>
                <w:w w:val="100"/>
                <w:position w:val="0"/>
                <w:sz w:val="21"/>
                <w:szCs w:val="21"/>
                <w:vertAlign w:val="baseline"/>
                <w:lang w:val="en-US" w:eastAsia="zh-CN"/>
              </w:rPr>
              <w:t>本品不会燃烧，遇水和水蒸气大量放热，形成腐蚀性溶液与酸发生中和反应并放热。具有强腐蚀性。</w:t>
            </w:r>
          </w:p>
        </w:tc>
        <w:tc>
          <w:tcPr>
            <w:tcW w:w="121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both"/>
              <w:textAlignment w:val="auto"/>
              <w:rPr>
                <w:rFonts w:ascii="Times New Roman" w:hAnsi="Times New Roman" w:eastAsia="宋体" w:cs="宋体"/>
                <w:spacing w:val="0"/>
                <w:w w:val="100"/>
                <w:position w:val="0"/>
                <w:sz w:val="21"/>
                <w:szCs w:val="21"/>
              </w:rPr>
            </w:pPr>
            <w:r>
              <w:rPr>
                <w:rFonts w:hint="eastAsia" w:ascii="Times New Roman" w:hAnsi="Times New Roman" w:eastAsia="宋体" w:cs="宋体"/>
                <w:spacing w:val="0"/>
                <w:w w:val="100"/>
                <w:position w:val="0"/>
                <w:sz w:val="21"/>
                <w:szCs w:val="21"/>
                <w:lang w:val="en-US" w:eastAsia="zh-CN"/>
              </w:rPr>
              <w:t>侵入途径：吸入、食入。</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both"/>
              <w:textAlignment w:val="auto"/>
              <w:rPr>
                <w:rFonts w:ascii="Times New Roman" w:hAnsi="Times New Roman" w:eastAsia="宋体" w:cs="宋体"/>
                <w:spacing w:val="0"/>
                <w:w w:val="100"/>
                <w:position w:val="0"/>
                <w:sz w:val="21"/>
                <w:szCs w:val="21"/>
              </w:rPr>
            </w:pPr>
            <w:r>
              <w:rPr>
                <w:rFonts w:hint="eastAsia" w:ascii="Times New Roman" w:hAnsi="Times New Roman" w:eastAsia="宋体" w:cs="宋体"/>
                <w:spacing w:val="0"/>
                <w:w w:val="100"/>
                <w:position w:val="0"/>
                <w:sz w:val="21"/>
                <w:szCs w:val="21"/>
                <w:lang w:val="en-US" w:eastAsia="zh-CN"/>
              </w:rPr>
              <w:t>健康危害：本品有强烈刺激和腐蚀性。粉尘或烟雾刺激眼和呼吸道，腐蚀鼻中隔；皮肤和眼直接接触可引起灼伤；误服可造成消化道灼伤，粘膜糜烂、出血和休克。</w:t>
            </w:r>
          </w:p>
        </w:tc>
        <w:tc>
          <w:tcPr>
            <w:tcW w:w="1154"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宋体"/>
                <w:spacing w:val="0"/>
                <w:w w:val="100"/>
                <w:position w:val="0"/>
                <w:sz w:val="21"/>
                <w:szCs w:val="21"/>
                <w:lang w:val="en-US" w:eastAsia="zh-CN"/>
              </w:rPr>
            </w:pPr>
            <w:r>
              <w:rPr>
                <w:rFonts w:hint="eastAsia" w:ascii="Times New Roman" w:hAnsi="Times New Roman" w:eastAsia="宋体" w:cs="宋体"/>
                <w:spacing w:val="0"/>
                <w:w w:val="100"/>
                <w:position w:val="0"/>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6.1.2风险事故识别</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outlineLvl w:val="3"/>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fldChar w:fldCharType="begin"/>
      </w:r>
      <w:r>
        <w:rPr>
          <w:rFonts w:hint="default" w:ascii="Times New Roman" w:hAnsi="Times New Roman" w:eastAsia="宋体" w:cs="Times New Roman"/>
          <w:b/>
          <w:bCs/>
          <w:spacing w:val="0"/>
          <w:w w:val="100"/>
          <w:position w:val="0"/>
          <w:sz w:val="24"/>
          <w:szCs w:val="24"/>
        </w:rPr>
        <w:instrText xml:space="preserve"> HYPERLINK "6.1.3.1" </w:instrText>
      </w:r>
      <w:r>
        <w:rPr>
          <w:rFonts w:hint="default" w:ascii="Times New Roman" w:hAnsi="Times New Roman" w:eastAsia="宋体" w:cs="Times New Roman"/>
          <w:b/>
          <w:bCs/>
          <w:spacing w:val="0"/>
          <w:w w:val="100"/>
          <w:position w:val="0"/>
          <w:sz w:val="24"/>
          <w:szCs w:val="24"/>
        </w:rPr>
        <w:fldChar w:fldCharType="separate"/>
      </w:r>
      <w:r>
        <w:rPr>
          <w:rFonts w:hint="default" w:ascii="Times New Roman" w:hAnsi="Times New Roman" w:eastAsia="宋体" w:cs="Times New Roman"/>
          <w:b/>
          <w:bCs/>
          <w:spacing w:val="0"/>
          <w:w w:val="100"/>
          <w:position w:val="0"/>
          <w:sz w:val="24"/>
          <w:szCs w:val="24"/>
        </w:rPr>
        <w:t>6.1.</w:t>
      </w:r>
      <w:r>
        <w:rPr>
          <w:rFonts w:hint="eastAsia" w:ascii="Times New Roman" w:hAnsi="Times New Roman" w:eastAsia="宋体" w:cs="Times New Roman"/>
          <w:b/>
          <w:bCs/>
          <w:spacing w:val="0"/>
          <w:w w:val="100"/>
          <w:position w:val="0"/>
          <w:sz w:val="24"/>
          <w:szCs w:val="24"/>
          <w:lang w:val="en-US" w:eastAsia="zh-CN"/>
        </w:rPr>
        <w:t>2</w:t>
      </w:r>
      <w:r>
        <w:rPr>
          <w:rFonts w:hint="default" w:ascii="Times New Roman" w:hAnsi="Times New Roman" w:eastAsia="宋体" w:cs="Times New Roman"/>
          <w:b/>
          <w:bCs/>
          <w:spacing w:val="0"/>
          <w:w w:val="100"/>
          <w:position w:val="0"/>
          <w:sz w:val="24"/>
          <w:szCs w:val="24"/>
        </w:rPr>
        <w:t>.1</w:t>
      </w:r>
      <w:r>
        <w:rPr>
          <w:rFonts w:hint="default" w:ascii="Times New Roman" w:hAnsi="Times New Roman" w:eastAsia="宋体" w:cs="Times New Roman"/>
          <w:b/>
          <w:bCs/>
          <w:spacing w:val="0"/>
          <w:w w:val="100"/>
          <w:position w:val="0"/>
          <w:sz w:val="24"/>
          <w:szCs w:val="24"/>
        </w:rPr>
        <w:fldChar w:fldCharType="end"/>
      </w:r>
      <w:r>
        <w:rPr>
          <w:rFonts w:hint="default" w:ascii="Times New Roman" w:hAnsi="Times New Roman" w:eastAsia="宋体" w:cs="Times New Roman"/>
          <w:b/>
          <w:bCs/>
          <w:spacing w:val="0"/>
          <w:w w:val="100"/>
          <w:position w:val="0"/>
          <w:sz w:val="24"/>
          <w:szCs w:val="24"/>
        </w:rPr>
        <w:t>工艺过程风险识别</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）生产过程中的火灾、爆炸危险性</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染整</w:t>
      </w:r>
      <w:r>
        <w:rPr>
          <w:rFonts w:hint="eastAsia" w:ascii="Times New Roman" w:hAnsi="Times New Roman" w:eastAsia="宋体" w:cs="宋体"/>
          <w:spacing w:val="0"/>
          <w:w w:val="100"/>
          <w:position w:val="0"/>
          <w:sz w:val="24"/>
          <w:szCs w:val="24"/>
          <w:lang w:eastAsia="zh-CN"/>
        </w:rPr>
        <w:t>、印花</w:t>
      </w:r>
      <w:r>
        <w:rPr>
          <w:rFonts w:ascii="Times New Roman" w:hAnsi="Times New Roman" w:eastAsia="宋体" w:cs="宋体"/>
          <w:spacing w:val="0"/>
          <w:w w:val="100"/>
          <w:position w:val="0"/>
          <w:sz w:val="24"/>
          <w:szCs w:val="24"/>
        </w:rPr>
        <w:t>过程不涉及危险化学品的生产、加工环节，化学品主要用于</w:t>
      </w:r>
      <w:r>
        <w:rPr>
          <w:rFonts w:hint="eastAsia" w:ascii="Times New Roman" w:hAnsi="Times New Roman" w:eastAsia="宋体" w:cs="宋体"/>
          <w:spacing w:val="0"/>
          <w:w w:val="100"/>
          <w:position w:val="0"/>
          <w:sz w:val="24"/>
          <w:szCs w:val="24"/>
          <w:lang w:eastAsia="zh-CN"/>
        </w:rPr>
        <w:t>染料</w:t>
      </w:r>
      <w:r>
        <w:rPr>
          <w:rFonts w:ascii="Times New Roman" w:hAnsi="Times New Roman" w:eastAsia="宋体" w:cs="宋体"/>
          <w:spacing w:val="0"/>
          <w:w w:val="100"/>
          <w:position w:val="0"/>
          <w:sz w:val="24"/>
          <w:szCs w:val="24"/>
        </w:rPr>
        <w:t>的配制。</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eastAsia="zh-CN"/>
        </w:rPr>
        <w:t>染料</w:t>
      </w:r>
      <w:r>
        <w:rPr>
          <w:rFonts w:ascii="Times New Roman" w:hAnsi="Times New Roman" w:eastAsia="宋体" w:cs="宋体"/>
          <w:spacing w:val="0"/>
          <w:w w:val="100"/>
          <w:position w:val="0"/>
          <w:sz w:val="24"/>
          <w:szCs w:val="24"/>
        </w:rPr>
        <w:t>的配制过程涉及如有机溶剂等易燃的化学品。容器、管道摩擦过程产生的静电电荷，如果不能及时有效的消除，将引起静电荷积聚，发生放电反应，易导致火灾、爆炸事故。</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宋体"/>
          <w:spacing w:val="0"/>
          <w:w w:val="100"/>
          <w:position w:val="0"/>
          <w:sz w:val="24"/>
          <w:szCs w:val="24"/>
          <w:lang w:eastAsia="zh-CN"/>
        </w:rPr>
      </w:pPr>
      <w:r>
        <w:rPr>
          <w:rFonts w:hint="eastAsia" w:ascii="Times New Roman" w:hAnsi="Times New Roman" w:eastAsia="宋体" w:cs="宋体"/>
          <w:spacing w:val="0"/>
          <w:w w:val="100"/>
          <w:position w:val="0"/>
          <w:sz w:val="24"/>
          <w:szCs w:val="24"/>
          <w:lang w:eastAsia="zh-CN"/>
        </w:rPr>
        <w:t>（2）中毒和窒息危险性</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宋体"/>
          <w:spacing w:val="0"/>
          <w:w w:val="100"/>
          <w:position w:val="0"/>
          <w:sz w:val="24"/>
          <w:szCs w:val="24"/>
          <w:lang w:eastAsia="zh-CN"/>
        </w:rPr>
      </w:pPr>
      <w:r>
        <w:rPr>
          <w:rFonts w:hint="eastAsia" w:ascii="Times New Roman" w:hAnsi="Times New Roman" w:eastAsia="宋体" w:cs="宋体"/>
          <w:spacing w:val="0"/>
          <w:w w:val="100"/>
          <w:position w:val="0"/>
          <w:sz w:val="24"/>
          <w:szCs w:val="24"/>
          <w:lang w:eastAsia="zh-CN"/>
        </w:rPr>
        <w:t>在</w:t>
      </w:r>
      <w:r>
        <w:rPr>
          <w:rFonts w:hint="eastAsia" w:cs="宋体"/>
          <w:spacing w:val="0"/>
          <w:w w:val="100"/>
          <w:position w:val="0"/>
          <w:sz w:val="24"/>
          <w:szCs w:val="24"/>
          <w:lang w:val="en-US" w:eastAsia="zh-CN"/>
        </w:rPr>
        <w:t>配制</w:t>
      </w:r>
      <w:r>
        <w:rPr>
          <w:rFonts w:hint="eastAsia" w:ascii="Times New Roman" w:hAnsi="Times New Roman" w:eastAsia="宋体" w:cs="宋体"/>
          <w:spacing w:val="0"/>
          <w:w w:val="100"/>
          <w:position w:val="0"/>
          <w:sz w:val="24"/>
          <w:szCs w:val="24"/>
          <w:lang w:eastAsia="zh-CN"/>
        </w:rPr>
        <w:t>过程，如发生有害物质泄漏或操作不当，未采取相应的防护措施，将会造成人员受到化学伤害。</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宋体"/>
          <w:spacing w:val="0"/>
          <w:w w:val="100"/>
          <w:position w:val="0"/>
          <w:sz w:val="24"/>
          <w:szCs w:val="24"/>
          <w:lang w:eastAsia="zh-CN"/>
        </w:rPr>
      </w:pPr>
      <w:r>
        <w:rPr>
          <w:rFonts w:hint="eastAsia" w:ascii="Times New Roman" w:hAnsi="Times New Roman" w:eastAsia="宋体" w:cs="宋体"/>
          <w:spacing w:val="0"/>
          <w:w w:val="100"/>
          <w:position w:val="0"/>
          <w:sz w:val="24"/>
          <w:szCs w:val="24"/>
          <w:lang w:eastAsia="zh-CN"/>
        </w:rPr>
        <w:t>（3）泄漏风险</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eastAsia="zh-CN"/>
        </w:rPr>
        <w:t>生产过程中化学品、配制好的染料一旦发生管道或容器破裂，会泄漏到外环境，对周边水域及土壤造成影响。</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outlineLvl w:val="3"/>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fldChar w:fldCharType="begin"/>
      </w:r>
      <w:r>
        <w:rPr>
          <w:rFonts w:hint="default" w:ascii="Times New Roman" w:hAnsi="Times New Roman" w:eastAsia="宋体" w:cs="Times New Roman"/>
          <w:b/>
          <w:bCs/>
          <w:spacing w:val="0"/>
          <w:w w:val="100"/>
          <w:position w:val="0"/>
          <w:sz w:val="24"/>
          <w:szCs w:val="24"/>
        </w:rPr>
        <w:instrText xml:space="preserve"> HYPERLINK "6.1.3.2" </w:instrText>
      </w:r>
      <w:r>
        <w:rPr>
          <w:rFonts w:hint="default" w:ascii="Times New Roman" w:hAnsi="Times New Roman" w:eastAsia="宋体" w:cs="Times New Roman"/>
          <w:b/>
          <w:bCs/>
          <w:spacing w:val="0"/>
          <w:w w:val="100"/>
          <w:position w:val="0"/>
          <w:sz w:val="24"/>
          <w:szCs w:val="24"/>
        </w:rPr>
        <w:fldChar w:fldCharType="separate"/>
      </w:r>
      <w:r>
        <w:rPr>
          <w:rFonts w:hint="default" w:ascii="Times New Roman" w:hAnsi="Times New Roman" w:eastAsia="宋体" w:cs="Times New Roman"/>
          <w:b/>
          <w:bCs/>
          <w:spacing w:val="0"/>
          <w:w w:val="100"/>
          <w:position w:val="0"/>
          <w:sz w:val="24"/>
          <w:szCs w:val="24"/>
        </w:rPr>
        <w:t>6.1.3.2</w:t>
      </w:r>
      <w:r>
        <w:rPr>
          <w:rFonts w:hint="default" w:ascii="Times New Roman" w:hAnsi="Times New Roman" w:eastAsia="宋体" w:cs="Times New Roman"/>
          <w:b/>
          <w:bCs/>
          <w:spacing w:val="0"/>
          <w:w w:val="100"/>
          <w:position w:val="0"/>
          <w:sz w:val="24"/>
          <w:szCs w:val="24"/>
        </w:rPr>
        <w:fldChar w:fldCharType="end"/>
      </w:r>
      <w:r>
        <w:rPr>
          <w:rFonts w:hint="default" w:ascii="Times New Roman" w:hAnsi="Times New Roman" w:eastAsia="宋体" w:cs="Times New Roman"/>
          <w:b/>
          <w:bCs/>
          <w:spacing w:val="0"/>
          <w:w w:val="100"/>
          <w:position w:val="0"/>
          <w:sz w:val="24"/>
          <w:szCs w:val="24"/>
        </w:rPr>
        <w:t>事故中的伴生/次生危险性分析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position w:val="0"/>
          <w:sz w:val="24"/>
          <w:szCs w:val="24"/>
          <w:lang w:eastAsia="zh-CN"/>
        </w:rPr>
        <w:t>（1）事故中的伴生危险性分析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position w:val="0"/>
          <w:sz w:val="24"/>
          <w:szCs w:val="24"/>
          <w:lang w:eastAsia="zh-CN"/>
        </w:rPr>
        <w:t>当原辅材料仓库化学品发生泄漏时，一方面会造成空气污染，另一方面会出现废液进入污水处理系统的危险。</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position w:val="0"/>
          <w:sz w:val="24"/>
          <w:szCs w:val="24"/>
          <w:lang w:eastAsia="zh-CN"/>
        </w:rPr>
        <w:t>对于液体泄漏物料一般可由围堰或防护堤收集，回收物料后，再将事故废水送污水处理装置处理，将次生危害降至最低。</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position w:val="0"/>
          <w:sz w:val="24"/>
          <w:szCs w:val="24"/>
          <w:lang w:eastAsia="zh-CN"/>
        </w:rPr>
        <w:t>（2）事故中次生危险性分析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宋体"/>
          <w:spacing w:val="0"/>
          <w:w w:val="100"/>
          <w:position w:val="0"/>
          <w:sz w:val="24"/>
          <w:szCs w:val="24"/>
          <w:lang w:eastAsia="zh-CN"/>
        </w:rPr>
      </w:pPr>
      <w:r>
        <w:rPr>
          <w:rFonts w:hint="default" w:ascii="Times New Roman" w:hAnsi="Times New Roman" w:eastAsia="宋体" w:cs="Times New Roman"/>
          <w:spacing w:val="0"/>
          <w:w w:val="100"/>
          <w:position w:val="0"/>
          <w:sz w:val="24"/>
          <w:szCs w:val="24"/>
          <w:lang w:eastAsia="zh-CN"/>
        </w:rPr>
        <w:t>①火灾爆炸事故中的</w:t>
      </w:r>
      <w:r>
        <w:rPr>
          <w:rFonts w:hint="eastAsia" w:ascii="Times New Roman" w:hAnsi="Times New Roman" w:eastAsia="宋体" w:cs="宋体"/>
          <w:spacing w:val="0"/>
          <w:w w:val="100"/>
          <w:position w:val="0"/>
          <w:sz w:val="24"/>
          <w:szCs w:val="24"/>
          <w:lang w:eastAsia="zh-CN"/>
        </w:rPr>
        <w:t>次生危险性分析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eastAsia="zh-CN"/>
        </w:rPr>
        <w:t>本项目发生火灾、爆炸同时会产生大量的碳氢化合物、一氧化碳、二氧化硫等气态</w:t>
      </w:r>
      <w:r>
        <w:rPr>
          <w:rFonts w:ascii="Times New Roman" w:hAnsi="Times New Roman" w:eastAsia="宋体" w:cs="宋体"/>
          <w:spacing w:val="0"/>
          <w:w w:val="100"/>
          <w:position w:val="0"/>
          <w:sz w:val="24"/>
          <w:szCs w:val="24"/>
        </w:rPr>
        <w:t>物质，这些物质具有一定的毒性，对周围环境产生影响。火灾爆炸过程中产生的消防污水往往含有有毒有害物质，如果得不到控制，会对周边地表水、地下水和土壤环境产生严重的影响。</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②泄漏事故中次生影响</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本项目物质发生泄漏，液态物质未经控制，会对周边地表水、地下水和土壤环境产生严重的影响。</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r>
        <w:rPr>
          <w:rFonts w:hint="eastAsia" w:ascii="Times New Roman" w:hAnsi="Times New Roman" w:eastAsia="宋体" w:cs="Times New Roman"/>
          <w:b/>
          <w:bCs/>
          <w:spacing w:val="0"/>
          <w:w w:val="100"/>
          <w:position w:val="0"/>
          <w:sz w:val="30"/>
          <w:szCs w:val="30"/>
          <w:lang w:val="en-US" w:eastAsia="zh-CN"/>
        </w:rPr>
        <w:t>6.2环境风险评价等级确定</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6.2.1环境风险潜势初判</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fldChar w:fldCharType="begin"/>
      </w:r>
      <w:r>
        <w:rPr>
          <w:rFonts w:hint="default" w:ascii="Times New Roman" w:hAnsi="Times New Roman" w:eastAsia="宋体" w:cs="Times New Roman"/>
          <w:b/>
          <w:bCs/>
          <w:spacing w:val="0"/>
          <w:w w:val="100"/>
          <w:position w:val="0"/>
          <w:sz w:val="24"/>
          <w:szCs w:val="24"/>
        </w:rPr>
        <w:instrText xml:space="preserve"> HYPERLINK "6.2.1.1" </w:instrText>
      </w:r>
      <w:r>
        <w:rPr>
          <w:rFonts w:hint="default" w:ascii="Times New Roman" w:hAnsi="Times New Roman" w:eastAsia="宋体" w:cs="Times New Roman"/>
          <w:b/>
          <w:bCs/>
          <w:spacing w:val="0"/>
          <w:w w:val="100"/>
          <w:position w:val="0"/>
          <w:sz w:val="24"/>
          <w:szCs w:val="24"/>
        </w:rPr>
        <w:fldChar w:fldCharType="separate"/>
      </w:r>
      <w:r>
        <w:rPr>
          <w:rFonts w:hint="default" w:ascii="Times New Roman" w:hAnsi="Times New Roman" w:eastAsia="宋体" w:cs="Times New Roman"/>
          <w:b/>
          <w:bCs/>
          <w:spacing w:val="0"/>
          <w:w w:val="100"/>
          <w:position w:val="0"/>
          <w:sz w:val="24"/>
          <w:szCs w:val="24"/>
        </w:rPr>
        <w:t>6.2.1.1</w:t>
      </w:r>
      <w:r>
        <w:rPr>
          <w:rFonts w:hint="default" w:ascii="Times New Roman" w:hAnsi="Times New Roman" w:eastAsia="宋体" w:cs="Times New Roman"/>
          <w:b/>
          <w:bCs/>
          <w:spacing w:val="0"/>
          <w:w w:val="100"/>
          <w:position w:val="0"/>
          <w:sz w:val="24"/>
          <w:szCs w:val="24"/>
        </w:rPr>
        <w:fldChar w:fldCharType="end"/>
      </w:r>
      <w:r>
        <w:rPr>
          <w:rFonts w:hint="default" w:ascii="Times New Roman" w:hAnsi="Times New Roman" w:eastAsia="宋体" w:cs="Times New Roman"/>
          <w:b/>
          <w:bCs/>
          <w:spacing w:val="0"/>
          <w:w w:val="100"/>
          <w:position w:val="0"/>
          <w:sz w:val="24"/>
          <w:szCs w:val="24"/>
        </w:rPr>
        <w:t>项目涉及危险物质数量与临界量比值（Q）</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计算所涉及的每种危险物质在厂界内的最大存在总量与其在《建设项目环境风险评价技术导则》（</w:t>
      </w:r>
      <w:r>
        <w:rPr>
          <w:rFonts w:ascii="Times New Roman" w:hAnsi="Times New Roman" w:eastAsia="宋体" w:cs="Times New Roman"/>
          <w:spacing w:val="0"/>
          <w:w w:val="100"/>
          <w:position w:val="0"/>
          <w:sz w:val="24"/>
          <w:szCs w:val="24"/>
        </w:rPr>
        <w:t>HJ169-2018</w:t>
      </w:r>
      <w:r>
        <w:rPr>
          <w:rFonts w:ascii="Times New Roman" w:hAnsi="Times New Roman" w:eastAsia="宋体" w:cs="宋体"/>
          <w:spacing w:val="0"/>
          <w:w w:val="100"/>
          <w:position w:val="0"/>
          <w:sz w:val="24"/>
          <w:szCs w:val="24"/>
        </w:rPr>
        <w:t>）附录</w:t>
      </w:r>
      <w:r>
        <w:rPr>
          <w:rFonts w:ascii="Times New Roman" w:hAnsi="Times New Roman" w:eastAsia="宋体" w:cs="Times New Roman"/>
          <w:spacing w:val="0"/>
          <w:w w:val="100"/>
          <w:position w:val="0"/>
          <w:sz w:val="24"/>
          <w:szCs w:val="24"/>
        </w:rPr>
        <w:t>B</w:t>
      </w:r>
      <w:r>
        <w:rPr>
          <w:rFonts w:ascii="Times New Roman" w:hAnsi="Times New Roman" w:eastAsia="宋体" w:cs="宋体"/>
          <w:spacing w:val="0"/>
          <w:w w:val="100"/>
          <w:position w:val="0"/>
          <w:sz w:val="24"/>
          <w:szCs w:val="24"/>
        </w:rPr>
        <w:t>中对应临界量的比值</w:t>
      </w:r>
      <w:r>
        <w:rPr>
          <w:rFonts w:ascii="Times New Roman" w:hAnsi="Times New Roman" w:eastAsia="宋体" w:cs="Times New Roman"/>
          <w:i/>
          <w:iCs/>
          <w:spacing w:val="0"/>
          <w:w w:val="100"/>
          <w:position w:val="0"/>
          <w:sz w:val="24"/>
          <w:szCs w:val="24"/>
        </w:rPr>
        <w:t>Q</w:t>
      </w:r>
      <w:r>
        <w:rPr>
          <w:rFonts w:ascii="Times New Roman" w:hAnsi="Times New Roman" w:eastAsia="宋体" w:cs="宋体"/>
          <w:spacing w:val="0"/>
          <w:w w:val="100"/>
          <w:position w:val="0"/>
          <w:sz w:val="24"/>
          <w:szCs w:val="24"/>
        </w:rPr>
        <w:t>。在不同厂区的同一种物质，按其在厂界内的最大存在总量计算。对于长输管线项目，按照两个截断阀室之间管道危险物质最大存在总量计算：</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宋体"/>
          <w:spacing w:val="0"/>
          <w:w w:val="100"/>
          <w:position w:val="0"/>
          <w:sz w:val="24"/>
          <w:szCs w:val="24"/>
          <w:lang w:eastAsia="zh-CN"/>
        </w:rPr>
      </w:pPr>
      <w:r>
        <w:rPr>
          <w:rFonts w:ascii="Times New Roman" w:hAnsi="Times New Roman" w:eastAsia="宋体" w:cs="宋体"/>
          <w:spacing w:val="0"/>
          <w:w w:val="100"/>
          <w:position w:val="0"/>
          <w:sz w:val="24"/>
          <w:szCs w:val="24"/>
        </w:rPr>
        <w:t>当企业只涉及一种</w:t>
      </w:r>
      <w:r>
        <w:rPr>
          <w:rFonts w:hint="eastAsia" w:ascii="Times New Roman" w:hAnsi="Times New Roman" w:eastAsia="宋体" w:cs="宋体"/>
          <w:spacing w:val="0"/>
          <w:w w:val="100"/>
          <w:position w:val="0"/>
          <w:sz w:val="24"/>
          <w:szCs w:val="24"/>
          <w:lang w:eastAsia="zh-CN"/>
        </w:rPr>
        <w:t>危险</w:t>
      </w:r>
      <w:r>
        <w:rPr>
          <w:rFonts w:ascii="Times New Roman" w:hAnsi="Times New Roman" w:eastAsia="宋体" w:cs="宋体"/>
          <w:spacing w:val="0"/>
          <w:w w:val="100"/>
          <w:position w:val="0"/>
          <w:sz w:val="24"/>
          <w:szCs w:val="24"/>
        </w:rPr>
        <w:t>物质时，该物质的数量与其临界量的比值，即为</w:t>
      </w:r>
      <w:r>
        <w:rPr>
          <w:rFonts w:ascii="Times New Roman" w:hAnsi="Times New Roman" w:eastAsia="宋体" w:cs="Times New Roman"/>
          <w:i/>
          <w:iCs/>
          <w:spacing w:val="0"/>
          <w:w w:val="100"/>
          <w:position w:val="0"/>
          <w:sz w:val="24"/>
          <w:szCs w:val="24"/>
        </w:rPr>
        <w:t>Q</w:t>
      </w:r>
      <w:r>
        <w:rPr>
          <w:rFonts w:hint="eastAsia" w:ascii="Times New Roman" w:hAnsi="Times New Roman" w:eastAsia="宋体" w:cs="宋体"/>
          <w:spacing w:val="0"/>
          <w:w w:val="10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当企业存在多种</w:t>
      </w:r>
      <w:r>
        <w:rPr>
          <w:rFonts w:hint="eastAsia" w:ascii="Times New Roman" w:hAnsi="Times New Roman" w:eastAsia="宋体" w:cs="宋体"/>
          <w:spacing w:val="0"/>
          <w:w w:val="100"/>
          <w:position w:val="0"/>
          <w:sz w:val="24"/>
          <w:szCs w:val="24"/>
          <w:lang w:eastAsia="zh-CN"/>
        </w:rPr>
        <w:t>危险</w:t>
      </w:r>
      <w:r>
        <w:rPr>
          <w:rFonts w:ascii="Times New Roman" w:hAnsi="Times New Roman" w:eastAsia="宋体" w:cs="宋体"/>
          <w:spacing w:val="0"/>
          <w:w w:val="100"/>
          <w:position w:val="0"/>
          <w:sz w:val="24"/>
          <w:szCs w:val="24"/>
        </w:rPr>
        <w:t>物质时，则按下式计算物质总量与其临界量比值（</w:t>
      </w:r>
      <w:r>
        <w:rPr>
          <w:rFonts w:ascii="Times New Roman" w:hAnsi="Times New Roman" w:eastAsia="宋体" w:cs="Times New Roman"/>
          <w:i/>
          <w:iCs/>
          <w:spacing w:val="0"/>
          <w:w w:val="100"/>
          <w:position w:val="0"/>
          <w:sz w:val="24"/>
          <w:szCs w:val="24"/>
        </w:rPr>
        <w:t>Q</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spacing w:val="0"/>
          <w:w w:val="100"/>
          <w:position w:val="0"/>
          <w:sz w:val="24"/>
          <w:szCs w:val="24"/>
        </w:rPr>
      </w:pPr>
      <m:oMathPara>
        <m:oMath>
          <m:r>
            <m:rPr/>
            <w:rPr>
              <w:rFonts w:hint="default" w:ascii="Cambria Math" w:hAnsi="Cambria Math" w:cs="Times New Roman"/>
              <w:color w:val="auto"/>
              <w:spacing w:val="0"/>
              <w:position w:val="0"/>
              <w:sz w:val="24"/>
              <w:lang w:val="en-US" w:eastAsia="zh-CN"/>
            </w:rPr>
            <m:t>Q</m:t>
          </m:r>
          <m:r>
            <m:rPr/>
            <w:rPr>
              <w:rFonts w:hint="default" w:ascii="Cambria Math" w:hAnsi="Cambria Math" w:eastAsia="宋体" w:cs="Times New Roman"/>
              <w:color w:val="auto"/>
              <w:spacing w:val="0"/>
              <w:position w:val="0"/>
              <w:sz w:val="24"/>
              <w:lang w:val="en-US" w:eastAsia="zh-CN"/>
            </w:rPr>
            <m:t>=</m:t>
          </m:r>
          <m:f>
            <m:fPr>
              <m:ctrlPr>
                <w:rPr>
                  <w:rFonts w:hint="default" w:ascii="Cambria Math" w:hAnsi="Cambria Math" w:eastAsia="宋体" w:cs="Times New Roman"/>
                  <w:i/>
                  <w:color w:val="auto"/>
                  <w:spacing w:val="0"/>
                  <w:position w:val="0"/>
                  <w:sz w:val="24"/>
                  <w:lang w:val="en-US" w:eastAsia="zh-CN"/>
                </w:rPr>
              </m:ctrlPr>
            </m:fPr>
            <m:num>
              <m:sSub>
                <m:sSubPr>
                  <m:ctrlPr>
                    <w:rPr>
                      <w:rFonts w:hint="default" w:ascii="Cambria Math" w:hAnsi="Cambria Math" w:eastAsia="宋体" w:cs="Times New Roman"/>
                      <w:i/>
                      <w:color w:val="auto"/>
                      <w:spacing w:val="0"/>
                      <w:position w:val="0"/>
                      <w:sz w:val="24"/>
                      <w:lang w:val="en-US" w:eastAsia="zh-CN"/>
                    </w:rPr>
                  </m:ctrlPr>
                </m:sSubPr>
                <m:e>
                  <m:r>
                    <m:rPr/>
                    <w:rPr>
                      <w:rFonts w:hint="default" w:ascii="Cambria Math" w:hAnsi="Cambria Math" w:cs="Times New Roman"/>
                      <w:color w:val="auto"/>
                      <w:spacing w:val="0"/>
                      <w:position w:val="0"/>
                      <w:sz w:val="24"/>
                      <w:lang w:val="en-US" w:eastAsia="zh-CN"/>
                    </w:rPr>
                    <m:t>q</m:t>
                  </m:r>
                  <m:ctrlPr>
                    <w:rPr>
                      <w:rFonts w:hint="default" w:ascii="Cambria Math" w:hAnsi="Cambria Math" w:eastAsia="宋体" w:cs="Times New Roman"/>
                      <w:i/>
                      <w:color w:val="auto"/>
                      <w:spacing w:val="0"/>
                      <w:position w:val="0"/>
                      <w:sz w:val="24"/>
                      <w:lang w:val="en-US" w:eastAsia="zh-CN"/>
                    </w:rPr>
                  </m:ctrlPr>
                </m:e>
                <m:sub>
                  <m:r>
                    <m:rPr/>
                    <w:rPr>
                      <w:rFonts w:hint="default" w:ascii="Cambria Math" w:hAnsi="Cambria Math" w:cs="Times New Roman"/>
                      <w:color w:val="auto"/>
                      <w:spacing w:val="0"/>
                      <w:position w:val="0"/>
                      <w:sz w:val="24"/>
                      <w:lang w:val="en-US" w:eastAsia="zh-CN"/>
                    </w:rPr>
                    <m:t>1</m:t>
                  </m:r>
                  <m:ctrlPr>
                    <w:rPr>
                      <w:rFonts w:hint="default" w:ascii="Cambria Math" w:hAnsi="Cambria Math" w:eastAsia="宋体" w:cs="Times New Roman"/>
                      <w:i/>
                      <w:color w:val="auto"/>
                      <w:spacing w:val="0"/>
                      <w:position w:val="0"/>
                      <w:sz w:val="24"/>
                      <w:lang w:val="en-US" w:eastAsia="zh-CN"/>
                    </w:rPr>
                  </m:ctrlPr>
                </m:sub>
              </m:sSub>
              <m:ctrlPr>
                <w:rPr>
                  <w:rFonts w:hint="default" w:ascii="Cambria Math" w:hAnsi="Cambria Math" w:eastAsia="宋体" w:cs="Times New Roman"/>
                  <w:i/>
                  <w:color w:val="auto"/>
                  <w:spacing w:val="0"/>
                  <w:position w:val="0"/>
                  <w:sz w:val="24"/>
                  <w:lang w:val="en-US" w:eastAsia="zh-CN"/>
                </w:rPr>
              </m:ctrlPr>
            </m:num>
            <m:den>
              <m:sSub>
                <m:sSubPr>
                  <m:ctrlPr>
                    <w:rPr>
                      <w:rFonts w:hint="default" w:ascii="Cambria Math" w:hAnsi="Cambria Math" w:eastAsia="宋体" w:cs="Times New Roman"/>
                      <w:i/>
                      <w:color w:val="auto"/>
                      <w:spacing w:val="0"/>
                      <w:position w:val="0"/>
                      <w:sz w:val="24"/>
                      <w:lang w:val="en-US" w:eastAsia="zh-CN"/>
                    </w:rPr>
                  </m:ctrlPr>
                </m:sSubPr>
                <m:e>
                  <m:r>
                    <m:rPr/>
                    <w:rPr>
                      <w:rFonts w:hint="default" w:ascii="Cambria Math" w:hAnsi="Cambria Math" w:cs="Times New Roman"/>
                      <w:color w:val="auto"/>
                      <w:spacing w:val="0"/>
                      <w:position w:val="0"/>
                      <w:sz w:val="24"/>
                      <w:lang w:val="en-US" w:eastAsia="zh-CN"/>
                    </w:rPr>
                    <m:t>Q</m:t>
                  </m:r>
                  <m:ctrlPr>
                    <w:rPr>
                      <w:rFonts w:hint="default" w:ascii="Cambria Math" w:hAnsi="Cambria Math" w:eastAsia="宋体" w:cs="Times New Roman"/>
                      <w:i/>
                      <w:color w:val="auto"/>
                      <w:spacing w:val="0"/>
                      <w:position w:val="0"/>
                      <w:sz w:val="24"/>
                      <w:lang w:val="en-US" w:eastAsia="zh-CN"/>
                    </w:rPr>
                  </m:ctrlPr>
                </m:e>
                <m:sub>
                  <m:r>
                    <m:rPr/>
                    <w:rPr>
                      <w:rFonts w:hint="default" w:ascii="Cambria Math" w:hAnsi="Cambria Math" w:cs="Times New Roman"/>
                      <w:color w:val="auto"/>
                      <w:spacing w:val="0"/>
                      <w:position w:val="0"/>
                      <w:sz w:val="24"/>
                      <w:lang w:val="en-US" w:eastAsia="zh-CN"/>
                    </w:rPr>
                    <m:t>1</m:t>
                  </m:r>
                  <m:ctrlPr>
                    <w:rPr>
                      <w:rFonts w:hint="default" w:ascii="Cambria Math" w:hAnsi="Cambria Math" w:eastAsia="宋体" w:cs="Times New Roman"/>
                      <w:i/>
                      <w:color w:val="auto"/>
                      <w:spacing w:val="0"/>
                      <w:position w:val="0"/>
                      <w:sz w:val="24"/>
                      <w:lang w:val="en-US" w:eastAsia="zh-CN"/>
                    </w:rPr>
                  </m:ctrlPr>
                </m:sub>
              </m:sSub>
              <m:ctrlPr>
                <w:rPr>
                  <w:rFonts w:hint="default" w:ascii="Cambria Math" w:hAnsi="Cambria Math" w:eastAsia="宋体" w:cs="Times New Roman"/>
                  <w:i/>
                  <w:color w:val="auto"/>
                  <w:spacing w:val="0"/>
                  <w:position w:val="0"/>
                  <w:sz w:val="24"/>
                  <w:lang w:val="en-US" w:eastAsia="zh-CN"/>
                </w:rPr>
              </m:ctrlPr>
            </m:den>
          </m:f>
          <m:r>
            <m:rPr/>
            <w:rPr>
              <w:rFonts w:hint="default" w:ascii="Cambria Math" w:hAnsi="Cambria Math" w:eastAsia="宋体" w:cs="Times New Roman"/>
              <w:color w:val="auto"/>
              <w:spacing w:val="0"/>
              <w:position w:val="0"/>
              <w:sz w:val="24"/>
              <w:lang w:val="en-US" w:eastAsia="zh-CN"/>
            </w:rPr>
            <m:t>+</m:t>
          </m:r>
          <m:f>
            <m:fPr>
              <m:ctrlPr>
                <w:rPr>
                  <w:rFonts w:hint="default" w:ascii="Cambria Math" w:hAnsi="Cambria Math" w:eastAsia="宋体" w:cs="Times New Roman"/>
                  <w:i/>
                  <w:color w:val="auto"/>
                  <w:spacing w:val="0"/>
                  <w:position w:val="0"/>
                  <w:sz w:val="24"/>
                  <w:lang w:val="en-US" w:eastAsia="zh-CN"/>
                </w:rPr>
              </m:ctrlPr>
            </m:fPr>
            <m:num>
              <m:sSub>
                <m:sSubPr>
                  <m:ctrlPr>
                    <w:rPr>
                      <w:rFonts w:hint="default" w:ascii="Cambria Math" w:hAnsi="Cambria Math" w:eastAsia="宋体" w:cs="Times New Roman"/>
                      <w:i/>
                      <w:color w:val="auto"/>
                      <w:spacing w:val="0"/>
                      <w:position w:val="0"/>
                      <w:sz w:val="24"/>
                      <w:lang w:val="en-US" w:eastAsia="zh-CN"/>
                    </w:rPr>
                  </m:ctrlPr>
                </m:sSubPr>
                <m:e>
                  <m:r>
                    <m:rPr/>
                    <w:rPr>
                      <w:rFonts w:hint="default" w:ascii="Cambria Math" w:hAnsi="Cambria Math" w:cs="Times New Roman"/>
                      <w:color w:val="auto"/>
                      <w:spacing w:val="0"/>
                      <w:position w:val="0"/>
                      <w:sz w:val="24"/>
                      <w:lang w:val="en-US" w:eastAsia="zh-CN"/>
                    </w:rPr>
                    <m:t>q</m:t>
                  </m:r>
                  <m:ctrlPr>
                    <w:rPr>
                      <w:rFonts w:hint="default" w:ascii="Cambria Math" w:hAnsi="Cambria Math" w:eastAsia="宋体" w:cs="Times New Roman"/>
                      <w:i/>
                      <w:color w:val="auto"/>
                      <w:spacing w:val="0"/>
                      <w:position w:val="0"/>
                      <w:sz w:val="24"/>
                      <w:lang w:val="en-US" w:eastAsia="zh-CN"/>
                    </w:rPr>
                  </m:ctrlPr>
                </m:e>
                <m:sub>
                  <m:r>
                    <m:rPr/>
                    <w:rPr>
                      <w:rFonts w:hint="default" w:ascii="Cambria Math" w:hAnsi="Cambria Math" w:cs="Times New Roman"/>
                      <w:color w:val="auto"/>
                      <w:spacing w:val="0"/>
                      <w:position w:val="0"/>
                      <w:sz w:val="24"/>
                      <w:lang w:val="en-US" w:eastAsia="zh-CN"/>
                    </w:rPr>
                    <m:t>2</m:t>
                  </m:r>
                  <m:ctrlPr>
                    <w:rPr>
                      <w:rFonts w:hint="default" w:ascii="Cambria Math" w:hAnsi="Cambria Math" w:eastAsia="宋体" w:cs="Times New Roman"/>
                      <w:i/>
                      <w:color w:val="auto"/>
                      <w:spacing w:val="0"/>
                      <w:position w:val="0"/>
                      <w:sz w:val="24"/>
                      <w:lang w:val="en-US" w:eastAsia="zh-CN"/>
                    </w:rPr>
                  </m:ctrlPr>
                </m:sub>
              </m:sSub>
              <m:ctrlPr>
                <w:rPr>
                  <w:rFonts w:hint="default" w:ascii="Cambria Math" w:hAnsi="Cambria Math" w:eastAsia="宋体" w:cs="Times New Roman"/>
                  <w:i/>
                  <w:color w:val="auto"/>
                  <w:spacing w:val="0"/>
                  <w:position w:val="0"/>
                  <w:sz w:val="24"/>
                  <w:lang w:val="en-US" w:eastAsia="zh-CN"/>
                </w:rPr>
              </m:ctrlPr>
            </m:num>
            <m:den>
              <m:sSub>
                <m:sSubPr>
                  <m:ctrlPr>
                    <w:rPr>
                      <w:rFonts w:hint="default" w:ascii="Cambria Math" w:hAnsi="Cambria Math" w:eastAsia="宋体" w:cs="Times New Roman"/>
                      <w:i/>
                      <w:color w:val="auto"/>
                      <w:spacing w:val="0"/>
                      <w:position w:val="0"/>
                      <w:sz w:val="24"/>
                      <w:lang w:val="en-US" w:eastAsia="zh-CN"/>
                    </w:rPr>
                  </m:ctrlPr>
                </m:sSubPr>
                <m:e>
                  <m:r>
                    <m:rPr/>
                    <w:rPr>
                      <w:rFonts w:hint="default" w:ascii="Cambria Math" w:hAnsi="Cambria Math" w:cs="Times New Roman"/>
                      <w:color w:val="auto"/>
                      <w:spacing w:val="0"/>
                      <w:position w:val="0"/>
                      <w:sz w:val="24"/>
                      <w:lang w:val="en-US" w:eastAsia="zh-CN"/>
                    </w:rPr>
                    <m:t>Q</m:t>
                  </m:r>
                  <m:ctrlPr>
                    <w:rPr>
                      <w:rFonts w:hint="default" w:ascii="Cambria Math" w:hAnsi="Cambria Math" w:eastAsia="宋体" w:cs="Times New Roman"/>
                      <w:i/>
                      <w:color w:val="auto"/>
                      <w:spacing w:val="0"/>
                      <w:position w:val="0"/>
                      <w:sz w:val="24"/>
                      <w:lang w:val="en-US" w:eastAsia="zh-CN"/>
                    </w:rPr>
                  </m:ctrlPr>
                </m:e>
                <m:sub>
                  <m:r>
                    <m:rPr/>
                    <w:rPr>
                      <w:rFonts w:hint="default" w:ascii="Cambria Math" w:hAnsi="Cambria Math" w:cs="Times New Roman"/>
                      <w:color w:val="auto"/>
                      <w:spacing w:val="0"/>
                      <w:position w:val="0"/>
                      <w:sz w:val="24"/>
                      <w:lang w:val="en-US" w:eastAsia="zh-CN"/>
                    </w:rPr>
                    <m:t>2</m:t>
                  </m:r>
                  <m:ctrlPr>
                    <w:rPr>
                      <w:rFonts w:hint="default" w:ascii="Cambria Math" w:hAnsi="Cambria Math" w:eastAsia="宋体" w:cs="Times New Roman"/>
                      <w:i/>
                      <w:color w:val="auto"/>
                      <w:spacing w:val="0"/>
                      <w:position w:val="0"/>
                      <w:sz w:val="24"/>
                      <w:lang w:val="en-US" w:eastAsia="zh-CN"/>
                    </w:rPr>
                  </m:ctrlPr>
                </m:sub>
              </m:sSub>
              <m:ctrlPr>
                <w:rPr>
                  <w:rFonts w:hint="default" w:ascii="Cambria Math" w:hAnsi="Cambria Math" w:eastAsia="宋体" w:cs="Times New Roman"/>
                  <w:i/>
                  <w:color w:val="auto"/>
                  <w:spacing w:val="0"/>
                  <w:position w:val="0"/>
                  <w:sz w:val="24"/>
                  <w:lang w:val="en-US" w:eastAsia="zh-CN"/>
                </w:rPr>
              </m:ctrlPr>
            </m:den>
          </m:f>
          <m:r>
            <m:rPr/>
            <w:rPr>
              <w:rFonts w:hint="default" w:ascii="Cambria Math" w:hAnsi="Cambria Math" w:cs="Times New Roman"/>
              <w:color w:val="auto"/>
              <w:spacing w:val="0"/>
              <w:position w:val="0"/>
              <w:sz w:val="24"/>
              <w:lang w:val="en-US" w:eastAsia="zh-CN"/>
            </w:rPr>
            <m:t>+...+</m:t>
          </m:r>
          <m:f>
            <m:fPr>
              <m:ctrlPr>
                <w:rPr>
                  <w:rFonts w:hint="default" w:ascii="Cambria Math" w:hAnsi="Cambria Math" w:eastAsia="宋体" w:cs="Times New Roman"/>
                  <w:i/>
                  <w:color w:val="auto"/>
                  <w:spacing w:val="0"/>
                  <w:position w:val="0"/>
                  <w:sz w:val="24"/>
                  <w:lang w:val="en-US" w:eastAsia="zh-CN"/>
                </w:rPr>
              </m:ctrlPr>
            </m:fPr>
            <m:num>
              <m:sSub>
                <m:sSubPr>
                  <m:ctrlPr>
                    <w:rPr>
                      <w:rFonts w:hint="default" w:ascii="Cambria Math" w:hAnsi="Cambria Math" w:eastAsia="宋体" w:cs="Times New Roman"/>
                      <w:i/>
                      <w:color w:val="auto"/>
                      <w:spacing w:val="0"/>
                      <w:position w:val="0"/>
                      <w:sz w:val="24"/>
                      <w:lang w:val="en-US" w:eastAsia="zh-CN"/>
                    </w:rPr>
                  </m:ctrlPr>
                </m:sSubPr>
                <m:e>
                  <m:r>
                    <m:rPr/>
                    <w:rPr>
                      <w:rFonts w:hint="default" w:ascii="Cambria Math" w:hAnsi="Cambria Math" w:cs="Times New Roman"/>
                      <w:color w:val="auto"/>
                      <w:spacing w:val="0"/>
                      <w:position w:val="0"/>
                      <w:sz w:val="24"/>
                      <w:lang w:val="en-US" w:eastAsia="zh-CN"/>
                    </w:rPr>
                    <m:t>q</m:t>
                  </m:r>
                  <m:ctrlPr>
                    <w:rPr>
                      <w:rFonts w:hint="default" w:ascii="Cambria Math" w:hAnsi="Cambria Math" w:eastAsia="宋体" w:cs="Times New Roman"/>
                      <w:i/>
                      <w:color w:val="auto"/>
                      <w:spacing w:val="0"/>
                      <w:position w:val="0"/>
                      <w:sz w:val="24"/>
                      <w:lang w:val="en-US" w:eastAsia="zh-CN"/>
                    </w:rPr>
                  </m:ctrlPr>
                </m:e>
                <m:sub>
                  <m:r>
                    <m:rPr/>
                    <w:rPr>
                      <w:rFonts w:hint="default" w:ascii="Cambria Math" w:hAnsi="Cambria Math" w:cs="Times New Roman"/>
                      <w:color w:val="auto"/>
                      <w:spacing w:val="0"/>
                      <w:position w:val="0"/>
                      <w:sz w:val="24"/>
                      <w:lang w:val="en-US" w:eastAsia="zh-CN"/>
                    </w:rPr>
                    <m:t>n</m:t>
                  </m:r>
                  <m:ctrlPr>
                    <w:rPr>
                      <w:rFonts w:hint="default" w:ascii="Cambria Math" w:hAnsi="Cambria Math" w:eastAsia="宋体" w:cs="Times New Roman"/>
                      <w:i/>
                      <w:color w:val="auto"/>
                      <w:spacing w:val="0"/>
                      <w:position w:val="0"/>
                      <w:sz w:val="24"/>
                      <w:lang w:val="en-US" w:eastAsia="zh-CN"/>
                    </w:rPr>
                  </m:ctrlPr>
                </m:sub>
              </m:sSub>
              <m:ctrlPr>
                <w:rPr>
                  <w:rFonts w:hint="default" w:ascii="Cambria Math" w:hAnsi="Cambria Math" w:eastAsia="宋体" w:cs="Times New Roman"/>
                  <w:i/>
                  <w:color w:val="auto"/>
                  <w:spacing w:val="0"/>
                  <w:position w:val="0"/>
                  <w:sz w:val="24"/>
                  <w:lang w:val="en-US" w:eastAsia="zh-CN"/>
                </w:rPr>
              </m:ctrlPr>
            </m:num>
            <m:den>
              <m:sSub>
                <m:sSubPr>
                  <m:ctrlPr>
                    <w:rPr>
                      <w:rFonts w:hint="default" w:ascii="Cambria Math" w:hAnsi="Cambria Math" w:eastAsia="宋体" w:cs="Times New Roman"/>
                      <w:i/>
                      <w:color w:val="auto"/>
                      <w:spacing w:val="0"/>
                      <w:position w:val="0"/>
                      <w:sz w:val="24"/>
                      <w:lang w:val="en-US" w:eastAsia="zh-CN"/>
                    </w:rPr>
                  </m:ctrlPr>
                </m:sSubPr>
                <m:e>
                  <m:r>
                    <m:rPr/>
                    <w:rPr>
                      <w:rFonts w:hint="default" w:ascii="Cambria Math" w:hAnsi="Cambria Math" w:cs="Times New Roman"/>
                      <w:color w:val="auto"/>
                      <w:spacing w:val="0"/>
                      <w:position w:val="0"/>
                      <w:sz w:val="24"/>
                      <w:lang w:val="en-US" w:eastAsia="zh-CN"/>
                    </w:rPr>
                    <m:t>Q</m:t>
                  </m:r>
                  <m:ctrlPr>
                    <w:rPr>
                      <w:rFonts w:hint="default" w:ascii="Cambria Math" w:hAnsi="Cambria Math" w:eastAsia="宋体" w:cs="Times New Roman"/>
                      <w:i/>
                      <w:color w:val="auto"/>
                      <w:spacing w:val="0"/>
                      <w:position w:val="0"/>
                      <w:sz w:val="24"/>
                      <w:lang w:val="en-US" w:eastAsia="zh-CN"/>
                    </w:rPr>
                  </m:ctrlPr>
                </m:e>
                <m:sub>
                  <m:r>
                    <m:rPr/>
                    <w:rPr>
                      <w:rFonts w:hint="default" w:ascii="Cambria Math" w:hAnsi="Cambria Math" w:cs="Times New Roman"/>
                      <w:color w:val="auto"/>
                      <w:spacing w:val="0"/>
                      <w:position w:val="0"/>
                      <w:sz w:val="24"/>
                      <w:lang w:val="en-US" w:eastAsia="zh-CN"/>
                    </w:rPr>
                    <m:t>n</m:t>
                  </m:r>
                  <m:ctrlPr>
                    <w:rPr>
                      <w:rFonts w:hint="default" w:ascii="Cambria Math" w:hAnsi="Cambria Math" w:eastAsia="宋体" w:cs="Times New Roman"/>
                      <w:i/>
                      <w:color w:val="auto"/>
                      <w:spacing w:val="0"/>
                      <w:position w:val="0"/>
                      <w:sz w:val="24"/>
                      <w:lang w:val="en-US" w:eastAsia="zh-CN"/>
                    </w:rPr>
                  </m:ctrlPr>
                </m:sub>
              </m:sSub>
              <m:ctrlPr>
                <w:rPr>
                  <w:rFonts w:hint="default" w:ascii="Cambria Math" w:hAnsi="Cambria Math" w:eastAsia="宋体" w:cs="Times New Roman"/>
                  <w:i/>
                  <w:color w:val="auto"/>
                  <w:spacing w:val="0"/>
                  <w:position w:val="0"/>
                  <w:sz w:val="24"/>
                  <w:lang w:val="en-US" w:eastAsia="zh-CN"/>
                </w:rPr>
              </m:ctrlPr>
            </m:den>
          </m:f>
        </m:oMath>
      </m:oMathPara>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式中：</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15"/>
          <w:szCs w:val="15"/>
        </w:rPr>
        <w:t>1</w:t>
      </w:r>
      <w:r>
        <w:rPr>
          <w:rFonts w:ascii="Times New Roman" w:hAnsi="Times New Roman" w:eastAsia="宋体" w:cs="宋体"/>
          <w:spacing w:val="0"/>
          <w:w w:val="100"/>
          <w:position w:val="0"/>
          <w:sz w:val="24"/>
          <w:szCs w:val="24"/>
        </w:rPr>
        <w:t>，</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15"/>
          <w:szCs w:val="15"/>
        </w:rPr>
        <w:t>n</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每种</w:t>
      </w:r>
      <w:r>
        <w:rPr>
          <w:rFonts w:hint="eastAsia" w:ascii="Times New Roman" w:hAnsi="Times New Roman" w:eastAsia="宋体" w:cs="宋体"/>
          <w:spacing w:val="0"/>
          <w:w w:val="100"/>
          <w:position w:val="0"/>
          <w:sz w:val="24"/>
          <w:szCs w:val="24"/>
          <w:lang w:eastAsia="zh-CN"/>
        </w:rPr>
        <w:t>危险</w:t>
      </w:r>
      <w:r>
        <w:rPr>
          <w:rFonts w:ascii="Times New Roman" w:hAnsi="Times New Roman" w:eastAsia="宋体" w:cs="宋体"/>
          <w:spacing w:val="0"/>
          <w:w w:val="100"/>
          <w:position w:val="0"/>
          <w:sz w:val="24"/>
          <w:szCs w:val="24"/>
        </w:rPr>
        <w:t>物质的存在量，</w:t>
      </w:r>
      <w:r>
        <w:rPr>
          <w:rFonts w:ascii="Times New Roman" w:hAnsi="Times New Roman" w:eastAsia="宋体" w:cs="Times New Roman"/>
          <w:spacing w:val="0"/>
          <w:w w:val="100"/>
          <w:position w:val="0"/>
          <w:sz w:val="24"/>
          <w:szCs w:val="24"/>
        </w:rPr>
        <w:t>t</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1200" w:firstLineChars="500"/>
        <w:textAlignment w:val="auto"/>
        <w:rPr>
          <w:rFonts w:ascii="Times New Roman" w:hAnsi="Times New Roman" w:eastAsia="宋体" w:cs="宋体"/>
          <w:spacing w:val="0"/>
          <w:w w:val="100"/>
          <w:position w:val="0"/>
          <w:sz w:val="24"/>
          <w:szCs w:val="24"/>
        </w:rPr>
      </w:pP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15"/>
          <w:szCs w:val="15"/>
        </w:rPr>
        <w:t>1</w:t>
      </w:r>
      <w:r>
        <w:rPr>
          <w:rFonts w:ascii="Times New Roman" w:hAnsi="Times New Roman" w:eastAsia="宋体" w:cs="宋体"/>
          <w:spacing w:val="0"/>
          <w:w w:val="100"/>
          <w:position w:val="0"/>
          <w:sz w:val="24"/>
          <w:szCs w:val="24"/>
        </w:rPr>
        <w:t>，</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15"/>
          <w:szCs w:val="15"/>
        </w:rPr>
        <w:t>n</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每种</w:t>
      </w:r>
      <w:r>
        <w:rPr>
          <w:rFonts w:hint="eastAsia" w:ascii="Times New Roman" w:hAnsi="Times New Roman" w:eastAsia="宋体" w:cs="宋体"/>
          <w:spacing w:val="0"/>
          <w:w w:val="100"/>
          <w:position w:val="0"/>
          <w:sz w:val="24"/>
          <w:szCs w:val="24"/>
          <w:lang w:eastAsia="zh-CN"/>
        </w:rPr>
        <w:t>危险</w:t>
      </w:r>
      <w:r>
        <w:rPr>
          <w:rFonts w:ascii="Times New Roman" w:hAnsi="Times New Roman" w:eastAsia="宋体" w:cs="宋体"/>
          <w:spacing w:val="0"/>
          <w:w w:val="100"/>
          <w:position w:val="0"/>
          <w:sz w:val="24"/>
          <w:szCs w:val="24"/>
        </w:rPr>
        <w:t>物质的临界量，</w:t>
      </w:r>
      <w:r>
        <w:rPr>
          <w:rFonts w:ascii="Times New Roman" w:hAnsi="Times New Roman" w:eastAsia="宋体" w:cs="Times New Roman"/>
          <w:spacing w:val="0"/>
          <w:w w:val="100"/>
          <w:position w:val="0"/>
          <w:sz w:val="24"/>
          <w:szCs w:val="24"/>
        </w:rPr>
        <w:t>t</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1200" w:firstLineChars="5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当</w:t>
      </w:r>
      <w:r>
        <w:rPr>
          <w:rFonts w:ascii="Times New Roman" w:hAnsi="Times New Roman" w:eastAsia="宋体" w:cs="Times New Roman"/>
          <w:i/>
          <w:iCs/>
          <w:spacing w:val="0"/>
          <w:w w:val="100"/>
          <w:position w:val="0"/>
          <w:sz w:val="24"/>
          <w:szCs w:val="24"/>
        </w:rPr>
        <w:t>Q</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时，该项目环境风险潜势为</w:t>
      </w:r>
      <w:r>
        <w:rPr>
          <w:rFonts w:ascii="Times New Roman" w:hAnsi="Times New Roman" w:eastAsia="宋体" w:cs="Times New Roman"/>
          <w:spacing w:val="0"/>
          <w:w w:val="100"/>
          <w:position w:val="0"/>
          <w:sz w:val="24"/>
          <w:szCs w:val="24"/>
        </w:rPr>
        <w:t>I</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1200" w:firstLineChars="5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当</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时，将</w:t>
      </w:r>
      <w:r>
        <w:rPr>
          <w:rFonts w:ascii="Times New Roman" w:hAnsi="Times New Roman" w:eastAsia="宋体" w:cs="Times New Roman"/>
          <w:i/>
          <w:iCs/>
          <w:spacing w:val="0"/>
          <w:w w:val="100"/>
          <w:position w:val="0"/>
          <w:sz w:val="24"/>
          <w:szCs w:val="24"/>
        </w:rPr>
        <w:t>Q</w:t>
      </w:r>
      <w:r>
        <w:rPr>
          <w:rFonts w:ascii="Times New Roman" w:hAnsi="Times New Roman" w:eastAsia="宋体" w:cs="宋体"/>
          <w:spacing w:val="0"/>
          <w:w w:val="100"/>
          <w:position w:val="0"/>
          <w:sz w:val="24"/>
          <w:szCs w:val="24"/>
        </w:rPr>
        <w:t>值划分为：</w:t>
      </w:r>
      <w:r>
        <w:rPr>
          <w:rFonts w:hint="eastAsia" w:cs="宋体"/>
          <w:spacing w:val="0"/>
          <w:w w:val="100"/>
          <w:position w:val="0"/>
          <w:sz w:val="24"/>
          <w:szCs w:val="24"/>
          <w:lang w:val="en-US" w:eastAsia="zh-CN"/>
        </w:rPr>
        <w:t>(</w:t>
      </w:r>
      <w:r>
        <w:rPr>
          <w:rFonts w:ascii="Times New Roman" w:hAnsi="Times New Roman" w:eastAsia="宋体" w:cs="Times New Roman"/>
          <w:spacing w:val="0"/>
          <w:w w:val="100"/>
          <w:position w:val="0"/>
          <w:sz w:val="24"/>
          <w:szCs w:val="24"/>
        </w:rPr>
        <w:t>1</w:t>
      </w:r>
      <w:r>
        <w:rPr>
          <w:rFonts w:hint="eastAsia" w:cs="宋体"/>
          <w:spacing w:val="0"/>
          <w:w w:val="100"/>
          <w:position w:val="0"/>
          <w:sz w:val="24"/>
          <w:szCs w:val="24"/>
          <w:lang w:val="en-US" w:eastAsia="zh-CN"/>
        </w:rPr>
        <w:t>)</w:t>
      </w:r>
      <w:r>
        <w:rPr>
          <w:rFonts w:ascii="Times New Roman" w:hAnsi="Times New Roman" w:eastAsia="宋体" w:cs="Times New Roman"/>
          <w:spacing w:val="0"/>
          <w:w w:val="100"/>
          <w:position w:val="0"/>
          <w:sz w:val="24"/>
          <w:szCs w:val="24"/>
        </w:rPr>
        <w:t>1≤</w:t>
      </w:r>
      <w:r>
        <w:rPr>
          <w:rFonts w:ascii="Times New Roman" w:hAnsi="Times New Roman" w:eastAsia="宋体" w:cs="Times New Roman"/>
          <w:i/>
          <w:iCs/>
          <w:spacing w:val="0"/>
          <w:w w:val="100"/>
          <w:position w:val="0"/>
          <w:sz w:val="24"/>
          <w:szCs w:val="24"/>
        </w:rPr>
        <w:t>Q</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10</w:t>
      </w:r>
      <w:r>
        <w:rPr>
          <w:rFonts w:ascii="Times New Roman" w:hAnsi="Times New Roman" w:eastAsia="宋体" w:cs="宋体"/>
          <w:spacing w:val="0"/>
          <w:w w:val="100"/>
          <w:position w:val="0"/>
          <w:sz w:val="24"/>
          <w:szCs w:val="24"/>
        </w:rPr>
        <w:t>；</w:t>
      </w:r>
      <w:r>
        <w:rPr>
          <w:rFonts w:hint="eastAsia" w:cs="宋体"/>
          <w:spacing w:val="0"/>
          <w:w w:val="100"/>
          <w:position w:val="0"/>
          <w:sz w:val="24"/>
          <w:szCs w:val="24"/>
          <w:lang w:val="en-US" w:eastAsia="zh-CN"/>
        </w:rPr>
        <w:t>(</w:t>
      </w:r>
      <w:r>
        <w:rPr>
          <w:rFonts w:hint="eastAsia" w:cs="Times New Roman"/>
          <w:spacing w:val="0"/>
          <w:w w:val="100"/>
          <w:position w:val="0"/>
          <w:sz w:val="24"/>
          <w:szCs w:val="24"/>
          <w:lang w:val="en-US" w:eastAsia="zh-CN"/>
        </w:rPr>
        <w:t>2</w:t>
      </w:r>
      <w:r>
        <w:rPr>
          <w:rFonts w:hint="eastAsia" w:cs="宋体"/>
          <w:spacing w:val="0"/>
          <w:w w:val="100"/>
          <w:position w:val="0"/>
          <w:sz w:val="24"/>
          <w:szCs w:val="24"/>
          <w:lang w:val="en-US" w:eastAsia="zh-CN"/>
        </w:rPr>
        <w:t>)</w:t>
      </w:r>
      <w:r>
        <w:rPr>
          <w:rFonts w:ascii="Times New Roman" w:hAnsi="Times New Roman" w:eastAsia="宋体" w:cs="Times New Roman"/>
          <w:spacing w:val="0"/>
          <w:w w:val="100"/>
          <w:position w:val="0"/>
          <w:sz w:val="24"/>
          <w:szCs w:val="24"/>
        </w:rPr>
        <w:t>10≤</w:t>
      </w:r>
      <w:r>
        <w:rPr>
          <w:rFonts w:ascii="Times New Roman" w:hAnsi="Times New Roman" w:eastAsia="宋体" w:cs="Times New Roman"/>
          <w:i/>
          <w:iCs/>
          <w:spacing w:val="0"/>
          <w:w w:val="100"/>
          <w:position w:val="0"/>
          <w:sz w:val="24"/>
          <w:szCs w:val="24"/>
        </w:rPr>
        <w:t>Q</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100</w:t>
      </w:r>
      <w:r>
        <w:rPr>
          <w:rFonts w:ascii="Times New Roman" w:hAnsi="Times New Roman" w:eastAsia="宋体" w:cs="宋体"/>
          <w:spacing w:val="0"/>
          <w:w w:val="100"/>
          <w:position w:val="0"/>
          <w:sz w:val="24"/>
          <w:szCs w:val="24"/>
        </w:rPr>
        <w:t>；</w:t>
      </w:r>
      <w:r>
        <w:rPr>
          <w:rFonts w:hint="eastAsia" w:cs="宋体"/>
          <w:spacing w:val="0"/>
          <w:w w:val="100"/>
          <w:position w:val="0"/>
          <w:sz w:val="24"/>
          <w:szCs w:val="24"/>
          <w:lang w:val="en-US" w:eastAsia="zh-CN"/>
        </w:rPr>
        <w:t>(</w:t>
      </w:r>
      <w:r>
        <w:rPr>
          <w:rFonts w:hint="eastAsia" w:cs="Times New Roman"/>
          <w:spacing w:val="0"/>
          <w:w w:val="100"/>
          <w:position w:val="0"/>
          <w:sz w:val="24"/>
          <w:szCs w:val="24"/>
          <w:lang w:val="en-US" w:eastAsia="zh-CN"/>
        </w:rPr>
        <w:t>3</w:t>
      </w:r>
      <w:r>
        <w:rPr>
          <w:rFonts w:hint="eastAsia" w:cs="宋体"/>
          <w:spacing w:val="0"/>
          <w:w w:val="100"/>
          <w:position w:val="0"/>
          <w:sz w:val="24"/>
          <w:szCs w:val="24"/>
          <w:lang w:val="en-US" w:eastAsia="zh-CN"/>
        </w:rPr>
        <w:t>)</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24"/>
          <w:szCs w:val="24"/>
        </w:rPr>
        <w:t>≥100</w:t>
      </w:r>
      <w:r>
        <w:rPr>
          <w:rFonts w:ascii="Times New Roman" w:hAnsi="Times New Roman" w:eastAsia="宋体" w:cs="宋体"/>
          <w:spacing w:val="0"/>
          <w:w w:val="100"/>
          <w:position w:val="0"/>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本项目涉及危险物质存在量及其临界值量见表</w:t>
      </w:r>
      <w:r>
        <w:rPr>
          <w:rFonts w:ascii="Times New Roman" w:hAnsi="Times New Roman" w:eastAsia="宋体" w:cs="Times New Roman"/>
          <w:spacing w:val="0"/>
          <w:w w:val="100"/>
          <w:position w:val="0"/>
          <w:sz w:val="24"/>
          <w:szCs w:val="24"/>
        </w:rPr>
        <w:t>6.2-1</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表6.2-1突发环境事件风险物质贮存量及临界量</w:t>
      </w:r>
    </w:p>
    <w:tbl>
      <w:tblPr>
        <w:tblStyle w:val="52"/>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37"/>
        <w:gridCol w:w="1662"/>
        <w:gridCol w:w="1259"/>
        <w:gridCol w:w="1938"/>
        <w:gridCol w:w="1487"/>
        <w:gridCol w:w="193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4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0"/>
                <w:szCs w:val="20"/>
              </w:rPr>
            </w:pPr>
            <w:r>
              <w:rPr>
                <w:rFonts w:ascii="Times New Roman" w:hAnsi="Times New Roman" w:eastAsia="宋体" w:cs="宋体"/>
                <w:b/>
                <w:bCs/>
                <w:spacing w:val="0"/>
                <w:w w:val="100"/>
                <w:position w:val="0"/>
                <w:sz w:val="20"/>
                <w:szCs w:val="20"/>
              </w:rPr>
              <w:t>序号</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0"/>
                <w:szCs w:val="20"/>
              </w:rPr>
            </w:pPr>
            <w:r>
              <w:rPr>
                <w:rFonts w:ascii="Times New Roman" w:hAnsi="Times New Roman" w:eastAsia="宋体" w:cs="宋体"/>
                <w:b/>
                <w:bCs/>
                <w:spacing w:val="0"/>
                <w:w w:val="100"/>
                <w:position w:val="0"/>
                <w:sz w:val="20"/>
                <w:szCs w:val="20"/>
              </w:rPr>
              <w:t>危险物质名称</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0"/>
                <w:szCs w:val="20"/>
              </w:rPr>
            </w:pPr>
            <w:r>
              <w:rPr>
                <w:rFonts w:ascii="Times New Roman" w:hAnsi="Times New Roman" w:eastAsia="宋体" w:cs="Times New Roman"/>
                <w:b/>
                <w:bCs/>
                <w:spacing w:val="0"/>
                <w:w w:val="100"/>
                <w:position w:val="0"/>
                <w:sz w:val="20"/>
                <w:szCs w:val="20"/>
              </w:rPr>
              <w:t>CAS</w:t>
            </w:r>
            <w:r>
              <w:rPr>
                <w:rFonts w:ascii="Times New Roman" w:hAnsi="Times New Roman" w:eastAsia="宋体" w:cs="宋体"/>
                <w:b/>
                <w:bCs/>
                <w:spacing w:val="0"/>
                <w:w w:val="100"/>
                <w:position w:val="0"/>
                <w:sz w:val="20"/>
                <w:szCs w:val="20"/>
              </w:rPr>
              <w:t>号</w:t>
            </w:r>
          </w:p>
        </w:tc>
        <w:tc>
          <w:tcPr>
            <w:tcW w:w="10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bCs/>
                <w:spacing w:val="0"/>
                <w:w w:val="100"/>
                <w:position w:val="0"/>
                <w:sz w:val="20"/>
                <w:szCs w:val="20"/>
              </w:rPr>
            </w:pPr>
            <w:r>
              <w:rPr>
                <w:rFonts w:ascii="Times New Roman" w:hAnsi="Times New Roman" w:eastAsia="宋体" w:cs="宋体"/>
                <w:b/>
                <w:bCs/>
                <w:spacing w:val="0"/>
                <w:w w:val="100"/>
                <w:position w:val="0"/>
                <w:sz w:val="20"/>
                <w:szCs w:val="20"/>
              </w:rPr>
              <w:t>最大存在总量</w:t>
            </w:r>
            <w:r>
              <w:rPr>
                <w:rFonts w:ascii="Times New Roman" w:hAnsi="Times New Roman" w:eastAsia="宋体" w:cs="Times New Roman"/>
                <w:b/>
                <w:bCs/>
                <w:i/>
                <w:iCs/>
                <w:spacing w:val="0"/>
                <w:w w:val="100"/>
                <w:position w:val="0"/>
                <w:sz w:val="20"/>
                <w:szCs w:val="20"/>
              </w:rPr>
              <w:t>q</w:t>
            </w:r>
            <w:r>
              <w:rPr>
                <w:rFonts w:ascii="Times New Roman" w:hAnsi="Times New Roman" w:eastAsia="宋体" w:cs="Times New Roman"/>
                <w:b/>
                <w:bCs/>
                <w:spacing w:val="0"/>
                <w:w w:val="100"/>
                <w:position w:val="0"/>
                <w:sz w:val="13"/>
                <w:szCs w:val="13"/>
              </w:rPr>
              <w:t>n</w:t>
            </w:r>
            <w:r>
              <w:rPr>
                <w:rFonts w:ascii="Times New Roman" w:hAnsi="Times New Roman" w:eastAsia="宋体" w:cs="Times New Roman"/>
                <w:b/>
                <w:bCs/>
                <w:spacing w:val="0"/>
                <w:w w:val="100"/>
                <w:position w:val="0"/>
                <w:sz w:val="20"/>
                <w:szCs w:val="20"/>
              </w:rPr>
              <w:t>/t</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bCs/>
                <w:spacing w:val="0"/>
                <w:w w:val="100"/>
                <w:position w:val="0"/>
                <w:sz w:val="20"/>
                <w:szCs w:val="20"/>
              </w:rPr>
            </w:pPr>
            <w:r>
              <w:rPr>
                <w:rFonts w:ascii="Times New Roman" w:hAnsi="Times New Roman" w:eastAsia="宋体" w:cs="宋体"/>
                <w:b/>
                <w:bCs/>
                <w:spacing w:val="0"/>
                <w:w w:val="100"/>
                <w:position w:val="0"/>
                <w:sz w:val="20"/>
                <w:szCs w:val="20"/>
              </w:rPr>
              <w:t>临界量</w:t>
            </w:r>
            <w:r>
              <w:rPr>
                <w:rFonts w:ascii="Times New Roman" w:hAnsi="Times New Roman" w:eastAsia="宋体" w:cs="Times New Roman"/>
                <w:b/>
                <w:bCs/>
                <w:i/>
                <w:iCs/>
                <w:spacing w:val="0"/>
                <w:w w:val="100"/>
                <w:position w:val="0"/>
                <w:sz w:val="20"/>
                <w:szCs w:val="20"/>
              </w:rPr>
              <w:t>Q</w:t>
            </w:r>
            <w:r>
              <w:rPr>
                <w:rFonts w:ascii="Times New Roman" w:hAnsi="Times New Roman" w:eastAsia="宋体" w:cs="Times New Roman"/>
                <w:b/>
                <w:bCs/>
                <w:spacing w:val="0"/>
                <w:w w:val="100"/>
                <w:position w:val="0"/>
                <w:sz w:val="13"/>
                <w:szCs w:val="13"/>
              </w:rPr>
              <w:t>n</w:t>
            </w:r>
            <w:r>
              <w:rPr>
                <w:rFonts w:ascii="Times New Roman" w:hAnsi="Times New Roman" w:eastAsia="宋体" w:cs="Times New Roman"/>
                <w:b/>
                <w:bCs/>
                <w:spacing w:val="0"/>
                <w:w w:val="100"/>
                <w:position w:val="0"/>
                <w:sz w:val="20"/>
                <w:szCs w:val="20"/>
              </w:rPr>
              <w:t>/t</w:t>
            </w:r>
          </w:p>
        </w:tc>
        <w:tc>
          <w:tcPr>
            <w:tcW w:w="10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0"/>
                <w:szCs w:val="20"/>
              </w:rPr>
            </w:pPr>
            <w:r>
              <w:rPr>
                <w:rFonts w:ascii="Times New Roman" w:hAnsi="Times New Roman" w:eastAsia="宋体" w:cs="宋体"/>
                <w:b/>
                <w:bCs/>
                <w:spacing w:val="0"/>
                <w:w w:val="100"/>
                <w:position w:val="0"/>
                <w:sz w:val="20"/>
                <w:szCs w:val="20"/>
              </w:rPr>
              <w:t>该种危险物质</w:t>
            </w:r>
            <w:r>
              <w:rPr>
                <w:rFonts w:ascii="Times New Roman" w:hAnsi="Times New Roman" w:eastAsia="宋体" w:cs="Times New Roman"/>
                <w:b/>
                <w:bCs/>
                <w:i/>
                <w:iCs/>
                <w:spacing w:val="0"/>
                <w:w w:val="100"/>
                <w:position w:val="0"/>
                <w:sz w:val="20"/>
                <w:szCs w:val="20"/>
              </w:rPr>
              <w:t>Q</w:t>
            </w:r>
            <w:r>
              <w:rPr>
                <w:rFonts w:ascii="Times New Roman" w:hAnsi="Times New Roman" w:eastAsia="宋体" w:cs="宋体"/>
                <w:b/>
                <w:bCs/>
                <w:spacing w:val="0"/>
                <w:w w:val="100"/>
                <w:position w:val="0"/>
                <w:sz w:val="20"/>
                <w:szCs w:val="20"/>
              </w:rPr>
              <w:t>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4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1</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0"/>
                <w:szCs w:val="20"/>
              </w:rPr>
            </w:pPr>
            <w:r>
              <w:rPr>
                <w:rFonts w:ascii="Times New Roman" w:hAnsi="Times New Roman" w:eastAsia="宋体" w:cs="宋体"/>
                <w:spacing w:val="0"/>
                <w:w w:val="100"/>
                <w:position w:val="0"/>
                <w:sz w:val="20"/>
                <w:szCs w:val="20"/>
              </w:rPr>
              <w:t>连二亚硫酸钠</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7775-14-6</w:t>
            </w:r>
          </w:p>
        </w:tc>
        <w:tc>
          <w:tcPr>
            <w:tcW w:w="10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3</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5</w:t>
            </w:r>
          </w:p>
        </w:tc>
        <w:tc>
          <w:tcPr>
            <w:tcW w:w="10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0.6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4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2</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宋体"/>
                <w:spacing w:val="0"/>
                <w:w w:val="100"/>
                <w:position w:val="0"/>
                <w:sz w:val="20"/>
                <w:szCs w:val="20"/>
                <w:lang w:eastAsia="zh-CN"/>
              </w:rPr>
            </w:pPr>
            <w:r>
              <w:rPr>
                <w:rFonts w:hint="eastAsia" w:ascii="Times New Roman" w:hAnsi="Times New Roman" w:eastAsia="宋体" w:cs="宋体"/>
                <w:spacing w:val="0"/>
                <w:w w:val="100"/>
                <w:position w:val="0"/>
                <w:sz w:val="20"/>
                <w:szCs w:val="20"/>
                <w:lang w:eastAsia="zh-CN"/>
              </w:rPr>
              <w:t>乙酸</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64-19-7</w:t>
            </w:r>
          </w:p>
        </w:tc>
        <w:tc>
          <w:tcPr>
            <w:tcW w:w="10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0"/>
                <w:szCs w:val="20"/>
                <w:lang w:val="en-US" w:eastAsia="zh-CN"/>
              </w:rPr>
            </w:pPr>
            <w:r>
              <w:rPr>
                <w:rFonts w:hint="eastAsia" w:ascii="Times New Roman" w:hAnsi="Times New Roman" w:eastAsia="宋体" w:cs="Times New Roman"/>
                <w:spacing w:val="0"/>
                <w:w w:val="100"/>
                <w:position w:val="0"/>
                <w:sz w:val="20"/>
                <w:szCs w:val="20"/>
                <w:lang w:val="en-US" w:eastAsia="zh-CN"/>
              </w:rPr>
              <w:t>11.41</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10</w:t>
            </w:r>
          </w:p>
        </w:tc>
        <w:tc>
          <w:tcPr>
            <w:tcW w:w="10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0"/>
                <w:szCs w:val="20"/>
                <w:lang w:val="en-US" w:eastAsia="zh-CN"/>
              </w:rPr>
            </w:pPr>
            <w:r>
              <w:rPr>
                <w:rFonts w:hint="eastAsia" w:ascii="Times New Roman" w:hAnsi="Times New Roman" w:eastAsia="宋体" w:cs="Times New Roman"/>
                <w:spacing w:val="0"/>
                <w:w w:val="100"/>
                <w:position w:val="0"/>
                <w:sz w:val="20"/>
                <w:szCs w:val="20"/>
                <w:lang w:val="en-US" w:eastAsia="zh-CN"/>
              </w:rPr>
              <w:t>1.141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40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3</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0"/>
                <w:szCs w:val="20"/>
              </w:rPr>
            </w:pPr>
            <w:r>
              <w:rPr>
                <w:rFonts w:ascii="Times New Roman" w:hAnsi="Times New Roman" w:eastAsia="宋体" w:cs="宋体"/>
                <w:spacing w:val="0"/>
                <w:w w:val="100"/>
                <w:position w:val="0"/>
                <w:sz w:val="20"/>
                <w:szCs w:val="20"/>
              </w:rPr>
              <w:t>硫酸铵</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7783-20-2</w:t>
            </w:r>
          </w:p>
        </w:tc>
        <w:tc>
          <w:tcPr>
            <w:tcW w:w="10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9</w:t>
            </w:r>
          </w:p>
        </w:tc>
        <w:tc>
          <w:tcPr>
            <w:tcW w:w="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10</w:t>
            </w:r>
          </w:p>
        </w:tc>
        <w:tc>
          <w:tcPr>
            <w:tcW w:w="10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Times New Roman"/>
                <w:spacing w:val="0"/>
                <w:w w:val="100"/>
                <w:position w:val="0"/>
                <w:sz w:val="20"/>
                <w:szCs w:val="20"/>
              </w:rPr>
              <w:t>0.9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3926"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0"/>
                <w:szCs w:val="20"/>
              </w:rPr>
            </w:pPr>
            <w:r>
              <w:rPr>
                <w:rFonts w:ascii="Times New Roman" w:hAnsi="Times New Roman" w:eastAsia="宋体" w:cs="宋体"/>
                <w:spacing w:val="0"/>
                <w:w w:val="100"/>
                <w:position w:val="0"/>
                <w:sz w:val="20"/>
                <w:szCs w:val="20"/>
              </w:rPr>
              <w:t>项目</w:t>
            </w:r>
            <w:r>
              <w:rPr>
                <w:rFonts w:ascii="Times New Roman" w:hAnsi="Times New Roman" w:eastAsia="宋体" w:cs="Times New Roman"/>
                <w:spacing w:val="0"/>
                <w:w w:val="100"/>
                <w:position w:val="0"/>
                <w:sz w:val="20"/>
                <w:szCs w:val="20"/>
              </w:rPr>
              <w:t>Q</w:t>
            </w:r>
            <w:r>
              <w:rPr>
                <w:rFonts w:ascii="Times New Roman" w:hAnsi="Times New Roman" w:eastAsia="宋体" w:cs="宋体"/>
                <w:spacing w:val="0"/>
                <w:w w:val="100"/>
                <w:position w:val="0"/>
                <w:sz w:val="20"/>
                <w:szCs w:val="20"/>
              </w:rPr>
              <w:t>值</w:t>
            </w:r>
            <w:r>
              <w:rPr>
                <w:rFonts w:ascii="Times New Roman" w:hAnsi="Times New Roman" w:eastAsia="宋体" w:cs="Times New Roman"/>
                <w:spacing w:val="0"/>
                <w:w w:val="100"/>
                <w:position w:val="0"/>
                <w:sz w:val="20"/>
                <w:szCs w:val="20"/>
              </w:rPr>
              <w:t>∑</w:t>
            </w:r>
          </w:p>
        </w:tc>
        <w:tc>
          <w:tcPr>
            <w:tcW w:w="10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0"/>
                <w:w w:val="100"/>
                <w:position w:val="0"/>
                <w:sz w:val="20"/>
                <w:szCs w:val="20"/>
                <w:lang w:val="en-US" w:eastAsia="zh-CN"/>
              </w:rPr>
            </w:pPr>
            <w:r>
              <w:rPr>
                <w:rFonts w:ascii="Times New Roman" w:hAnsi="Times New Roman" w:eastAsia="宋体" w:cs="Times New Roman"/>
                <w:spacing w:val="0"/>
                <w:w w:val="100"/>
                <w:position w:val="0"/>
                <w:sz w:val="20"/>
                <w:szCs w:val="20"/>
              </w:rPr>
              <w:t>2.</w:t>
            </w:r>
            <w:r>
              <w:rPr>
                <w:rFonts w:hint="eastAsia" w:ascii="Times New Roman" w:hAnsi="Times New Roman" w:eastAsia="宋体" w:cs="Times New Roman"/>
                <w:spacing w:val="0"/>
                <w:w w:val="100"/>
                <w:position w:val="0"/>
                <w:sz w:val="20"/>
                <w:szCs w:val="20"/>
                <w:lang w:val="en-US" w:eastAsia="zh-CN"/>
              </w:rPr>
              <w:t>6</w:t>
            </w:r>
            <w:r>
              <w:rPr>
                <w:rFonts w:ascii="Times New Roman" w:hAnsi="Times New Roman" w:eastAsia="宋体" w:cs="Times New Roman"/>
                <w:spacing w:val="0"/>
                <w:w w:val="100"/>
                <w:position w:val="0"/>
                <w:sz w:val="20"/>
                <w:szCs w:val="20"/>
              </w:rPr>
              <w:t>4</w:t>
            </w:r>
            <w:r>
              <w:rPr>
                <w:rFonts w:hint="eastAsia" w:ascii="Times New Roman" w:hAnsi="Times New Roman" w:eastAsia="宋体" w:cs="Times New Roman"/>
                <w:spacing w:val="0"/>
                <w:w w:val="100"/>
                <w:position w:val="0"/>
                <w:sz w:val="20"/>
                <w:szCs w:val="20"/>
                <w:lang w:val="en-US" w:eastAsia="zh-CN"/>
              </w:rPr>
              <w:t>1</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计算得项目危险物质存在量及其临界量比值</w:t>
      </w:r>
      <w:r>
        <w:rPr>
          <w:rFonts w:ascii="Times New Roman" w:hAnsi="Times New Roman" w:eastAsia="宋体" w:cs="Times New Roman"/>
          <w:i/>
          <w:iCs/>
          <w:spacing w:val="0"/>
          <w:w w:val="100"/>
          <w:position w:val="0"/>
          <w:sz w:val="24"/>
          <w:szCs w:val="24"/>
        </w:rPr>
        <w:t>Q</w:t>
      </w:r>
      <w:r>
        <w:rPr>
          <w:rFonts w:ascii="Times New Roman" w:hAnsi="Times New Roman" w:eastAsia="宋体" w:cs="Times New Roman"/>
          <w:spacing w:val="0"/>
          <w:w w:val="100"/>
          <w:position w:val="0"/>
          <w:sz w:val="24"/>
          <w:szCs w:val="24"/>
        </w:rPr>
        <w:t>=2.</w:t>
      </w:r>
      <w:r>
        <w:rPr>
          <w:rFonts w:hint="eastAsia" w:ascii="Times New Roman" w:hAnsi="Times New Roman" w:eastAsia="宋体" w:cs="Times New Roman"/>
          <w:spacing w:val="0"/>
          <w:w w:val="100"/>
          <w:position w:val="0"/>
          <w:sz w:val="24"/>
          <w:szCs w:val="24"/>
          <w:lang w:val="en-US" w:eastAsia="zh-CN"/>
        </w:rPr>
        <w:t>641</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10</w:t>
      </w:r>
      <w:r>
        <w:rPr>
          <w:rFonts w:ascii="Times New Roman" w:hAnsi="Times New Roman" w:eastAsia="宋体" w:cs="宋体"/>
          <w:spacing w:val="0"/>
          <w:w w:val="100"/>
          <w:position w:val="0"/>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fldChar w:fldCharType="begin"/>
      </w:r>
      <w:r>
        <w:rPr>
          <w:rFonts w:hint="default" w:ascii="Times New Roman" w:hAnsi="Times New Roman" w:eastAsia="宋体" w:cs="Times New Roman"/>
          <w:b/>
          <w:bCs/>
          <w:spacing w:val="0"/>
          <w:w w:val="100"/>
          <w:position w:val="0"/>
          <w:sz w:val="24"/>
          <w:szCs w:val="24"/>
        </w:rPr>
        <w:instrText xml:space="preserve"> HYPERLINK "6.2.1.2" </w:instrText>
      </w:r>
      <w:r>
        <w:rPr>
          <w:rFonts w:hint="default" w:ascii="Times New Roman" w:hAnsi="Times New Roman" w:eastAsia="宋体" w:cs="Times New Roman"/>
          <w:b/>
          <w:bCs/>
          <w:spacing w:val="0"/>
          <w:w w:val="100"/>
          <w:position w:val="0"/>
          <w:sz w:val="24"/>
          <w:szCs w:val="24"/>
        </w:rPr>
        <w:fldChar w:fldCharType="separate"/>
      </w:r>
      <w:r>
        <w:rPr>
          <w:rFonts w:hint="default" w:ascii="Times New Roman" w:hAnsi="Times New Roman" w:eastAsia="宋体" w:cs="Times New Roman"/>
          <w:b/>
          <w:bCs/>
          <w:spacing w:val="0"/>
          <w:w w:val="100"/>
          <w:position w:val="0"/>
          <w:sz w:val="24"/>
          <w:szCs w:val="24"/>
        </w:rPr>
        <w:t>6.2.1.2</w:t>
      </w:r>
      <w:r>
        <w:rPr>
          <w:rFonts w:hint="default" w:ascii="Times New Roman" w:hAnsi="Times New Roman" w:eastAsia="宋体" w:cs="Times New Roman"/>
          <w:b/>
          <w:bCs/>
          <w:spacing w:val="0"/>
          <w:w w:val="100"/>
          <w:position w:val="0"/>
          <w:sz w:val="24"/>
          <w:szCs w:val="24"/>
        </w:rPr>
        <w:fldChar w:fldCharType="end"/>
      </w:r>
      <w:r>
        <w:rPr>
          <w:rFonts w:hint="default" w:ascii="Times New Roman" w:hAnsi="Times New Roman" w:eastAsia="宋体" w:cs="Times New Roman"/>
          <w:b/>
          <w:bCs/>
          <w:spacing w:val="0"/>
          <w:w w:val="100"/>
          <w:position w:val="0"/>
          <w:sz w:val="24"/>
          <w:szCs w:val="24"/>
        </w:rPr>
        <w:t>项目行业及生产工艺（M）</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分析项目所属行业及生产工艺特点，按照表</w:t>
      </w:r>
      <w:r>
        <w:rPr>
          <w:rFonts w:ascii="Times New Roman" w:hAnsi="Times New Roman" w:eastAsia="宋体" w:cs="Times New Roman"/>
          <w:spacing w:val="0"/>
          <w:w w:val="100"/>
          <w:position w:val="0"/>
          <w:sz w:val="24"/>
          <w:szCs w:val="24"/>
        </w:rPr>
        <w:t>6.2-2</w:t>
      </w:r>
      <w:r>
        <w:rPr>
          <w:rFonts w:ascii="Times New Roman" w:hAnsi="Times New Roman" w:eastAsia="宋体" w:cs="宋体"/>
          <w:spacing w:val="0"/>
          <w:w w:val="100"/>
          <w:position w:val="0"/>
          <w:sz w:val="24"/>
          <w:szCs w:val="24"/>
        </w:rPr>
        <w:t>评估生产工艺情况。具有多套工艺单元的项目，对每套生产工艺分别评分并求和。将</w:t>
      </w:r>
      <w:r>
        <w:rPr>
          <w:rFonts w:ascii="Times New Roman" w:hAnsi="Times New Roman" w:eastAsia="宋体" w:cs="Times New Roman"/>
          <w:spacing w:val="0"/>
          <w:w w:val="100"/>
          <w:position w:val="0"/>
          <w:sz w:val="24"/>
          <w:szCs w:val="24"/>
        </w:rPr>
        <w:t>M</w:t>
      </w:r>
      <w:r>
        <w:rPr>
          <w:rFonts w:ascii="Times New Roman" w:hAnsi="Times New Roman" w:eastAsia="宋体" w:cs="宋体"/>
          <w:spacing w:val="0"/>
          <w:w w:val="100"/>
          <w:position w:val="0"/>
          <w:sz w:val="24"/>
          <w:szCs w:val="24"/>
        </w:rPr>
        <w:t>划分为（</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M</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20</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10</w:t>
      </w:r>
      <w:r>
        <w:rPr>
          <w:rFonts w:ascii="Times New Roman" w:hAnsi="Times New Roman" w:eastAsia="宋体" w:cs="宋体"/>
          <w:spacing w:val="0"/>
          <w:w w:val="100"/>
          <w:position w:val="0"/>
          <w:sz w:val="24"/>
          <w:szCs w:val="24"/>
        </w:rPr>
        <w:t>&lt;</w:t>
      </w:r>
      <w:r>
        <w:rPr>
          <w:rFonts w:ascii="Times New Roman" w:hAnsi="Times New Roman" w:eastAsia="宋体" w:cs="Times New Roman"/>
          <w:spacing w:val="0"/>
          <w:w w:val="100"/>
          <w:position w:val="0"/>
          <w:sz w:val="24"/>
          <w:szCs w:val="24"/>
        </w:rPr>
        <w:t>M≤20</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3</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5</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M≤10</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4</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M=5</w:t>
      </w:r>
      <w:r>
        <w:rPr>
          <w:rFonts w:ascii="Times New Roman" w:hAnsi="Times New Roman" w:eastAsia="宋体" w:cs="宋体"/>
          <w:spacing w:val="0"/>
          <w:w w:val="100"/>
          <w:position w:val="0"/>
          <w:sz w:val="24"/>
          <w:szCs w:val="24"/>
        </w:rPr>
        <w:t>，分别以</w:t>
      </w:r>
      <w:r>
        <w:rPr>
          <w:rFonts w:ascii="Times New Roman" w:hAnsi="Times New Roman" w:eastAsia="宋体" w:cs="Times New Roman"/>
          <w:spacing w:val="0"/>
          <w:w w:val="100"/>
          <w:position w:val="0"/>
          <w:sz w:val="24"/>
          <w:szCs w:val="24"/>
        </w:rPr>
        <w:t>M1</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M2</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M3</w:t>
      </w:r>
      <w:r>
        <w:rPr>
          <w:rFonts w:ascii="Times New Roman" w:hAnsi="Times New Roman" w:eastAsia="宋体" w:cs="宋体"/>
          <w:spacing w:val="0"/>
          <w:w w:val="100"/>
          <w:position w:val="0"/>
          <w:sz w:val="24"/>
          <w:szCs w:val="24"/>
        </w:rPr>
        <w:t>和</w:t>
      </w:r>
      <w:r>
        <w:rPr>
          <w:rFonts w:ascii="Times New Roman" w:hAnsi="Times New Roman" w:eastAsia="宋体" w:cs="Times New Roman"/>
          <w:spacing w:val="0"/>
          <w:w w:val="100"/>
          <w:position w:val="0"/>
          <w:sz w:val="24"/>
          <w:szCs w:val="24"/>
        </w:rPr>
        <w:t>M4</w:t>
      </w:r>
      <w:r>
        <w:rPr>
          <w:rFonts w:ascii="Times New Roman" w:hAnsi="Times New Roman" w:eastAsia="宋体" w:cs="宋体"/>
          <w:spacing w:val="0"/>
          <w:w w:val="100"/>
          <w:position w:val="0"/>
          <w:sz w:val="24"/>
          <w:szCs w:val="24"/>
        </w:rPr>
        <w:t>表示。</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表6.2-2行业及生产工艺（M）</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1480"/>
        <w:gridCol w:w="4949"/>
        <w:gridCol w:w="1278"/>
        <w:gridCol w:w="13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14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行业</w:t>
            </w:r>
          </w:p>
        </w:tc>
        <w:tc>
          <w:tcPr>
            <w:tcW w:w="47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评估依据</w:t>
            </w:r>
          </w:p>
        </w:tc>
        <w:tc>
          <w:tcPr>
            <w:tcW w:w="12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分值</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项目</w:t>
            </w:r>
            <w:r>
              <w:rPr>
                <w:rFonts w:ascii="Times New Roman" w:hAnsi="Times New Roman" w:eastAsia="宋体" w:cs="Times New Roman"/>
                <w:b/>
                <w:bCs/>
                <w:spacing w:val="0"/>
                <w:w w:val="100"/>
                <w:position w:val="0"/>
                <w:sz w:val="21"/>
                <w:szCs w:val="21"/>
              </w:rPr>
              <w:t>M</w:t>
            </w:r>
            <w:r>
              <w:rPr>
                <w:rFonts w:ascii="Times New Roman" w:hAnsi="Times New Roman" w:eastAsia="宋体" w:cs="宋体"/>
                <w:b/>
                <w:bCs/>
                <w:spacing w:val="0"/>
                <w:w w:val="100"/>
                <w:position w:val="0"/>
                <w:sz w:val="21"/>
                <w:szCs w:val="21"/>
              </w:rPr>
              <w:t>分值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14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石化、化工、医药、轻工、化纤、有色冶炼等</w:t>
            </w:r>
          </w:p>
        </w:tc>
        <w:tc>
          <w:tcPr>
            <w:tcW w:w="47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10/</w:t>
            </w:r>
            <w:r>
              <w:rPr>
                <w:rFonts w:ascii="Times New Roman" w:hAnsi="Times New Roman" w:eastAsia="宋体" w:cs="宋体"/>
                <w:spacing w:val="0"/>
                <w:w w:val="100"/>
                <w:position w:val="0"/>
                <w:sz w:val="21"/>
                <w:szCs w:val="21"/>
              </w:rPr>
              <w:t>套</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14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p>
        </w:tc>
        <w:tc>
          <w:tcPr>
            <w:tcW w:w="47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无机酸制酸工艺、焦化工艺</w:t>
            </w:r>
          </w:p>
        </w:tc>
        <w:tc>
          <w:tcPr>
            <w:tcW w:w="12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5/</w:t>
            </w:r>
            <w:r>
              <w:rPr>
                <w:rFonts w:ascii="Times New Roman" w:hAnsi="Times New Roman" w:eastAsia="宋体" w:cs="宋体"/>
                <w:spacing w:val="0"/>
                <w:w w:val="100"/>
                <w:position w:val="0"/>
                <w:sz w:val="21"/>
                <w:szCs w:val="21"/>
              </w:rPr>
              <w:t>套</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14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p>
        </w:tc>
        <w:tc>
          <w:tcPr>
            <w:tcW w:w="47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其他高温或高压，且涉及危险物质的工艺过程</w:t>
            </w:r>
            <w:r>
              <w:rPr>
                <w:rFonts w:ascii="Times New Roman" w:hAnsi="Times New Roman" w:eastAsia="宋体" w:cs="Times New Roman"/>
                <w:spacing w:val="0"/>
                <w:w w:val="100"/>
                <w:position w:val="0"/>
                <w:sz w:val="21"/>
                <w:szCs w:val="21"/>
              </w:rPr>
              <w:t>a</w:t>
            </w:r>
            <w:r>
              <w:rPr>
                <w:rFonts w:ascii="Times New Roman" w:hAnsi="Times New Roman" w:eastAsia="宋体" w:cs="宋体"/>
                <w:spacing w:val="0"/>
                <w:w w:val="100"/>
                <w:position w:val="0"/>
                <w:sz w:val="21"/>
                <w:szCs w:val="21"/>
              </w:rPr>
              <w:t>、危险物质贮存罐区</w:t>
            </w:r>
          </w:p>
        </w:tc>
        <w:tc>
          <w:tcPr>
            <w:tcW w:w="12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5/</w:t>
            </w:r>
            <w:r>
              <w:rPr>
                <w:rFonts w:ascii="Times New Roman" w:hAnsi="Times New Roman" w:eastAsia="宋体" w:cs="宋体"/>
                <w:spacing w:val="0"/>
                <w:w w:val="100"/>
                <w:position w:val="0"/>
                <w:sz w:val="21"/>
                <w:szCs w:val="21"/>
              </w:rPr>
              <w:t>套（罐区）</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14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管道、港口</w:t>
            </w:r>
            <w:r>
              <w:rPr>
                <w:rFonts w:ascii="Times New Roman" w:hAnsi="Times New Roman" w:eastAsia="宋体" w:cs="Times New Roman"/>
                <w:spacing w:val="0"/>
                <w:w w:val="100"/>
                <w:position w:val="0"/>
                <w:sz w:val="21"/>
                <w:szCs w:val="21"/>
              </w:rPr>
              <w:t>/</w:t>
            </w:r>
            <w:r>
              <w:rPr>
                <w:rFonts w:ascii="Times New Roman" w:hAnsi="Times New Roman" w:eastAsia="宋体" w:cs="宋体"/>
                <w:spacing w:val="0"/>
                <w:w w:val="100"/>
                <w:position w:val="0"/>
                <w:sz w:val="21"/>
                <w:szCs w:val="21"/>
              </w:rPr>
              <w:t>码头等</w:t>
            </w:r>
          </w:p>
        </w:tc>
        <w:tc>
          <w:tcPr>
            <w:tcW w:w="47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涉及危险物质管道运输项目、港口</w:t>
            </w:r>
            <w:r>
              <w:rPr>
                <w:rFonts w:ascii="Times New Roman" w:hAnsi="Times New Roman" w:eastAsia="宋体" w:cs="Times New Roman"/>
                <w:spacing w:val="0"/>
                <w:w w:val="100"/>
                <w:position w:val="0"/>
                <w:sz w:val="21"/>
                <w:szCs w:val="21"/>
              </w:rPr>
              <w:t>/</w:t>
            </w:r>
            <w:r>
              <w:rPr>
                <w:rFonts w:ascii="Times New Roman" w:hAnsi="Times New Roman" w:eastAsia="宋体" w:cs="宋体"/>
                <w:spacing w:val="0"/>
                <w:w w:val="100"/>
                <w:position w:val="0"/>
                <w:sz w:val="21"/>
                <w:szCs w:val="21"/>
              </w:rPr>
              <w:t>码头等</w:t>
            </w:r>
          </w:p>
        </w:tc>
        <w:tc>
          <w:tcPr>
            <w:tcW w:w="12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10</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14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石油天然气</w:t>
            </w:r>
          </w:p>
        </w:tc>
        <w:tc>
          <w:tcPr>
            <w:tcW w:w="47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石油、天然气、页岩气开采（含净化），气库（不含加气站的气库），油库（不含加气站的油库）、油气管线</w:t>
            </w:r>
            <w:r>
              <w:rPr>
                <w:rFonts w:ascii="Times New Roman" w:hAnsi="Times New Roman" w:eastAsia="宋体" w:cs="Times New Roman"/>
                <w:spacing w:val="0"/>
                <w:w w:val="100"/>
                <w:position w:val="0"/>
                <w:sz w:val="21"/>
                <w:szCs w:val="21"/>
              </w:rPr>
              <w:t>b</w:t>
            </w:r>
            <w:r>
              <w:rPr>
                <w:rFonts w:ascii="Times New Roman" w:hAnsi="Times New Roman" w:eastAsia="宋体" w:cs="宋体"/>
                <w:spacing w:val="0"/>
                <w:w w:val="100"/>
                <w:position w:val="0"/>
                <w:sz w:val="21"/>
                <w:szCs w:val="21"/>
              </w:rPr>
              <w:t>（不含城镇燃气管线）</w:t>
            </w:r>
          </w:p>
        </w:tc>
        <w:tc>
          <w:tcPr>
            <w:tcW w:w="12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10</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14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其他</w:t>
            </w:r>
          </w:p>
        </w:tc>
        <w:tc>
          <w:tcPr>
            <w:tcW w:w="47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涉及危险物质使用、贮存的项目</w:t>
            </w:r>
          </w:p>
        </w:tc>
        <w:tc>
          <w:tcPr>
            <w:tcW w:w="12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5</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10" w:hRule="atLeast"/>
          <w:jc w:val="center"/>
        </w:trPr>
        <w:tc>
          <w:tcPr>
            <w:tcW w:w="7422"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left"/>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a</w:t>
            </w:r>
            <w:r>
              <w:rPr>
                <w:rFonts w:ascii="Times New Roman" w:hAnsi="Times New Roman" w:eastAsia="宋体" w:cs="宋体"/>
                <w:spacing w:val="0"/>
                <w:w w:val="100"/>
                <w:position w:val="0"/>
                <w:sz w:val="21"/>
                <w:szCs w:val="21"/>
              </w:rPr>
              <w:t>高温指工艺温度</w:t>
            </w:r>
            <w:r>
              <w:rPr>
                <w:rFonts w:ascii="Times New Roman" w:hAnsi="Times New Roman" w:eastAsia="宋体" w:cs="Times New Roman"/>
                <w:spacing w:val="0"/>
                <w:w w:val="100"/>
                <w:position w:val="0"/>
                <w:sz w:val="21"/>
                <w:szCs w:val="21"/>
              </w:rPr>
              <w:t>≥300</w:t>
            </w:r>
            <w:r>
              <w:rPr>
                <w:rFonts w:ascii="Times New Roman" w:hAnsi="Times New Roman" w:eastAsia="宋体" w:cs="宋体"/>
                <w:spacing w:val="0"/>
                <w:w w:val="100"/>
                <w:position w:val="0"/>
                <w:sz w:val="21"/>
                <w:szCs w:val="21"/>
              </w:rPr>
              <w:t>℃</w:t>
            </w:r>
            <w:r>
              <w:rPr>
                <w:rFonts w:hint="eastAsia" w:ascii="Times New Roman" w:hAnsi="Times New Roman" w:eastAsia="宋体" w:cs="宋体"/>
                <w:spacing w:val="0"/>
                <w:w w:val="100"/>
                <w:position w:val="0"/>
                <w:sz w:val="21"/>
                <w:szCs w:val="21"/>
                <w:lang w:eastAsia="zh-CN"/>
              </w:rPr>
              <w:t>，</w:t>
            </w:r>
            <w:r>
              <w:rPr>
                <w:rFonts w:ascii="Times New Roman" w:hAnsi="Times New Roman" w:eastAsia="宋体" w:cs="宋体"/>
                <w:spacing w:val="0"/>
                <w:w w:val="100"/>
                <w:position w:val="0"/>
                <w:sz w:val="21"/>
                <w:szCs w:val="21"/>
              </w:rPr>
              <w:t>高压指压力容器的设计压力（</w:t>
            </w:r>
            <w:r>
              <w:rPr>
                <w:rFonts w:ascii="Times New Roman" w:hAnsi="Times New Roman" w:eastAsia="宋体" w:cs="Times New Roman"/>
                <w:spacing w:val="0"/>
                <w:w w:val="100"/>
                <w:position w:val="0"/>
                <w:sz w:val="21"/>
                <w:szCs w:val="21"/>
              </w:rPr>
              <w:t>P</w:t>
            </w:r>
            <w:r>
              <w:rPr>
                <w:rFonts w:ascii="Times New Roman" w:hAnsi="Times New Roman" w:eastAsia="宋体" w:cs="宋体"/>
                <w:spacing w:val="0"/>
                <w:w w:val="100"/>
                <w:position w:val="0"/>
                <w:sz w:val="21"/>
                <w:szCs w:val="21"/>
              </w:rPr>
              <w:t>）</w:t>
            </w:r>
            <w:r>
              <w:rPr>
                <w:rFonts w:ascii="Times New Roman" w:hAnsi="Times New Roman" w:eastAsia="宋体" w:cs="Times New Roman"/>
                <w:spacing w:val="0"/>
                <w:w w:val="100"/>
                <w:position w:val="0"/>
                <w:sz w:val="21"/>
                <w:szCs w:val="21"/>
              </w:rPr>
              <w:t>≥10.0MPa</w:t>
            </w:r>
            <w:r>
              <w:rPr>
                <w:rFonts w:ascii="Times New Roman" w:hAnsi="Times New Roman" w:eastAsia="宋体" w:cs="宋体"/>
                <w:spacing w:val="0"/>
                <w:w w:val="100"/>
                <w:position w:val="0"/>
                <w:sz w:val="21"/>
                <w:szCs w:val="21"/>
              </w:rPr>
              <w:t>；</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left"/>
              <w:textAlignment w:val="auto"/>
              <w:rPr>
                <w:rFonts w:ascii="Times New Roman" w:hAnsi="Times New Roman" w:eastAsia="宋体" w:cs="宋体"/>
                <w:spacing w:val="0"/>
                <w:w w:val="100"/>
                <w:position w:val="0"/>
                <w:sz w:val="21"/>
                <w:szCs w:val="21"/>
              </w:rPr>
            </w:pPr>
            <w:r>
              <w:rPr>
                <w:rFonts w:ascii="Times New Roman" w:hAnsi="Times New Roman" w:eastAsia="宋体" w:cs="Times New Roman"/>
                <w:spacing w:val="0"/>
                <w:w w:val="100"/>
                <w:position w:val="0"/>
                <w:sz w:val="21"/>
                <w:szCs w:val="21"/>
              </w:rPr>
              <w:t>b</w:t>
            </w:r>
            <w:r>
              <w:rPr>
                <w:rFonts w:ascii="Times New Roman" w:hAnsi="Times New Roman" w:eastAsia="宋体" w:cs="宋体"/>
                <w:spacing w:val="0"/>
                <w:w w:val="100"/>
                <w:position w:val="0"/>
                <w:sz w:val="21"/>
                <w:szCs w:val="21"/>
              </w:rPr>
              <w:t>长输管道运输项目应按站场、管线分段进行评价。</w:t>
            </w:r>
          </w:p>
        </w:tc>
        <w:tc>
          <w:tcPr>
            <w:tcW w:w="1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w:t>
            </w:r>
          </w:p>
        </w:tc>
      </w:tr>
    </w:tbl>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对照表</w:t>
      </w:r>
      <w:r>
        <w:rPr>
          <w:rFonts w:ascii="Times New Roman" w:hAnsi="Times New Roman" w:eastAsia="宋体" w:cs="Times New Roman"/>
          <w:spacing w:val="0"/>
          <w:w w:val="100"/>
          <w:position w:val="0"/>
          <w:sz w:val="24"/>
          <w:szCs w:val="24"/>
        </w:rPr>
        <w:t>6.2-2</w:t>
      </w:r>
      <w:r>
        <w:rPr>
          <w:rFonts w:ascii="Times New Roman" w:hAnsi="Times New Roman" w:eastAsia="宋体" w:cs="宋体"/>
          <w:spacing w:val="0"/>
          <w:w w:val="100"/>
          <w:position w:val="0"/>
          <w:sz w:val="24"/>
          <w:szCs w:val="24"/>
        </w:rPr>
        <w:t>，项目</w:t>
      </w:r>
      <w:r>
        <w:rPr>
          <w:rFonts w:ascii="Times New Roman" w:hAnsi="Times New Roman" w:eastAsia="宋体" w:cs="Times New Roman"/>
          <w:spacing w:val="0"/>
          <w:w w:val="100"/>
          <w:position w:val="0"/>
          <w:sz w:val="24"/>
          <w:szCs w:val="24"/>
        </w:rPr>
        <w:t>M=5</w:t>
      </w:r>
      <w:r>
        <w:rPr>
          <w:rFonts w:ascii="Times New Roman" w:hAnsi="Times New Roman" w:eastAsia="宋体" w:cs="宋体"/>
          <w:spacing w:val="0"/>
          <w:w w:val="100"/>
          <w:position w:val="0"/>
          <w:sz w:val="24"/>
          <w:szCs w:val="24"/>
        </w:rPr>
        <w:t>，以</w:t>
      </w:r>
      <w:r>
        <w:rPr>
          <w:rFonts w:ascii="Times New Roman" w:hAnsi="Times New Roman" w:eastAsia="宋体" w:cs="Times New Roman"/>
          <w:spacing w:val="0"/>
          <w:w w:val="100"/>
          <w:position w:val="0"/>
          <w:sz w:val="24"/>
          <w:szCs w:val="24"/>
        </w:rPr>
        <w:t>M4</w:t>
      </w:r>
      <w:r>
        <w:rPr>
          <w:rFonts w:ascii="Times New Roman" w:hAnsi="Times New Roman" w:eastAsia="宋体" w:cs="宋体"/>
          <w:spacing w:val="0"/>
          <w:w w:val="100"/>
          <w:position w:val="0"/>
          <w:sz w:val="24"/>
          <w:szCs w:val="24"/>
        </w:rPr>
        <w:t>表示。</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宋体"/>
          <w:spacing w:val="0"/>
          <w:w w:val="100"/>
          <w:position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fldChar w:fldCharType="begin"/>
      </w:r>
      <w:r>
        <w:rPr>
          <w:rFonts w:hint="default" w:ascii="Times New Roman" w:hAnsi="Times New Roman" w:eastAsia="宋体" w:cs="Times New Roman"/>
          <w:b/>
          <w:bCs/>
          <w:spacing w:val="0"/>
          <w:w w:val="100"/>
          <w:position w:val="0"/>
          <w:sz w:val="24"/>
          <w:szCs w:val="24"/>
        </w:rPr>
        <w:instrText xml:space="preserve"> HYPERLINK "6.2.1.3" </w:instrText>
      </w:r>
      <w:r>
        <w:rPr>
          <w:rFonts w:hint="default" w:ascii="Times New Roman" w:hAnsi="Times New Roman" w:eastAsia="宋体" w:cs="Times New Roman"/>
          <w:b/>
          <w:bCs/>
          <w:spacing w:val="0"/>
          <w:w w:val="100"/>
          <w:position w:val="0"/>
          <w:sz w:val="24"/>
          <w:szCs w:val="24"/>
        </w:rPr>
        <w:fldChar w:fldCharType="separate"/>
      </w:r>
      <w:r>
        <w:rPr>
          <w:rFonts w:hint="default" w:ascii="Times New Roman" w:hAnsi="Times New Roman" w:eastAsia="宋体" w:cs="Times New Roman"/>
          <w:b/>
          <w:bCs/>
          <w:spacing w:val="0"/>
          <w:w w:val="100"/>
          <w:position w:val="0"/>
          <w:sz w:val="24"/>
          <w:szCs w:val="24"/>
        </w:rPr>
        <w:t>6.2.1.3</w:t>
      </w:r>
      <w:r>
        <w:rPr>
          <w:rFonts w:hint="default" w:ascii="Times New Roman" w:hAnsi="Times New Roman" w:eastAsia="宋体" w:cs="Times New Roman"/>
          <w:b/>
          <w:bCs/>
          <w:spacing w:val="0"/>
          <w:w w:val="100"/>
          <w:position w:val="0"/>
          <w:sz w:val="24"/>
          <w:szCs w:val="24"/>
        </w:rPr>
        <w:fldChar w:fldCharType="end"/>
      </w:r>
      <w:r>
        <w:rPr>
          <w:rFonts w:hint="default" w:ascii="Times New Roman" w:hAnsi="Times New Roman" w:eastAsia="宋体" w:cs="Times New Roman"/>
          <w:b/>
          <w:bCs/>
          <w:spacing w:val="0"/>
          <w:w w:val="100"/>
          <w:position w:val="0"/>
          <w:sz w:val="24"/>
          <w:szCs w:val="24"/>
        </w:rPr>
        <w:t>危险物质及工艺系统危险性等级判断（P）</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表6.2-3危险物质及工艺系统危险性等级判断（P）</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2253"/>
        <w:gridCol w:w="1690"/>
        <w:gridCol w:w="1690"/>
        <w:gridCol w:w="1690"/>
        <w:gridCol w:w="17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27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危险物质数量与临界量比值（Q）</w:t>
            </w:r>
          </w:p>
        </w:tc>
        <w:tc>
          <w:tcPr>
            <w:tcW w:w="6836"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行业及生产工艺（M）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2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M1</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M2</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M3</w:t>
            </w:r>
          </w:p>
        </w:tc>
        <w:tc>
          <w:tcPr>
            <w:tcW w:w="17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M4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2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Q≥100</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P1</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P1</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P2</w:t>
            </w:r>
          </w:p>
        </w:tc>
        <w:tc>
          <w:tcPr>
            <w:tcW w:w="17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2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10≤Q＜100</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P1</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P2</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P3</w:t>
            </w:r>
          </w:p>
        </w:tc>
        <w:tc>
          <w:tcPr>
            <w:tcW w:w="17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2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1≤Q</w:t>
            </w:r>
            <w:r>
              <w:rPr>
                <w:rFonts w:hint="default" w:ascii="Times New Roman" w:hAnsi="Times New Roman" w:eastAsia="宋体" w:cs="Times New Roman"/>
                <w:spacing w:val="0"/>
                <w:w w:val="100"/>
                <w:position w:val="0"/>
                <w:sz w:val="21"/>
                <w:szCs w:val="21"/>
              </w:rPr>
              <w:t>＜</w:t>
            </w:r>
            <w:r>
              <w:rPr>
                <w:rFonts w:hint="default" w:ascii="Times New Roman" w:hAnsi="Times New Roman" w:eastAsia="宋体" w:cs="Times New Roman"/>
                <w:b/>
                <w:bCs/>
                <w:spacing w:val="0"/>
                <w:w w:val="100"/>
                <w:position w:val="0"/>
                <w:sz w:val="21"/>
                <w:szCs w:val="21"/>
              </w:rPr>
              <w:t>10</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P2</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P3</w:t>
            </w:r>
          </w:p>
        </w:tc>
        <w:tc>
          <w:tcPr>
            <w:tcW w:w="17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P4</w:t>
            </w:r>
          </w:p>
        </w:tc>
        <w:tc>
          <w:tcPr>
            <w:tcW w:w="17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P4</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综上分析可知，项目危险物质及工艺系统危险性等级为</w:t>
      </w:r>
      <w:r>
        <w:rPr>
          <w:rFonts w:ascii="Times New Roman" w:hAnsi="Times New Roman" w:eastAsia="宋体" w:cs="Times New Roman"/>
          <w:spacing w:val="0"/>
          <w:w w:val="100"/>
          <w:position w:val="0"/>
          <w:sz w:val="24"/>
          <w:szCs w:val="24"/>
        </w:rPr>
        <w:t>P4</w:t>
      </w:r>
      <w:r>
        <w:rPr>
          <w:rFonts w:ascii="Times New Roman" w:hAnsi="Times New Roman" w:eastAsia="宋体" w:cs="宋体"/>
          <w:spacing w:val="0"/>
          <w:w w:val="100"/>
          <w:position w:val="0"/>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fldChar w:fldCharType="begin"/>
      </w:r>
      <w:r>
        <w:rPr>
          <w:rFonts w:hint="default" w:ascii="Times New Roman" w:hAnsi="Times New Roman" w:eastAsia="宋体" w:cs="Times New Roman"/>
          <w:b/>
          <w:bCs/>
          <w:spacing w:val="0"/>
          <w:w w:val="100"/>
          <w:position w:val="0"/>
          <w:sz w:val="24"/>
          <w:szCs w:val="24"/>
        </w:rPr>
        <w:instrText xml:space="preserve"> HYPERLINK "6.2.1.4" </w:instrText>
      </w:r>
      <w:r>
        <w:rPr>
          <w:rFonts w:hint="default" w:ascii="Times New Roman" w:hAnsi="Times New Roman" w:eastAsia="宋体" w:cs="Times New Roman"/>
          <w:b/>
          <w:bCs/>
          <w:spacing w:val="0"/>
          <w:w w:val="100"/>
          <w:position w:val="0"/>
          <w:sz w:val="24"/>
          <w:szCs w:val="24"/>
        </w:rPr>
        <w:fldChar w:fldCharType="separate"/>
      </w:r>
      <w:r>
        <w:rPr>
          <w:rFonts w:hint="default" w:ascii="Times New Roman" w:hAnsi="Times New Roman" w:eastAsia="宋体" w:cs="Times New Roman"/>
          <w:b/>
          <w:bCs/>
          <w:spacing w:val="0"/>
          <w:w w:val="100"/>
          <w:position w:val="0"/>
          <w:sz w:val="24"/>
          <w:szCs w:val="24"/>
        </w:rPr>
        <w:t>6.2.1.4</w:t>
      </w:r>
      <w:r>
        <w:rPr>
          <w:rFonts w:hint="default" w:ascii="Times New Roman" w:hAnsi="Times New Roman" w:eastAsia="宋体" w:cs="Times New Roman"/>
          <w:b/>
          <w:bCs/>
          <w:spacing w:val="0"/>
          <w:w w:val="100"/>
          <w:position w:val="0"/>
          <w:sz w:val="24"/>
          <w:szCs w:val="24"/>
        </w:rPr>
        <w:fldChar w:fldCharType="end"/>
      </w:r>
      <w:r>
        <w:rPr>
          <w:rFonts w:hint="default" w:ascii="Times New Roman" w:hAnsi="Times New Roman" w:eastAsia="宋体" w:cs="Times New Roman"/>
          <w:b/>
          <w:bCs/>
          <w:spacing w:val="0"/>
          <w:w w:val="100"/>
          <w:position w:val="0"/>
          <w:sz w:val="24"/>
          <w:szCs w:val="24"/>
        </w:rPr>
        <w:t>环境敏感程度（E）的分级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宋体"/>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eastAsia="zh-CN"/>
        </w:rPr>
        <w:t>建设项目</w:t>
      </w:r>
      <w:r>
        <w:rPr>
          <w:rFonts w:hint="default" w:ascii="Times New Roman" w:hAnsi="Times New Roman" w:eastAsia="宋体" w:cs="Times New Roman"/>
          <w:spacing w:val="0"/>
          <w:w w:val="100"/>
          <w:position w:val="0"/>
          <w:sz w:val="24"/>
          <w:szCs w:val="24"/>
          <w:lang w:val="en-US" w:eastAsia="zh-CN"/>
        </w:rPr>
        <w:t>周边环境风险受体及主要关心点分布情况见表6.2-4。</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表6.</w:t>
      </w:r>
      <w:r>
        <w:rPr>
          <w:rFonts w:hint="eastAsia" w:ascii="Times New Roman" w:hAnsi="Times New Roman" w:eastAsia="宋体" w:cs="Times New Roman"/>
          <w:b/>
          <w:bCs/>
          <w:spacing w:val="0"/>
          <w:w w:val="100"/>
          <w:position w:val="0"/>
          <w:sz w:val="24"/>
          <w:szCs w:val="24"/>
          <w:lang w:val="en-US" w:eastAsia="zh-CN"/>
        </w:rPr>
        <w:t>2</w:t>
      </w:r>
      <w:r>
        <w:rPr>
          <w:rFonts w:hint="default" w:ascii="Times New Roman" w:hAnsi="Times New Roman" w:eastAsia="宋体" w:cs="Times New Roman"/>
          <w:b/>
          <w:bCs/>
          <w:spacing w:val="0"/>
          <w:w w:val="100"/>
          <w:position w:val="0"/>
          <w:sz w:val="24"/>
          <w:szCs w:val="24"/>
        </w:rPr>
        <w:t>-</w:t>
      </w:r>
      <w:r>
        <w:rPr>
          <w:rFonts w:hint="eastAsia" w:ascii="Times New Roman" w:hAnsi="Times New Roman" w:eastAsia="宋体" w:cs="Times New Roman"/>
          <w:b/>
          <w:bCs/>
          <w:spacing w:val="0"/>
          <w:w w:val="100"/>
          <w:position w:val="0"/>
          <w:sz w:val="24"/>
          <w:szCs w:val="24"/>
          <w:lang w:val="en-US" w:eastAsia="zh-CN"/>
        </w:rPr>
        <w:t>4</w:t>
      </w:r>
      <w:r>
        <w:rPr>
          <w:rFonts w:hint="default" w:ascii="Times New Roman" w:hAnsi="Times New Roman" w:eastAsia="宋体" w:cs="Times New Roman"/>
          <w:b/>
          <w:bCs/>
          <w:spacing w:val="0"/>
          <w:w w:val="100"/>
          <w:position w:val="0"/>
          <w:sz w:val="24"/>
          <w:szCs w:val="24"/>
        </w:rPr>
        <w:t>建设项目环境敏感特征表</w:t>
      </w:r>
    </w:p>
    <w:tbl>
      <w:tblPr>
        <w:tblStyle w:val="5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1046"/>
        <w:gridCol w:w="622"/>
        <w:gridCol w:w="641"/>
        <w:gridCol w:w="1144"/>
        <w:gridCol w:w="1384"/>
        <w:gridCol w:w="879"/>
        <w:gridCol w:w="747"/>
        <w:gridCol w:w="881"/>
        <w:gridCol w:w="345"/>
        <w:gridCol w:w="13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类别</w:t>
            </w:r>
          </w:p>
        </w:tc>
        <w:tc>
          <w:tcPr>
            <w:tcW w:w="4410" w:type="pct"/>
            <w:gridSpan w:val="9"/>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环境敏感特征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环境空气</w:t>
            </w:r>
          </w:p>
        </w:tc>
        <w:tc>
          <w:tcPr>
            <w:tcW w:w="4410" w:type="pct"/>
            <w:gridSpan w:val="9"/>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厂址周边5km范围内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序号</w:t>
            </w:r>
          </w:p>
        </w:tc>
        <w:tc>
          <w:tcPr>
            <w:tcW w:w="100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敏感目标名称</w:t>
            </w:r>
          </w:p>
        </w:tc>
        <w:tc>
          <w:tcPr>
            <w:tcW w:w="7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相对方位</w:t>
            </w:r>
          </w:p>
        </w:tc>
        <w:tc>
          <w:tcPr>
            <w:tcW w:w="87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与厂界距离/m</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属性</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人口数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w:t>
            </w:r>
          </w:p>
        </w:tc>
        <w:tc>
          <w:tcPr>
            <w:tcW w:w="3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rPr>
              <w:t>坑园镇</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坑园镇</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E</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16</w:t>
            </w:r>
            <w:r>
              <w:rPr>
                <w:rFonts w:hint="eastAsia" w:ascii="Times New Roman" w:hAnsi="Times New Roman" w:eastAsia="宋体"/>
                <w:spacing w:val="0"/>
                <w:w w:val="100"/>
                <w:kern w:val="21"/>
                <w:position w:val="0"/>
                <w:sz w:val="21"/>
                <w:lang w:val="en-US" w:eastAsia="zh-CN"/>
              </w:rPr>
              <w:t>00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3820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下园村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SW</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1</w:t>
            </w:r>
            <w:r>
              <w:rPr>
                <w:rFonts w:hint="eastAsia" w:ascii="Times New Roman" w:hAnsi="Times New Roman" w:eastAsia="宋体"/>
                <w:spacing w:val="0"/>
                <w:w w:val="100"/>
                <w:kern w:val="21"/>
                <w:position w:val="0"/>
                <w:sz w:val="21"/>
                <w:lang w:val="en-US" w:eastAsia="zh-CN"/>
              </w:rPr>
              <w:t>510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1145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红厦村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SW</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eastAsia" w:ascii="Times New Roman" w:hAnsi="Times New Roman" w:eastAsia="宋体"/>
                <w:spacing w:val="0"/>
                <w:w w:val="100"/>
                <w:kern w:val="21"/>
                <w:position w:val="0"/>
                <w:sz w:val="21"/>
                <w:lang w:val="en-US" w:eastAsia="zh-CN"/>
              </w:rPr>
              <w:t>2090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3500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屿头村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NW</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eastAsia" w:ascii="Times New Roman" w:hAnsi="Times New Roman" w:eastAsia="宋体"/>
                <w:spacing w:val="0"/>
                <w:w w:val="100"/>
                <w:kern w:val="21"/>
                <w:position w:val="0"/>
                <w:sz w:val="21"/>
                <w:lang w:val="en-US" w:eastAsia="zh-CN"/>
              </w:rPr>
              <w:t>2580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eastAsia" w:ascii="Times New Roman" w:hAnsi="Times New Roman" w:eastAsia="宋体"/>
                <w:spacing w:val="0"/>
                <w:w w:val="100"/>
                <w:kern w:val="21"/>
                <w:position w:val="0"/>
                <w:sz w:val="21"/>
                <w:lang w:val="en-US" w:eastAsia="zh-CN"/>
              </w:rPr>
              <w:t>8</w:t>
            </w:r>
            <w:r>
              <w:rPr>
                <w:rFonts w:ascii="Times New Roman" w:hAnsi="Times New Roman" w:eastAsia="宋体"/>
                <w:spacing w:val="0"/>
                <w:w w:val="100"/>
                <w:kern w:val="21"/>
                <w:position w:val="0"/>
                <w:sz w:val="21"/>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5</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下屿村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NW</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23</w:t>
            </w:r>
            <w:r>
              <w:rPr>
                <w:rFonts w:hint="eastAsia" w:ascii="Times New Roman" w:hAnsi="Times New Roman" w:eastAsia="宋体"/>
                <w:spacing w:val="0"/>
                <w:w w:val="100"/>
                <w:kern w:val="21"/>
                <w:position w:val="0"/>
                <w:sz w:val="21"/>
                <w:lang w:val="en-US" w:eastAsia="zh-CN"/>
              </w:rPr>
              <w:t>40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4112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前屿村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NW</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eastAsia" w:ascii="Times New Roman" w:hAnsi="Times New Roman" w:eastAsia="宋体"/>
                <w:spacing w:val="0"/>
                <w:w w:val="100"/>
                <w:kern w:val="21"/>
                <w:position w:val="0"/>
                <w:sz w:val="21"/>
                <w:lang w:val="en-US" w:eastAsia="zh-CN"/>
              </w:rPr>
              <w:t>1930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2081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7</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颜岐村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NE</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eastAsia" w:ascii="Times New Roman" w:hAnsi="Times New Roman" w:eastAsia="宋体"/>
                <w:spacing w:val="0"/>
                <w:w w:val="100"/>
                <w:kern w:val="21"/>
                <w:position w:val="0"/>
                <w:sz w:val="21"/>
                <w:lang w:val="en-US" w:eastAsia="zh-CN"/>
              </w:rPr>
              <w:t>1960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eastAsia" w:ascii="Times New Roman" w:hAnsi="Times New Roman" w:eastAsia="宋体"/>
                <w:spacing w:val="0"/>
                <w:w w:val="100"/>
                <w:kern w:val="21"/>
                <w:position w:val="0"/>
                <w:sz w:val="21"/>
                <w:lang w:val="en-US" w:eastAsia="zh-CN"/>
              </w:rPr>
              <w:t>4300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8</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eastAsia" w:ascii="Times New Roman" w:hAnsi="Times New Roman" w:eastAsia="宋体"/>
                <w:spacing w:val="0"/>
                <w:w w:val="100"/>
                <w:kern w:val="21"/>
                <w:position w:val="0"/>
                <w:sz w:val="21"/>
                <w:lang w:val="en-US" w:eastAsia="zh-CN"/>
              </w:rPr>
              <w:t>大坪村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eastAsia="宋体"/>
                <w:spacing w:val="0"/>
                <w:w w:val="100"/>
                <w:kern w:val="21"/>
                <w:position w:val="0"/>
                <w:sz w:val="21"/>
              </w:rPr>
            </w:pPr>
            <w:r>
              <w:rPr>
                <w:rFonts w:ascii="Times New Roman" w:hAnsi="Times New Roman" w:eastAsia="宋体"/>
                <w:spacing w:val="0"/>
                <w:w w:val="100"/>
                <w:kern w:val="21"/>
                <w:position w:val="0"/>
                <w:sz w:val="21"/>
              </w:rPr>
              <w:t>NE</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spacing w:val="0"/>
                <w:w w:val="100"/>
                <w:kern w:val="21"/>
                <w:position w:val="0"/>
                <w:sz w:val="21"/>
                <w:lang w:val="en-US" w:eastAsia="zh-CN"/>
              </w:rPr>
            </w:pPr>
            <w:r>
              <w:rPr>
                <w:rFonts w:hint="eastAsia" w:ascii="Times New Roman" w:hAnsi="Times New Roman" w:eastAsia="宋体"/>
                <w:spacing w:val="0"/>
                <w:w w:val="100"/>
                <w:kern w:val="21"/>
                <w:position w:val="0"/>
                <w:sz w:val="21"/>
                <w:lang w:val="en-US" w:eastAsia="zh-CN"/>
              </w:rPr>
              <w:t>1150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eastAsia" w:ascii="Times New Roman" w:hAnsi="Times New Roman" w:eastAsia="宋体" w:cs="Times New Roman"/>
                <w:spacing w:val="0"/>
                <w:w w:val="100"/>
                <w:position w:val="0"/>
                <w:sz w:val="21"/>
                <w:szCs w:val="21"/>
                <w:lang w:eastAsia="zh-CN"/>
              </w:rPr>
            </w:pPr>
            <w:r>
              <w:rPr>
                <w:rFonts w:hint="eastAsia" w:ascii="Times New Roman" w:hAnsi="Times New Roman" w:eastAsia="宋体" w:cs="Times New Roman"/>
                <w:spacing w:val="0"/>
                <w:w w:val="100"/>
                <w:position w:val="0"/>
                <w:sz w:val="21"/>
                <w:szCs w:val="21"/>
                <w:lang w:eastAsia="zh-CN"/>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spacing w:val="0"/>
                <w:w w:val="100"/>
                <w:kern w:val="21"/>
                <w:position w:val="0"/>
                <w:sz w:val="21"/>
                <w:lang w:val="en-US" w:eastAsia="zh-CN"/>
              </w:rPr>
            </w:pPr>
            <w:r>
              <w:rPr>
                <w:rFonts w:hint="eastAsia" w:ascii="Times New Roman" w:hAnsi="Times New Roman" w:eastAsia="宋体"/>
                <w:spacing w:val="0"/>
                <w:w w:val="100"/>
                <w:kern w:val="21"/>
                <w:position w:val="0"/>
                <w:sz w:val="21"/>
                <w:lang w:val="en-US" w:eastAsia="zh-CN"/>
              </w:rPr>
              <w:t>920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9</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象纬村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ascii="Times New Roman" w:hAnsi="Times New Roman" w:eastAsia="宋体"/>
                <w:spacing w:val="0"/>
                <w:w w:val="100"/>
                <w:kern w:val="21"/>
                <w:position w:val="0"/>
                <w:sz w:val="21"/>
              </w:rPr>
              <w:t>NE</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lang w:val="en-US"/>
              </w:rPr>
            </w:pPr>
            <w:r>
              <w:rPr>
                <w:rFonts w:hint="eastAsia" w:ascii="Times New Roman" w:hAnsi="Times New Roman" w:eastAsia="宋体"/>
                <w:spacing w:val="0"/>
                <w:w w:val="100"/>
                <w:kern w:val="21"/>
                <w:position w:val="0"/>
                <w:sz w:val="21"/>
                <w:lang w:val="en-US" w:eastAsia="zh-CN"/>
              </w:rPr>
              <w:t>3267</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lang w:val="en-US"/>
              </w:rPr>
            </w:pPr>
            <w:r>
              <w:rPr>
                <w:rFonts w:hint="eastAsia" w:ascii="Times New Roman" w:hAnsi="Times New Roman" w:eastAsia="宋体"/>
                <w:spacing w:val="0"/>
                <w:w w:val="100"/>
                <w:kern w:val="21"/>
                <w:position w:val="0"/>
                <w:sz w:val="21"/>
                <w:lang w:val="en-US" w:eastAsia="zh-CN"/>
              </w:rPr>
              <w:t>2341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w:t>
            </w:r>
          </w:p>
        </w:tc>
        <w:tc>
          <w:tcPr>
            <w:tcW w:w="3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w w:val="100"/>
                <w:position w:val="0"/>
                <w:sz w:val="21"/>
                <w:szCs w:val="21"/>
                <w:lang w:eastAsia="zh-CN"/>
              </w:rPr>
            </w:pPr>
            <w:r>
              <w:rPr>
                <w:rFonts w:hint="eastAsia" w:ascii="Times New Roman" w:hAnsi="Times New Roman" w:eastAsia="宋体"/>
                <w:b w:val="0"/>
                <w:bCs w:val="0"/>
                <w:spacing w:val="0"/>
                <w:w w:val="100"/>
                <w:position w:val="0"/>
                <w:sz w:val="21"/>
                <w:szCs w:val="21"/>
                <w:lang w:eastAsia="zh-CN"/>
              </w:rPr>
              <w:t>下宫镇</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eastAsia" w:ascii="Times New Roman" w:hAnsi="Times New Roman" w:eastAsia="宋体" w:cs="Times New Roman"/>
                <w:spacing w:val="0"/>
                <w:w w:val="100"/>
                <w:position w:val="0"/>
                <w:sz w:val="21"/>
                <w:szCs w:val="21"/>
                <w:lang w:eastAsia="zh-CN"/>
              </w:rPr>
            </w:pPr>
            <w:r>
              <w:rPr>
                <w:rFonts w:hint="eastAsia" w:ascii="Times New Roman" w:hAnsi="Times New Roman" w:eastAsia="宋体" w:cs="Times New Roman"/>
                <w:spacing w:val="0"/>
                <w:w w:val="100"/>
                <w:position w:val="0"/>
                <w:sz w:val="21"/>
                <w:szCs w:val="21"/>
                <w:lang w:eastAsia="zh-CN"/>
              </w:rPr>
              <w:t>上宫村</w:t>
            </w:r>
          </w:p>
        </w:tc>
        <w:tc>
          <w:tcPr>
            <w:tcW w:w="776"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spacing w:val="0"/>
                <w:w w:val="100"/>
                <w:kern w:val="21"/>
                <w:position w:val="0"/>
                <w:sz w:val="21"/>
                <w:lang w:val="en-US" w:eastAsia="zh-CN"/>
              </w:rPr>
            </w:pPr>
            <w:r>
              <w:rPr>
                <w:rFonts w:hint="eastAsia" w:ascii="Times New Roman" w:hAnsi="Times New Roman" w:eastAsia="宋体"/>
                <w:spacing w:val="0"/>
                <w:w w:val="100"/>
                <w:kern w:val="21"/>
                <w:position w:val="0"/>
                <w:sz w:val="21"/>
                <w:lang w:val="en-US" w:eastAsia="zh-CN"/>
              </w:rPr>
              <w:t>NE</w:t>
            </w:r>
          </w:p>
        </w:tc>
        <w:tc>
          <w:tcPr>
            <w:tcW w:w="877" w:type="pct"/>
            <w:gridSpan w:val="2"/>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spacing w:val="0"/>
                <w:w w:val="100"/>
                <w:kern w:val="21"/>
                <w:position w:val="0"/>
                <w:sz w:val="21"/>
                <w:lang w:val="en-US" w:eastAsia="zh-CN"/>
              </w:rPr>
            </w:pPr>
            <w:r>
              <w:rPr>
                <w:rFonts w:hint="eastAsia" w:ascii="Times New Roman" w:hAnsi="Times New Roman" w:eastAsia="宋体"/>
                <w:spacing w:val="0"/>
                <w:w w:val="100"/>
                <w:kern w:val="21"/>
                <w:position w:val="0"/>
                <w:sz w:val="21"/>
                <w:lang w:val="en-US" w:eastAsia="zh-CN"/>
              </w:rPr>
              <w:t>4748</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eastAsia" w:ascii="Times New Roman" w:hAnsi="Times New Roman" w:eastAsia="宋体" w:cs="Times New Roman"/>
                <w:spacing w:val="0"/>
                <w:w w:val="100"/>
                <w:position w:val="0"/>
                <w:sz w:val="21"/>
                <w:szCs w:val="21"/>
                <w:lang w:eastAsia="zh-CN"/>
              </w:rPr>
            </w:pPr>
            <w:r>
              <w:rPr>
                <w:rFonts w:hint="eastAsia" w:ascii="Times New Roman" w:hAnsi="Times New Roman" w:eastAsia="宋体" w:cs="Times New Roman"/>
                <w:spacing w:val="0"/>
                <w:w w:val="100"/>
                <w:position w:val="0"/>
                <w:sz w:val="21"/>
                <w:szCs w:val="21"/>
                <w:lang w:eastAsia="zh-CN"/>
              </w:rPr>
              <w:t>居住区</w:t>
            </w:r>
          </w:p>
        </w:tc>
        <w:tc>
          <w:tcPr>
            <w:tcW w:w="747" w:type="pct"/>
            <w:tcBorders>
              <w:tl2br w:val="nil"/>
              <w:tr2bl w:val="nil"/>
            </w:tcBorders>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spacing w:val="0"/>
                <w:w w:val="100"/>
                <w:kern w:val="21"/>
                <w:position w:val="0"/>
                <w:sz w:val="21"/>
                <w:lang w:val="en-US" w:eastAsia="zh-CN"/>
              </w:rPr>
            </w:pPr>
            <w:r>
              <w:rPr>
                <w:rFonts w:hint="eastAsia" w:ascii="Times New Roman" w:hAnsi="Times New Roman" w:eastAsia="宋体"/>
                <w:spacing w:val="0"/>
                <w:w w:val="100"/>
                <w:kern w:val="21"/>
                <w:position w:val="0"/>
                <w:sz w:val="21"/>
                <w:lang w:val="en-US" w:eastAsia="zh-CN"/>
              </w:rPr>
              <w:t>1416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w:t>
            </w:r>
          </w:p>
        </w:tc>
        <w:tc>
          <w:tcPr>
            <w:tcW w:w="3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官板镇</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文山村</w:t>
            </w:r>
          </w:p>
        </w:tc>
        <w:tc>
          <w:tcPr>
            <w:tcW w:w="7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SW</w:t>
            </w:r>
          </w:p>
        </w:tc>
        <w:tc>
          <w:tcPr>
            <w:tcW w:w="87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40</w:t>
            </w:r>
            <w:r>
              <w:rPr>
                <w:rFonts w:hint="eastAsia" w:ascii="Times New Roman" w:hAnsi="Times New Roman" w:eastAsia="宋体" w:cs="Times New Roman"/>
                <w:spacing w:val="0"/>
                <w:w w:val="100"/>
                <w:position w:val="0"/>
                <w:sz w:val="21"/>
                <w:szCs w:val="21"/>
                <w:lang w:val="en-US" w:eastAsia="zh-CN"/>
              </w:rPr>
              <w:t>1</w:t>
            </w:r>
            <w:r>
              <w:rPr>
                <w:rFonts w:hint="default" w:ascii="Times New Roman" w:hAnsi="Times New Roman" w:eastAsia="宋体" w:cs="Times New Roman"/>
                <w:spacing w:val="0"/>
                <w:w w:val="100"/>
                <w:position w:val="0"/>
                <w:sz w:val="21"/>
                <w:szCs w:val="21"/>
              </w:rPr>
              <w:t>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860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12</w:t>
            </w:r>
          </w:p>
        </w:tc>
        <w:tc>
          <w:tcPr>
            <w:tcW w:w="3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东</w:t>
            </w:r>
            <w:r>
              <w:rPr>
                <w:rFonts w:hint="eastAsia" w:ascii="Times New Roman" w:hAnsi="Times New Roman" w:eastAsia="宋体" w:cs="Times New Roman"/>
                <w:spacing w:val="0"/>
                <w:w w:val="100"/>
                <w:position w:val="0"/>
                <w:sz w:val="21"/>
                <w:szCs w:val="21"/>
                <w:lang w:eastAsia="zh-CN"/>
              </w:rPr>
              <w:t>沃</w:t>
            </w:r>
            <w:r>
              <w:rPr>
                <w:rFonts w:hint="default" w:ascii="Times New Roman" w:hAnsi="Times New Roman" w:eastAsia="宋体" w:cs="Times New Roman"/>
                <w:spacing w:val="0"/>
                <w:w w:val="100"/>
                <w:position w:val="0"/>
                <w:sz w:val="21"/>
                <w:szCs w:val="21"/>
              </w:rPr>
              <w:t>村</w:t>
            </w:r>
          </w:p>
        </w:tc>
        <w:tc>
          <w:tcPr>
            <w:tcW w:w="7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SW</w:t>
            </w:r>
          </w:p>
        </w:tc>
        <w:tc>
          <w:tcPr>
            <w:tcW w:w="87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3850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2763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13</w:t>
            </w:r>
          </w:p>
        </w:tc>
        <w:tc>
          <w:tcPr>
            <w:tcW w:w="3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东头村</w:t>
            </w:r>
          </w:p>
        </w:tc>
        <w:tc>
          <w:tcPr>
            <w:tcW w:w="7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SW</w:t>
            </w:r>
          </w:p>
        </w:tc>
        <w:tc>
          <w:tcPr>
            <w:tcW w:w="87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4450</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1470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14</w:t>
            </w:r>
          </w:p>
        </w:tc>
        <w:tc>
          <w:tcPr>
            <w:tcW w:w="3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筱埕镇</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蛎坞村</w:t>
            </w:r>
          </w:p>
        </w:tc>
        <w:tc>
          <w:tcPr>
            <w:tcW w:w="7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w:t>
            </w:r>
          </w:p>
        </w:tc>
        <w:tc>
          <w:tcPr>
            <w:tcW w:w="87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4171</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1330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15</w:t>
            </w:r>
          </w:p>
        </w:tc>
        <w:tc>
          <w:tcPr>
            <w:tcW w:w="364" w:type="pct"/>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东坪村</w:t>
            </w:r>
          </w:p>
        </w:tc>
        <w:tc>
          <w:tcPr>
            <w:tcW w:w="7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SE</w:t>
            </w:r>
          </w:p>
        </w:tc>
        <w:tc>
          <w:tcPr>
            <w:tcW w:w="87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4348</w:t>
            </w:r>
          </w:p>
        </w:tc>
        <w:tc>
          <w:tcPr>
            <w:tcW w:w="6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居住区</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663" w:type="pct"/>
            <w:gridSpan w:val="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厂址周边500m范围内人口数小计</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663" w:type="pct"/>
            <w:gridSpan w:val="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厂址周边5km范围内人口数小计</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32</w:t>
            </w:r>
            <w:r>
              <w:rPr>
                <w:rFonts w:hint="eastAsia" w:ascii="Times New Roman" w:hAnsi="Times New Roman" w:eastAsia="宋体" w:cs="Times New Roman"/>
                <w:spacing w:val="0"/>
                <w:w w:val="100"/>
                <w:position w:val="0"/>
                <w:sz w:val="21"/>
                <w:szCs w:val="21"/>
                <w:lang w:val="en-US" w:eastAsia="zh-CN"/>
              </w:rPr>
              <w:t>902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663" w:type="pct"/>
            <w:gridSpan w:val="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大气敏感程度E值</w:t>
            </w:r>
          </w:p>
        </w:tc>
        <w:tc>
          <w:tcPr>
            <w:tcW w:w="7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地表水环境</w:t>
            </w:r>
          </w:p>
        </w:tc>
        <w:tc>
          <w:tcPr>
            <w:tcW w:w="4410" w:type="pct"/>
            <w:gridSpan w:val="9"/>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受纳水体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序号</w:t>
            </w:r>
          </w:p>
        </w:tc>
        <w:tc>
          <w:tcPr>
            <w:tcW w:w="100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受纳水体名称</w:t>
            </w:r>
          </w:p>
        </w:tc>
        <w:tc>
          <w:tcPr>
            <w:tcW w:w="3048" w:type="pct"/>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排放点水域环境功能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w:t>
            </w:r>
          </w:p>
        </w:tc>
        <w:tc>
          <w:tcPr>
            <w:tcW w:w="100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罗源湾</w:t>
            </w:r>
          </w:p>
        </w:tc>
        <w:tc>
          <w:tcPr>
            <w:tcW w:w="3048" w:type="pct"/>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罗源湾南部近岸环境功能区为四类区，执行《海水水质标准》（GB3097-1997）三类标准。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4410" w:type="pct"/>
            <w:gridSpan w:val="9"/>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近岸海域一个潮周期最大水平距离两倍范围内敏感目标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序号</w:t>
            </w:r>
          </w:p>
        </w:tc>
        <w:tc>
          <w:tcPr>
            <w:tcW w:w="2279"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敏感目标名称</w:t>
            </w:r>
          </w:p>
        </w:tc>
        <w:tc>
          <w:tcPr>
            <w:tcW w:w="83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水质目标</w:t>
            </w:r>
          </w:p>
        </w:tc>
        <w:tc>
          <w:tcPr>
            <w:tcW w:w="9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与排放点距离/m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w:t>
            </w:r>
          </w:p>
        </w:tc>
        <w:tc>
          <w:tcPr>
            <w:tcW w:w="2279"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罗源湾重要滨海湿地生态保护红线区</w:t>
            </w:r>
          </w:p>
        </w:tc>
        <w:tc>
          <w:tcPr>
            <w:tcW w:w="830" w:type="pct"/>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《海水水质标准》（GB3097-1997）三类标准</w:t>
            </w:r>
          </w:p>
        </w:tc>
        <w:tc>
          <w:tcPr>
            <w:tcW w:w="9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w:t>
            </w:r>
          </w:p>
        </w:tc>
        <w:tc>
          <w:tcPr>
            <w:tcW w:w="2279"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湾外官井洋大黄鱼繁殖重点保护区</w:t>
            </w:r>
          </w:p>
        </w:tc>
        <w:tc>
          <w:tcPr>
            <w:tcW w:w="830"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9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w:t>
            </w:r>
            <w:r>
              <w:rPr>
                <w:rFonts w:hint="eastAsia" w:ascii="Times New Roman" w:hAnsi="Times New Roman" w:eastAsia="宋体" w:cs="Times New Roman"/>
                <w:spacing w:val="0"/>
                <w:w w:val="100"/>
                <w:position w:val="0"/>
                <w:sz w:val="21"/>
                <w:szCs w:val="21"/>
                <w:lang w:val="en-US" w:eastAsia="zh-CN"/>
              </w:rPr>
              <w:t>3</w:t>
            </w:r>
            <w:r>
              <w:rPr>
                <w:rFonts w:hint="default" w:ascii="Times New Roman" w:hAnsi="Times New Roman" w:eastAsia="宋体" w:cs="Times New Roman"/>
                <w:spacing w:val="0"/>
                <w:w w:val="100"/>
                <w:position w:val="0"/>
                <w:sz w:val="21"/>
                <w:szCs w:val="21"/>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w:t>
            </w:r>
          </w:p>
        </w:tc>
        <w:tc>
          <w:tcPr>
            <w:tcW w:w="2279"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湾外西洋岛重要渔业水域生态保护红线区</w:t>
            </w:r>
          </w:p>
        </w:tc>
        <w:tc>
          <w:tcPr>
            <w:tcW w:w="830"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9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5</w:t>
            </w:r>
            <w:r>
              <w:rPr>
                <w:rFonts w:hint="eastAsia" w:ascii="Times New Roman" w:hAnsi="Times New Roman" w:eastAsia="宋体" w:cs="Times New Roman"/>
                <w:spacing w:val="0"/>
                <w:w w:val="100"/>
                <w:position w:val="0"/>
                <w:sz w:val="21"/>
                <w:szCs w:val="21"/>
                <w:lang w:val="en-US" w:eastAsia="zh-CN"/>
              </w:rPr>
              <w:t>685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5" w:hRule="atLeast"/>
        </w:trPr>
        <w:tc>
          <w:tcPr>
            <w:tcW w:w="5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3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w:t>
            </w:r>
          </w:p>
        </w:tc>
        <w:tc>
          <w:tcPr>
            <w:tcW w:w="2279"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湾外闽江口重要渔业水域生态保护红线区</w:t>
            </w:r>
          </w:p>
        </w:tc>
        <w:tc>
          <w:tcPr>
            <w:tcW w:w="830"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p>
        </w:tc>
        <w:tc>
          <w:tcPr>
            <w:tcW w:w="94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w:t>
            </w:r>
            <w:r>
              <w:rPr>
                <w:rFonts w:hint="eastAsia" w:ascii="Times New Roman" w:hAnsi="Times New Roman" w:eastAsia="宋体" w:cs="Times New Roman"/>
                <w:spacing w:val="0"/>
                <w:w w:val="100"/>
                <w:position w:val="0"/>
                <w:sz w:val="21"/>
                <w:szCs w:val="21"/>
                <w:lang w:val="en-US" w:eastAsia="zh-CN"/>
              </w:rPr>
              <w:t>650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（1）大气环境</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依据环境敏感目标环境敏感性及人口密度划分环境风险受体的敏感性，共分为三种类型，E1为环境高度敏感区，E2为环境中度敏感区，E3为环境低度敏感区，分级原则及判定结果见下表。对照下表6.2-</w:t>
      </w:r>
      <w:r>
        <w:rPr>
          <w:rFonts w:hint="eastAsia" w:ascii="Times New Roman" w:hAnsi="Times New Roman" w:eastAsia="宋体" w:cs="Times New Roman"/>
          <w:spacing w:val="0"/>
          <w:w w:val="100"/>
          <w:position w:val="0"/>
          <w:sz w:val="24"/>
          <w:szCs w:val="24"/>
          <w:lang w:val="en-US" w:eastAsia="zh-CN"/>
        </w:rPr>
        <w:t>5</w:t>
      </w:r>
      <w:r>
        <w:rPr>
          <w:rFonts w:hint="default" w:ascii="Times New Roman" w:hAnsi="Times New Roman" w:eastAsia="宋体" w:cs="Times New Roman"/>
          <w:spacing w:val="0"/>
          <w:w w:val="100"/>
          <w:position w:val="0"/>
          <w:sz w:val="24"/>
          <w:szCs w:val="24"/>
        </w:rPr>
        <w:t>，本项目大气环境敏感类型属于E2。</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5</w:t>
      </w:r>
      <w:r>
        <w:rPr>
          <w:rFonts w:hint="default" w:ascii="Times New Roman" w:hAnsi="Times New Roman" w:eastAsia="宋体" w:cs="Times New Roman"/>
          <w:b/>
          <w:bCs/>
          <w:spacing w:val="0"/>
          <w:w w:val="100"/>
          <w:position w:val="0"/>
          <w:sz w:val="24"/>
          <w:szCs w:val="24"/>
        </w:rPr>
        <w:t>大气环境风险受体敏感程度类型划分</w:t>
      </w:r>
    </w:p>
    <w:tbl>
      <w:tblPr>
        <w:tblStyle w:val="52"/>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94"/>
        <w:gridCol w:w="822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敏感程度类型</w:t>
            </w:r>
          </w:p>
        </w:tc>
        <w:tc>
          <w:tcPr>
            <w:tcW w:w="45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大气环境风险受体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E1</w:t>
            </w:r>
          </w:p>
        </w:tc>
        <w:tc>
          <w:tcPr>
            <w:tcW w:w="45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left"/>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周边5公里范围内居住区、医疗卫生、文化教育、科研单位、行政办公等机构人口总数大于5万人，或其他需要特殊保护的区域；或周边500米范围内人口总数大于1000人；油气、化学品输送管线管段周边200m范围内，每千米管段人口数大于200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E2</w:t>
            </w:r>
          </w:p>
        </w:tc>
        <w:tc>
          <w:tcPr>
            <w:tcW w:w="45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left"/>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周边5公里范围内居住区、医疗卫生、文化教育、科研、行政办公等机构人口总数大于1万人，小于5万人；或周边500米范围内人口总数大于500人</w:t>
            </w:r>
            <w:r>
              <w:rPr>
                <w:rFonts w:hint="eastAsia" w:ascii="Times New Roman" w:hAnsi="Times New Roman" w:eastAsia="宋体" w:cs="Times New Roman"/>
                <w:b/>
                <w:bCs/>
                <w:spacing w:val="0"/>
                <w:w w:val="100"/>
                <w:position w:val="0"/>
                <w:sz w:val="21"/>
                <w:szCs w:val="21"/>
                <w:lang w:eastAsia="zh-CN"/>
              </w:rPr>
              <w:t>，</w:t>
            </w:r>
            <w:r>
              <w:rPr>
                <w:rFonts w:hint="default" w:ascii="Times New Roman" w:hAnsi="Times New Roman" w:eastAsia="宋体" w:cs="Times New Roman"/>
                <w:b/>
                <w:bCs/>
                <w:spacing w:val="0"/>
                <w:w w:val="100"/>
                <w:position w:val="0"/>
                <w:sz w:val="21"/>
                <w:szCs w:val="21"/>
              </w:rPr>
              <w:t>小于1000人；油气、化学品输送管线管段周边200m范围内，每千米管段人口数大于100人，小于200人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E3</w:t>
            </w:r>
          </w:p>
        </w:tc>
        <w:tc>
          <w:tcPr>
            <w:tcW w:w="45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left"/>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周边5公里范围内居住区、医疗卫生、文化教育、科研、行政办公等机构人口总数小于1万人；或周边500米范围内人口总数小于500人；油气、化学品输送管线管段周边200m范围内，每千米管段人口数小于100人</w:t>
            </w: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（2）地表水环境</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依据事故情况下危险物质泄漏到水体的排放点受纳地表水体功能敏感性，与下游环境敏感目标情况，共分为三种类型，E1为环境高度敏感区，E2为环境中度</w:t>
      </w:r>
      <w:r>
        <w:rPr>
          <w:rFonts w:hint="default" w:ascii="Times New Roman" w:hAnsi="Times New Roman" w:eastAsia="宋体" w:cs="Times New Roman"/>
          <w:spacing w:val="0"/>
          <w:w w:val="100"/>
          <w:position w:val="0"/>
          <w:sz w:val="24"/>
          <w:szCs w:val="24"/>
          <w:lang w:eastAsia="zh-CN"/>
        </w:rPr>
        <w:t>敏感</w:t>
      </w:r>
      <w:r>
        <w:rPr>
          <w:rFonts w:hint="default" w:ascii="Times New Roman" w:hAnsi="Times New Roman" w:eastAsia="宋体" w:cs="Times New Roman"/>
          <w:spacing w:val="0"/>
          <w:w w:val="100"/>
          <w:position w:val="0"/>
          <w:sz w:val="24"/>
          <w:szCs w:val="24"/>
        </w:rPr>
        <w:t>区，E3为环境低度敏感区，分级原则见表6.2-</w:t>
      </w:r>
      <w:r>
        <w:rPr>
          <w:rFonts w:hint="eastAsia" w:ascii="Times New Roman" w:hAnsi="Times New Roman" w:eastAsia="宋体" w:cs="Times New Roman"/>
          <w:spacing w:val="0"/>
          <w:w w:val="100"/>
          <w:position w:val="0"/>
          <w:sz w:val="24"/>
          <w:szCs w:val="24"/>
          <w:lang w:val="en-US" w:eastAsia="zh-CN"/>
        </w:rPr>
        <w:t>6</w:t>
      </w:r>
      <w:r>
        <w:rPr>
          <w:rFonts w:hint="default" w:ascii="Times New Roman" w:hAnsi="Times New Roman" w:eastAsia="宋体" w:cs="Times New Roman"/>
          <w:spacing w:val="0"/>
          <w:w w:val="100"/>
          <w:position w:val="0"/>
          <w:sz w:val="24"/>
          <w:szCs w:val="24"/>
        </w:rPr>
        <w:t>。其中地表水功能敏感性分区和环境敏感目标分级分别见表6.2-</w:t>
      </w:r>
      <w:r>
        <w:rPr>
          <w:rFonts w:hint="eastAsia" w:ascii="Times New Roman" w:hAnsi="Times New Roman" w:eastAsia="宋体" w:cs="Times New Roman"/>
          <w:spacing w:val="0"/>
          <w:w w:val="100"/>
          <w:position w:val="0"/>
          <w:sz w:val="24"/>
          <w:szCs w:val="24"/>
          <w:lang w:val="en-US" w:eastAsia="zh-CN"/>
        </w:rPr>
        <w:t>7</w:t>
      </w:r>
      <w:r>
        <w:rPr>
          <w:rFonts w:hint="default" w:ascii="Times New Roman" w:hAnsi="Times New Roman" w:eastAsia="宋体" w:cs="Times New Roman"/>
          <w:spacing w:val="0"/>
          <w:w w:val="100"/>
          <w:position w:val="0"/>
          <w:sz w:val="24"/>
          <w:szCs w:val="24"/>
        </w:rPr>
        <w:t>和表6.2-</w:t>
      </w:r>
      <w:r>
        <w:rPr>
          <w:rFonts w:hint="eastAsia" w:ascii="Times New Roman" w:hAnsi="Times New Roman" w:eastAsia="宋体" w:cs="Times New Roman"/>
          <w:spacing w:val="0"/>
          <w:w w:val="100"/>
          <w:position w:val="0"/>
          <w:sz w:val="24"/>
          <w:szCs w:val="24"/>
          <w:lang w:val="en-US" w:eastAsia="zh-CN"/>
        </w:rPr>
        <w:t>8</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6</w:t>
      </w:r>
      <w:r>
        <w:rPr>
          <w:rFonts w:hint="default" w:ascii="Times New Roman" w:hAnsi="Times New Roman" w:eastAsia="宋体" w:cs="Times New Roman"/>
          <w:b/>
          <w:bCs/>
          <w:spacing w:val="0"/>
          <w:w w:val="100"/>
          <w:position w:val="0"/>
          <w:sz w:val="24"/>
          <w:szCs w:val="24"/>
        </w:rPr>
        <w:t>地表水环境敏感程度分级</w:t>
      </w:r>
    </w:p>
    <w:tbl>
      <w:tblPr>
        <w:tblStyle w:val="52"/>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2431"/>
        <w:gridCol w:w="2194"/>
        <w:gridCol w:w="2194"/>
        <w:gridCol w:w="22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34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环境敏感目标</w:t>
            </w:r>
          </w:p>
        </w:tc>
        <w:tc>
          <w:tcPr>
            <w:tcW w:w="365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地表水功能敏感性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34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rPr>
            </w:pP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F1</w:t>
            </w: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F2</w:t>
            </w:r>
          </w:p>
        </w:tc>
        <w:tc>
          <w:tcPr>
            <w:tcW w:w="12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b/>
                <w:bCs/>
                <w:spacing w:val="0"/>
                <w:w w:val="100"/>
                <w:position w:val="0"/>
                <w:sz w:val="21"/>
                <w:szCs w:val="20"/>
              </w:rPr>
              <w:t>F3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3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b/>
                <w:bCs/>
                <w:spacing w:val="0"/>
                <w:w w:val="100"/>
                <w:position w:val="0"/>
                <w:sz w:val="21"/>
                <w:szCs w:val="20"/>
              </w:rPr>
              <w:t>S1</w:t>
            </w: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E1</w:t>
            </w: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E1</w:t>
            </w:r>
          </w:p>
        </w:tc>
        <w:tc>
          <w:tcPr>
            <w:tcW w:w="1219" w:type="pct"/>
            <w:tcBorders>
              <w:tl2br w:val="nil"/>
              <w:tr2bl w:val="nil"/>
            </w:tcBorders>
            <w:shd w:val="clear" w:color="auto" w:fill="BEBEBE" w:themeFill="background1" w:themeFillShade="B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b/>
                <w:bCs/>
                <w:spacing w:val="0"/>
                <w:w w:val="100"/>
                <w:position w:val="0"/>
                <w:sz w:val="21"/>
                <w:szCs w:val="20"/>
              </w:rPr>
              <w:t>E2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3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S2</w:t>
            </w: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E1</w:t>
            </w: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E2</w:t>
            </w:r>
          </w:p>
        </w:tc>
        <w:tc>
          <w:tcPr>
            <w:tcW w:w="12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3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S3</w:t>
            </w: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E1</w:t>
            </w:r>
          </w:p>
        </w:tc>
        <w:tc>
          <w:tcPr>
            <w:tcW w:w="12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E2</w:t>
            </w:r>
          </w:p>
        </w:tc>
        <w:tc>
          <w:tcPr>
            <w:tcW w:w="12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E3</w:t>
            </w:r>
          </w:p>
        </w:tc>
      </w:tr>
    </w:tbl>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7</w:t>
      </w:r>
      <w:r>
        <w:rPr>
          <w:rFonts w:hint="default" w:ascii="Times New Roman" w:hAnsi="Times New Roman" w:eastAsia="宋体" w:cs="Times New Roman"/>
          <w:b/>
          <w:bCs/>
          <w:spacing w:val="0"/>
          <w:w w:val="100"/>
          <w:position w:val="0"/>
          <w:sz w:val="24"/>
          <w:szCs w:val="24"/>
        </w:rPr>
        <w:t>地表水功能敏感性分区</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791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敏感性</w:t>
            </w:r>
          </w:p>
        </w:tc>
        <w:tc>
          <w:tcPr>
            <w:tcW w:w="80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地表水环境敏感特征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敏感性F1</w:t>
            </w:r>
          </w:p>
        </w:tc>
        <w:tc>
          <w:tcPr>
            <w:tcW w:w="80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排放点进入地表水水域环境功能为II类及以上，或海水水质分类第一类；</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或以发生事故时，危险物质泄漏到水体的排放点算起，排放计入受纳河流最大流速时，24h流经范围内涉跨国界的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较敏感F2</w:t>
            </w:r>
          </w:p>
        </w:tc>
        <w:tc>
          <w:tcPr>
            <w:tcW w:w="80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排放点进入地表水水域环境功能为III类，或海水水质分类第二类；</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或以发生事故时，危险物质泄漏到水体的排放点算起，排放计入受纳河流最大流速时，24h流经范围内涉跨省界的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低敏感F3</w:t>
            </w:r>
          </w:p>
        </w:tc>
        <w:tc>
          <w:tcPr>
            <w:tcW w:w="80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上述地区之外的其他地区</w:t>
            </w:r>
          </w:p>
        </w:tc>
      </w:tr>
    </w:tbl>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8</w:t>
      </w:r>
      <w:r>
        <w:rPr>
          <w:rFonts w:hint="default" w:ascii="Times New Roman" w:hAnsi="Times New Roman" w:eastAsia="宋体" w:cs="Times New Roman"/>
          <w:b/>
          <w:bCs/>
          <w:spacing w:val="0"/>
          <w:w w:val="100"/>
          <w:position w:val="0"/>
          <w:sz w:val="24"/>
          <w:szCs w:val="24"/>
        </w:rPr>
        <w:t>地表水环境敏感目标分级</w:t>
      </w:r>
    </w:p>
    <w:tbl>
      <w:tblPr>
        <w:tblStyle w:val="52"/>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75"/>
        <w:gridCol w:w="834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分级</w:t>
            </w:r>
          </w:p>
        </w:tc>
        <w:tc>
          <w:tcPr>
            <w:tcW w:w="4625"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地表水环境风险受体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S1</w:t>
            </w:r>
          </w:p>
        </w:tc>
        <w:tc>
          <w:tcPr>
            <w:tcW w:w="4625"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发生事故时，危险物质泄漏到内陆水体的排放点下游（顺水流向）10km范围内、近岸海域一个潮周期水质点可能达到的最大水平距离的两倍范围内，有如下一类或多类环境风险受体：</w:t>
            </w:r>
            <w:r>
              <w:rPr>
                <w:rFonts w:hint="default" w:ascii="Times New Roman" w:hAnsi="Times New Roman" w:eastAsia="宋体" w:cs="Times New Roman"/>
                <w:spacing w:val="0"/>
                <w:w w:val="100"/>
                <w:position w:val="0"/>
                <w:sz w:val="21"/>
                <w:szCs w:val="21"/>
              </w:rPr>
              <w:t>集中式地表水饮用水水源保护区（包括一级保护区、二级保护区及准保护区）；农村及分散式饮用水水源保护区；自然保护区；</w:t>
            </w:r>
            <w:r>
              <w:rPr>
                <w:rFonts w:hint="default" w:ascii="Times New Roman" w:hAnsi="Times New Roman" w:eastAsia="宋体" w:cs="Times New Roman"/>
                <w:b/>
                <w:bCs/>
                <w:spacing w:val="0"/>
                <w:w w:val="100"/>
                <w:position w:val="0"/>
                <w:sz w:val="21"/>
                <w:szCs w:val="21"/>
              </w:rPr>
              <w:t>重要湿地</w:t>
            </w:r>
            <w:r>
              <w:rPr>
                <w:rFonts w:hint="default" w:ascii="Times New Roman" w:hAnsi="Times New Roman" w:eastAsia="宋体" w:cs="Times New Roman"/>
                <w:spacing w:val="0"/>
                <w:w w:val="100"/>
                <w:position w:val="0"/>
                <w:sz w:val="21"/>
                <w:szCs w:val="21"/>
              </w:rPr>
              <w:t>；珍稀濒危野生动植物天然集中分布区；重要水生生物的自然产卵场及索饵场、越冬场合洄游通道；世界文化和自然遗产地；红树林、珊瑚礁等滨海湿地生态系统；珍稀、濒危海洋生物的天然集中分布区；海洋特别保护区；海上自然保护区；盐场保护区；海水浴场；海洋自然历史遗迹；风景名胜区；或其他特殊重点保护区域</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S2</w:t>
            </w:r>
          </w:p>
        </w:tc>
        <w:tc>
          <w:tcPr>
            <w:tcW w:w="4625"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发生事故时，危险物质泄漏到内陆水体的排放点下游（顺水流向）10km范围内、近岸海域一个潮周期水质点可能达到的最大水平距离的两倍范围内，有如下一类或多类环境风险受体：水产养殖区；天然渔场；森林公园；地质公园；海滨风景游览区；具有重要经济价值的海洋生物生存区域</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S3</w:t>
            </w:r>
          </w:p>
        </w:tc>
        <w:tc>
          <w:tcPr>
            <w:tcW w:w="4625"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发生事故时，危险物质泄漏到内陆水体的排放点下游（顺水流向）10km范围内、近岸海域一个潮周期水质点可能达到的最大水平距离的两倍范围内，无上述类型1和类型2包括的敏感保护目标</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本项目地表水功能敏感性为低敏感F3，地表水环境敏感目标分级为S1，综上，地表水环境敏感程度分级为E2。</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（3）地下水环境</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依据地下水功能敏感性与包气带防污性能，共分为三种类型，E1为环境高度敏感区，E2为环境中度敏感区，E3为环境低度敏感区，分级原则见表6.2-</w:t>
      </w:r>
      <w:r>
        <w:rPr>
          <w:rFonts w:hint="eastAsia" w:ascii="Times New Roman" w:hAnsi="Times New Roman" w:eastAsia="宋体" w:cs="Times New Roman"/>
          <w:spacing w:val="0"/>
          <w:w w:val="100"/>
          <w:position w:val="0"/>
          <w:sz w:val="24"/>
          <w:szCs w:val="24"/>
          <w:lang w:val="en-US" w:eastAsia="zh-CN"/>
        </w:rPr>
        <w:t>9</w:t>
      </w:r>
      <w:r>
        <w:rPr>
          <w:rFonts w:hint="default" w:ascii="Times New Roman" w:hAnsi="Times New Roman" w:eastAsia="宋体" w:cs="Times New Roman"/>
          <w:spacing w:val="0"/>
          <w:w w:val="100"/>
          <w:position w:val="0"/>
          <w:sz w:val="24"/>
          <w:szCs w:val="24"/>
        </w:rPr>
        <w:t>。其中地下水功能敏感性分区和包气带防污性能分级分别见表6.2-</w:t>
      </w:r>
      <w:r>
        <w:rPr>
          <w:rFonts w:hint="eastAsia" w:ascii="Times New Roman" w:hAnsi="Times New Roman" w:eastAsia="宋体" w:cs="Times New Roman"/>
          <w:spacing w:val="0"/>
          <w:w w:val="100"/>
          <w:position w:val="0"/>
          <w:sz w:val="24"/>
          <w:szCs w:val="24"/>
          <w:lang w:val="en-US" w:eastAsia="zh-CN"/>
        </w:rPr>
        <w:t>10</w:t>
      </w:r>
      <w:r>
        <w:rPr>
          <w:rFonts w:hint="default" w:ascii="Times New Roman" w:hAnsi="Times New Roman" w:eastAsia="宋体" w:cs="Times New Roman"/>
          <w:spacing w:val="0"/>
          <w:w w:val="100"/>
          <w:position w:val="0"/>
          <w:sz w:val="24"/>
          <w:szCs w:val="24"/>
        </w:rPr>
        <w:t>、表6.2-</w:t>
      </w:r>
      <w:r>
        <w:rPr>
          <w:rFonts w:hint="eastAsia" w:ascii="Times New Roman" w:hAnsi="Times New Roman" w:eastAsia="宋体" w:cs="Times New Roman"/>
          <w:spacing w:val="0"/>
          <w:w w:val="100"/>
          <w:position w:val="0"/>
          <w:sz w:val="24"/>
          <w:szCs w:val="24"/>
          <w:lang w:val="en-US" w:eastAsia="zh-CN"/>
        </w:rPr>
        <w:t>11</w:t>
      </w:r>
      <w:r>
        <w:rPr>
          <w:rFonts w:hint="default" w:ascii="Times New Roman" w:hAnsi="Times New Roman" w:eastAsia="宋体" w:cs="Times New Roman"/>
          <w:spacing w:val="0"/>
          <w:w w:val="100"/>
          <w:position w:val="0"/>
          <w:sz w:val="24"/>
          <w:szCs w:val="24"/>
        </w:rPr>
        <w:t>。当同一建设项目涉及两个G分区或D分级及以上时，取相对高值。</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9</w:t>
      </w:r>
      <w:r>
        <w:rPr>
          <w:rFonts w:hint="default" w:ascii="Times New Roman" w:hAnsi="Times New Roman" w:eastAsia="宋体" w:cs="Times New Roman"/>
          <w:b/>
          <w:bCs/>
          <w:spacing w:val="0"/>
          <w:w w:val="100"/>
          <w:position w:val="0"/>
          <w:sz w:val="24"/>
          <w:szCs w:val="24"/>
        </w:rPr>
        <w:t>地下水环境敏感程度分级</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2411"/>
        <w:gridCol w:w="2203"/>
        <w:gridCol w:w="2203"/>
        <w:gridCol w:w="22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3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包气带防污性能</w:t>
            </w:r>
          </w:p>
        </w:tc>
        <w:tc>
          <w:tcPr>
            <w:tcW w:w="636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地下水功能敏感性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3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G1</w:t>
            </w: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G2</w:t>
            </w:r>
          </w:p>
        </w:tc>
        <w:tc>
          <w:tcPr>
            <w:tcW w:w="21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G3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3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D1</w:t>
            </w: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E1</w:t>
            </w: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E1</w:t>
            </w:r>
          </w:p>
        </w:tc>
        <w:tc>
          <w:tcPr>
            <w:tcW w:w="2125" w:type="dxa"/>
            <w:tcBorders>
              <w:tl2br w:val="nil"/>
              <w:tr2bl w:val="nil"/>
            </w:tcBorders>
            <w:shd w:val="clear" w:color="auto" w:fill="BEBEBE" w:themeFill="background1" w:themeFillShade="B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E2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3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D2</w:t>
            </w: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E1</w:t>
            </w: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p>
        </w:tc>
        <w:tc>
          <w:tcPr>
            <w:tcW w:w="21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3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D3</w:t>
            </w: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p>
        </w:tc>
        <w:tc>
          <w:tcPr>
            <w:tcW w:w="21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E3</w:t>
            </w:r>
          </w:p>
        </w:tc>
        <w:tc>
          <w:tcPr>
            <w:tcW w:w="21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E3</w:t>
            </w:r>
          </w:p>
        </w:tc>
      </w:tr>
    </w:tbl>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10</w:t>
      </w:r>
      <w:r>
        <w:rPr>
          <w:rFonts w:hint="default" w:ascii="Times New Roman" w:hAnsi="Times New Roman" w:eastAsia="宋体" w:cs="Times New Roman"/>
          <w:b/>
          <w:bCs/>
          <w:spacing w:val="0"/>
          <w:w w:val="100"/>
          <w:position w:val="0"/>
          <w:sz w:val="24"/>
          <w:szCs w:val="24"/>
        </w:rPr>
        <w:t>地下水功能敏感性分区</w:t>
      </w:r>
    </w:p>
    <w:tbl>
      <w:tblPr>
        <w:tblStyle w:val="52"/>
        <w:tblW w:w="499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55"/>
        <w:gridCol w:w="786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敏感性</w:t>
            </w:r>
          </w:p>
        </w:tc>
        <w:tc>
          <w:tcPr>
            <w:tcW w:w="43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地下水环境敏感特征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敏感G1</w:t>
            </w:r>
          </w:p>
        </w:tc>
        <w:tc>
          <w:tcPr>
            <w:tcW w:w="43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较敏感G2</w:t>
            </w:r>
          </w:p>
        </w:tc>
        <w:tc>
          <w:tcPr>
            <w:tcW w:w="43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default" w:ascii="Times New Roman" w:hAnsi="Times New Roman" w:eastAsia="宋体" w:cs="Times New Roman"/>
                <w:spacing w:val="0"/>
                <w:w w:val="100"/>
                <w:position w:val="0"/>
                <w:sz w:val="21"/>
                <w:szCs w:val="21"/>
                <w:vertAlign w:val="superscript"/>
              </w:rPr>
              <w:t>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不敏感G3</w:t>
            </w:r>
          </w:p>
        </w:tc>
        <w:tc>
          <w:tcPr>
            <w:tcW w:w="43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上述地区之外的其他地区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500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“环境敏感区”指《建设项目环境影响评价分类管理名录》中所界定的涉及地下水的环境敏感区</w:t>
            </w:r>
          </w:p>
        </w:tc>
      </w:tr>
    </w:tbl>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11</w:t>
      </w:r>
      <w:r>
        <w:rPr>
          <w:rFonts w:hint="default" w:ascii="Times New Roman" w:hAnsi="Times New Roman" w:eastAsia="宋体" w:cs="Times New Roman"/>
          <w:b/>
          <w:bCs/>
          <w:spacing w:val="0"/>
          <w:w w:val="100"/>
          <w:position w:val="0"/>
          <w:sz w:val="24"/>
          <w:szCs w:val="24"/>
        </w:rPr>
        <w:t>包气带防污性能分级</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56"/>
        <w:gridCol w:w="816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2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分级</w:t>
            </w:r>
          </w:p>
        </w:tc>
        <w:tc>
          <w:tcPr>
            <w:tcW w:w="78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包气带岩土的渗透性能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2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D3</w:t>
            </w:r>
          </w:p>
        </w:tc>
        <w:tc>
          <w:tcPr>
            <w:tcW w:w="78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Mb≥1.0m，K≤1.0×10-6cm/s，且分布连续、稳定</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2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D2</w:t>
            </w:r>
          </w:p>
        </w:tc>
        <w:tc>
          <w:tcPr>
            <w:tcW w:w="78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0.5m≤Mb＜1.0m，K≤1.0×10</w:t>
            </w:r>
            <w:r>
              <w:rPr>
                <w:rFonts w:hint="default" w:ascii="Times New Roman" w:hAnsi="Times New Roman" w:eastAsia="宋体" w:cs="Times New Roman"/>
                <w:spacing w:val="0"/>
                <w:w w:val="100"/>
                <w:position w:val="0"/>
                <w:sz w:val="21"/>
                <w:szCs w:val="21"/>
                <w:vertAlign w:val="superscript"/>
              </w:rPr>
              <w:t>-6</w:t>
            </w:r>
            <w:r>
              <w:rPr>
                <w:rFonts w:hint="default" w:ascii="Times New Roman" w:hAnsi="Times New Roman" w:eastAsia="宋体" w:cs="Times New Roman"/>
                <w:spacing w:val="0"/>
                <w:w w:val="100"/>
                <w:position w:val="0"/>
                <w:sz w:val="21"/>
                <w:szCs w:val="21"/>
              </w:rPr>
              <w:t>cm/s，且分布连续、稳定</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Mb≥1.0m，1.0×10</w:t>
            </w:r>
            <w:r>
              <w:rPr>
                <w:rFonts w:hint="default" w:ascii="Times New Roman" w:hAnsi="Times New Roman" w:eastAsia="宋体" w:cs="Times New Roman"/>
                <w:spacing w:val="0"/>
                <w:w w:val="100"/>
                <w:position w:val="0"/>
                <w:sz w:val="21"/>
                <w:szCs w:val="21"/>
                <w:vertAlign w:val="superscript"/>
              </w:rPr>
              <w:t>-6</w:t>
            </w:r>
            <w:r>
              <w:rPr>
                <w:rFonts w:hint="default" w:ascii="Times New Roman" w:hAnsi="Times New Roman" w:eastAsia="宋体" w:cs="Times New Roman"/>
                <w:spacing w:val="0"/>
                <w:w w:val="100"/>
                <w:position w:val="0"/>
                <w:sz w:val="21"/>
                <w:szCs w:val="21"/>
              </w:rPr>
              <w:t>cm/s＜K≤1.0×10</w:t>
            </w:r>
            <w:r>
              <w:rPr>
                <w:rFonts w:hint="default" w:ascii="Times New Roman" w:hAnsi="Times New Roman" w:eastAsia="宋体" w:cs="Times New Roman"/>
                <w:spacing w:val="0"/>
                <w:w w:val="100"/>
                <w:position w:val="0"/>
                <w:sz w:val="21"/>
                <w:szCs w:val="21"/>
                <w:vertAlign w:val="superscript"/>
              </w:rPr>
              <w:t>-4</w:t>
            </w:r>
            <w:r>
              <w:rPr>
                <w:rFonts w:hint="default" w:ascii="Times New Roman" w:hAnsi="Times New Roman" w:eastAsia="宋体" w:cs="Times New Roman"/>
                <w:spacing w:val="0"/>
                <w:w w:val="100"/>
                <w:position w:val="0"/>
                <w:sz w:val="21"/>
                <w:szCs w:val="21"/>
              </w:rPr>
              <w:t>cm/s，且分布连续、稳定</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2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D1</w:t>
            </w:r>
          </w:p>
        </w:tc>
        <w:tc>
          <w:tcPr>
            <w:tcW w:w="78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岩（土）层不满足上述</w:t>
            </w:r>
            <w:r>
              <w:rPr>
                <w:rFonts w:hint="eastAsia" w:ascii="Times New Roman" w:hAnsi="Times New Roman" w:eastAsia="宋体" w:cs="Times New Roman"/>
                <w:spacing w:val="0"/>
                <w:w w:val="100"/>
                <w:position w:val="0"/>
                <w:sz w:val="21"/>
                <w:szCs w:val="21"/>
                <w:lang w:eastAsia="zh-CN"/>
              </w:rPr>
              <w:t>“</w:t>
            </w:r>
            <w:r>
              <w:rPr>
                <w:rFonts w:hint="default" w:ascii="Times New Roman" w:hAnsi="Times New Roman" w:eastAsia="宋体" w:cs="Times New Roman"/>
                <w:b/>
                <w:bCs/>
                <w:spacing w:val="0"/>
                <w:w w:val="100"/>
                <w:position w:val="0"/>
                <w:sz w:val="21"/>
                <w:szCs w:val="21"/>
              </w:rPr>
              <w:t>D2</w:t>
            </w:r>
            <w:r>
              <w:rPr>
                <w:rFonts w:hint="eastAsia" w:ascii="Times New Roman" w:hAnsi="Times New Roman" w:eastAsia="宋体" w:cs="Times New Roman"/>
                <w:b w:val="0"/>
                <w:bCs w:val="0"/>
                <w:spacing w:val="0"/>
                <w:w w:val="100"/>
                <w:position w:val="0"/>
                <w:sz w:val="21"/>
                <w:szCs w:val="21"/>
                <w:lang w:eastAsia="zh-CN"/>
              </w:rPr>
              <w:t>”</w:t>
            </w:r>
            <w:r>
              <w:rPr>
                <w:rFonts w:hint="default" w:ascii="Times New Roman" w:hAnsi="Times New Roman" w:eastAsia="宋体" w:cs="Times New Roman"/>
                <w:spacing w:val="0"/>
                <w:w w:val="100"/>
                <w:position w:val="0"/>
                <w:sz w:val="21"/>
                <w:szCs w:val="21"/>
              </w:rPr>
              <w:t>和</w:t>
            </w:r>
            <w:r>
              <w:rPr>
                <w:rFonts w:hint="eastAsia" w:ascii="Times New Roman" w:hAnsi="Times New Roman" w:eastAsia="宋体" w:cs="Times New Roman"/>
                <w:spacing w:val="0"/>
                <w:w w:val="100"/>
                <w:position w:val="0"/>
                <w:sz w:val="21"/>
                <w:szCs w:val="21"/>
                <w:lang w:eastAsia="zh-CN"/>
              </w:rPr>
              <w:t>“</w:t>
            </w:r>
            <w:r>
              <w:rPr>
                <w:rFonts w:hint="default" w:ascii="Times New Roman" w:hAnsi="Times New Roman" w:eastAsia="宋体" w:cs="Times New Roman"/>
                <w:b/>
                <w:bCs/>
                <w:spacing w:val="0"/>
                <w:w w:val="100"/>
                <w:position w:val="0"/>
                <w:sz w:val="21"/>
                <w:szCs w:val="21"/>
              </w:rPr>
              <w:t>D3</w:t>
            </w:r>
            <w:r>
              <w:rPr>
                <w:rFonts w:hint="eastAsia" w:ascii="Times New Roman" w:hAnsi="Times New Roman" w:eastAsia="宋体" w:cs="Times New Roman"/>
                <w:b w:val="0"/>
                <w:bCs w:val="0"/>
                <w:spacing w:val="0"/>
                <w:w w:val="100"/>
                <w:position w:val="0"/>
                <w:sz w:val="21"/>
                <w:szCs w:val="21"/>
                <w:lang w:eastAsia="zh-CN"/>
              </w:rPr>
              <w:t>”</w:t>
            </w:r>
            <w:r>
              <w:rPr>
                <w:rFonts w:hint="default" w:ascii="Times New Roman" w:hAnsi="Times New Roman" w:eastAsia="宋体" w:cs="Times New Roman"/>
                <w:spacing w:val="0"/>
                <w:w w:val="100"/>
                <w:position w:val="0"/>
                <w:sz w:val="21"/>
                <w:szCs w:val="21"/>
              </w:rPr>
              <w:t>条件</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8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Mb：岩土层单层厚度。K：渗透系数。</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本项目包气带防污性能为D1，不涉及《建设项目环境影响评价分类管理名录》中所界定的涉及地下水的环境敏感区，地下水功能敏感性分区为不敏感G3。综上，地下水环境敏感程度分级为E2。</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fldChar w:fldCharType="begin"/>
      </w:r>
      <w:r>
        <w:rPr>
          <w:rFonts w:hint="default" w:ascii="Times New Roman" w:hAnsi="Times New Roman" w:eastAsia="宋体" w:cs="Times New Roman"/>
          <w:b/>
          <w:bCs/>
          <w:spacing w:val="0"/>
          <w:w w:val="100"/>
          <w:position w:val="0"/>
          <w:sz w:val="24"/>
          <w:szCs w:val="24"/>
        </w:rPr>
        <w:instrText xml:space="preserve"> HYPERLINK "6.2.1.5" </w:instrText>
      </w:r>
      <w:r>
        <w:rPr>
          <w:rFonts w:hint="default" w:ascii="Times New Roman" w:hAnsi="Times New Roman" w:eastAsia="宋体" w:cs="Times New Roman"/>
          <w:b/>
          <w:bCs/>
          <w:spacing w:val="0"/>
          <w:w w:val="100"/>
          <w:position w:val="0"/>
          <w:sz w:val="24"/>
          <w:szCs w:val="24"/>
        </w:rPr>
        <w:fldChar w:fldCharType="separate"/>
      </w:r>
      <w:r>
        <w:rPr>
          <w:rFonts w:hint="default" w:ascii="Times New Roman" w:hAnsi="Times New Roman" w:eastAsia="宋体" w:cs="Times New Roman"/>
          <w:b/>
          <w:bCs/>
          <w:spacing w:val="0"/>
          <w:w w:val="100"/>
          <w:position w:val="0"/>
          <w:sz w:val="24"/>
          <w:szCs w:val="24"/>
        </w:rPr>
        <w:t>6.2.1.5</w:t>
      </w:r>
      <w:r>
        <w:rPr>
          <w:rFonts w:hint="default" w:ascii="Times New Roman" w:hAnsi="Times New Roman" w:eastAsia="宋体" w:cs="Times New Roman"/>
          <w:b/>
          <w:bCs/>
          <w:spacing w:val="0"/>
          <w:w w:val="100"/>
          <w:position w:val="0"/>
          <w:sz w:val="24"/>
          <w:szCs w:val="24"/>
        </w:rPr>
        <w:fldChar w:fldCharType="end"/>
      </w:r>
      <w:r>
        <w:rPr>
          <w:rFonts w:hint="default" w:ascii="Times New Roman" w:hAnsi="Times New Roman" w:eastAsia="宋体" w:cs="Times New Roman"/>
          <w:b/>
          <w:bCs/>
          <w:spacing w:val="0"/>
          <w:w w:val="100"/>
          <w:position w:val="0"/>
          <w:sz w:val="24"/>
          <w:szCs w:val="24"/>
        </w:rPr>
        <w:t>环境风险潜势划分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根据建设项目涉及的物质和工艺系统的危险性及其所在地的环境敏感程度，结合事故情形下环境影响途径，对建设项目潜在环境危害程度进行概化分析，按照下表6.2-</w:t>
      </w:r>
      <w:r>
        <w:rPr>
          <w:rFonts w:hint="eastAsia" w:ascii="Times New Roman" w:hAnsi="Times New Roman" w:eastAsia="宋体" w:cs="Times New Roman"/>
          <w:spacing w:val="0"/>
          <w:w w:val="100"/>
          <w:position w:val="0"/>
          <w:sz w:val="24"/>
          <w:szCs w:val="24"/>
          <w:lang w:val="en-US" w:eastAsia="zh-CN"/>
        </w:rPr>
        <w:t>12</w:t>
      </w:r>
      <w:r>
        <w:rPr>
          <w:rFonts w:hint="default" w:ascii="Times New Roman" w:hAnsi="Times New Roman" w:eastAsia="宋体" w:cs="Times New Roman"/>
          <w:spacing w:val="0"/>
          <w:w w:val="100"/>
          <w:position w:val="0"/>
          <w:sz w:val="24"/>
          <w:szCs w:val="24"/>
        </w:rPr>
        <w:t>确定环境风险潜势。</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12</w:t>
      </w:r>
      <w:r>
        <w:rPr>
          <w:rFonts w:hint="default" w:ascii="Times New Roman" w:hAnsi="Times New Roman" w:eastAsia="宋体" w:cs="Times New Roman"/>
          <w:b/>
          <w:bCs/>
          <w:spacing w:val="0"/>
          <w:w w:val="100"/>
          <w:position w:val="0"/>
          <w:sz w:val="24"/>
          <w:szCs w:val="24"/>
        </w:rPr>
        <w:t>建设项目环境风险潜势划分</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2261"/>
        <w:gridCol w:w="1689"/>
        <w:gridCol w:w="1689"/>
        <w:gridCol w:w="1689"/>
        <w:gridCol w:w="16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7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环境敏感程度（E）</w:t>
            </w:r>
          </w:p>
        </w:tc>
        <w:tc>
          <w:tcPr>
            <w:tcW w:w="6512"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危险物质及工艺系统危险性（P）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极高危害（P1）</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高度危害（P2）</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中度危害（P3）</w:t>
            </w:r>
          </w:p>
        </w:tc>
        <w:tc>
          <w:tcPr>
            <w:tcW w:w="16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轻度危害（P4）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环境高度敏感区（E1）</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IV+</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IV</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p>
        </w:tc>
        <w:tc>
          <w:tcPr>
            <w:tcW w:w="16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环境中度敏感区（E2）</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IV</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p>
        </w:tc>
        <w:tc>
          <w:tcPr>
            <w:tcW w:w="1634" w:type="dxa"/>
            <w:tcBorders>
              <w:tl2br w:val="nil"/>
              <w:tr2bl w:val="nil"/>
            </w:tcBorders>
            <w:shd w:val="clear" w:color="auto" w:fill="BEBEBE" w:themeFill="background1" w:themeFillShade="B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b/>
                <w:bCs/>
                <w:spacing w:val="0"/>
                <w:w w:val="100"/>
                <w:position w:val="0"/>
                <w:sz w:val="21"/>
                <w:szCs w:val="21"/>
              </w:rPr>
              <w:t>II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2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环境低度敏感区（E3）</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p>
        </w:tc>
        <w:tc>
          <w:tcPr>
            <w:tcW w:w="16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w:t>
            </w:r>
          </w:p>
        </w:tc>
        <w:tc>
          <w:tcPr>
            <w:tcW w:w="16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w:t>
            </w:r>
          </w:p>
        </w:tc>
      </w:tr>
    </w:tbl>
    <w:p>
      <w:pPr>
        <w:keepNext w:val="0"/>
        <w:keepLines w:val="0"/>
        <w:pageBreakBefore w:val="0"/>
        <w:widowControl/>
        <w:kinsoku/>
        <w:wordWrap/>
        <w:overflowPunct/>
        <w:topLinePunct w:val="0"/>
        <w:autoSpaceDE/>
        <w:autoSpaceDN/>
        <w:bidi w:val="0"/>
        <w:adjustRightInd w:val="0"/>
        <w:snapToGrid w:val="0"/>
        <w:spacing w:before="32" w:line="228" w:lineRule="auto"/>
        <w:ind w:left="27"/>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注：</w:t>
      </w:r>
      <w:r>
        <w:rPr>
          <w:rFonts w:ascii="Times New Roman" w:hAnsi="Times New Roman" w:eastAsia="宋体" w:cs="Times New Roman"/>
          <w:spacing w:val="0"/>
          <w:w w:val="100"/>
          <w:position w:val="0"/>
          <w:sz w:val="21"/>
          <w:szCs w:val="21"/>
        </w:rPr>
        <w:t>IV+</w:t>
      </w:r>
      <w:r>
        <w:rPr>
          <w:rFonts w:ascii="Times New Roman" w:hAnsi="Times New Roman" w:eastAsia="宋体" w:cs="宋体"/>
          <w:spacing w:val="0"/>
          <w:w w:val="100"/>
          <w:position w:val="0"/>
          <w:sz w:val="21"/>
          <w:szCs w:val="21"/>
        </w:rPr>
        <w:t>为极高环境风险。</w:t>
      </w:r>
    </w:p>
    <w:p>
      <w:pPr>
        <w:keepNext w:val="0"/>
        <w:keepLines w:val="0"/>
        <w:pageBreakBefore w:val="0"/>
        <w:widowControl/>
        <w:kinsoku/>
        <w:wordWrap/>
        <w:overflowPunct/>
        <w:topLinePunct w:val="0"/>
        <w:autoSpaceDE/>
        <w:autoSpaceDN/>
        <w:bidi w:val="0"/>
        <w:adjustRightInd w:val="0"/>
        <w:snapToGrid w:val="0"/>
        <w:spacing w:before="157" w:beforeLines="50"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（1）大气环境风险潜势</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根据企业周边大气环境敏感程度（E2）、危险物质及工艺系统危险性等级（P4），本项目大气环境风险潜势为II级。</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（2）地表水环境风险潜势</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根据企业周边地表水环境敏感程度（E2）、危险物质及工艺系统危险性等级（P4），本项目地表水环境风险潜势为II级。</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（3）地下水环境风险潜势</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根据企业周边地下水环境敏感程度（E2）、危险物质及工艺系统危险性等级（P4），本项目地下水环境风险潜势为II级。</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6.2.2环境风险评价等级判定</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《建设项目环境风险评价技术导则》（HJ/T169-2018）中风险评价工作等级划分见表6.2-</w:t>
      </w:r>
      <w:r>
        <w:rPr>
          <w:rFonts w:hint="eastAsia" w:ascii="Times New Roman" w:hAnsi="Times New Roman" w:eastAsia="宋体" w:cs="Times New Roman"/>
          <w:spacing w:val="0"/>
          <w:w w:val="100"/>
          <w:position w:val="0"/>
          <w:sz w:val="24"/>
          <w:szCs w:val="24"/>
          <w:lang w:val="en-US" w:eastAsia="zh-CN"/>
        </w:rPr>
        <w:t>13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w:t>
      </w:r>
      <w:r>
        <w:rPr>
          <w:rFonts w:hint="eastAsia" w:ascii="Times New Roman" w:hAnsi="Times New Roman" w:eastAsia="宋体" w:cs="Times New Roman"/>
          <w:b/>
          <w:bCs/>
          <w:spacing w:val="0"/>
          <w:w w:val="100"/>
          <w:position w:val="0"/>
          <w:sz w:val="24"/>
          <w:szCs w:val="24"/>
          <w:lang w:val="en-US" w:eastAsia="zh-CN"/>
        </w:rPr>
        <w:t>13</w:t>
      </w:r>
      <w:r>
        <w:rPr>
          <w:rFonts w:hint="default" w:ascii="Times New Roman" w:hAnsi="Times New Roman" w:eastAsia="宋体" w:cs="Times New Roman"/>
          <w:b/>
          <w:bCs/>
          <w:spacing w:val="0"/>
          <w:w w:val="100"/>
          <w:position w:val="0"/>
          <w:sz w:val="24"/>
          <w:szCs w:val="24"/>
        </w:rPr>
        <w:t>环境风险评价工作等级划分</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805"/>
        <w:gridCol w:w="1801"/>
        <w:gridCol w:w="1802"/>
        <w:gridCol w:w="1802"/>
        <w:gridCol w:w="181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环境风险潜势</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IV、IV+</w:t>
            </w:r>
          </w:p>
        </w:tc>
        <w:tc>
          <w:tcPr>
            <w:tcW w:w="17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p>
        </w:tc>
        <w:tc>
          <w:tcPr>
            <w:tcW w:w="17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II</w:t>
            </w:r>
          </w:p>
        </w:tc>
        <w:tc>
          <w:tcPr>
            <w:tcW w:w="1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评价工作等级</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一</w:t>
            </w:r>
          </w:p>
        </w:tc>
        <w:tc>
          <w:tcPr>
            <w:tcW w:w="17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二</w:t>
            </w:r>
          </w:p>
        </w:tc>
        <w:tc>
          <w:tcPr>
            <w:tcW w:w="17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三</w:t>
            </w:r>
          </w:p>
        </w:tc>
        <w:tc>
          <w:tcPr>
            <w:tcW w:w="17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简单分析</w:t>
            </w:r>
            <w:r>
              <w:rPr>
                <w:rFonts w:hint="default" w:ascii="Times New Roman" w:hAnsi="Times New Roman" w:eastAsia="宋体" w:cs="Times New Roman"/>
                <w:spacing w:val="0"/>
                <w:w w:val="100"/>
                <w:position w:val="0"/>
                <w:sz w:val="21"/>
                <w:szCs w:val="21"/>
                <w:vertAlign w:val="superscript"/>
              </w:rPr>
              <w:t>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89"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hanging="369"/>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a是相对于详细评价工作内容而言，在描述危险物质、环境影响途径、环境危害后果、风险防范措施等方面给出定性的说明。见《建设项目环境风险评价技术导则》（HJ169-2018）附录A</w:t>
            </w:r>
          </w:p>
        </w:tc>
      </w:tr>
    </w:tbl>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根据上述分析，依据《建设项目环境风险评价技术导则》（HJ/T169-2018）评价等级划分规定，本项目综合环境风险潜势为II级，风险评价等级为三级。</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本项目大气环境风险评价范围取建设项目边界外3km；地表水风险评价范围同地表水环境影响评价范围；地下水风险评价范围同地下水环境影响评价范围。</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表6.2-13环境风险评价级别</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1266"/>
        <w:gridCol w:w="614"/>
        <w:gridCol w:w="1231"/>
        <w:gridCol w:w="1694"/>
        <w:gridCol w:w="2125"/>
        <w:gridCol w:w="1193"/>
        <w:gridCol w:w="9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688" w:hRule="atLeast"/>
          <w:jc w:val="center"/>
        </w:trPr>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等级判断</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敏感性</w:t>
            </w:r>
          </w:p>
        </w:tc>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行业及生产工艺（M）</w:t>
            </w:r>
          </w:p>
        </w:tc>
        <w:tc>
          <w:tcPr>
            <w:tcW w:w="17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危险物质数量与临界量比值（Q）</w:t>
            </w:r>
          </w:p>
        </w:tc>
        <w:tc>
          <w:tcPr>
            <w:tcW w:w="2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危险物质及工艺系统危险性等级判断（P）</w:t>
            </w:r>
          </w:p>
        </w:tc>
        <w:tc>
          <w:tcPr>
            <w:tcW w:w="12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环境风险潜势划分</w:t>
            </w:r>
          </w:p>
        </w:tc>
        <w:tc>
          <w:tcPr>
            <w:tcW w:w="9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评价工作等级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00" w:hRule="atLeast"/>
          <w:jc w:val="center"/>
        </w:trPr>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大气环境</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p>
        </w:tc>
        <w:tc>
          <w:tcPr>
            <w:tcW w:w="124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M4</w:t>
            </w:r>
          </w:p>
        </w:tc>
        <w:tc>
          <w:tcPr>
            <w:tcW w:w="171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1&lt;Q&lt;10</w:t>
            </w:r>
          </w:p>
        </w:tc>
        <w:tc>
          <w:tcPr>
            <w:tcW w:w="214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P4</w:t>
            </w:r>
          </w:p>
        </w:tc>
        <w:tc>
          <w:tcPr>
            <w:tcW w:w="12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w:t>
            </w:r>
          </w:p>
        </w:tc>
        <w:tc>
          <w:tcPr>
            <w:tcW w:w="9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00" w:hRule="atLeast"/>
          <w:jc w:val="center"/>
        </w:trPr>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地表水环境</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p>
        </w:tc>
        <w:tc>
          <w:tcPr>
            <w:tcW w:w="124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7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14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2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w:t>
            </w:r>
          </w:p>
        </w:tc>
        <w:tc>
          <w:tcPr>
            <w:tcW w:w="9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04" w:hRule="atLeast"/>
          <w:jc w:val="center"/>
        </w:trPr>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地下水环境</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p>
        </w:tc>
        <w:tc>
          <w:tcPr>
            <w:tcW w:w="124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7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14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12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w:t>
            </w:r>
          </w:p>
        </w:tc>
        <w:tc>
          <w:tcPr>
            <w:tcW w:w="9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三</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r>
        <w:rPr>
          <w:rFonts w:hint="eastAsia" w:ascii="Times New Roman" w:hAnsi="Times New Roman" w:eastAsia="宋体" w:cs="Times New Roman"/>
          <w:b/>
          <w:bCs/>
          <w:spacing w:val="0"/>
          <w:w w:val="100"/>
          <w:position w:val="0"/>
          <w:sz w:val="30"/>
          <w:szCs w:val="30"/>
          <w:lang w:val="en-US" w:eastAsia="zh-CN"/>
        </w:rPr>
        <w:t>6.3风险事故情形分析</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6.3.1事故原因分析</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（1）危化品库</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危化品库液体物料泄漏：危化品库存放的液体物料有</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和冰醋酸，造成泄漏的原因主要是物料容器、桶罐产生裂缝发生泄漏；或因意外事故导致倾覆、破裂而产生的泄漏。</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危化品库物料火灾、爆炸：危化品库中保险粉（连二亚硫酸钠）为易燃易爆化学品，保险粉的自燃性、爆炸性、毒害性、遇水或酸易燃的性质，极易发生火灾、爆炸事故。</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危化品库受热分解：硫酸铵受热分解产生有毒的烟气SO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和NH</w:t>
      </w:r>
      <w:r>
        <w:rPr>
          <w:rFonts w:hint="eastAsia" w:cs="Times New Roman"/>
          <w:spacing w:val="0"/>
          <w:w w:val="100"/>
          <w:position w:val="0"/>
          <w:sz w:val="24"/>
          <w:szCs w:val="24"/>
          <w:vertAlign w:val="subscript"/>
          <w:lang w:val="en-US" w:eastAsia="zh-CN"/>
        </w:rPr>
        <w:t>3</w:t>
      </w:r>
      <w:r>
        <w:rPr>
          <w:rFonts w:hint="default" w:ascii="Times New Roman" w:hAnsi="Times New Roman" w:eastAsia="宋体" w:cs="Times New Roman"/>
          <w:spacing w:val="0"/>
          <w:w w:val="100"/>
          <w:position w:val="0"/>
          <w:sz w:val="24"/>
          <w:szCs w:val="24"/>
        </w:rPr>
        <w:t>，扩散进入大气环境。</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（2）车间</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①车间物料存放场所泄漏：生产厂房一层的染整车间设置有染料仓库，用于存放</w:t>
      </w:r>
      <w:r>
        <w:rPr>
          <w:rFonts w:hint="eastAsia" w:ascii="Times New Roman" w:hAnsi="Times New Roman" w:eastAsia="宋体" w:cs="Times New Roman"/>
          <w:spacing w:val="0"/>
          <w:w w:val="100"/>
          <w:position w:val="0"/>
          <w:sz w:val="24"/>
          <w:szCs w:val="24"/>
          <w:lang w:eastAsia="zh-CN"/>
        </w:rPr>
        <w:t>染料</w:t>
      </w:r>
      <w:r>
        <w:rPr>
          <w:rFonts w:hint="default" w:ascii="Times New Roman" w:hAnsi="Times New Roman" w:eastAsia="宋体" w:cs="Times New Roman"/>
          <w:spacing w:val="0"/>
          <w:w w:val="100"/>
          <w:position w:val="0"/>
          <w:sz w:val="24"/>
          <w:szCs w:val="24"/>
        </w:rPr>
        <w:t>、助剂等，大部分为液体，染料仓库储存过程中因物料容器、桶罐产生裂缝发生泄漏，或因意外事故导致倾覆、破裂而产生的泄漏。</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②物料输送：可能发生事故的环节主要有泵失效不运转（如电器故障、机械故障、设备故障等），导致液体物料、染料受压溢出、连接软管脱节直接外排。</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③物料管道：失控、误操作导致物料溢出，机械撞击或管道腐蚀穿孔导致泄漏；密封出现问题，导致连接处泄漏。</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④环保设施：环保治理设施运转不正常造成事故排放，造成环境污染的情况；废气处理系统故障、污水处理事故都可能造成环境污染。</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6.3.2最大可信事故</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最大可信事故是指在所有预测的概率不为零的事故中，对环境（或健康）危害最严重的重大事故。最大可信事故确定的目的是针对典型事故进行环境风险分析，并不意味着其它事故不具环境风险。在项目贮存运输过程中，存在许多事故风险因素，风险评价不可能面面俱到，只能尽可能考虑对环境危害最大的事故风险。本项目具有多个事故风险源点，但本次评价将主要针对能够引起人员中毒、火灾爆炸及其产生间接影响的潜在较大事故。</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根据对企业的生产特征分析，结合物质危险性识别，涉及的环境风险物质为冰醋酸、连二亚硫酸钠</w:t>
      </w:r>
      <w:r>
        <w:rPr>
          <w:rFonts w:hint="eastAsia"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硫酸铵和</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当连二亚硫酸钠出现泄漏遇到明火时，较易发生燃烧，可能造成火灾事故，火灾处理不当可能引发爆炸；相比火灾事故本身，燃烧产物进入大气环境，其传播的影响范围更大，影响的人数也更多；因此最大可信事故确定为危险化学品连二亚硫酸钠燃烧产生的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、硫酸铵受热分解产生的SO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以及冰醋酸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泄漏，具体见表6.3-1。</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表6.3-1最大可信事故设定</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1488"/>
        <w:gridCol w:w="1662"/>
        <w:gridCol w:w="587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0" w:hRule="atLeast"/>
          <w:jc w:val="center"/>
        </w:trPr>
        <w:tc>
          <w:tcPr>
            <w:tcW w:w="14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装置、区块</w:t>
            </w:r>
          </w:p>
        </w:tc>
        <w:tc>
          <w:tcPr>
            <w:tcW w:w="16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危险因子</w:t>
            </w:r>
          </w:p>
        </w:tc>
        <w:tc>
          <w:tcPr>
            <w:tcW w:w="5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0"/>
              </w:rPr>
            </w:pPr>
            <w:r>
              <w:rPr>
                <w:rFonts w:ascii="Times New Roman" w:hAnsi="Times New Roman" w:eastAsia="宋体" w:cs="宋体"/>
                <w:b/>
                <w:bCs/>
                <w:spacing w:val="0"/>
                <w:w w:val="100"/>
                <w:position w:val="0"/>
                <w:sz w:val="21"/>
                <w:szCs w:val="20"/>
              </w:rPr>
              <w:t>最大可信事故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0" w:hRule="atLeast"/>
          <w:jc w:val="center"/>
        </w:trPr>
        <w:tc>
          <w:tcPr>
            <w:tcW w:w="143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危化品库</w:t>
            </w:r>
          </w:p>
        </w:tc>
        <w:tc>
          <w:tcPr>
            <w:tcW w:w="16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连二亚硫酸钠</w:t>
            </w:r>
          </w:p>
        </w:tc>
        <w:tc>
          <w:tcPr>
            <w:tcW w:w="5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遇湿自燃燃烧产物主要为</w:t>
            </w:r>
            <w:r>
              <w:rPr>
                <w:rFonts w:ascii="Times New Roman" w:hAnsi="Times New Roman" w:eastAsia="宋体" w:cs="Times New Roman"/>
                <w:spacing w:val="0"/>
                <w:w w:val="100"/>
                <w:position w:val="0"/>
                <w:sz w:val="21"/>
                <w:szCs w:val="20"/>
              </w:rPr>
              <w:t>SO</w:t>
            </w:r>
            <w:r>
              <w:rPr>
                <w:rFonts w:ascii="Times New Roman" w:hAnsi="Times New Roman" w:eastAsia="宋体" w:cs="Times New Roman"/>
                <w:spacing w:val="0"/>
                <w:w w:val="100"/>
                <w:position w:val="0"/>
                <w:sz w:val="21"/>
                <w:szCs w:val="13"/>
                <w:vertAlign w:val="subscript"/>
              </w:rPr>
              <w:t>2</w:t>
            </w:r>
            <w:r>
              <w:rPr>
                <w:rFonts w:ascii="Times New Roman" w:hAnsi="Times New Roman" w:eastAsia="宋体" w:cs="宋体"/>
                <w:spacing w:val="0"/>
                <w:w w:val="100"/>
                <w:position w:val="0"/>
                <w:sz w:val="21"/>
                <w:szCs w:val="20"/>
              </w:rPr>
              <w:t>，扩散进入大气环境。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0" w:hRule="atLeast"/>
          <w:jc w:val="center"/>
        </w:trPr>
        <w:tc>
          <w:tcPr>
            <w:tcW w:w="14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rPr>
            </w:pPr>
          </w:p>
        </w:tc>
        <w:tc>
          <w:tcPr>
            <w:tcW w:w="16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冰醋酸</w:t>
            </w:r>
            <w:r>
              <w:rPr>
                <w:rFonts w:hint="eastAsia" w:cs="宋体"/>
                <w:spacing w:val="0"/>
                <w:w w:val="100"/>
                <w:position w:val="0"/>
                <w:sz w:val="21"/>
                <w:szCs w:val="20"/>
                <w:lang w:eastAsia="zh-CN"/>
              </w:rPr>
              <w:t>、</w:t>
            </w:r>
            <w:r>
              <w:rPr>
                <w:rFonts w:hint="eastAsia" w:ascii="Times New Roman" w:hAnsi="Times New Roman" w:eastAsia="宋体" w:cs="宋体"/>
                <w:spacing w:val="0"/>
                <w:w w:val="100"/>
                <w:position w:val="0"/>
                <w:sz w:val="21"/>
                <w:szCs w:val="20"/>
                <w:lang w:eastAsia="zh-CN"/>
              </w:rPr>
              <w:t>染料浆</w:t>
            </w:r>
            <w:r>
              <w:rPr>
                <w:rFonts w:ascii="Times New Roman" w:hAnsi="Times New Roman" w:eastAsia="宋体" w:cs="宋体"/>
                <w:spacing w:val="0"/>
                <w:w w:val="100"/>
                <w:position w:val="0"/>
                <w:sz w:val="21"/>
                <w:szCs w:val="20"/>
              </w:rPr>
              <w:t>（醋酸）</w:t>
            </w:r>
          </w:p>
        </w:tc>
        <w:tc>
          <w:tcPr>
            <w:tcW w:w="5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醋酸液体泄漏后，醋酸挥发扩散进入大气环境。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0" w:hRule="atLeast"/>
          <w:jc w:val="center"/>
        </w:trPr>
        <w:tc>
          <w:tcPr>
            <w:tcW w:w="14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rPr>
            </w:pPr>
          </w:p>
        </w:tc>
        <w:tc>
          <w:tcPr>
            <w:tcW w:w="16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硫酸铵</w:t>
            </w:r>
          </w:p>
        </w:tc>
        <w:tc>
          <w:tcPr>
            <w:tcW w:w="5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受热分解产生有毒的烟气</w:t>
            </w:r>
            <w:r>
              <w:rPr>
                <w:rFonts w:ascii="Times New Roman" w:hAnsi="Times New Roman" w:eastAsia="宋体" w:cs="Times New Roman"/>
                <w:spacing w:val="0"/>
                <w:w w:val="100"/>
                <w:position w:val="0"/>
                <w:sz w:val="21"/>
                <w:szCs w:val="20"/>
              </w:rPr>
              <w:t>SO</w:t>
            </w:r>
            <w:r>
              <w:rPr>
                <w:rFonts w:ascii="Times New Roman" w:hAnsi="Times New Roman" w:eastAsia="宋体" w:cs="Times New Roman"/>
                <w:spacing w:val="0"/>
                <w:w w:val="100"/>
                <w:position w:val="0"/>
                <w:sz w:val="21"/>
                <w:szCs w:val="13"/>
                <w:vertAlign w:val="subscript"/>
              </w:rPr>
              <w:t>2</w:t>
            </w:r>
            <w:r>
              <w:rPr>
                <w:rFonts w:ascii="Times New Roman" w:hAnsi="Times New Roman" w:eastAsia="宋体" w:cs="宋体"/>
                <w:spacing w:val="0"/>
                <w:w w:val="100"/>
                <w:position w:val="0"/>
                <w:sz w:val="21"/>
                <w:szCs w:val="20"/>
              </w:rPr>
              <w:t>和</w:t>
            </w:r>
            <w:r>
              <w:rPr>
                <w:rFonts w:ascii="Times New Roman" w:hAnsi="Times New Roman" w:eastAsia="宋体" w:cs="Times New Roman"/>
                <w:spacing w:val="0"/>
                <w:w w:val="100"/>
                <w:position w:val="0"/>
                <w:sz w:val="21"/>
                <w:szCs w:val="20"/>
              </w:rPr>
              <w:t>NH</w:t>
            </w:r>
            <w:r>
              <w:rPr>
                <w:rFonts w:ascii="Times New Roman" w:hAnsi="Times New Roman" w:eastAsia="宋体" w:cs="Times New Roman"/>
                <w:spacing w:val="0"/>
                <w:w w:val="100"/>
                <w:position w:val="0"/>
                <w:sz w:val="21"/>
                <w:szCs w:val="13"/>
                <w:vertAlign w:val="subscript"/>
              </w:rPr>
              <w:t>3</w:t>
            </w:r>
            <w:r>
              <w:rPr>
                <w:rFonts w:ascii="Times New Roman" w:hAnsi="Times New Roman" w:eastAsia="宋体" w:cs="宋体"/>
                <w:spacing w:val="0"/>
                <w:w w:val="100"/>
                <w:position w:val="0"/>
                <w:sz w:val="21"/>
                <w:szCs w:val="20"/>
              </w:rPr>
              <w:t>，扩散进入大气环境。</w:t>
            </w:r>
          </w:p>
        </w:tc>
      </w:tr>
    </w:tbl>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参考《化工装备事故分析与预防》中统计的全国化工行业事故发生情况的相关资料，事故风险发生的概率为1.1×10</w:t>
      </w:r>
      <w:r>
        <w:rPr>
          <w:rFonts w:hint="default" w:ascii="Times New Roman" w:hAnsi="Times New Roman" w:eastAsia="宋体" w:cs="Times New Roman"/>
          <w:spacing w:val="0"/>
          <w:w w:val="100"/>
          <w:position w:val="0"/>
          <w:sz w:val="24"/>
          <w:szCs w:val="24"/>
          <w:vertAlign w:val="superscript"/>
        </w:rPr>
        <w:t>-5</w:t>
      </w:r>
      <w:r>
        <w:rPr>
          <w:rFonts w:hint="default" w:ascii="Times New Roman" w:hAnsi="Times New Roman" w:eastAsia="宋体" w:cs="Times New Roman"/>
          <w:spacing w:val="0"/>
          <w:w w:val="100"/>
          <w:position w:val="0"/>
          <w:sz w:val="24"/>
          <w:szCs w:val="24"/>
        </w:rPr>
        <w:t>/a。</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r>
        <w:rPr>
          <w:rFonts w:hint="eastAsia" w:ascii="Times New Roman" w:hAnsi="Times New Roman" w:eastAsia="宋体" w:cs="Times New Roman"/>
          <w:b/>
          <w:bCs/>
          <w:spacing w:val="0"/>
          <w:w w:val="100"/>
          <w:position w:val="0"/>
          <w:sz w:val="30"/>
          <w:szCs w:val="30"/>
          <w:lang w:val="en-US" w:eastAsia="zh-CN"/>
        </w:rPr>
        <w:t>6.4大气环境风险影响分析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根据上述风险识别结果，保险粉（连二亚硫酸钠）、冰醋酸</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硫酸铵</w:t>
      </w:r>
      <w:r>
        <w:rPr>
          <w:rFonts w:hint="eastAsia" w:ascii="Times New Roman" w:hAnsi="Times New Roman" w:eastAsia="宋体" w:cs="宋体"/>
          <w:spacing w:val="0"/>
          <w:w w:val="100"/>
          <w:position w:val="0"/>
          <w:sz w:val="24"/>
          <w:szCs w:val="24"/>
          <w:lang w:eastAsia="zh-CN"/>
        </w:rPr>
        <w:t>和染料浆</w:t>
      </w:r>
      <w:r>
        <w:rPr>
          <w:rFonts w:ascii="Times New Roman" w:hAnsi="Times New Roman" w:eastAsia="宋体" w:cs="宋体"/>
          <w:spacing w:val="0"/>
          <w:w w:val="100"/>
          <w:position w:val="0"/>
          <w:sz w:val="24"/>
          <w:szCs w:val="24"/>
        </w:rPr>
        <w:t>为本项目的风险物质，因此，评价主要分析保险粉（连二亚硫酸钠）燃烧产生的</w:t>
      </w:r>
      <w:r>
        <w:rPr>
          <w:rFonts w:ascii="Times New Roman" w:hAnsi="Times New Roman" w:eastAsia="宋体" w:cs="Times New Roman"/>
          <w:spacing w:val="0"/>
          <w:w w:val="100"/>
          <w:position w:val="0"/>
          <w:sz w:val="24"/>
          <w:szCs w:val="24"/>
        </w:rPr>
        <w:t>SO</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、硫酸铵受热分解产生的</w:t>
      </w:r>
      <w:r>
        <w:rPr>
          <w:rFonts w:ascii="Times New Roman" w:hAnsi="Times New Roman" w:eastAsia="宋体" w:cs="Times New Roman"/>
          <w:spacing w:val="0"/>
          <w:w w:val="100"/>
          <w:position w:val="0"/>
          <w:sz w:val="24"/>
          <w:szCs w:val="24"/>
        </w:rPr>
        <w:t>SO</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和</w:t>
      </w:r>
      <w:r>
        <w:rPr>
          <w:rFonts w:ascii="Times New Roman" w:hAnsi="Times New Roman" w:eastAsia="宋体" w:cs="Times New Roman"/>
          <w:spacing w:val="0"/>
          <w:w w:val="100"/>
          <w:position w:val="0"/>
          <w:sz w:val="24"/>
          <w:szCs w:val="24"/>
        </w:rPr>
        <w:t>NH</w:t>
      </w:r>
      <w:r>
        <w:rPr>
          <w:rFonts w:ascii="Times New Roman" w:hAnsi="Times New Roman" w:eastAsia="宋体" w:cs="Times New Roman"/>
          <w:spacing w:val="0"/>
          <w:w w:val="100"/>
          <w:position w:val="0"/>
          <w:sz w:val="15"/>
          <w:szCs w:val="15"/>
        </w:rPr>
        <w:t>3</w:t>
      </w:r>
      <w:r>
        <w:rPr>
          <w:rFonts w:ascii="Times New Roman" w:hAnsi="Times New Roman" w:eastAsia="宋体" w:cs="宋体"/>
          <w:spacing w:val="0"/>
          <w:w w:val="100"/>
          <w:position w:val="0"/>
          <w:sz w:val="24"/>
          <w:szCs w:val="24"/>
        </w:rPr>
        <w:t>对大气环境的影响以及冰醋酸</w:t>
      </w:r>
      <w:r>
        <w:rPr>
          <w:rFonts w:hint="eastAsia" w:ascii="Times New Roman" w:hAnsi="Times New Roman" w:eastAsia="宋体" w:cs="宋体"/>
          <w:spacing w:val="0"/>
          <w:w w:val="100"/>
          <w:position w:val="0"/>
          <w:sz w:val="24"/>
          <w:szCs w:val="24"/>
          <w:lang w:eastAsia="zh-CN"/>
        </w:rPr>
        <w:t>和染料浆</w:t>
      </w:r>
      <w:r>
        <w:rPr>
          <w:rFonts w:ascii="Times New Roman" w:hAnsi="Times New Roman" w:eastAsia="宋体" w:cs="宋体"/>
          <w:spacing w:val="0"/>
          <w:w w:val="100"/>
          <w:position w:val="0"/>
          <w:sz w:val="24"/>
          <w:szCs w:val="24"/>
        </w:rPr>
        <w:t>泄漏后</w:t>
      </w:r>
      <w:r>
        <w:rPr>
          <w:rFonts w:hint="eastAsia" w:ascii="Times New Roman" w:hAnsi="Times New Roman" w:eastAsia="宋体" w:cs="宋体"/>
          <w:spacing w:val="0"/>
          <w:w w:val="100"/>
          <w:position w:val="0"/>
          <w:sz w:val="24"/>
          <w:szCs w:val="24"/>
          <w:lang w:eastAsia="zh-CN"/>
        </w:rPr>
        <w:t>醋酸</w:t>
      </w:r>
      <w:r>
        <w:rPr>
          <w:rFonts w:ascii="Times New Roman" w:hAnsi="Times New Roman" w:eastAsia="宋体" w:cs="宋体"/>
          <w:spacing w:val="0"/>
          <w:w w:val="100"/>
          <w:position w:val="0"/>
          <w:sz w:val="24"/>
          <w:szCs w:val="24"/>
        </w:rPr>
        <w:t>挥发进入大气环境的影响。</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）连二亚硫酸钠燃烧事故</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相比火灾、爆炸事故本身的影响范围，燃烧造成的</w:t>
      </w:r>
      <w:r>
        <w:rPr>
          <w:rFonts w:ascii="Times New Roman" w:hAnsi="Times New Roman" w:eastAsia="宋体" w:cs="Times New Roman"/>
          <w:spacing w:val="0"/>
          <w:w w:val="100"/>
          <w:position w:val="0"/>
          <w:sz w:val="24"/>
          <w:szCs w:val="24"/>
        </w:rPr>
        <w:t>SO</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污染范围大得多。</w:t>
      </w:r>
      <w:r>
        <w:rPr>
          <w:rFonts w:ascii="Times New Roman" w:hAnsi="Times New Roman" w:eastAsia="宋体" w:cs="Times New Roman"/>
          <w:spacing w:val="0"/>
          <w:w w:val="100"/>
          <w:position w:val="0"/>
          <w:sz w:val="24"/>
          <w:szCs w:val="24"/>
        </w:rPr>
        <w:t>SO</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进入环境空气会刺激人们的呼吸道，诱发呼吸道的各种炎症，危害人体健康；危害动植物；腐蚀金属表面；损害纸制品、纺织品、皮革制品等；可能形成酸雨，从而给生态系统以及农业、森林、水产资源等带来严重危害。因此应重点关注预防保险粉燃烧的防控措施，设多个防火分区存放保险粉并针对性配备消防设备。</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当仓库发生重大自燃事故时，应立即封锁事故现场，撤离影响范围内的无关人员。保险粉燃烧产生的主要污染物为</w:t>
      </w:r>
      <w:r>
        <w:rPr>
          <w:rFonts w:ascii="Times New Roman" w:hAnsi="Times New Roman" w:eastAsia="宋体" w:cs="Times New Roman"/>
          <w:spacing w:val="0"/>
          <w:w w:val="100"/>
          <w:position w:val="0"/>
          <w:sz w:val="24"/>
          <w:szCs w:val="24"/>
        </w:rPr>
        <w:t>SO</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，大量</w:t>
      </w:r>
      <w:r>
        <w:rPr>
          <w:rFonts w:ascii="Times New Roman" w:hAnsi="Times New Roman" w:eastAsia="宋体" w:cs="Times New Roman"/>
          <w:spacing w:val="0"/>
          <w:w w:val="100"/>
          <w:position w:val="0"/>
          <w:sz w:val="24"/>
          <w:szCs w:val="24"/>
        </w:rPr>
        <w:t>SO</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泄漏将对大气环境及人体造成危害。建设单位应针对保险粉燃烧产生</w:t>
      </w:r>
      <w:r>
        <w:rPr>
          <w:rFonts w:ascii="Times New Roman" w:hAnsi="Times New Roman" w:eastAsia="宋体" w:cs="Times New Roman"/>
          <w:spacing w:val="0"/>
          <w:w w:val="100"/>
          <w:position w:val="0"/>
          <w:sz w:val="24"/>
          <w:szCs w:val="24"/>
        </w:rPr>
        <w:t>SO</w:t>
      </w:r>
      <w:r>
        <w:rPr>
          <w:rFonts w:ascii="Times New Roman" w:hAnsi="Times New Roman" w:eastAsia="宋体" w:cs="Times New Roman"/>
          <w:spacing w:val="0"/>
          <w:w w:val="100"/>
          <w:position w:val="0"/>
          <w:sz w:val="15"/>
          <w:szCs w:val="15"/>
        </w:rPr>
        <w:t>2</w:t>
      </w:r>
      <w:r>
        <w:rPr>
          <w:rFonts w:ascii="Times New Roman" w:hAnsi="Times New Roman" w:eastAsia="宋体" w:cs="宋体"/>
          <w:spacing w:val="0"/>
          <w:w w:val="100"/>
          <w:position w:val="0"/>
          <w:sz w:val="24"/>
          <w:szCs w:val="24"/>
        </w:rPr>
        <w:t>制定相应的应急处置预案。</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）硫酸铵受热分解事故</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硫酸铵本身不可燃，但加热到</w:t>
      </w:r>
      <w:r>
        <w:rPr>
          <w:rFonts w:ascii="Times New Roman" w:hAnsi="Times New Roman" w:eastAsia="宋体" w:cs="Times New Roman"/>
          <w:spacing w:val="0"/>
          <w:w w:val="100"/>
          <w:position w:val="0"/>
          <w:sz w:val="24"/>
          <w:szCs w:val="24"/>
        </w:rPr>
        <w:t>513</w:t>
      </w:r>
      <w:r>
        <w:rPr>
          <w:rFonts w:ascii="Times New Roman" w:hAnsi="Times New Roman" w:eastAsia="宋体" w:cs="宋体"/>
          <w:spacing w:val="0"/>
          <w:w w:val="100"/>
          <w:position w:val="0"/>
          <w:sz w:val="24"/>
          <w:szCs w:val="24"/>
        </w:rPr>
        <w:t>℃以上完全分解成氨气、氮气、二氧化硫及水。氨气慢性中毒会引起慢性气管炎、肺气肿等呼吸系统病，人吸入过多，能引起肺肿胀，以至死亡。硫酸铵受热分解所需的温度较高，发生此类事故的概率很小。应将硫酸铵和其他可燃物分区存放，并加强对危化品库的巡查和监管。</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3</w:t>
      </w:r>
      <w:r>
        <w:rPr>
          <w:rFonts w:ascii="Times New Roman" w:hAnsi="Times New Roman" w:eastAsia="宋体" w:cs="宋体"/>
          <w:spacing w:val="0"/>
          <w:w w:val="100"/>
          <w:position w:val="0"/>
          <w:sz w:val="24"/>
          <w:szCs w:val="24"/>
        </w:rPr>
        <w:t>）冰醋酸（醋酸）</w:t>
      </w:r>
      <w:r>
        <w:rPr>
          <w:rFonts w:hint="eastAsia" w:ascii="Times New Roman" w:hAnsi="Times New Roman" w:eastAsia="宋体" w:cs="宋体"/>
          <w:spacing w:val="0"/>
          <w:w w:val="100"/>
          <w:position w:val="0"/>
          <w:sz w:val="24"/>
          <w:szCs w:val="24"/>
          <w:lang w:eastAsia="zh-CN"/>
        </w:rPr>
        <w:t>、染料浆（醋酸）</w:t>
      </w:r>
      <w:r>
        <w:rPr>
          <w:rFonts w:ascii="Times New Roman" w:hAnsi="Times New Roman" w:eastAsia="宋体" w:cs="宋体"/>
          <w:spacing w:val="0"/>
          <w:w w:val="100"/>
          <w:position w:val="0"/>
          <w:sz w:val="24"/>
          <w:szCs w:val="24"/>
        </w:rPr>
        <w:t>泄漏事故</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冰醋酸</w:t>
      </w:r>
      <w:r>
        <w:rPr>
          <w:rFonts w:hint="eastAsia" w:ascii="Times New Roman" w:hAnsi="Times New Roman" w:eastAsia="宋体" w:cs="宋体"/>
          <w:spacing w:val="0"/>
          <w:w w:val="100"/>
          <w:position w:val="0"/>
          <w:sz w:val="24"/>
          <w:szCs w:val="24"/>
          <w:lang w:eastAsia="zh-CN"/>
        </w:rPr>
        <w:t>、染料浆</w:t>
      </w:r>
      <w:r>
        <w:rPr>
          <w:rFonts w:ascii="Times New Roman" w:hAnsi="Times New Roman" w:eastAsia="宋体" w:cs="宋体"/>
          <w:spacing w:val="0"/>
          <w:w w:val="100"/>
          <w:position w:val="0"/>
          <w:sz w:val="24"/>
          <w:szCs w:val="24"/>
        </w:rPr>
        <w:t>泄漏后</w:t>
      </w:r>
      <w:r>
        <w:rPr>
          <w:rFonts w:hint="eastAsia" w:ascii="Times New Roman" w:hAnsi="Times New Roman" w:eastAsia="宋体" w:cs="宋体"/>
          <w:spacing w:val="0"/>
          <w:w w:val="100"/>
          <w:position w:val="0"/>
          <w:sz w:val="24"/>
          <w:szCs w:val="24"/>
          <w:lang w:eastAsia="zh-CN"/>
        </w:rPr>
        <w:t>醋酸</w:t>
      </w:r>
      <w:r>
        <w:rPr>
          <w:rFonts w:ascii="Times New Roman" w:hAnsi="Times New Roman" w:eastAsia="宋体" w:cs="宋体"/>
          <w:spacing w:val="0"/>
          <w:w w:val="100"/>
          <w:position w:val="0"/>
          <w:sz w:val="24"/>
          <w:szCs w:val="24"/>
        </w:rPr>
        <w:t>挥发扩散进入大气环境。人体吸入、食入或经皮肤吸收、吸入后，对鼻</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喉和呼吸道有刺激性</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对眼有强烈刺激作用。经皮肤接触，轻者出现红斑，重者引起化学灼伤。长时间暴露在含醋酸的大气环境中将导致眼脸水肿，结膜充血，慢性烟炎和气管炎。长期反复接触，可致皮肤干燥，脱脂和皮炎。同时醋酸蒸汽与空气会形成爆炸混合物，遇明火产生燃烧爆炸，有产生次生</w:t>
      </w:r>
      <w:r>
        <w:rPr>
          <w:rFonts w:ascii="Times New Roman" w:hAnsi="Times New Roman" w:eastAsia="宋体" w:cs="Times New Roman"/>
          <w:spacing w:val="0"/>
          <w:w w:val="100"/>
          <w:position w:val="0"/>
          <w:sz w:val="24"/>
          <w:szCs w:val="24"/>
        </w:rPr>
        <w:t>CO</w:t>
      </w:r>
      <w:r>
        <w:rPr>
          <w:rFonts w:ascii="Times New Roman" w:hAnsi="Times New Roman" w:eastAsia="宋体" w:cs="宋体"/>
          <w:spacing w:val="0"/>
          <w:w w:val="100"/>
          <w:position w:val="0"/>
          <w:sz w:val="24"/>
          <w:szCs w:val="24"/>
        </w:rPr>
        <w:t>的风险。因此应重点关注预防冰醋酸泄漏的防控措施，如生产过程加强通风排风、生产人员穿戴防护用具等。</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当桶装冰醋酸泄漏时，疏散泄漏污染</w:t>
      </w:r>
      <w:r>
        <w:rPr>
          <w:rFonts w:hint="eastAsia" w:ascii="Times New Roman" w:hAnsi="Times New Roman" w:eastAsia="宋体" w:cs="宋体"/>
          <w:spacing w:val="0"/>
          <w:w w:val="100"/>
          <w:position w:val="0"/>
          <w:sz w:val="24"/>
          <w:szCs w:val="24"/>
          <w:lang w:eastAsia="zh-CN"/>
        </w:rPr>
        <w:t>区</w:t>
      </w:r>
      <w:r>
        <w:rPr>
          <w:rFonts w:ascii="Times New Roman" w:hAnsi="Times New Roman" w:eastAsia="宋体" w:cs="宋体"/>
          <w:spacing w:val="0"/>
          <w:w w:val="100"/>
          <w:position w:val="0"/>
          <w:sz w:val="24"/>
          <w:szCs w:val="24"/>
        </w:rPr>
        <w:t>人员至安全区，禁止无关人员进入污染区，切断火源。建议应急处理人员戴自给式呼吸器，穿全封闭防护服，不要直接接触泄漏物，在确保安全的情况下堵漏。同时可以用大量水冲洗，经稀释的冲洗水排入废水系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建设单位应参照《酸类物质泄漏的处理处置方法第6部分：冰醋酸》（HG/T4335.6-2012）针对冰醋酸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泄漏制定相应的应急处置预案。</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r>
        <w:rPr>
          <w:rFonts w:hint="eastAsia" w:ascii="Times New Roman" w:hAnsi="Times New Roman" w:eastAsia="宋体" w:cs="Times New Roman"/>
          <w:b/>
          <w:bCs/>
          <w:spacing w:val="0"/>
          <w:w w:val="100"/>
          <w:position w:val="0"/>
          <w:sz w:val="30"/>
          <w:szCs w:val="30"/>
          <w:lang w:val="en-US" w:eastAsia="zh-CN"/>
        </w:rPr>
        <w:t>6.5事故废水影响分析</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6.5.1事故废水产生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本项目事故废水主要有以下几种情况：①废水管道破裂导致废水泄漏；②发生火灾时污染区域内产生了大量消防废水等。</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6.5.2事故原因及特点</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（1）废水管道破裂原因</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根据近年来污水管道泄漏、爆裂数据的统计，造成污水输送管道泄漏</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爆裂的原因可归纳为以下几方面：</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①不规范或野蛮施工等人为因素造成泄漏</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爆裂。许多建设、施工单位存在不规范或野蛮施工，在未对地下管道进行有效勘察了解的前提下盲目施工，导致挖爆、压穿输送管的事件屡次发生。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②管道埋设环境造成泄漏</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爆裂。有的管道铺设年代较早，规划不到位，管道埋深不够，加上现在的交通负载增大或建筑物骑压，导致地面发生沉降，使管道受力不均匀而发生泄漏</w:t>
      </w:r>
      <w:r>
        <w:rPr>
          <w:rFonts w:hint="eastAsia" w:ascii="Times New Roman" w:hAnsi="Times New Roman" w:eastAsia="宋体" w:cs="宋体"/>
          <w:spacing w:val="0"/>
          <w:w w:val="100"/>
          <w:position w:val="0"/>
          <w:sz w:val="24"/>
          <w:szCs w:val="24"/>
          <w:lang w:eastAsia="zh-CN"/>
        </w:rPr>
        <w:t>、</w:t>
      </w:r>
      <w:r>
        <w:rPr>
          <w:rFonts w:ascii="Times New Roman" w:hAnsi="Times New Roman" w:eastAsia="宋体" w:cs="宋体"/>
          <w:spacing w:val="0"/>
          <w:w w:val="100"/>
          <w:position w:val="0"/>
          <w:sz w:val="24"/>
          <w:szCs w:val="24"/>
        </w:rPr>
        <w:t>爆裂。同时，早期铺设的管道多铺设在基础承载能力较差的区域，由于农业灌溉、雨水渗漏等原因，使地质沉降引起管道不均匀下沉，在压力波动作用下引起的管道振动也会使管道发生破裂。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③管道接口影响。从漏点开挖现场发现，管道接口爆管主要发生在管道接口和承插式管道的刚性接口上。管道绝大多数都是现场施工，只能人工对接口进行防腐甚至没作防腐，质量不易控制，对接部位容易出现腐蚀，导致接口保护套脱落、破裂以及管体腐蚀穿孔而泄漏，爆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（2）消防及事故污水的特点</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当发生火灾等风险事故时，将用到大量消防水来灭火；或发生液体化工品泄漏时用不燃性分散剂制成的乳液刷洗产生冲洗液，或用泡沫覆盖，抑制蒸发。消防时，泄漏出来的物料混入消防水，消防水即被污染。若不采取截流措施，将可能通过雨水系统排入外部水体，对水环境造成污染。消防污水具有以下几个特点：</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①消防污水量变化大</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消防污水量与消防时实际用水量有关，而消防实际用水量与火灾严重程度密切相关。当火灾处于初期或程度比较轻时，消防实际用水量就小，产生的消防污水也就少；当火灾程度比较严重时，消防实际用水量就大，产生的消防污水也就多。</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②污水中污染物组分复杂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不同的装置泄漏，消防污水中污染物的组分都会不同，污染物的浓度也会有很大差异。本项目消防水中可能含有有害化学品成分。一旦消防用水量大于事故水池的容积，消防污水将可能进入海域，对海水水质、海洋生态环境造成较大的影响。因此，消防污水的收集与处理是十分必要的。</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6.5.3事故污水对海洋生态环境的影响分析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的未处理废水等物质对水生生物等危害较大，若在极端事故情况下，未处理废水进入水域，将对附近水域生态造成严重的影响。因此，建设单位应制定完善的风险防范措施与应急预案，杜绝未处理废水泄漏入罗源湾海域的事故发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①对罗源湾海域水质的影响</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未处理废水进入水域后将使得局部罗源湾海域的盐类、矿物油、苯、无机氮、磷酸盐等浓度明显增大，对附近罗源湾水质造成一定的影响。</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②对浮游生物的影响</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浮游生物对危险化学品等有毒有害物质和未处理废水中盐类、矿物油等物质污染比较敏感，许多浮游生物皆会因受盐类、矿物油等物质危害而惨遭厄运，食物链会被破坏，饵料基础因此遭破坏，特别是由于浮游生物缺乏运动能力，加以身体柔弱，身体多生毛、刺更易为液化产品所附着和易受污染。</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③对底栖生物的影响</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危险化学品等有毒有害物和未处理废水等进入海域中，该物质沉降可能导致该水域底栖生物窒息死亡或中毒死亡，其中一些营固着性生物的贝类等及甲壳类的虾、蟹，及对污染敏感的棘皮动物将深受其害，一些鱼类也会因此受害，幸存者也将因有臭味而降低其经济价值。</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④对渔业生产的影响</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未处理废水等进入海域后，可能将对渔业资源带来影响的同时，也可能对现有养殖区养殖生产造成较大的损失。</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为此，本项目建成后应加强安全生产的实施管理和监督工作，一旦发生事故应立即启动应急机制，将事故废水排入事故水池中，杜绝危险化学品、未处理废水等因事故排入海域中。</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6.5.4地下水环境风险影响分析</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根据《环境影响评价技术导则地下水环境》（</w:t>
      </w:r>
      <w:r>
        <w:rPr>
          <w:rFonts w:ascii="Times New Roman" w:hAnsi="Times New Roman" w:eastAsia="宋体" w:cs="Times New Roman"/>
          <w:spacing w:val="0"/>
          <w:w w:val="100"/>
          <w:position w:val="0"/>
          <w:sz w:val="24"/>
          <w:szCs w:val="24"/>
        </w:rPr>
        <w:t>HJ610-2016</w:t>
      </w:r>
      <w:r>
        <w:rPr>
          <w:rFonts w:ascii="Times New Roman" w:hAnsi="Times New Roman" w:eastAsia="宋体" w:cs="宋体"/>
          <w:spacing w:val="0"/>
          <w:w w:val="100"/>
          <w:position w:val="0"/>
          <w:sz w:val="24"/>
          <w:szCs w:val="24"/>
        </w:rPr>
        <w:t>），按照项目性质，本项目将区域划分为一般污染防治区、重点污染防治区、简单污染防治区，针对不同的区域提出相应的防渗要求，可有效防止危险物质泄漏对地下水的影响；并通过加强监管和设置地下水监测井，监控地下水污染情况，正常情况下不会发生渗漏。</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spacing w:val="0"/>
          <w:w w:val="100"/>
          <w:position w:val="0"/>
        </w:rPr>
      </w:pPr>
      <w:r>
        <w:rPr>
          <w:rFonts w:ascii="Times New Roman" w:hAnsi="Times New Roman" w:eastAsia="宋体" w:cs="宋体"/>
          <w:spacing w:val="0"/>
          <w:w w:val="100"/>
          <w:position w:val="0"/>
          <w:sz w:val="24"/>
          <w:szCs w:val="24"/>
        </w:rPr>
        <w:t>本项目事故状态下发生渗漏对地下水的环境风险预测情况详见</w:t>
      </w:r>
      <w:r>
        <w:rPr>
          <w:rFonts w:hint="eastAsia" w:cs="宋体"/>
          <w:spacing w:val="0"/>
          <w:w w:val="100"/>
          <w:position w:val="0"/>
          <w:sz w:val="24"/>
          <w:szCs w:val="24"/>
          <w:lang w:val="en-US" w:eastAsia="zh-CN"/>
        </w:rPr>
        <w:t>5.3.3章</w:t>
      </w:r>
      <w:r>
        <w:rPr>
          <w:rFonts w:ascii="Times New Roman" w:hAnsi="Times New Roman" w:eastAsia="宋体" w:cs="宋体"/>
          <w:spacing w:val="0"/>
          <w:w w:val="100"/>
          <w:position w:val="0"/>
          <w:sz w:val="24"/>
          <w:szCs w:val="24"/>
        </w:rPr>
        <w:t>节。</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bookmarkStart w:id="1" w:name="bookmark40"/>
      <w:bookmarkEnd w:id="1"/>
      <w:r>
        <w:rPr>
          <w:rFonts w:hint="eastAsia" w:ascii="Times New Roman" w:hAnsi="Times New Roman" w:eastAsia="宋体" w:cs="Times New Roman"/>
          <w:b/>
          <w:bCs/>
          <w:spacing w:val="0"/>
          <w:w w:val="100"/>
          <w:position w:val="0"/>
          <w:sz w:val="30"/>
          <w:szCs w:val="30"/>
          <w:lang w:val="en-US" w:eastAsia="zh-CN"/>
        </w:rPr>
        <w:t>6.6环境风险防范措施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由于环境风险具有突发性和破坏性（有时体现为灾难性）的特点，所以必须采取措施加以防范，加强控制和管理是杜绝、减轻和避免环境风险的有效方法。</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6.6.1管理措施</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①应按照相关法律、法规要求，组织全厂环境污染事故应急预案，应急预案应具备可操作性和针对性，应急救援保障措施和事故预防措施应切实可行、有效。</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②本项目环境污染事故应急预案要做到与当地政府《突发环境事件应急预案》的</w:t>
      </w:r>
      <w:r>
        <w:rPr>
          <w:rFonts w:hint="eastAsia" w:ascii="Times New Roman" w:hAnsi="Times New Roman" w:eastAsia="宋体" w:cs="宋体"/>
          <w:spacing w:val="0"/>
          <w:w w:val="100"/>
          <w:position w:val="0"/>
          <w:sz w:val="24"/>
          <w:szCs w:val="24"/>
          <w:lang w:eastAsia="zh-CN"/>
        </w:rPr>
        <w:t>衔接</w:t>
      </w:r>
      <w:r>
        <w:rPr>
          <w:rFonts w:ascii="Times New Roman" w:hAnsi="Times New Roman" w:eastAsia="宋体" w:cs="宋体"/>
          <w:spacing w:val="0"/>
          <w:w w:val="100"/>
          <w:position w:val="0"/>
          <w:sz w:val="24"/>
          <w:szCs w:val="24"/>
        </w:rPr>
        <w:t>及联动，要做到责任到位，落实到人，常备不懈。</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③做到企业主管和危险化学品管理人员人手一册环境应急手册，认真组织相关人员学习相应的环保法律法规、化学品安全防护知识和应急救援知识。</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④委托有资质的单位对全厂危险化学品使用贮存进行安全评价，并按照安全评价措施严格落实到位。</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⑤根据《生产经营单位安全生产事故应急预案编制导则》（AQ/T9002～2006）建立起专项应急措施。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⑥为防范化学品仓库事故风险，企业应完善应急事故专项资金、专用物资储备、通信、技术以及人员防护等方面做好充分的准备。</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⑦加强管理。企业要严格执行国家有关法规、法令、设计规范、管理办法，并结合各级政府及有关行政主管部门的要求进行整改。须经劳动卫生、安全、消防、环保等有关部门全面验收合格后方可继续生产，严格执行行业安全生产有关规定。</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6.6.2设置事故应急池</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对可能造成污染的工艺装置采用围堰进行分隔。此外，其它可能造成污染的工艺装置区域内的事故污水由围坎和沟/或管收集经水封井后重力流入事故排水管道，排至事故池。本项目采用以下两种方法分别计算事故池的最小容积：</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方法一：</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事故应急池的设计参照《建筑设计防火规范》（GB50016-2014）（2018修订）、《消防给水及消火栓系统技术规范》（GB50971-2014）及《事故状态下水体污染的预防和控制规范》（Q/SY08190-2019）的相关规定确定，事故储存设施总有效容积计算公式如下：</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ascii="Times New Roman" w:hAnsi="Times New Roman" w:eastAsia="宋体" w:cs="Times New Roman"/>
          <w:spacing w:val="0"/>
          <w:w w:val="100"/>
          <w:position w:val="0"/>
          <w:sz w:val="15"/>
          <w:szCs w:val="15"/>
        </w:rPr>
      </w:pPr>
      <w:r>
        <w:rPr>
          <w:rFonts w:ascii="Times New Roman" w:hAnsi="Times New Roman" w:eastAsia="宋体" w:cs="Times New Roman"/>
          <w:i/>
          <w:iCs/>
          <w:spacing w:val="0"/>
          <w:w w:val="100"/>
          <w:position w:val="0"/>
          <w:sz w:val="24"/>
          <w:szCs w:val="24"/>
        </w:rPr>
        <w:t>V</w:t>
      </w:r>
      <w:r>
        <w:rPr>
          <w:rFonts w:ascii="Times New Roman" w:hAnsi="Times New Roman" w:eastAsia="宋体" w:cs="宋体"/>
          <w:spacing w:val="0"/>
          <w:w w:val="100"/>
          <w:position w:val="0"/>
          <w:sz w:val="12"/>
          <w:szCs w:val="12"/>
        </w:rPr>
        <w:t>总</w:t>
      </w:r>
      <w:r>
        <w:rPr>
          <w:rFonts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1</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2</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3</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15"/>
          <w:szCs w:val="15"/>
        </w:rPr>
        <w:t>max</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4</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5</w:t>
      </w:r>
    </w:p>
    <w:p>
      <w:pPr>
        <w:keepNext w:val="0"/>
        <w:keepLines w:val="0"/>
        <w:pageBreakBefore w:val="0"/>
        <w:widowControl/>
        <w:kinsoku/>
        <w:wordWrap/>
        <w:overflowPunct/>
        <w:topLinePunct w:val="0"/>
        <w:autoSpaceDE/>
        <w:autoSpaceDN/>
        <w:bidi w:val="0"/>
        <w:adjustRightInd w:val="0"/>
        <w:snapToGrid w:val="0"/>
        <w:spacing w:line="360" w:lineRule="auto"/>
        <w:ind w:right="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注：（</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1</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2</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3</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15"/>
          <w:szCs w:val="15"/>
        </w:rPr>
        <w:t>max</w:t>
      </w:r>
      <w:r>
        <w:rPr>
          <w:rFonts w:ascii="Times New Roman" w:hAnsi="Times New Roman" w:eastAsia="宋体" w:cs="宋体"/>
          <w:spacing w:val="0"/>
          <w:w w:val="100"/>
          <w:position w:val="0"/>
          <w:sz w:val="24"/>
          <w:szCs w:val="24"/>
        </w:rPr>
        <w:t>是指对收集系统范围内不同罐组或装置分别计算</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1</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2</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3</w:t>
      </w:r>
      <w:r>
        <w:rPr>
          <w:rFonts w:ascii="Times New Roman" w:hAnsi="Times New Roman" w:eastAsia="宋体" w:cs="宋体"/>
          <w:spacing w:val="0"/>
          <w:w w:val="100"/>
          <w:position w:val="0"/>
          <w:sz w:val="24"/>
          <w:szCs w:val="24"/>
        </w:rPr>
        <w:t>，取其中最大值。</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i/>
          <w:iCs/>
          <w:spacing w:val="0"/>
          <w:w w:val="100"/>
          <w:position w:val="0"/>
          <w:sz w:val="24"/>
          <w:szCs w:val="24"/>
        </w:rPr>
        <w:t>V</w:t>
      </w:r>
      <w:r>
        <w:rPr>
          <w:rFonts w:hint="default" w:ascii="Times New Roman" w:hAnsi="Times New Roman" w:eastAsia="宋体" w:cs="Times New Roman"/>
          <w:i/>
          <w:iCs/>
          <w:spacing w:val="0"/>
          <w:w w:val="100"/>
          <w:position w:val="0"/>
          <w:sz w:val="24"/>
          <w:szCs w:val="24"/>
          <w:vertAlign w:val="subscript"/>
        </w:rPr>
        <w:t>1</w:t>
      </w:r>
      <w:r>
        <w:rPr>
          <w:rFonts w:hint="default" w:ascii="Times New Roman" w:hAnsi="Times New Roman" w:eastAsia="宋体" w:cs="Times New Roman"/>
          <w:spacing w:val="0"/>
          <w:w w:val="100"/>
          <w:position w:val="0"/>
          <w:sz w:val="24"/>
          <w:szCs w:val="24"/>
        </w:rPr>
        <w:t>——收集系统范围内发生事故的一个罐组或一套装置的物料量（注：储存相同物料的罐组按一个最大储罐计，装置物料量按存留最大物料量的一台反应器或中间储罐计）；</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2</w:t>
      </w:r>
      <w:r>
        <w:rPr>
          <w:rFonts w:hint="default" w:ascii="Times New Roman" w:hAnsi="Times New Roman" w:eastAsia="宋体" w:cs="Times New Roman"/>
          <w:spacing w:val="0"/>
          <w:w w:val="100"/>
          <w:position w:val="0"/>
          <w:sz w:val="24"/>
          <w:szCs w:val="24"/>
        </w:rPr>
        <w:t>——发生事故的储罐或装置的消防水量，</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3</w:t>
      </w:r>
      <w:r>
        <w:rPr>
          <w:rFonts w:hint="default" w:ascii="Times New Roman" w:hAnsi="Times New Roman" w:eastAsia="宋体" w:cs="Times New Roman"/>
          <w:spacing w:val="0"/>
          <w:w w:val="100"/>
          <w:position w:val="0"/>
          <w:sz w:val="24"/>
          <w:szCs w:val="24"/>
        </w:rPr>
        <w:t>——发生事故时可以转输到其他储存或处理设施的物料量，</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4</w:t>
      </w:r>
      <w:r>
        <w:rPr>
          <w:rFonts w:hint="default" w:ascii="Times New Roman" w:hAnsi="Times New Roman" w:eastAsia="宋体" w:cs="Times New Roman"/>
          <w:spacing w:val="0"/>
          <w:w w:val="100"/>
          <w:position w:val="0"/>
          <w:sz w:val="24"/>
          <w:szCs w:val="24"/>
        </w:rPr>
        <w:t>——发生事故时仍必须进入该收集系统的生产废水量，</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5</w:t>
      </w:r>
      <w:r>
        <w:rPr>
          <w:rFonts w:hint="default" w:ascii="Times New Roman" w:hAnsi="Times New Roman" w:eastAsia="宋体" w:cs="Times New Roman"/>
          <w:spacing w:val="0"/>
          <w:w w:val="100"/>
          <w:position w:val="0"/>
          <w:sz w:val="24"/>
          <w:szCs w:val="24"/>
        </w:rPr>
        <w:t>——发生事故时可能进入该收集系统的降雨量，</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5</w:t>
      </w:r>
      <w:r>
        <w:rPr>
          <w:rFonts w:hint="default" w:ascii="Times New Roman" w:hAnsi="Times New Roman" w:eastAsia="宋体" w:cs="Times New Roman"/>
          <w:spacing w:val="0"/>
          <w:w w:val="100"/>
          <w:position w:val="0"/>
          <w:sz w:val="24"/>
          <w:szCs w:val="24"/>
        </w:rPr>
        <w:t>=10qF；q=q</w:t>
      </w:r>
      <w:r>
        <w:rPr>
          <w:rFonts w:hint="default" w:ascii="Times New Roman" w:hAnsi="Times New Roman" w:eastAsia="宋体" w:cs="Times New Roman"/>
          <w:spacing w:val="0"/>
          <w:w w:val="100"/>
          <w:position w:val="0"/>
          <w:sz w:val="24"/>
          <w:szCs w:val="24"/>
          <w:vertAlign w:val="subscript"/>
        </w:rPr>
        <w:t>a</w:t>
      </w:r>
      <w:r>
        <w:rPr>
          <w:rFonts w:hint="default" w:ascii="Times New Roman" w:hAnsi="Times New Roman" w:eastAsia="宋体" w:cs="Times New Roman"/>
          <w:spacing w:val="0"/>
          <w:w w:val="100"/>
          <w:position w:val="0"/>
          <w:sz w:val="24"/>
          <w:szCs w:val="24"/>
        </w:rPr>
        <w:t>/n</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q</w:t>
      </w:r>
      <w:r>
        <w:rPr>
          <w:rFonts w:hint="default" w:ascii="Times New Roman" w:hAnsi="Times New Roman" w:eastAsia="宋体" w:cs="Times New Roman"/>
          <w:spacing w:val="0"/>
          <w:w w:val="100"/>
          <w:position w:val="0"/>
          <w:sz w:val="24"/>
          <w:szCs w:val="24"/>
          <w:vertAlign w:val="subscript"/>
        </w:rPr>
        <w:t>a</w:t>
      </w:r>
      <w:r>
        <w:rPr>
          <w:rFonts w:hint="default" w:ascii="Times New Roman" w:hAnsi="Times New Roman" w:eastAsia="宋体" w:cs="Times New Roman"/>
          <w:spacing w:val="0"/>
          <w:w w:val="100"/>
          <w:position w:val="0"/>
          <w:sz w:val="24"/>
          <w:szCs w:val="24"/>
        </w:rPr>
        <w:t>——降雨强度，mm；年平均降雨量，1551.5mm；</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n——降雨天数，d，约120d；</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F——必须进入事故废水收集系统的雨水汇水面积，</w:t>
      </w:r>
      <w:r>
        <w:rPr>
          <w:rFonts w:hint="eastAsia" w:ascii="Times New Roman" w:hAnsi="Times New Roman" w:eastAsia="宋体" w:cs="Times New Roman"/>
          <w:spacing w:val="0"/>
          <w:w w:val="100"/>
          <w:position w:val="0"/>
          <w:sz w:val="24"/>
          <w:szCs w:val="24"/>
          <w:lang w:val="en-US" w:eastAsia="zh-CN"/>
        </w:rPr>
        <w:t>2.34</w:t>
      </w:r>
      <w:r>
        <w:rPr>
          <w:rFonts w:hint="default" w:ascii="Times New Roman" w:hAnsi="Times New Roman" w:eastAsia="宋体" w:cs="Times New Roman"/>
          <w:spacing w:val="0"/>
          <w:w w:val="100"/>
          <w:position w:val="0"/>
          <w:sz w:val="24"/>
          <w:szCs w:val="24"/>
        </w:rPr>
        <w:t>ha。</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本项目取值依据：</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i/>
          <w:iCs/>
          <w:spacing w:val="0"/>
          <w:w w:val="100"/>
          <w:position w:val="0"/>
          <w:sz w:val="24"/>
          <w:szCs w:val="24"/>
        </w:rPr>
        <w:t>V</w:t>
      </w:r>
      <w:r>
        <w:rPr>
          <w:rFonts w:hint="default" w:ascii="Times New Roman" w:hAnsi="Times New Roman" w:eastAsia="宋体" w:cs="Times New Roman"/>
          <w:i/>
          <w:iCs/>
          <w:spacing w:val="0"/>
          <w:w w:val="100"/>
          <w:position w:val="0"/>
          <w:sz w:val="24"/>
          <w:szCs w:val="24"/>
          <w:vertAlign w:val="subscript"/>
        </w:rPr>
        <w:t>1</w:t>
      </w:r>
      <w:r>
        <w:rPr>
          <w:rFonts w:hint="default" w:ascii="Times New Roman" w:hAnsi="Times New Roman" w:eastAsia="宋体" w:cs="Times New Roman"/>
          <w:spacing w:val="0"/>
          <w:w w:val="100"/>
          <w:position w:val="0"/>
          <w:sz w:val="24"/>
          <w:szCs w:val="24"/>
        </w:rPr>
        <w:t>：本项目不设储罐，液体原辅材料均采用桶装；故按装置的物料量考虑</w:t>
      </w:r>
      <w:r>
        <w:rPr>
          <w:rFonts w:hint="default" w:ascii="Times New Roman" w:hAnsi="Times New Roman" w:eastAsia="宋体" w:cs="Times New Roman"/>
          <w:i/>
          <w:iCs/>
          <w:spacing w:val="0"/>
          <w:w w:val="100"/>
          <w:position w:val="0"/>
          <w:sz w:val="24"/>
          <w:szCs w:val="24"/>
        </w:rPr>
        <w:t>V</w:t>
      </w:r>
      <w:r>
        <w:rPr>
          <w:rFonts w:hint="default" w:ascii="Times New Roman" w:hAnsi="Times New Roman" w:eastAsia="宋体" w:cs="Times New Roman"/>
          <w:i/>
          <w:iCs/>
          <w:spacing w:val="0"/>
          <w:w w:val="100"/>
          <w:position w:val="0"/>
          <w:sz w:val="24"/>
          <w:szCs w:val="24"/>
          <w:vertAlign w:val="subscript"/>
        </w:rPr>
        <w:t>1</w:t>
      </w:r>
      <w:r>
        <w:rPr>
          <w:rFonts w:hint="default" w:ascii="Times New Roman" w:hAnsi="Times New Roman" w:eastAsia="宋体" w:cs="Times New Roman"/>
          <w:spacing w:val="0"/>
          <w:w w:val="100"/>
          <w:position w:val="0"/>
          <w:sz w:val="24"/>
          <w:szCs w:val="24"/>
        </w:rPr>
        <w:t>，染整车间染料通过化料桶输送，最大的化料桶为500L，故</w:t>
      </w:r>
      <w:r>
        <w:rPr>
          <w:rFonts w:hint="default" w:ascii="Times New Roman" w:hAnsi="Times New Roman" w:eastAsia="宋体" w:cs="Times New Roman"/>
          <w:i/>
          <w:iCs/>
          <w:spacing w:val="0"/>
          <w:w w:val="100"/>
          <w:position w:val="0"/>
          <w:sz w:val="24"/>
          <w:szCs w:val="24"/>
        </w:rPr>
        <w:t>V</w:t>
      </w:r>
      <w:r>
        <w:rPr>
          <w:rFonts w:hint="default" w:ascii="Times New Roman" w:hAnsi="Times New Roman" w:eastAsia="宋体" w:cs="Times New Roman"/>
          <w:i/>
          <w:iCs/>
          <w:spacing w:val="0"/>
          <w:w w:val="100"/>
          <w:position w:val="0"/>
          <w:sz w:val="24"/>
          <w:szCs w:val="24"/>
          <w:vertAlign w:val="subscript"/>
        </w:rPr>
        <w:t>1</w:t>
      </w:r>
      <w:r>
        <w:rPr>
          <w:rFonts w:hint="default" w:ascii="Times New Roman" w:hAnsi="Times New Roman" w:eastAsia="宋体" w:cs="Times New Roman"/>
          <w:spacing w:val="0"/>
          <w:w w:val="100"/>
          <w:position w:val="0"/>
          <w:sz w:val="24"/>
          <w:szCs w:val="24"/>
        </w:rPr>
        <w:t>=0.5</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2</w:t>
      </w:r>
      <w:r>
        <w:rPr>
          <w:rFonts w:hint="default" w:ascii="Times New Roman" w:hAnsi="Times New Roman" w:eastAsia="宋体" w:cs="Times New Roman"/>
          <w:spacing w:val="0"/>
          <w:w w:val="100"/>
          <w:position w:val="0"/>
          <w:sz w:val="24"/>
          <w:szCs w:val="24"/>
        </w:rPr>
        <w:t>：根据《建筑设计防火规范》（GB50016-2014）（2018修订）、《消防给水及消火栓系统技术规范》（GB50971-2014）的相关规定确定：发生事故的储罐或装置的消防水量=消火栓用水量×火灾延续时间×同一时间内的火灾次数。本项目总用地</w:t>
      </w:r>
      <w:r>
        <w:rPr>
          <w:rFonts w:hint="default" w:ascii="Times New Roman" w:hAnsi="Times New Roman" w:eastAsia="宋体" w:cs="Times New Roman"/>
          <w:spacing w:val="0"/>
          <w:w w:val="100"/>
          <w:position w:val="0"/>
          <w:sz w:val="24"/>
          <w:szCs w:val="24"/>
          <w:lang w:eastAsia="zh-CN"/>
        </w:rPr>
        <w:t>面积</w:t>
      </w:r>
      <w:r>
        <w:rPr>
          <w:rFonts w:hint="default" w:ascii="Times New Roman" w:hAnsi="Times New Roman" w:eastAsia="宋体" w:cs="Times New Roman"/>
          <w:spacing w:val="0"/>
          <w:w w:val="100"/>
          <w:position w:val="0"/>
          <w:sz w:val="24"/>
          <w:szCs w:val="24"/>
          <w:lang w:val="en-US" w:eastAsia="zh-CN"/>
        </w:rPr>
        <w:t>40000</w:t>
      </w:r>
      <w:r>
        <w:rPr>
          <w:rFonts w:hint="eastAsia"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2</w:t>
      </w:r>
      <w:r>
        <w:rPr>
          <w:rFonts w:hint="default" w:ascii="Times New Roman" w:hAnsi="Times New Roman" w:eastAsia="宋体" w:cs="Times New Roman"/>
          <w:spacing w:val="0"/>
          <w:w w:val="100"/>
          <w:position w:val="0"/>
          <w:sz w:val="24"/>
          <w:szCs w:val="24"/>
        </w:rPr>
        <w:t>&lt;100</w:t>
      </w:r>
      <w:r>
        <w:rPr>
          <w:rFonts w:hint="eastAsia" w:ascii="Times New Roman" w:hAnsi="Times New Roman" w:eastAsia="宋体" w:cs="Times New Roman"/>
          <w:spacing w:val="0"/>
          <w:w w:val="100"/>
          <w:position w:val="0"/>
          <w:sz w:val="24"/>
          <w:szCs w:val="24"/>
          <w:lang w:val="en-US" w:eastAsia="zh-CN"/>
        </w:rPr>
        <w:t>h</w:t>
      </w:r>
      <w:r>
        <w:rPr>
          <w:rFonts w:hint="eastAsia"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2</w:t>
      </w:r>
      <w:r>
        <w:rPr>
          <w:rFonts w:hint="default" w:ascii="Times New Roman" w:hAnsi="Times New Roman" w:eastAsia="宋体" w:cs="Times New Roman"/>
          <w:spacing w:val="0"/>
          <w:w w:val="100"/>
          <w:position w:val="0"/>
          <w:sz w:val="24"/>
          <w:szCs w:val="24"/>
        </w:rPr>
        <w:t>，同一时间内的火灾起数应按1起；项目厂房设计为丙类、耐火等级为</w:t>
      </w:r>
      <w:r>
        <w:rPr>
          <w:rFonts w:hint="default" w:ascii="Times New Roman" w:hAnsi="Times New Roman" w:eastAsia="宋体" w:cs="Times New Roman"/>
          <w:spacing w:val="0"/>
          <w:w w:val="100"/>
          <w:position w:val="0"/>
          <w:sz w:val="24"/>
          <w:szCs w:val="24"/>
          <w:lang w:eastAsia="zh-CN"/>
        </w:rPr>
        <w:t>一</w:t>
      </w:r>
      <w:r>
        <w:rPr>
          <w:rFonts w:hint="default" w:ascii="Times New Roman" w:hAnsi="Times New Roman" w:eastAsia="宋体" w:cs="Times New Roman"/>
          <w:spacing w:val="0"/>
          <w:w w:val="100"/>
          <w:position w:val="0"/>
          <w:sz w:val="24"/>
          <w:szCs w:val="24"/>
        </w:rPr>
        <w:t>级，生产厂房（V=</w:t>
      </w:r>
      <w:r>
        <w:rPr>
          <w:rFonts w:hint="default" w:ascii="Times New Roman" w:hAnsi="Times New Roman" w:eastAsia="宋体" w:cs="Times New Roman"/>
          <w:spacing w:val="0"/>
          <w:w w:val="100"/>
          <w:position w:val="0"/>
          <w:sz w:val="24"/>
          <w:szCs w:val="24"/>
          <w:lang w:val="en-US" w:eastAsia="zh-CN"/>
        </w:rPr>
        <w:t>558849</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&gt;50000</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）发生火灾时消火栓设计流量最大为40L/s；生产厂房高度为23.</w:t>
      </w:r>
      <w:r>
        <w:rPr>
          <w:rFonts w:hint="default" w:ascii="Times New Roman" w:hAnsi="Times New Roman" w:eastAsia="宋体" w:cs="Times New Roman"/>
          <w:spacing w:val="0"/>
          <w:w w:val="100"/>
          <w:position w:val="0"/>
          <w:sz w:val="24"/>
          <w:szCs w:val="24"/>
          <w:lang w:val="en-US" w:eastAsia="zh-CN"/>
        </w:rPr>
        <w:t>9</w:t>
      </w:r>
      <w:r>
        <w:rPr>
          <w:rFonts w:hint="default" w:ascii="Times New Roman" w:hAnsi="Times New Roman" w:eastAsia="宋体" w:cs="Times New Roman"/>
          <w:spacing w:val="0"/>
          <w:w w:val="100"/>
          <w:position w:val="0"/>
          <w:sz w:val="24"/>
          <w:szCs w:val="24"/>
        </w:rPr>
        <w:t>m（&lt;24m），火灾延续时间取3h，则本项目消防水量计算值为</w:t>
      </w:r>
      <w:r>
        <w:rPr>
          <w:rFonts w:hint="eastAsia" w:cs="Times New Roman"/>
          <w:spacing w:val="0"/>
          <w:w w:val="100"/>
          <w:position w:val="0"/>
          <w:sz w:val="24"/>
          <w:szCs w:val="24"/>
          <w:lang w:val="en-US" w:eastAsia="zh-CN"/>
        </w:rPr>
        <w:t>432</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ascii="Times New Roman" w:hAnsi="Times New Roman" w:eastAsia="宋体" w:cs="Times New Roman"/>
          <w:i/>
          <w:iCs/>
          <w:spacing w:val="0"/>
          <w:w w:val="100"/>
          <w:position w:val="0"/>
          <w:sz w:val="24"/>
          <w:szCs w:val="24"/>
        </w:rPr>
        <w:t>V</w:t>
      </w:r>
      <w:r>
        <w:rPr>
          <w:rFonts w:hint="eastAsia" w:ascii="Times New Roman" w:hAnsi="Times New Roman" w:eastAsia="宋体" w:cs="Times New Roman"/>
          <w:spacing w:val="0"/>
          <w:w w:val="100"/>
          <w:position w:val="0"/>
          <w:sz w:val="15"/>
          <w:szCs w:val="15"/>
          <w:lang w:val="en-US" w:eastAsia="zh-CN"/>
        </w:rPr>
        <w:t>3</w:t>
      </w:r>
      <w:r>
        <w:rPr>
          <w:rFonts w:hint="default"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4</w:t>
      </w:r>
      <w:r>
        <w:rPr>
          <w:rFonts w:hint="default" w:ascii="Times New Roman" w:hAnsi="Times New Roman" w:eastAsia="宋体" w:cs="Times New Roman"/>
          <w:spacing w:val="0"/>
          <w:w w:val="100"/>
          <w:position w:val="0"/>
          <w:sz w:val="24"/>
          <w:szCs w:val="24"/>
        </w:rPr>
        <w:t>：发生事故时厂区无其他储存容量及必须进入应急收集系统的生产废水取0；</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ascii="Times New Roman" w:hAnsi="Times New Roman" w:eastAsia="宋体" w:cs="Times New Roman"/>
          <w:i/>
          <w:iCs/>
          <w:spacing w:val="0"/>
          <w:w w:val="100"/>
          <w:position w:val="0"/>
          <w:sz w:val="24"/>
          <w:szCs w:val="24"/>
        </w:rPr>
        <w:t>V</w:t>
      </w:r>
      <w:r>
        <w:rPr>
          <w:rFonts w:hint="eastAsia" w:ascii="Times New Roman" w:hAnsi="Times New Roman" w:eastAsia="宋体" w:cs="Times New Roman"/>
          <w:spacing w:val="0"/>
          <w:w w:val="100"/>
          <w:position w:val="0"/>
          <w:sz w:val="15"/>
          <w:szCs w:val="15"/>
          <w:lang w:val="en-US" w:eastAsia="zh-CN"/>
        </w:rPr>
        <w:t>5</w:t>
      </w:r>
      <w:r>
        <w:rPr>
          <w:rFonts w:hint="default" w:ascii="Times New Roman" w:hAnsi="Times New Roman" w:eastAsia="宋体" w:cs="Times New Roman"/>
          <w:spacing w:val="0"/>
          <w:w w:val="100"/>
          <w:position w:val="0"/>
          <w:sz w:val="24"/>
          <w:szCs w:val="24"/>
        </w:rPr>
        <w:t>：根据连江气象站统计资料年平均降雨量为1551.5mm，降雨天数约为120d，故全厂需进入事故池的降水量</w:t>
      </w:r>
      <w:r>
        <w:rPr>
          <w:rFonts w:ascii="Times New Roman" w:hAnsi="Times New Roman" w:eastAsia="宋体" w:cs="Times New Roman"/>
          <w:i/>
          <w:iCs/>
          <w:spacing w:val="0"/>
          <w:w w:val="100"/>
          <w:position w:val="0"/>
          <w:sz w:val="24"/>
          <w:szCs w:val="24"/>
        </w:rPr>
        <w:t>V</w:t>
      </w:r>
      <w:r>
        <w:rPr>
          <w:rFonts w:hint="eastAsia" w:ascii="Times New Roman" w:hAnsi="Times New Roman" w:eastAsia="宋体" w:cs="Times New Roman"/>
          <w:spacing w:val="0"/>
          <w:w w:val="100"/>
          <w:position w:val="0"/>
          <w:sz w:val="15"/>
          <w:szCs w:val="15"/>
          <w:lang w:val="en-US" w:eastAsia="zh-CN"/>
        </w:rPr>
        <w:t>5</w:t>
      </w:r>
      <w:r>
        <w:rPr>
          <w:rFonts w:hint="default" w:ascii="Times New Roman" w:hAnsi="Times New Roman" w:eastAsia="宋体" w:cs="Times New Roman"/>
          <w:spacing w:val="0"/>
          <w:w w:val="100"/>
          <w:position w:val="0"/>
          <w:sz w:val="24"/>
          <w:szCs w:val="24"/>
        </w:rPr>
        <w:t>=</w:t>
      </w:r>
      <w:r>
        <w:rPr>
          <w:rFonts w:hint="eastAsia" w:ascii="Times New Roman" w:hAnsi="Times New Roman" w:eastAsia="宋体" w:cs="Times New Roman"/>
          <w:spacing w:val="0"/>
          <w:w w:val="100"/>
          <w:position w:val="0"/>
          <w:sz w:val="24"/>
          <w:szCs w:val="24"/>
          <w:lang w:val="en-US" w:eastAsia="zh-CN"/>
        </w:rPr>
        <w:t>302.54m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本项目的事故废水最大值为</w:t>
      </w:r>
      <w:r>
        <w:rPr>
          <w:rFonts w:hint="default" w:ascii="Times New Roman" w:hAnsi="Times New Roman" w:eastAsia="宋体" w:cs="Times New Roman"/>
          <w:i/>
          <w:iCs/>
          <w:spacing w:val="0"/>
          <w:w w:val="100"/>
          <w:position w:val="0"/>
          <w:sz w:val="24"/>
          <w:szCs w:val="24"/>
        </w:rPr>
        <w:t>V</w:t>
      </w:r>
      <w:r>
        <w:rPr>
          <w:rFonts w:hint="default" w:ascii="Times New Roman" w:hAnsi="Times New Roman" w:eastAsia="宋体" w:cs="Times New Roman"/>
          <w:i w:val="0"/>
          <w:iCs w:val="0"/>
          <w:spacing w:val="0"/>
          <w:w w:val="100"/>
          <w:position w:val="0"/>
          <w:sz w:val="24"/>
          <w:szCs w:val="24"/>
          <w:vertAlign w:val="subscript"/>
        </w:rPr>
        <w:t>事故废水</w:t>
      </w:r>
      <w:r>
        <w:rPr>
          <w:rFonts w:hint="default" w:ascii="Times New Roman" w:hAnsi="Times New Roman" w:eastAsia="宋体" w:cs="Times New Roman"/>
          <w:spacing w:val="0"/>
          <w:w w:val="100"/>
          <w:position w:val="0"/>
          <w:sz w:val="24"/>
          <w:szCs w:val="24"/>
        </w:rPr>
        <w:t>=</w:t>
      </w:r>
      <w:r>
        <w:rPr>
          <w:rFonts w:ascii="Times New Roman" w:hAnsi="Times New Roman" w:eastAsia="宋体" w:cs="宋体"/>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1</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2</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3</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15"/>
          <w:szCs w:val="15"/>
        </w:rPr>
        <w:t>max</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4</w:t>
      </w:r>
      <w:r>
        <w:rPr>
          <w:rFonts w:ascii="Times New Roman" w:hAnsi="Times New Roman" w:eastAsia="宋体" w:cs="Times New Roman"/>
          <w:spacing w:val="0"/>
          <w:w w:val="100"/>
          <w:position w:val="0"/>
          <w:sz w:val="24"/>
          <w:szCs w:val="24"/>
        </w:rPr>
        <w:t>+</w:t>
      </w:r>
      <w:r>
        <w:rPr>
          <w:rFonts w:ascii="Times New Roman" w:hAnsi="Times New Roman" w:eastAsia="宋体" w:cs="Times New Roman"/>
          <w:i/>
          <w:iCs/>
          <w:spacing w:val="0"/>
          <w:w w:val="100"/>
          <w:position w:val="0"/>
          <w:sz w:val="24"/>
          <w:szCs w:val="24"/>
        </w:rPr>
        <w:t>V</w:t>
      </w:r>
      <w:r>
        <w:rPr>
          <w:rFonts w:ascii="Times New Roman" w:hAnsi="Times New Roman" w:eastAsia="宋体" w:cs="Times New Roman"/>
          <w:spacing w:val="0"/>
          <w:w w:val="100"/>
          <w:position w:val="0"/>
          <w:sz w:val="15"/>
          <w:szCs w:val="15"/>
        </w:rPr>
        <w:t>5</w:t>
      </w:r>
      <w:r>
        <w:rPr>
          <w:rFonts w:hint="default" w:ascii="Times New Roman" w:hAnsi="Times New Roman" w:eastAsia="宋体" w:cs="Times New Roman"/>
          <w:spacing w:val="0"/>
          <w:w w:val="100"/>
          <w:position w:val="0"/>
          <w:sz w:val="24"/>
          <w:szCs w:val="24"/>
        </w:rPr>
        <w:t>=（0.5+</w:t>
      </w:r>
      <w:r>
        <w:rPr>
          <w:rFonts w:hint="eastAsia" w:cs="Times New Roman"/>
          <w:spacing w:val="0"/>
          <w:w w:val="100"/>
          <w:position w:val="0"/>
          <w:sz w:val="24"/>
          <w:szCs w:val="24"/>
          <w:lang w:val="en-US" w:eastAsia="zh-CN"/>
        </w:rPr>
        <w:t>432</w:t>
      </w:r>
      <w:r>
        <w:rPr>
          <w:rFonts w:hint="default" w:ascii="Times New Roman" w:hAnsi="Times New Roman" w:eastAsia="宋体" w:cs="Times New Roman"/>
          <w:spacing w:val="0"/>
          <w:w w:val="100"/>
          <w:position w:val="0"/>
          <w:sz w:val="24"/>
          <w:szCs w:val="24"/>
        </w:rPr>
        <w:t>-0）</w:t>
      </w:r>
      <w:r>
        <w:rPr>
          <w:rFonts w:hint="default" w:ascii="Times New Roman" w:hAnsi="Times New Roman" w:eastAsia="宋体" w:cs="Times New Roman"/>
          <w:spacing w:val="0"/>
          <w:w w:val="100"/>
          <w:position w:val="0"/>
          <w:sz w:val="24"/>
          <w:szCs w:val="24"/>
          <w:vertAlign w:val="subscript"/>
        </w:rPr>
        <w:t>max</w:t>
      </w:r>
      <w:r>
        <w:rPr>
          <w:rFonts w:hint="default" w:ascii="Times New Roman" w:hAnsi="Times New Roman" w:eastAsia="宋体" w:cs="Times New Roman"/>
          <w:spacing w:val="0"/>
          <w:w w:val="100"/>
          <w:position w:val="0"/>
          <w:sz w:val="24"/>
          <w:szCs w:val="24"/>
        </w:rPr>
        <w:t>+0+</w:t>
      </w:r>
      <w:r>
        <w:rPr>
          <w:rFonts w:hint="eastAsia" w:ascii="Times New Roman" w:hAnsi="Times New Roman" w:eastAsia="宋体" w:cs="Times New Roman"/>
          <w:spacing w:val="0"/>
          <w:w w:val="100"/>
          <w:position w:val="0"/>
          <w:sz w:val="24"/>
          <w:szCs w:val="24"/>
          <w:lang w:val="en-US" w:eastAsia="zh-CN"/>
        </w:rPr>
        <w:t>302.54m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r>
        <w:rPr>
          <w:rFonts w:hint="eastAsia" w:cs="Times New Roman"/>
          <w:spacing w:val="0"/>
          <w:w w:val="100"/>
          <w:position w:val="0"/>
          <w:sz w:val="24"/>
          <w:szCs w:val="24"/>
          <w:lang w:val="en-US" w:eastAsia="zh-CN"/>
        </w:rPr>
        <w:t>735.04</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。采用以上方式得出事故应急池应至少设置</w:t>
      </w:r>
      <w:r>
        <w:rPr>
          <w:rFonts w:hint="eastAsia" w:cs="Times New Roman"/>
          <w:spacing w:val="0"/>
          <w:w w:val="100"/>
          <w:position w:val="0"/>
          <w:sz w:val="24"/>
          <w:szCs w:val="24"/>
          <w:lang w:val="en-US" w:eastAsia="zh-CN"/>
        </w:rPr>
        <w:t>740</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，才能满足事故废水的收集需求。</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方法二：</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根据《纺织染整工业废水治理工程技术规范》（HJ471-2009）</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6.6.1处理厂（站）内应设置事故池</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6.6.3事故池容积应大于一个生产周期的废水量，或大于4h排放的废水量</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。该规范已被《纺织染整工业废水治理工程技术规范》（HJ471-2020）替代，HJ471-2020中</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12.5.3废水治理工程可设置单独的应急事故池，亦可与纺织染整企业的综合事故应急池合建</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6.1.7废水治理工程应设置应急事故池，应急事故池的容积应综合考虑发生事故时的最大排水量、消防水量及可能进入应急事故池的降雨量。事故水应检测分类后进入相应处理设施</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，但未给出废水治理工程事故池容积计算标准。因此，综合该标准两个版本的要求，本项目污水处理站事故池容积按生产过程4h排放的废水量确定，生产过程高、低浓度废水总量为</w:t>
      </w:r>
      <w:r>
        <w:rPr>
          <w:rFonts w:hint="eastAsia" w:ascii="Times New Roman" w:hAnsi="Times New Roman" w:eastAsia="宋体" w:cs="Times New Roman"/>
          <w:spacing w:val="0"/>
          <w:w w:val="100"/>
          <w:position w:val="0"/>
          <w:sz w:val="24"/>
          <w:szCs w:val="24"/>
          <w:lang w:val="en-US" w:eastAsia="zh-CN"/>
        </w:rPr>
        <w:t>4141.60</w:t>
      </w:r>
      <w:r>
        <w:rPr>
          <w:rFonts w:hint="default" w:ascii="Times New Roman" w:hAnsi="Times New Roman" w:eastAsia="宋体" w:cs="Times New Roman"/>
          <w:spacing w:val="0"/>
          <w:w w:val="100"/>
          <w:position w:val="0"/>
          <w:sz w:val="24"/>
          <w:szCs w:val="24"/>
        </w:rPr>
        <w:t>t/d，则4h排放的废水量为</w:t>
      </w:r>
      <w:r>
        <w:rPr>
          <w:rFonts w:hint="eastAsia" w:ascii="Times New Roman" w:hAnsi="Times New Roman" w:eastAsia="宋体" w:cs="Times New Roman"/>
          <w:spacing w:val="0"/>
          <w:w w:val="100"/>
          <w:position w:val="0"/>
          <w:sz w:val="24"/>
          <w:szCs w:val="24"/>
          <w:lang w:val="en-US" w:eastAsia="zh-CN"/>
        </w:rPr>
        <w:t>4141.60</w:t>
      </w:r>
      <w:r>
        <w:rPr>
          <w:rFonts w:hint="default" w:ascii="Times New Roman" w:hAnsi="Times New Roman" w:eastAsia="宋体" w:cs="Times New Roman"/>
          <w:spacing w:val="0"/>
          <w:w w:val="100"/>
          <w:position w:val="0"/>
          <w:sz w:val="24"/>
          <w:szCs w:val="24"/>
        </w:rPr>
        <w:t>÷24×4=</w:t>
      </w:r>
      <w:r>
        <w:rPr>
          <w:rFonts w:hint="eastAsia" w:ascii="Times New Roman" w:hAnsi="Times New Roman" w:eastAsia="宋体" w:cs="Times New Roman"/>
          <w:spacing w:val="0"/>
          <w:w w:val="100"/>
          <w:position w:val="0"/>
          <w:sz w:val="24"/>
          <w:szCs w:val="24"/>
          <w:lang w:val="en-US" w:eastAsia="zh-CN"/>
        </w:rPr>
        <w:t>690m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通过以上两种方法对于事故池容积计算的结果，综合考虑事故情况下废水收集需求，</w:t>
      </w:r>
      <w:r>
        <w:rPr>
          <w:rFonts w:hint="eastAsia" w:cs="Times New Roman"/>
          <w:spacing w:val="0"/>
          <w:w w:val="100"/>
          <w:position w:val="0"/>
          <w:sz w:val="24"/>
          <w:szCs w:val="24"/>
          <w:lang w:val="en-US" w:eastAsia="zh-CN"/>
        </w:rPr>
        <w:t>则</w:t>
      </w:r>
      <w:r>
        <w:rPr>
          <w:rFonts w:hint="default" w:ascii="Times New Roman" w:hAnsi="Times New Roman" w:eastAsia="宋体" w:cs="Times New Roman"/>
          <w:spacing w:val="0"/>
          <w:w w:val="100"/>
          <w:position w:val="0"/>
          <w:sz w:val="24"/>
          <w:szCs w:val="24"/>
        </w:rPr>
        <w:t>本项目事故应急池不得小于</w:t>
      </w:r>
      <w:r>
        <w:rPr>
          <w:rFonts w:hint="eastAsia" w:cs="Times New Roman"/>
          <w:spacing w:val="0"/>
          <w:w w:val="100"/>
          <w:position w:val="0"/>
          <w:sz w:val="24"/>
          <w:szCs w:val="24"/>
          <w:lang w:val="en-US" w:eastAsia="zh-CN"/>
        </w:rPr>
        <w:t>740</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。建设单位拟在地下水池设置</w:t>
      </w:r>
      <w:r>
        <w:rPr>
          <w:rFonts w:hint="eastAsia" w:cs="Times New Roman"/>
          <w:spacing w:val="0"/>
          <w:w w:val="100"/>
          <w:position w:val="0"/>
          <w:sz w:val="24"/>
          <w:szCs w:val="24"/>
          <w:lang w:val="en-US" w:eastAsia="zh-CN"/>
        </w:rPr>
        <w:t>840</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的事故应急池，能够满足事故废水的收集需求。</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宋体"/>
          <w:spacing w:val="0"/>
          <w:w w:val="100"/>
          <w:position w:val="0"/>
          <w:sz w:val="24"/>
          <w:szCs w:val="24"/>
        </w:rPr>
      </w:pPr>
      <w:r>
        <w:rPr>
          <w:rFonts w:hint="default" w:ascii="Times New Roman" w:hAnsi="Times New Roman" w:eastAsia="宋体" w:cs="宋体"/>
          <w:spacing w:val="0"/>
          <w:w w:val="100"/>
          <w:position w:val="0"/>
          <w:sz w:val="24"/>
          <w:szCs w:val="24"/>
        </w:rPr>
        <w:t>本项目事故应急池位于厂房地下一层，厂区地面的泄漏物料和消防废水可重力自流入事故应急池。地下一层产生的事故废水用泵输送至事故应急池。</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宋体"/>
          <w:spacing w:val="0"/>
          <w:w w:val="100"/>
          <w:position w:val="0"/>
          <w:sz w:val="24"/>
          <w:szCs w:val="24"/>
        </w:rPr>
      </w:pPr>
      <w:r>
        <w:rPr>
          <w:rFonts w:hint="default" w:ascii="Times New Roman" w:hAnsi="Times New Roman" w:eastAsia="宋体" w:cs="宋体"/>
          <w:spacing w:val="0"/>
          <w:w w:val="100"/>
          <w:position w:val="0"/>
          <w:sz w:val="24"/>
          <w:szCs w:val="24"/>
        </w:rPr>
        <w:t>事故状态下，事故废水引入事故应急池暂存，待事故结束后通过废水管道分批排入园区污水厂处理后排放，若事故废水达不到园区的纳管标准，则应采取预处理方式使事故废水满足纳管标准后再入园区污水厂。</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6.6.3废水“三级防控”措施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为了防范和控制发生事故时或事故处理过程中产生的物料泄漏和废水对周围水体环境的污染和危害，降低环境风险，采取</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收→调→输→储→处理</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事故泄漏和事故消防水，设置“三级防控措施”防范事故泄漏液和消防污水进入外环境和海域水环境。</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①一级防控措施（车间级）</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第一级防控措施是液体物料区、装置区设置围堰，对事故情况泄漏物料及消防废水进行收集控制，构筑生产过程中环境安全的第一层防控网。</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②二级防控措施与污水处理（企业级）</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第二级防控措施是在厂区设置事故应急池，导入污水处理系统，将污染控制在厂内，防止重大事故泄漏物料和污染消防水造成的环境污染。</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本项目设置容积</w:t>
      </w:r>
      <w:r>
        <w:rPr>
          <w:rFonts w:hint="eastAsia" w:cs="Times New Roman"/>
          <w:spacing w:val="0"/>
          <w:w w:val="100"/>
          <w:position w:val="0"/>
          <w:sz w:val="24"/>
          <w:szCs w:val="24"/>
          <w:lang w:val="en-US" w:eastAsia="zh-CN"/>
        </w:rPr>
        <w:t>840</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的事故应急池。事故状态下首先将事故液拦在围堰内，溢流部分流入后续管网。工艺管网系统总出口设闸门，事故状态下闸门关闭，将事故污水切入事故应急池，事故应急池直接通过管道连接，事故池出口设置闸门，事故废水按一定流量排入园区废水收集管网，在园区污水处理厂处理后外排。</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③三级防控措施（区域级）</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第三级防控措施是雨水系统排放系统，应在厂区雨水总排口设置切断阀（同时关闭申远二期北侧雨水边沟闸门）和集水井与污水提升泵，以便突发性事故时防止泄漏物料及消防废水通过雨排系统进入外环境，将事故泄漏液或消防事故废水收集在事故池内，后续再送到污水处理站处理。</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outlineLvl w:val="9"/>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本项目位于纺织产业园，根据《连江可门绿色纺织产业园污水处理厂环境影响报告书》，园区污水处理厂将建设事故池，一期建设3111</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，二期建设5400</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，合计总容积8511</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w:t>
      </w:r>
      <w:r>
        <w:rPr>
          <w:rFonts w:hint="eastAsia" w:ascii="Times New Roman" w:hAnsi="Times New Roman" w:eastAsia="宋体" w:cs="Times New Roman"/>
          <w:spacing w:val="0"/>
          <w:w w:val="100"/>
          <w:position w:val="0"/>
          <w:sz w:val="24"/>
          <w:szCs w:val="24"/>
          <w:lang w:eastAsia="zh-CN"/>
        </w:rPr>
        <w:t>一期已</w:t>
      </w:r>
      <w:r>
        <w:rPr>
          <w:rFonts w:hint="default" w:ascii="Times New Roman" w:hAnsi="Times New Roman" w:eastAsia="宋体" w:cs="Times New Roman"/>
          <w:spacing w:val="0"/>
          <w:w w:val="100"/>
          <w:position w:val="0"/>
          <w:sz w:val="24"/>
          <w:szCs w:val="24"/>
        </w:rPr>
        <w:t>于</w:t>
      </w:r>
      <w:r>
        <w:rPr>
          <w:rFonts w:hint="eastAsia" w:ascii="Times New Roman" w:hAnsi="Times New Roman" w:eastAsia="宋体" w:cs="Times New Roman"/>
          <w:spacing w:val="0"/>
          <w:w w:val="100"/>
          <w:position w:val="0"/>
          <w:sz w:val="24"/>
          <w:szCs w:val="24"/>
          <w:lang w:val="en-US" w:eastAsia="zh-CN"/>
        </w:rPr>
        <w:t>2023</w:t>
      </w:r>
      <w:r>
        <w:rPr>
          <w:rFonts w:hint="default" w:ascii="Times New Roman" w:hAnsi="Times New Roman" w:eastAsia="宋体" w:cs="Times New Roman"/>
          <w:spacing w:val="0"/>
          <w:w w:val="100"/>
          <w:position w:val="0"/>
          <w:sz w:val="24"/>
          <w:szCs w:val="24"/>
        </w:rPr>
        <w:t>年</w:t>
      </w:r>
      <w:r>
        <w:rPr>
          <w:rFonts w:hint="eastAsia" w:ascii="Times New Roman" w:hAnsi="Times New Roman" w:eastAsia="宋体" w:cs="Times New Roman"/>
          <w:spacing w:val="0"/>
          <w:w w:val="100"/>
          <w:position w:val="0"/>
          <w:sz w:val="24"/>
          <w:szCs w:val="24"/>
          <w:lang w:val="en-US" w:eastAsia="zh-CN"/>
        </w:rPr>
        <w:t>4</w:t>
      </w:r>
      <w:r>
        <w:rPr>
          <w:rFonts w:hint="default" w:ascii="Times New Roman" w:hAnsi="Times New Roman" w:eastAsia="宋体" w:cs="Times New Roman"/>
          <w:spacing w:val="0"/>
          <w:w w:val="100"/>
          <w:position w:val="0"/>
          <w:sz w:val="24"/>
          <w:szCs w:val="24"/>
        </w:rPr>
        <w:t>月建成投入运行，本项目可利用污水厂事故应急池。建议各企业的应急池池体通过工艺管线与污水厂事故应急池进行连通，从而实现公共事故应急池与企业应急池的互联互通。此外，结合可门经济开发区大官坂防海堤和水闸作为本项目的园区级防线，防止事故废水进入罗源湾海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三级防控体系示意图见图6.6-1。</w:t>
      </w:r>
    </w:p>
    <w:p>
      <w:pPr>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pacing w:val="-1"/>
          <w:sz w:val="24"/>
          <w:szCs w:val="24"/>
        </w:rPr>
        <w:t>图6.6-1水环境风险三级防控</w:t>
      </w:r>
      <w:r>
        <w:rPr>
          <w:rFonts w:hint="default" w:ascii="Times New Roman" w:hAnsi="Times New Roman" w:eastAsia="宋体" w:cs="Times New Roman"/>
          <w:b/>
          <w:bCs/>
          <w:spacing w:val="-2"/>
          <w:sz w:val="24"/>
          <w:szCs w:val="24"/>
        </w:rPr>
        <w:t>系统图</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before="237" w:line="360" w:lineRule="auto"/>
        <w:jc w:val="left"/>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6.6.4化学品仓库事故风险的防范措施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（1）企业所使用的化学品属于有毒、腐蚀性物资等，危化品库地面应设有防渗漏设施、事故泄漏液收集管沟及收集槽。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（2）主要化学品事故风险防范措施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①保险粉燃烧事故及硫酸铵受热分解事故的防范措施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a.本项目应分设多个防火分区储存保险粉，硫酸铵与其他可燃物分开存放，每个分区均设置恒温恒湿控制系统、通风设施、烟雾报警装置以及监控探头。保险粉及硫酸铵包装要求密封，不可与空气接触。储存时应与氧化剂、酸类、易（可）燃物分开存放，不可混储。同时，采用防爆型照明，禁止使用易产生火花的机械设备和工具。储区应备有干粉灭火器及合适的材料收容泄漏物。</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b.密闭操作，局部排风。使用或接触的操作人员必须经过专门培训，严格遵守操作规程。建议佩戴自吸过滤式防尘口罩，戴安全防护眼镜，穿化学防护服，戴乳胶手套。远离火种、热源，工作场所严禁吸烟。搬运时要轻装轻卸，防止包装及容器损坏。配备相应品种和数量的消防器材及泄漏应急处理设备。</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c.运输车辆应配备相应品种和数量的消防器材及泄漏应急处理设备。起运时包装要完整，装载应稳妥。装运的车辆排气管须有阻火装置。运输过程中要确保容器不泄漏、不倒塌、不坠落、不损坏。严禁与氧化剂、酸类、易燃物或可燃物、食用化学品等混装混运。运输途中应防曝晒、雨淋，防高温。中途停留时应远离火种、热源。</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d.建立相应的消防安全管理制度，出入库检查验收制度，定期盘点制度，消防组织定期活动制度和职工消防培训制度。</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e.建设染色车间染色机染液泄漏导流系统，确保能有效收集泄漏的液体，避免未经治理直接经雨水管网排往地表水体。</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f.一旦仓库发生重大自燃事故，应立即封锁事故现场，撤离可能受到影响范围内的无关人员。发生保险粉自燃事故或物料仓库周围车间发生火灾事故时，禁止采用消防水进行灭火作业，自燃后灭火剂应采用干粉灭火器、二氧化碳灭火器或砂土进行灭火。</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泄漏事故防范措施</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a.严格按《危险化学品安全管理条例》要求来管理；制定危险化学品安全操作规程，要求操作人员严格按操作规程作业；对从事危险化学作业人员定期进行安全培训教育；经常性对危险化学品作业场所进行安全检查。</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b.设立专用库区，且其符合储存危险化学品的条件（防晒、防潮、通风、防雷、防静电等安全措施）。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c.建立健全安全规程及值勤制度，设置通讯、报警装置，确保其处于完好状态。</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d.对储存冰醋酸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的</w:t>
      </w:r>
      <w:r>
        <w:rPr>
          <w:rFonts w:hint="eastAsia" w:ascii="Times New Roman" w:hAnsi="Times New Roman" w:eastAsia="宋体" w:cs="Times New Roman"/>
          <w:spacing w:val="0"/>
          <w:w w:val="100"/>
          <w:position w:val="0"/>
          <w:sz w:val="24"/>
          <w:szCs w:val="24"/>
          <w:lang w:eastAsia="zh-CN"/>
        </w:rPr>
        <w:t>桶</w:t>
      </w:r>
      <w:r>
        <w:rPr>
          <w:rFonts w:hint="default" w:ascii="Times New Roman" w:hAnsi="Times New Roman" w:eastAsia="宋体" w:cs="Times New Roman"/>
          <w:spacing w:val="0"/>
          <w:w w:val="100"/>
          <w:position w:val="0"/>
          <w:sz w:val="24"/>
          <w:szCs w:val="24"/>
        </w:rPr>
        <w:t>，应设置明显的标识及警示牌，对使用危险化学品的名称、数量进行严格登记。</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e.凡储存、使用危险化学品的岗位，都应配置合格的防毒器材、消防器材，并确保其处于完好状态</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d.所有进入储存、使用危险化学品岗位的人员，都必须严格遵守《危险化学品管理制度》。</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③烧碱（氢氧化钠）事故防范措施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a.大量接触烧碱时应佩带防护用具，工作服或工作帽应用棉布或适当的合成材料制作。操作人员工作时必须穿戴工作服、口罩、防护眼镜、橡皮手套、橡皮围裙、长筒胶靴等劳保用品。应涂以中性和疏水软膏于皮肤上。</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b.接触片状或粒状烧碱时，工作场所应有通风装置；可能接触其粉尘时，必须佩戴头罩型电动送风过滤式防尘呼吸器。必要时，佩戴空气呼吸器。</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c.操作人员必须经过专门培训，严格遵守操作规程。建议操作人员佩戴头罩型电动送风过滤式防尘呼吸器，穿橡胶耐酸碱服，戴橡胶耐酸碱手套。远离易燃、可燃物。避免产生粉尘。</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d.避免与酸类接触。搬运时要轻装轻卸，防止包装及容器损坏。配备泄漏应急处理设备。倒空的容器可能残留有害物。如想将氢氧化钠保持固体，需将其放入装有干燥剂的密封容器中。稀释或制备溶液时，应把碱加入水中，避免沸腾和飞溅。处理泄漏物须穿戴防护眼镜与手套，扫起，慢慢倒至大量水中，地面用水冲洗应排入事故池中。</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e.泄漏应急处理措施：隔离泄漏污染区，周围设警告标志，应急处理人员戴好防毒面具，穿化学防护服。不要直接接触泄漏物，用清洁的铲子收集于干燥洁净有盖的容器中，以少量NaOH加入大量水中，调节至中性，再放入废水系统。也可以用大量水冲洗，经稀释的洗水放入废水系统。如大量泄漏，收集回收或无害处理后废弃。</w:t>
      </w:r>
    </w:p>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6.6.5废水管道泄漏及爆裂的处置措施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对于厂内管网的泄漏和爆裂，可冲入地沟，同时做好截流措施，用泵抽入事故池。事故亦须上报园区管委会。</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对厂外收集管网的泄漏和爆裂，应立即将意外报知园区管委会。若泄漏液体未收集，应及时用沙袋封堵泄漏的废水，有条件的重新泵入污水处理厂，难处理的应人工运至污水处理厂，不得采用日晒及渗漏的方式处理。事故后意外处理的相关人员须通知园区管委会下列事项：</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A.泄漏地点；</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B.泄漏牵涉的物质；</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C.泄漏粗估量；</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D.采取的行动及造成的损害。</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泄漏造成环境污染的，园区管委会须立刻报知环保部门，并提供有关泄漏物质的形态及数量的情况。</w:t>
      </w:r>
    </w:p>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6.6.6消防及火灾报警系统</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①各生产单位应按《GB50016-2014-建筑设计防火规范》（2008修订版）要求设置疏散口及划分防火分区。根据规范在室内外配置消火栓和灭火器。</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②室外消防给水采用低压给水系统，发生火灾时由消防车加压供水灭火。设计采用独立的消防给水系统，消防给水采用低压制。消防管理由现有的管理系统负责管辖。</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③厂内各生产单元应设置隔水围堰或水沟，以保证能截留装置区泄漏的物料和消防事故水。</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④厂内各生产单元除采取上述防范措施外，应针对各自的反应特性，分别采取有效的风险管理与防范措施。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⑤设置一套火灾报警系统，火灾报警控制盘设置在控制室内，消防站内设置火灾报警复示盘。在生产装置区内设置防爆型手动报警按钮或普通型报警按钮，在控制室、配电室、仓库等房间内配景感温/感探测器等报警设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⑥建设单位应设专职消防人员，1个队长和5个队员。</w:t>
      </w:r>
    </w:p>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6.6.7其他风险防范措施</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①将安全教育等纳入企业经营管理范畴，完善安全组织结构。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spacing w:val="0"/>
          <w:w w:val="100"/>
          <w:position w:val="0"/>
        </w:rPr>
      </w:pPr>
      <w:r>
        <w:rPr>
          <w:rFonts w:hint="default" w:ascii="Times New Roman" w:hAnsi="Times New Roman" w:eastAsia="宋体" w:cs="Times New Roman"/>
          <w:spacing w:val="0"/>
          <w:w w:val="100"/>
          <w:position w:val="0"/>
          <w:sz w:val="24"/>
          <w:szCs w:val="24"/>
        </w:rPr>
        <w:t>②加强安全卫生培训，掌握处理事故的技能，加强技术防范，杜绝安全和危害职工健康事故的发生；在所有职工中普及对本项目涉及的风险物质的有害意识及对中毒者的急救措施。</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bookmarkStart w:id="2" w:name="bookmark41"/>
      <w:bookmarkEnd w:id="2"/>
      <w:r>
        <w:rPr>
          <w:rFonts w:hint="eastAsia" w:ascii="Times New Roman" w:hAnsi="Times New Roman" w:eastAsia="宋体" w:cs="Times New Roman"/>
          <w:b/>
          <w:bCs/>
          <w:spacing w:val="0"/>
          <w:w w:val="100"/>
          <w:position w:val="0"/>
          <w:sz w:val="30"/>
          <w:szCs w:val="30"/>
          <w:lang w:val="en-US" w:eastAsia="zh-CN"/>
        </w:rPr>
        <w:t>6.7应急预案</w:t>
      </w:r>
    </w:p>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6.7.1应急预案编制要求</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本项目建设完成后，按下述应急预案框架内容编制应急预案。重点关注以下内容：</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（1）存放保险粉的防火分区所需要的应急设施、设备、器材以及配套的仓库安全管理制度；</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（2）危化品库的消防与应急演练；</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（3）应急环境监测、抢险、救援及控制措施。</w:t>
      </w:r>
    </w:p>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6.7.2应急预案框架内容</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潜在诸多的事故隐患因素，如果安全措施水平不高，一旦发生事故，需要采取工程应急预案，控制和减少事故危害。根据《建设项目环境风险评价技术导则》（HJ169-2018）的要求，环境风险应急预案应包括内容见表6.7-1。</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表6.</w:t>
      </w:r>
      <w:r>
        <w:rPr>
          <w:rFonts w:hint="eastAsia" w:ascii="Times New Roman" w:hAnsi="Times New Roman" w:eastAsia="宋体" w:cs="Times New Roman"/>
          <w:b/>
          <w:bCs/>
          <w:spacing w:val="0"/>
          <w:w w:val="100"/>
          <w:position w:val="0"/>
          <w:sz w:val="24"/>
          <w:szCs w:val="24"/>
          <w:lang w:val="en-US" w:eastAsia="zh-CN"/>
        </w:rPr>
        <w:t>7</w:t>
      </w:r>
      <w:r>
        <w:rPr>
          <w:rFonts w:hint="default" w:ascii="Times New Roman" w:hAnsi="Times New Roman" w:eastAsia="宋体" w:cs="Times New Roman"/>
          <w:b/>
          <w:bCs/>
          <w:spacing w:val="0"/>
          <w:w w:val="100"/>
          <w:position w:val="0"/>
          <w:sz w:val="24"/>
          <w:szCs w:val="24"/>
        </w:rPr>
        <w:t>-1应急预案框架</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39"/>
        <w:gridCol w:w="2403"/>
        <w:gridCol w:w="598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序号</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项目</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内容及要求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应急计划区</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危险目标：整个厂区、环境保护目标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应急组织机构、人员</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工厂、地区应急组织机构、人员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预案分级响应条件</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规定预案的级别及分级响应程序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应急救援保障</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应急设施，设备与器材等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5</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报警、通讯联络方式</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规定应急状态下的报警通讯方式、通知方式和交通保障、管制。</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应急环境监测、抢险、救援及控制措施</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由专业队伍负责对事故现场进行侦察监测，对事故性质、参数与后果进行评估，为指挥部门提供决策依据。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7</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应急检测、防护措施、清除泄漏措施和器材</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事故现场、邻近区域、控制防火区域，控制和清除污染措施及相应设备。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8</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人员紧急撤离、疏散，应急剂量控制、撤离组织计划</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事故现场、工厂邻近区、受事故影响的区域人员及公众对毒物应急剂量控制规定，撤离组织计划及救护，医疗救护与公众健康。</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9</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事故应急救援关闭程序与恢复措施</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规定应急状态终止程序；事故现场善后处理，恢复措施；邻近区域解除事故警戒及善后恢复措施。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应急培训计划</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应急计划制定后，平时安排人员培训与演练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11</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公众教育和信息</w:t>
            </w:r>
          </w:p>
        </w:tc>
        <w:tc>
          <w:tcPr>
            <w:tcW w:w="6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对工厂邻近地区开展公众教育、培训和发布有关信息</w:t>
            </w:r>
          </w:p>
        </w:tc>
      </w:tr>
    </w:tbl>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outlineLvl w:val="2"/>
        <w:rPr>
          <w:rFonts w:hint="eastAsia" w:ascii="Times New Roman" w:hAnsi="Times New Roman" w:eastAsia="宋体" w:cs="Times New Roman"/>
          <w:b/>
          <w:bCs/>
          <w:spacing w:val="0"/>
          <w:w w:val="100"/>
          <w:position w:val="0"/>
          <w:sz w:val="28"/>
          <w:szCs w:val="28"/>
          <w:lang w:val="en-US" w:eastAsia="zh-CN"/>
        </w:rPr>
      </w:pPr>
      <w:r>
        <w:rPr>
          <w:rFonts w:hint="eastAsia" w:ascii="Times New Roman" w:hAnsi="Times New Roman" w:eastAsia="宋体" w:cs="Times New Roman"/>
          <w:b/>
          <w:bCs/>
          <w:spacing w:val="0"/>
          <w:w w:val="100"/>
          <w:position w:val="0"/>
          <w:sz w:val="28"/>
          <w:szCs w:val="28"/>
          <w:lang w:val="en-US" w:eastAsia="zh-CN"/>
        </w:rPr>
        <w:t>6.7.3应急联动响应</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应急预案共分四级，为公司应急预案、连江县应急预案、福州市级应急预案、福建省级应急预案，事故发生后根据事故的级分别启动相应的应急预案联动方案，具体见图6.7-1。</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当发生事故、突发环境事件时，公司应立即采取有效先期措施以防止污染物的扩散，如发生液体泄漏事故时，迅速切换排水沟的应急阀门，使事故废水进入事故应急池；发生气体泄漏时，迅速切断气体来源；发生火灾事故时，迅速切断电源、关停设备，采用合适的灭火器具进行灭火，隔离可燃、易燃物品，转移周围的易燃易爆危险物品。公司应根据事故的发展态势决定应急响应级别，并立即上报上一级别应急预案的应急管理联系人（园区），园区根据事件进展情况，及时判断事故影响级别分别报送相应级别负责人（连江县、福州市、福建省）。各级应急指挥人员应按照现场实际，针对突发事故的危害程度、影响范围和控制事态能力的差别，迅速组织各应急小组，落实应急工作事项，沟通情况，传达相关信息，全力完成应急救援工作，直至应急状态终止。</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图6.7-1应急预案响应联动方案</w:t>
      </w:r>
      <w:r>
        <w:rPr>
          <w:rFonts w:hint="eastAsia" w:cs="Times New Roman"/>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position w:val="0"/>
          <w:sz w:val="30"/>
          <w:szCs w:val="30"/>
          <w:lang w:val="en-US" w:eastAsia="zh-CN"/>
        </w:rPr>
      </w:pPr>
      <w:r>
        <w:rPr>
          <w:rFonts w:hint="eastAsia" w:ascii="Times New Roman" w:hAnsi="Times New Roman" w:eastAsia="宋体" w:cs="Times New Roman"/>
          <w:b/>
          <w:bCs/>
          <w:spacing w:val="0"/>
          <w:w w:val="100"/>
          <w:position w:val="0"/>
          <w:sz w:val="30"/>
          <w:szCs w:val="30"/>
          <w:lang w:val="en-US" w:eastAsia="zh-CN"/>
        </w:rPr>
        <w:t>6.8小结</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（1）项目选址及重大危险源区域布置的合理性和可行性</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本项目在连江可门绿色纺织产业园规划地的用地内建设，选址和重大危险源布局合理可行。</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（2）事故情形分析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根据本工程的特点，本项目涉及的危险化学品及环境风险物质主要是保险粉</w:t>
      </w:r>
      <w:r>
        <w:rPr>
          <w:rFonts w:hint="eastAsia"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连二亚硫酸钠</w:t>
      </w:r>
      <w:r>
        <w:rPr>
          <w:rFonts w:hint="eastAsia"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、冰醋酸、</w:t>
      </w:r>
      <w:r>
        <w:rPr>
          <w:rFonts w:hint="eastAsia" w:ascii="Times New Roman" w:hAnsi="Times New Roman" w:eastAsia="宋体" w:cs="Times New Roman"/>
          <w:spacing w:val="0"/>
          <w:w w:val="100"/>
          <w:position w:val="0"/>
          <w:sz w:val="24"/>
          <w:szCs w:val="24"/>
          <w:lang w:eastAsia="zh-CN"/>
        </w:rPr>
        <w:t>染料浆（醋酸）、</w:t>
      </w:r>
      <w:r>
        <w:rPr>
          <w:rFonts w:hint="default" w:ascii="Times New Roman" w:hAnsi="Times New Roman" w:eastAsia="宋体" w:cs="Times New Roman"/>
          <w:spacing w:val="0"/>
          <w:w w:val="100"/>
          <w:position w:val="0"/>
          <w:sz w:val="24"/>
          <w:szCs w:val="24"/>
        </w:rPr>
        <w:t>片碱（氢氧化钠）、硫酸铵</w:t>
      </w:r>
      <w:r>
        <w:rPr>
          <w:rFonts w:hint="eastAsia" w:ascii="Times New Roman" w:hAnsi="Times New Roman" w:eastAsia="宋体" w:cs="Times New Roman"/>
          <w:spacing w:val="0"/>
          <w:w w:val="100"/>
          <w:position w:val="0"/>
          <w:sz w:val="24"/>
          <w:szCs w:val="24"/>
          <w:lang w:eastAsia="zh-CN"/>
        </w:rPr>
        <w:t>等</w:t>
      </w:r>
      <w:r>
        <w:rPr>
          <w:rFonts w:hint="default" w:ascii="Times New Roman" w:hAnsi="Times New Roman" w:eastAsia="宋体" w:cs="Times New Roman"/>
          <w:spacing w:val="0"/>
          <w:w w:val="100"/>
          <w:position w:val="0"/>
          <w:sz w:val="24"/>
          <w:szCs w:val="24"/>
        </w:rPr>
        <w:t>。根据重大危险源识别结果，本项目的最大可信事故为保险粉自燃风险。</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（3）环境风险影响分析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a.发生保险粉（连二亚硫酸钠）燃烧事故时，产生的SO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进入大气环境，相比火灾事故本身的影响范围，燃烧而造成的SO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污染范围大得多。SO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进入环境空气会刺激人们的呼吸道，诱发呼吸道的各种炎症，危害人体健康；危害动植物；腐蚀金属表面；损害纸制品、纺织品、皮革制品等；可能形成酸雨，从而给生态系统以及农业、森林、水产资源等带来严重危害。因此应重点关注预防保险粉燃烧的防控措施，设多个防火分区存放保险粉并针对性部署防防措施并配备消防设备。当仓库发生重大自燃事故时，应立即封锁事故现场，撤离可能受到影响范围内的无关人员。保险粉燃烧产生的主要污染物为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，大量SO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泄漏将对大气环境及人体造成危害。建设单位应针对保险粉燃烧产生SO</w:t>
      </w:r>
      <w:r>
        <w:rPr>
          <w:rFonts w:hint="default" w:ascii="Times New Roman" w:hAnsi="Times New Roman" w:eastAsia="宋体" w:cs="Times New Roman"/>
          <w:spacing w:val="0"/>
          <w:w w:val="100"/>
          <w:position w:val="0"/>
          <w:sz w:val="24"/>
          <w:szCs w:val="24"/>
          <w:vertAlign w:val="subscript"/>
        </w:rPr>
        <w:t>2</w:t>
      </w:r>
      <w:r>
        <w:rPr>
          <w:rFonts w:hint="default" w:ascii="Times New Roman" w:hAnsi="Times New Roman" w:eastAsia="宋体" w:cs="Times New Roman"/>
          <w:spacing w:val="0"/>
          <w:w w:val="100"/>
          <w:position w:val="0"/>
          <w:sz w:val="24"/>
          <w:szCs w:val="24"/>
        </w:rPr>
        <w:t>制定相应的应急处置预案。</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b.硫酸铵本身不可燃，但加热到513℃以上完全分解成氨气、氮气、二氧化硫及水。氨气慢性中毒会引起慢性气管炎、肺气肿等呼吸系统病，人吸入过多，能引起肺肿胀，以至死亡。硫酸铵受热分解所需的温度较高，发生此类事故的概率很小。应将硫酸铵和其他可燃物分区存放，并加强对危化品库的巡查和监管。</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c.冰醋酸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发生泄漏时，</w:t>
      </w:r>
      <w:r>
        <w:rPr>
          <w:rFonts w:hint="eastAsia" w:ascii="Times New Roman" w:hAnsi="Times New Roman" w:eastAsia="宋体" w:cs="Times New Roman"/>
          <w:spacing w:val="0"/>
          <w:w w:val="100"/>
          <w:position w:val="0"/>
          <w:sz w:val="24"/>
          <w:szCs w:val="24"/>
          <w:lang w:eastAsia="zh-CN"/>
        </w:rPr>
        <w:t>醋酸</w:t>
      </w:r>
      <w:r>
        <w:rPr>
          <w:rFonts w:hint="default" w:ascii="Times New Roman" w:hAnsi="Times New Roman" w:eastAsia="宋体" w:cs="Times New Roman"/>
          <w:spacing w:val="0"/>
          <w:w w:val="100"/>
          <w:position w:val="0"/>
          <w:sz w:val="24"/>
          <w:szCs w:val="24"/>
        </w:rPr>
        <w:t>挥发扩散进入大气环境。人体吸入、食入或经皮肤吸收、吸入后，对鼻</w:t>
      </w:r>
      <w:r>
        <w:rPr>
          <w:rFonts w:hint="eastAsia"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喉和呼吸道有刺激性。对眼有强烈刺激作用。经皮肤接触，轻者出现红斑，重者引起化学灼伤。长时间暴露在含醋酸的大气环境中将导致眼脸水肿，结膜充血，慢性烟炎和气管炎。长期反复接触，可致皮肤干燥，脱脂和皮炎。同时醋酸蒸汽与空气会形成爆炸混合物，遇明火产生燃烧爆炸，有产生次生CO的风险。因此应重点关注预防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泄漏的防控措施，如生产过程加强通风排风、生产人员穿戴防护用具等。当桶装冰醋酸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泄漏时，疏散泄漏污染人员至安全区，禁止无关人员进入污染区，切断火源。建议应急处理人员戴自给式呼吸器，穿全封闭防护服，不要直接接触泄漏物，在确保安全的情况下堵漏。同时可以用大量水冲洗，经稀释的冲洗水排入废水系统。建设单位应参照《酸类物质泄漏的处理处置方法第6部分：冰醋酸》（HG/T4335.6-2012）针对冰醋酸</w:t>
      </w:r>
      <w:r>
        <w:rPr>
          <w:rFonts w:hint="eastAsia" w:ascii="Times New Roman" w:hAnsi="Times New Roman" w:eastAsia="宋体" w:cs="Times New Roman"/>
          <w:spacing w:val="0"/>
          <w:w w:val="100"/>
          <w:position w:val="0"/>
          <w:sz w:val="24"/>
          <w:szCs w:val="24"/>
          <w:lang w:eastAsia="zh-CN"/>
        </w:rPr>
        <w:t>、染料浆</w:t>
      </w:r>
      <w:r>
        <w:rPr>
          <w:rFonts w:hint="default" w:ascii="Times New Roman" w:hAnsi="Times New Roman" w:eastAsia="宋体" w:cs="Times New Roman"/>
          <w:spacing w:val="0"/>
          <w:w w:val="100"/>
          <w:position w:val="0"/>
          <w:sz w:val="24"/>
          <w:szCs w:val="24"/>
        </w:rPr>
        <w:t>泄漏制定相应的应急处置预案。</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（4）环境风险防治措施</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项目危化品库地面应设有防渗漏设施、事故泄漏液收集管沟及收集槽。同时，本项目设置容积</w:t>
      </w:r>
      <w:r>
        <w:rPr>
          <w:rFonts w:hint="eastAsia" w:cs="Times New Roman"/>
          <w:spacing w:val="0"/>
          <w:w w:val="100"/>
          <w:position w:val="0"/>
          <w:sz w:val="24"/>
          <w:szCs w:val="24"/>
          <w:lang w:val="en-US" w:eastAsia="zh-CN"/>
        </w:rPr>
        <w:t>840</w:t>
      </w:r>
      <w:r>
        <w:rPr>
          <w:rFonts w:hint="eastAsia" w:ascii="Times New Roman" w:hAnsi="Times New Roman" w:eastAsia="宋体" w:cs="Times New Roman"/>
          <w:spacing w:val="0"/>
          <w:w w:val="100"/>
          <w:position w:val="0"/>
          <w:sz w:val="24"/>
          <w:szCs w:val="24"/>
          <w:lang w:val="en-US" w:eastAsia="zh-CN"/>
        </w:rPr>
        <w:t>m</w:t>
      </w:r>
      <w:r>
        <w:rPr>
          <w:rFonts w:hint="eastAsia" w:cs="Times New Roman"/>
          <w:spacing w:val="0"/>
          <w:w w:val="100"/>
          <w:position w:val="0"/>
          <w:sz w:val="24"/>
          <w:szCs w:val="24"/>
          <w:vertAlign w:val="superscript"/>
          <w:lang w:val="en-US" w:eastAsia="zh-CN"/>
        </w:rPr>
        <w:t>3</w:t>
      </w:r>
      <w:r>
        <w:rPr>
          <w:rFonts w:hint="default" w:ascii="Times New Roman" w:hAnsi="Times New Roman" w:eastAsia="宋体" w:cs="Times New Roman"/>
          <w:spacing w:val="0"/>
          <w:w w:val="100"/>
          <w:position w:val="0"/>
          <w:sz w:val="24"/>
          <w:szCs w:val="24"/>
        </w:rPr>
        <w:t>的事故应急池，并设置</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rPr>
        <w:t>三级防控措施</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防范事故泄漏液和消防污水进入外环境和海域水环境。</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（5）风险评价结论</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建设项目存在一定潜在事故风险，建设单位要按有关重大危险源的管理要求加强风险管理，认真落实各种风险防范措施和应急预案要求，在确保环境风险防范措施和应急预案落实的条件下，项目的选址和建设从环境风险的角度是可以接受的。</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项目环境风险评价自查表见表6.8-1</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表6.8-1建设项目环境风险评价自查表</w:t>
      </w:r>
    </w:p>
    <w:p>
      <w:pPr>
        <w:keepNext w:val="0"/>
        <w:keepLines w:val="0"/>
        <w:pageBreakBefore w:val="0"/>
        <w:widowControl/>
        <w:kinsoku/>
        <w:wordWrap/>
        <w:overflowPunct/>
        <w:topLinePunct w:val="0"/>
        <w:autoSpaceDE/>
        <w:autoSpaceDN/>
        <w:bidi w:val="0"/>
        <w:adjustRightInd w:val="0"/>
        <w:snapToGrid w:val="0"/>
        <w:spacing w:line="64" w:lineRule="exact"/>
        <w:rPr>
          <w:rFonts w:ascii="Times New Roman" w:hAnsi="Times New Roman" w:eastAsia="宋体"/>
          <w:spacing w:val="0"/>
          <w:w w:val="100"/>
          <w:position w:val="0"/>
        </w:rPr>
      </w:pPr>
    </w:p>
    <w:tbl>
      <w:tblPr>
        <w:tblStyle w:val="52"/>
        <w:tblW w:w="500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8"/>
        <w:gridCol w:w="1465"/>
        <w:gridCol w:w="1462"/>
        <w:gridCol w:w="1237"/>
        <w:gridCol w:w="739"/>
        <w:gridCol w:w="1048"/>
        <w:gridCol w:w="1491"/>
        <w:gridCol w:w="11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工作内容</w:t>
            </w:r>
          </w:p>
        </w:tc>
        <w:tc>
          <w:tcPr>
            <w:tcW w:w="6853"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完成情况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风险调查</w:t>
            </w:r>
          </w:p>
        </w:tc>
        <w:tc>
          <w:tcPr>
            <w:tcW w:w="14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危险物质</w:t>
            </w: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名称</w:t>
            </w:r>
          </w:p>
        </w:tc>
        <w:tc>
          <w:tcPr>
            <w:tcW w:w="5445" w:type="dxa"/>
            <w:gridSpan w:val="5"/>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eastAsia="zh-CN"/>
              </w:rPr>
              <w:t>见表</w:t>
            </w:r>
            <w:r>
              <w:rPr>
                <w:rFonts w:hint="eastAsia" w:ascii="Times New Roman" w:hAnsi="Times New Roman" w:eastAsia="宋体" w:cs="Times New Roman"/>
                <w:spacing w:val="0"/>
                <w:w w:val="100"/>
                <w:position w:val="0"/>
                <w:sz w:val="21"/>
                <w:szCs w:val="21"/>
                <w:lang w:val="en-US" w:eastAsia="zh-CN"/>
              </w:rPr>
              <w:t>6.1-1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存在总量/t</w:t>
            </w:r>
          </w:p>
        </w:tc>
        <w:tc>
          <w:tcPr>
            <w:tcW w:w="5445" w:type="dxa"/>
            <w:gridSpan w:val="5"/>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环境敏感性</w:t>
            </w:r>
          </w:p>
        </w:tc>
        <w:tc>
          <w:tcPr>
            <w:tcW w:w="140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大气</w:t>
            </w:r>
          </w:p>
        </w:tc>
        <w:tc>
          <w:tcPr>
            <w:tcW w:w="2913"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500m范围内人口数0人</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5km范围内人口数32</w:t>
            </w:r>
            <w:r>
              <w:rPr>
                <w:rFonts w:hint="eastAsia" w:ascii="Times New Roman" w:hAnsi="Times New Roman" w:eastAsia="宋体" w:cs="Times New Roman"/>
                <w:spacing w:val="0"/>
                <w:w w:val="100"/>
                <w:position w:val="0"/>
                <w:sz w:val="21"/>
                <w:szCs w:val="21"/>
                <w:lang w:val="en-US" w:eastAsia="zh-CN"/>
              </w:rPr>
              <w:t>902</w:t>
            </w:r>
            <w:r>
              <w:rPr>
                <w:rFonts w:hint="default" w:ascii="Times New Roman" w:hAnsi="Times New Roman" w:eastAsia="宋体" w:cs="Times New Roman"/>
                <w:spacing w:val="0"/>
                <w:w w:val="100"/>
                <w:position w:val="0"/>
                <w:sz w:val="21"/>
                <w:szCs w:val="21"/>
              </w:rPr>
              <w:t>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5445"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每公里管段周边200m范围内人口数（最大）</w:t>
            </w:r>
            <w:r>
              <w:rPr>
                <w:rFonts w:hint="default" w:ascii="Times New Roman" w:hAnsi="Times New Roman" w:eastAsia="宋体" w:cs="Times New Roman"/>
                <w:spacing w:val="0"/>
                <w:w w:val="100"/>
                <w:position w:val="0"/>
                <w:sz w:val="21"/>
                <w:szCs w:val="21"/>
                <w:u w:val="single" w:color="auto"/>
              </w:rPr>
              <w:t xml:space="preserve">       </w:t>
            </w:r>
            <w:r>
              <w:rPr>
                <w:rFonts w:hint="default" w:ascii="Times New Roman" w:hAnsi="Times New Roman" w:eastAsia="宋体" w:cs="Times New Roman"/>
                <w:spacing w:val="0"/>
                <w:w w:val="100"/>
                <w:position w:val="0"/>
                <w:sz w:val="21"/>
                <w:szCs w:val="21"/>
              </w:rPr>
              <w:t>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w:t>
            </w:r>
          </w:p>
        </w:tc>
        <w:tc>
          <w:tcPr>
            <w:tcW w:w="190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地表水功能敏感性</w:t>
            </w:r>
          </w:p>
        </w:tc>
        <w:tc>
          <w:tcPr>
            <w:tcW w:w="10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F1</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F2</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F3</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90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环境敏感目标分级</w:t>
            </w:r>
          </w:p>
        </w:tc>
        <w:tc>
          <w:tcPr>
            <w:tcW w:w="10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S1</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S2</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S3</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w:t>
            </w:r>
          </w:p>
        </w:tc>
        <w:tc>
          <w:tcPr>
            <w:tcW w:w="190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地下水功能敏感性</w:t>
            </w:r>
          </w:p>
        </w:tc>
        <w:tc>
          <w:tcPr>
            <w:tcW w:w="10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G1</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G2</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G3</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90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包气带防污性能</w:t>
            </w:r>
          </w:p>
        </w:tc>
        <w:tc>
          <w:tcPr>
            <w:tcW w:w="10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D1</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D2</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D3</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工艺系统危险性</w:t>
            </w: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Q值</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Q＜1□</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1≤Q＜10</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10≤Q＜100</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Q＞100□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M值</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M1</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M2</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M3</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M4</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P值</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P1</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P2</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P3</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P4</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环境敏感程度</w:t>
            </w: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大气</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E1</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r>
              <w:rPr>
                <w:rFonts w:hint="eastAsia" w:ascii="Times New Roman" w:hAnsi="Times New Roman" w:eastAsia="宋体" w:cs="Times New Roman"/>
                <w:spacing w:val="0"/>
                <w:w w:val="100"/>
                <w:position w:val="0"/>
                <w:sz w:val="21"/>
                <w:szCs w:val="21"/>
                <w:lang w:eastAsia="zh-CN"/>
              </w:rPr>
              <w:t>☑</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E3</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E1</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r>
              <w:rPr>
                <w:rFonts w:hint="eastAsia" w:ascii="Times New Roman" w:hAnsi="Times New Roman" w:eastAsia="宋体" w:cs="Times New Roman"/>
                <w:spacing w:val="0"/>
                <w:w w:val="100"/>
                <w:position w:val="0"/>
                <w:sz w:val="21"/>
                <w:szCs w:val="21"/>
                <w:lang w:eastAsia="zh-CN"/>
              </w:rPr>
              <w:t>☑</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E3</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E1</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E2</w:t>
            </w:r>
            <w:r>
              <w:rPr>
                <w:rFonts w:hint="eastAsia" w:ascii="Times New Roman" w:hAnsi="Times New Roman" w:eastAsia="宋体" w:cs="Times New Roman"/>
                <w:spacing w:val="0"/>
                <w:w w:val="100"/>
                <w:position w:val="0"/>
                <w:sz w:val="21"/>
                <w:szCs w:val="21"/>
                <w:lang w:eastAsia="zh-CN"/>
              </w:rPr>
              <w:t>☑</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E3</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环境风险潜势</w:t>
            </w: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IV+□</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IV</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III</w:t>
            </w:r>
            <w:r>
              <w:rPr>
                <w:rFonts w:hint="eastAsia" w:ascii="Times New Roman" w:hAnsi="Times New Roman" w:eastAsia="宋体" w:cs="Times New Roman"/>
                <w:spacing w:val="0"/>
                <w:w w:val="100"/>
                <w:position w:val="0"/>
                <w:sz w:val="21"/>
                <w:szCs w:val="21"/>
                <w:lang w:eastAsia="zh-CN"/>
              </w:rPr>
              <w:t>□</w:t>
            </w:r>
          </w:p>
        </w:tc>
        <w:tc>
          <w:tcPr>
            <w:tcW w:w="14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II</w:t>
            </w:r>
            <w:r>
              <w:rPr>
                <w:rFonts w:hint="eastAsia" w:ascii="Times New Roman" w:hAnsi="Times New Roman" w:eastAsia="宋体" w:cs="Times New Roman"/>
                <w:spacing w:val="0"/>
                <w:w w:val="100"/>
                <w:position w:val="0"/>
                <w:sz w:val="21"/>
                <w:szCs w:val="21"/>
                <w:lang w:eastAsia="zh-CN"/>
              </w:rPr>
              <w:t>☑</w:t>
            </w:r>
          </w:p>
        </w:tc>
        <w:tc>
          <w:tcPr>
            <w:tcW w:w="10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I</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评价等级</w:t>
            </w: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一级</w:t>
            </w:r>
            <w:r>
              <w:rPr>
                <w:rFonts w:hint="eastAsia" w:ascii="Times New Roman" w:hAnsi="Times New Roman" w:eastAsia="宋体" w:cs="Times New Roman"/>
                <w:spacing w:val="0"/>
                <w:w w:val="100"/>
                <w:position w:val="0"/>
                <w:sz w:val="21"/>
                <w:szCs w:val="21"/>
                <w:lang w:eastAsia="zh-CN"/>
              </w:rPr>
              <w:t>□</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二级</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三级</w:t>
            </w:r>
            <w:r>
              <w:rPr>
                <w:rFonts w:hint="eastAsia" w:ascii="Times New Roman" w:hAnsi="Times New Roman" w:eastAsia="宋体" w:cs="Times New Roman"/>
                <w:spacing w:val="0"/>
                <w:w w:val="100"/>
                <w:position w:val="0"/>
                <w:sz w:val="21"/>
                <w:szCs w:val="21"/>
                <w:lang w:eastAsia="zh-CN"/>
              </w:rPr>
              <w:t>☑</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简单分析□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风险</w:t>
            </w:r>
            <w:r>
              <w:rPr>
                <w:rFonts w:hint="eastAsia" w:ascii="Times New Roman" w:hAnsi="Times New Roman" w:eastAsia="宋体" w:cs="Times New Roman"/>
                <w:spacing w:val="0"/>
                <w:w w:val="100"/>
                <w:position w:val="0"/>
                <w:sz w:val="21"/>
                <w:szCs w:val="21"/>
                <w:lang w:eastAsia="zh-CN"/>
              </w:rPr>
              <w:t>识别</w:t>
            </w:r>
          </w:p>
        </w:tc>
        <w:tc>
          <w:tcPr>
            <w:tcW w:w="14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物质危险性</w:t>
            </w:r>
          </w:p>
        </w:tc>
        <w:tc>
          <w:tcPr>
            <w:tcW w:w="259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有毒有害区</w:t>
            </w:r>
            <w:r>
              <w:rPr>
                <w:rFonts w:hint="eastAsia" w:ascii="Times New Roman" w:hAnsi="Times New Roman" w:eastAsia="宋体" w:cs="Times New Roman"/>
                <w:spacing w:val="0"/>
                <w:w w:val="100"/>
                <w:position w:val="0"/>
                <w:sz w:val="21"/>
                <w:szCs w:val="21"/>
                <w:lang w:eastAsia="zh-CN"/>
              </w:rPr>
              <w:t>☑</w:t>
            </w:r>
          </w:p>
        </w:tc>
        <w:tc>
          <w:tcPr>
            <w:tcW w:w="4254"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易燃易爆区</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环境风险类型</w:t>
            </w:r>
          </w:p>
        </w:tc>
        <w:tc>
          <w:tcPr>
            <w:tcW w:w="259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泄漏区</w:t>
            </w:r>
            <w:r>
              <w:rPr>
                <w:rFonts w:hint="eastAsia" w:ascii="Times New Roman" w:hAnsi="Times New Roman" w:eastAsia="宋体" w:cs="Times New Roman"/>
                <w:spacing w:val="0"/>
                <w:w w:val="100"/>
                <w:position w:val="0"/>
                <w:sz w:val="21"/>
                <w:szCs w:val="21"/>
                <w:lang w:eastAsia="zh-CN"/>
              </w:rPr>
              <w:t>☑</w:t>
            </w:r>
          </w:p>
        </w:tc>
        <w:tc>
          <w:tcPr>
            <w:tcW w:w="4254"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火灾、爆炸引发伴生/次生污染物排放区</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影响途径</w:t>
            </w:r>
          </w:p>
        </w:tc>
        <w:tc>
          <w:tcPr>
            <w:tcW w:w="259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大气区</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地表水区</w:t>
            </w:r>
            <w:r>
              <w:rPr>
                <w:rFonts w:hint="eastAsia" w:ascii="Times New Roman" w:hAnsi="Times New Roman" w:eastAsia="宋体" w:cs="Times New Roman"/>
                <w:spacing w:val="0"/>
                <w:w w:val="100"/>
                <w:position w:val="0"/>
                <w:sz w:val="21"/>
                <w:szCs w:val="21"/>
                <w:lang w:eastAsia="zh-CN"/>
              </w:rPr>
              <w:t>☑</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地下水区</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事故情形分析</w:t>
            </w: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源强设定方法</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计算法</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经验估算法</w:t>
            </w:r>
            <w:r>
              <w:rPr>
                <w:rFonts w:hint="eastAsia" w:ascii="Times New Roman" w:hAnsi="Times New Roman" w:eastAsia="宋体" w:cs="Times New Roman"/>
                <w:spacing w:val="0"/>
                <w:w w:val="100"/>
                <w:position w:val="0"/>
                <w:sz w:val="21"/>
                <w:szCs w:val="21"/>
                <w:lang w:eastAsia="zh-CN"/>
              </w:rPr>
              <w:t>□</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其他估算法</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restart"/>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风险预测与评价</w:t>
            </w:r>
          </w:p>
        </w:tc>
        <w:tc>
          <w:tcPr>
            <w:tcW w:w="14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大气</w:t>
            </w:r>
          </w:p>
        </w:tc>
        <w:tc>
          <w:tcPr>
            <w:tcW w:w="1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预测模型</w:t>
            </w:r>
          </w:p>
        </w:tc>
        <w:tc>
          <w:tcPr>
            <w:tcW w:w="11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SLAB</w:t>
            </w:r>
            <w:r>
              <w:rPr>
                <w:rFonts w:hint="eastAsia" w:ascii="Times New Roman" w:hAnsi="Times New Roman" w:eastAsia="宋体" w:cs="Times New Roman"/>
                <w:spacing w:val="0"/>
                <w:w w:val="100"/>
                <w:position w:val="0"/>
                <w:sz w:val="21"/>
                <w:szCs w:val="21"/>
                <w:lang w:eastAsia="zh-CN"/>
              </w:rPr>
              <w:t>□</w:t>
            </w:r>
          </w:p>
        </w:tc>
        <w:tc>
          <w:tcPr>
            <w:tcW w:w="172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AFTOX</w:t>
            </w:r>
            <w:r>
              <w:rPr>
                <w:rFonts w:hint="eastAsia" w:ascii="Times New Roman" w:hAnsi="Times New Roman" w:eastAsia="宋体" w:cs="Times New Roman"/>
                <w:spacing w:val="0"/>
                <w:w w:val="100"/>
                <w:position w:val="0"/>
                <w:sz w:val="21"/>
                <w:szCs w:val="21"/>
                <w:lang w:eastAsia="zh-CN"/>
              </w:rPr>
              <w:t>□</w:t>
            </w:r>
          </w:p>
        </w:tc>
        <w:tc>
          <w:tcPr>
            <w:tcW w:w="253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其他</w:t>
            </w:r>
            <w:r>
              <w:rPr>
                <w:rFonts w:hint="eastAsia" w:ascii="Times New Roman" w:hAnsi="Times New Roman" w:eastAsia="宋体" w:cs="Times New Roman"/>
                <w:spacing w:val="0"/>
                <w:w w:val="100"/>
                <w:positio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预测结果</w:t>
            </w:r>
          </w:p>
        </w:tc>
        <w:tc>
          <w:tcPr>
            <w:tcW w:w="5445"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 xml:space="preserve">大气毒性终点浓度-1    最大影响范围 </w:t>
            </w:r>
            <w:r>
              <w:rPr>
                <w:rFonts w:hint="default" w:ascii="Times New Roman" w:hAnsi="Times New Roman" w:eastAsia="宋体" w:cs="Times New Roman"/>
                <w:spacing w:val="0"/>
                <w:w w:val="100"/>
                <w:position w:val="0"/>
                <w:sz w:val="21"/>
                <w:szCs w:val="21"/>
                <w:u w:val="single" w:color="auto"/>
              </w:rPr>
              <w:t xml:space="preserve">    </w:t>
            </w:r>
            <w:r>
              <w:rPr>
                <w:rFonts w:hint="default" w:ascii="Times New Roman" w:hAnsi="Times New Roman" w:eastAsia="宋体" w:cs="Times New Roman"/>
                <w:spacing w:val="0"/>
                <w:w w:val="100"/>
                <w:position w:val="0"/>
                <w:sz w:val="21"/>
                <w:szCs w:val="21"/>
              </w:rPr>
              <w:t xml:space="preserve"> 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5445"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 xml:space="preserve">大气毒性终点浓度-2    最大影响范围 </w:t>
            </w:r>
            <w:r>
              <w:rPr>
                <w:rFonts w:hint="default" w:ascii="Times New Roman" w:hAnsi="Times New Roman" w:eastAsia="宋体" w:cs="Times New Roman"/>
                <w:spacing w:val="0"/>
                <w:w w:val="100"/>
                <w:position w:val="0"/>
                <w:sz w:val="21"/>
                <w:szCs w:val="21"/>
                <w:u w:val="single" w:color="auto"/>
              </w:rPr>
              <w:t xml:space="preserve">    </w:t>
            </w:r>
            <w:r>
              <w:rPr>
                <w:rFonts w:hint="default" w:ascii="Times New Roman" w:hAnsi="Times New Roman" w:eastAsia="宋体" w:cs="Times New Roman"/>
                <w:spacing w:val="0"/>
                <w:w w:val="100"/>
                <w:position w:val="0"/>
                <w:sz w:val="21"/>
                <w:szCs w:val="21"/>
              </w:rPr>
              <w:t xml:space="preserve"> 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地表水</w:t>
            </w:r>
          </w:p>
        </w:tc>
        <w:tc>
          <w:tcPr>
            <w:tcW w:w="6853"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最近环境敏感目标</w:t>
            </w:r>
            <w:r>
              <w:rPr>
                <w:rFonts w:hint="default" w:ascii="Times New Roman" w:hAnsi="Times New Roman" w:eastAsia="宋体" w:cs="Times New Roman"/>
                <w:spacing w:val="0"/>
                <w:w w:val="100"/>
                <w:position w:val="0"/>
                <w:sz w:val="21"/>
                <w:szCs w:val="21"/>
                <w:u w:val="single"/>
              </w:rPr>
              <w:t xml:space="preserve">   </w:t>
            </w:r>
            <w:r>
              <w:rPr>
                <w:rFonts w:hint="default" w:ascii="Times New Roman" w:hAnsi="Times New Roman" w:eastAsia="宋体" w:cs="Times New Roman"/>
                <w:spacing w:val="0"/>
                <w:w w:val="100"/>
                <w:position w:val="0"/>
                <w:sz w:val="21"/>
                <w:szCs w:val="21"/>
              </w:rPr>
              <w:t>，到达时间</w:t>
            </w:r>
            <w:r>
              <w:rPr>
                <w:rFonts w:hint="default" w:ascii="Times New Roman" w:hAnsi="Times New Roman" w:eastAsia="宋体" w:cs="Times New Roman"/>
                <w:spacing w:val="0"/>
                <w:w w:val="100"/>
                <w:position w:val="0"/>
                <w:sz w:val="21"/>
                <w:szCs w:val="21"/>
                <w:u w:val="single"/>
              </w:rPr>
              <w:t xml:space="preserve"> </w:t>
            </w:r>
            <w:r>
              <w:rPr>
                <w:rFonts w:hint="eastAsia" w:ascii="Times New Roman" w:hAnsi="Times New Roman" w:eastAsia="宋体" w:cs="Times New Roman"/>
                <w:spacing w:val="0"/>
                <w:w w:val="100"/>
                <w:position w:val="0"/>
                <w:sz w:val="21"/>
                <w:szCs w:val="21"/>
                <w:u w:val="single"/>
                <w:lang w:val="en-US" w:eastAsia="zh-CN"/>
              </w:rPr>
              <w:t xml:space="preserve"> </w:t>
            </w:r>
            <w:r>
              <w:rPr>
                <w:rFonts w:hint="default" w:ascii="Times New Roman" w:hAnsi="Times New Roman" w:eastAsia="宋体" w:cs="Times New Roman"/>
                <w:spacing w:val="0"/>
                <w:w w:val="100"/>
                <w:position w:val="0"/>
                <w:sz w:val="21"/>
                <w:szCs w:val="21"/>
                <w:u w:val="single"/>
              </w:rPr>
              <w:t xml:space="preserve"> </w:t>
            </w:r>
            <w:r>
              <w:rPr>
                <w:rFonts w:hint="default" w:ascii="Times New Roman" w:hAnsi="Times New Roman" w:eastAsia="宋体" w:cs="Times New Roman"/>
                <w:spacing w:val="0"/>
                <w:w w:val="100"/>
                <w:position w:val="0"/>
                <w:sz w:val="21"/>
                <w:szCs w:val="21"/>
              </w:rPr>
              <w:t>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w:t>
            </w:r>
          </w:p>
        </w:tc>
        <w:tc>
          <w:tcPr>
            <w:tcW w:w="6853"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下游厂区边界到达时间</w:t>
            </w:r>
            <w:r>
              <w:rPr>
                <w:rFonts w:hint="default" w:ascii="Times New Roman" w:hAnsi="Times New Roman" w:eastAsia="宋体" w:cs="Times New Roman"/>
                <w:spacing w:val="0"/>
                <w:w w:val="100"/>
                <w:position w:val="0"/>
                <w:sz w:val="21"/>
                <w:szCs w:val="21"/>
                <w:u w:val="single"/>
              </w:rPr>
              <w:t xml:space="preserve"> </w:t>
            </w:r>
            <w:r>
              <w:rPr>
                <w:rFonts w:hint="eastAsia" w:ascii="Times New Roman" w:hAnsi="Times New Roman" w:eastAsia="宋体" w:cs="Times New Roman"/>
                <w:spacing w:val="0"/>
                <w:w w:val="100"/>
                <w:position w:val="0"/>
                <w:sz w:val="21"/>
                <w:szCs w:val="21"/>
                <w:u w:val="single"/>
                <w:lang w:val="en-US" w:eastAsia="zh-CN"/>
              </w:rPr>
              <w:t xml:space="preserve"> </w:t>
            </w:r>
            <w:r>
              <w:rPr>
                <w:rFonts w:hint="default" w:ascii="Times New Roman" w:hAnsi="Times New Roman" w:eastAsia="宋体" w:cs="Times New Roman"/>
                <w:spacing w:val="0"/>
                <w:w w:val="100"/>
                <w:position w:val="0"/>
                <w:sz w:val="21"/>
                <w:szCs w:val="21"/>
                <w:u w:val="single"/>
              </w:rPr>
              <w:t xml:space="preserve"> </w:t>
            </w:r>
            <w:r>
              <w:rPr>
                <w:rFonts w:hint="default" w:ascii="Times New Roman" w:hAnsi="Times New Roman" w:eastAsia="宋体" w:cs="Times New Roman"/>
                <w:spacing w:val="0"/>
                <w:w w:val="100"/>
                <w:position w:val="0"/>
                <w:sz w:val="21"/>
                <w:szCs w:val="21"/>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1" w:type="dxa"/>
            <w:vMerge w:val="continue"/>
            <w:tcBorders>
              <w:tl2br w:val="nil"/>
              <w:tr2bl w:val="nil"/>
            </w:tcBorders>
            <w:noWrap w:val="0"/>
            <w:textDirection w:val="tbRlV"/>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141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p>
        </w:tc>
        <w:tc>
          <w:tcPr>
            <w:tcW w:w="6853"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最近环境敏感目标</w:t>
            </w:r>
            <w:r>
              <w:rPr>
                <w:rFonts w:hint="default" w:ascii="Times New Roman" w:hAnsi="Times New Roman" w:eastAsia="宋体" w:cs="Times New Roman"/>
                <w:spacing w:val="0"/>
                <w:w w:val="100"/>
                <w:position w:val="0"/>
                <w:sz w:val="21"/>
                <w:szCs w:val="21"/>
                <w:u w:val="single"/>
              </w:rPr>
              <w:t xml:space="preserve">   </w:t>
            </w:r>
            <w:r>
              <w:rPr>
                <w:rFonts w:hint="default" w:ascii="Times New Roman" w:hAnsi="Times New Roman" w:eastAsia="宋体" w:cs="Times New Roman"/>
                <w:spacing w:val="0"/>
                <w:w w:val="100"/>
                <w:position w:val="0"/>
                <w:sz w:val="21"/>
                <w:szCs w:val="21"/>
              </w:rPr>
              <w:t>，到达时间</w:t>
            </w:r>
            <w:r>
              <w:rPr>
                <w:rFonts w:hint="default" w:ascii="Times New Roman" w:hAnsi="Times New Roman" w:eastAsia="宋体" w:cs="Times New Roman"/>
                <w:spacing w:val="0"/>
                <w:w w:val="100"/>
                <w:position w:val="0"/>
                <w:sz w:val="21"/>
                <w:szCs w:val="21"/>
                <w:u w:val="single"/>
              </w:rPr>
              <w:t xml:space="preserve"> </w:t>
            </w:r>
            <w:r>
              <w:rPr>
                <w:rFonts w:hint="eastAsia" w:ascii="Times New Roman" w:hAnsi="Times New Roman" w:eastAsia="宋体" w:cs="Times New Roman"/>
                <w:spacing w:val="0"/>
                <w:w w:val="100"/>
                <w:position w:val="0"/>
                <w:sz w:val="21"/>
                <w:szCs w:val="21"/>
                <w:u w:val="single"/>
                <w:lang w:val="en-US" w:eastAsia="zh-CN"/>
              </w:rPr>
              <w:t xml:space="preserve">  </w:t>
            </w:r>
            <w:r>
              <w:rPr>
                <w:rFonts w:hint="default" w:ascii="Times New Roman" w:hAnsi="Times New Roman" w:eastAsia="宋体" w:cs="Times New Roman"/>
                <w:spacing w:val="0"/>
                <w:w w:val="100"/>
                <w:position w:val="0"/>
                <w:sz w:val="21"/>
                <w:szCs w:val="21"/>
                <w:u w:val="single"/>
              </w:rPr>
              <w:t xml:space="preserve"> </w:t>
            </w:r>
            <w:r>
              <w:rPr>
                <w:rFonts w:hint="default" w:ascii="Times New Roman" w:hAnsi="Times New Roman" w:eastAsia="宋体" w:cs="Times New Roman"/>
                <w:spacing w:val="0"/>
                <w:w w:val="100"/>
                <w:position w:val="0"/>
                <w:sz w:val="21"/>
                <w:szCs w:val="21"/>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重点风险防范措施</w:t>
            </w:r>
          </w:p>
        </w:tc>
        <w:tc>
          <w:tcPr>
            <w:tcW w:w="6853"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12"/>
              <w:jc w:val="left"/>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1.厂区雨污分流，建设</w:t>
            </w:r>
            <w:r>
              <w:rPr>
                <w:rFonts w:hint="eastAsia" w:cs="Times New Roman"/>
                <w:spacing w:val="0"/>
                <w:w w:val="100"/>
                <w:position w:val="0"/>
                <w:sz w:val="21"/>
                <w:szCs w:val="21"/>
                <w:lang w:val="en-US" w:eastAsia="zh-CN"/>
              </w:rPr>
              <w:t>840</w:t>
            </w:r>
            <w:r>
              <w:rPr>
                <w:rFonts w:hint="eastAsia" w:ascii="Times New Roman" w:hAnsi="Times New Roman" w:eastAsia="宋体" w:cs="Times New Roman"/>
                <w:spacing w:val="0"/>
                <w:w w:val="100"/>
                <w:position w:val="0"/>
                <w:sz w:val="21"/>
                <w:szCs w:val="21"/>
                <w:lang w:val="en-US" w:eastAsia="zh-CN"/>
              </w:rPr>
              <w:t>m</w:t>
            </w:r>
            <w:r>
              <w:rPr>
                <w:rFonts w:hint="eastAsia" w:ascii="Times New Roman" w:hAnsi="Times New Roman" w:eastAsia="宋体" w:cs="Times New Roman"/>
                <w:spacing w:val="0"/>
                <w:w w:val="100"/>
                <w:position w:val="0"/>
                <w:sz w:val="21"/>
                <w:szCs w:val="21"/>
                <w:vertAlign w:val="superscript"/>
                <w:lang w:val="en-US" w:eastAsia="zh-CN"/>
              </w:rPr>
              <w:t>3</w:t>
            </w:r>
            <w:r>
              <w:rPr>
                <w:rFonts w:hint="default" w:ascii="Times New Roman" w:hAnsi="Times New Roman" w:eastAsia="宋体" w:cs="Times New Roman"/>
                <w:spacing w:val="0"/>
                <w:w w:val="100"/>
                <w:position w:val="0"/>
                <w:sz w:val="21"/>
                <w:szCs w:val="21"/>
              </w:rPr>
              <w:t>事故应急池、雨水应急阀门、事故应急阀门等，设置厂内</w:t>
            </w:r>
            <w:r>
              <w:rPr>
                <w:rFonts w:hint="eastAsia" w:ascii="Times New Roman" w:hAnsi="Times New Roman" w:eastAsia="宋体" w:cs="Times New Roman"/>
                <w:spacing w:val="0"/>
                <w:w w:val="100"/>
                <w:position w:val="0"/>
                <w:sz w:val="21"/>
                <w:szCs w:val="21"/>
                <w:lang w:eastAsia="zh-CN"/>
              </w:rPr>
              <w:t>“</w:t>
            </w:r>
            <w:r>
              <w:rPr>
                <w:rFonts w:hint="default" w:ascii="Times New Roman" w:hAnsi="Times New Roman" w:eastAsia="宋体" w:cs="Times New Roman"/>
                <w:spacing w:val="0"/>
                <w:w w:val="100"/>
                <w:position w:val="0"/>
                <w:sz w:val="21"/>
                <w:szCs w:val="21"/>
              </w:rPr>
              <w:t>三级防控措施</w:t>
            </w:r>
            <w:r>
              <w:rPr>
                <w:rFonts w:hint="eastAsia" w:ascii="Times New Roman" w:hAnsi="Times New Roman" w:eastAsia="宋体" w:cs="Times New Roman"/>
                <w:spacing w:val="0"/>
                <w:w w:val="100"/>
                <w:position w:val="0"/>
                <w:sz w:val="21"/>
                <w:szCs w:val="21"/>
                <w:lang w:eastAsia="zh-CN"/>
              </w:rPr>
              <w:t>”</w:t>
            </w:r>
            <w:r>
              <w:rPr>
                <w:rFonts w:hint="default" w:ascii="Times New Roman" w:hAnsi="Times New Roman" w:eastAsia="宋体" w:cs="Times New Roman"/>
                <w:spacing w:val="0"/>
                <w:w w:val="100"/>
                <w:position w:val="0"/>
                <w:sz w:val="21"/>
                <w:szCs w:val="21"/>
              </w:rPr>
              <w:t>，并以园区公共事故应急池作为第三级防控措施，防范事故泄漏液和消防污水进入外环境</w:t>
            </w:r>
            <w:r>
              <w:rPr>
                <w:rFonts w:hint="eastAsia" w:ascii="Times New Roman" w:hAnsi="Times New Roman" w:eastAsia="宋体" w:cs="Times New Roman"/>
                <w:spacing w:val="0"/>
                <w:w w:val="100"/>
                <w:position w:val="0"/>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left="0" w:right="0"/>
              <w:jc w:val="left"/>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2.编制企业环境风险事故应急预案。</w:t>
            </w:r>
          </w:p>
          <w:p>
            <w:pPr>
              <w:keepNext w:val="0"/>
              <w:keepLines w:val="0"/>
              <w:pageBreakBefore w:val="0"/>
              <w:widowControl/>
              <w:kinsoku/>
              <w:wordWrap/>
              <w:overflowPunct/>
              <w:topLinePunct w:val="0"/>
              <w:autoSpaceDE/>
              <w:autoSpaceDN/>
              <w:bidi w:val="0"/>
              <w:adjustRightInd w:val="0"/>
              <w:snapToGrid w:val="0"/>
              <w:spacing w:line="240" w:lineRule="auto"/>
              <w:ind w:left="0" w:right="0"/>
              <w:jc w:val="left"/>
              <w:textAlignment w:val="auto"/>
              <w:rPr>
                <w:rFonts w:hint="default" w:ascii="Times New Roman" w:hAnsi="Times New Roman" w:eastAsia="宋体" w:cs="Times New Roman"/>
                <w:spacing w:val="0"/>
                <w:w w:val="100"/>
                <w:position w:val="0"/>
                <w:sz w:val="21"/>
                <w:szCs w:val="21"/>
              </w:rPr>
            </w:pPr>
            <w:r>
              <w:rPr>
                <w:rFonts w:hint="eastAsia" w:ascii="Times New Roman" w:hAnsi="Times New Roman" w:eastAsia="宋体" w:cs="Times New Roman"/>
                <w:spacing w:val="0"/>
                <w:w w:val="100"/>
                <w:position w:val="0"/>
                <w:sz w:val="21"/>
                <w:szCs w:val="21"/>
                <w:lang w:val="en-US" w:eastAsia="zh-CN"/>
              </w:rPr>
              <w:t>3.</w:t>
            </w:r>
            <w:r>
              <w:rPr>
                <w:rFonts w:hint="default" w:ascii="Times New Roman" w:hAnsi="Times New Roman" w:eastAsia="宋体" w:cs="Times New Roman"/>
                <w:spacing w:val="0"/>
                <w:w w:val="100"/>
                <w:position w:val="0"/>
                <w:sz w:val="21"/>
                <w:szCs w:val="21"/>
                <w:lang w:val="en-US" w:eastAsia="zh-CN"/>
              </w:rPr>
              <w:t>仓库及生产车间配备灭火器等消防设施，及时灭火，减缓火灾影响。</w:t>
            </w:r>
          </w:p>
          <w:p>
            <w:pPr>
              <w:keepNext w:val="0"/>
              <w:keepLines w:val="0"/>
              <w:pageBreakBefore w:val="0"/>
              <w:widowControl/>
              <w:kinsoku/>
              <w:wordWrap/>
              <w:overflowPunct/>
              <w:topLinePunct w:val="0"/>
              <w:autoSpaceDE/>
              <w:autoSpaceDN/>
              <w:bidi w:val="0"/>
              <w:adjustRightInd w:val="0"/>
              <w:snapToGrid w:val="0"/>
              <w:spacing w:line="240" w:lineRule="auto"/>
              <w:ind w:left="0" w:right="0"/>
              <w:jc w:val="left"/>
              <w:textAlignment w:val="auto"/>
              <w:rPr>
                <w:rFonts w:hint="default" w:ascii="Times New Roman" w:hAnsi="Times New Roman" w:eastAsia="宋体" w:cs="Times New Roman"/>
                <w:spacing w:val="0"/>
                <w:w w:val="100"/>
                <w:position w:val="0"/>
                <w:sz w:val="21"/>
                <w:szCs w:val="21"/>
              </w:rPr>
            </w:pPr>
            <w:r>
              <w:rPr>
                <w:rFonts w:hint="eastAsia" w:ascii="Times New Roman" w:hAnsi="Times New Roman" w:eastAsia="宋体" w:cs="Times New Roman"/>
                <w:spacing w:val="0"/>
                <w:w w:val="100"/>
                <w:position w:val="0"/>
                <w:sz w:val="21"/>
                <w:szCs w:val="21"/>
                <w:lang w:val="en-US" w:eastAsia="zh-CN"/>
              </w:rPr>
              <w:t>4.</w:t>
            </w:r>
            <w:r>
              <w:rPr>
                <w:rFonts w:hint="default" w:ascii="Times New Roman" w:hAnsi="Times New Roman" w:eastAsia="宋体" w:cs="Times New Roman"/>
                <w:spacing w:val="0"/>
                <w:w w:val="100"/>
                <w:position w:val="0"/>
                <w:sz w:val="21"/>
                <w:szCs w:val="21"/>
                <w:lang w:val="en-US" w:eastAsia="zh-CN"/>
              </w:rPr>
              <w:t>加强风险防范管理，制定严格的管理制度和责任人制度，并加强安全防范教育和应急救援培训。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2"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评价结论与建议</w:t>
            </w:r>
          </w:p>
        </w:tc>
        <w:tc>
          <w:tcPr>
            <w:tcW w:w="6853"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hanging="2312"/>
              <w:jc w:val="left"/>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在切实落实环评提出的</w:t>
            </w:r>
            <w:r>
              <w:rPr>
                <w:rFonts w:hint="eastAsia" w:ascii="Times New Roman" w:hAnsi="Times New Roman" w:eastAsia="宋体" w:cs="Times New Roman"/>
                <w:spacing w:val="0"/>
                <w:w w:val="100"/>
                <w:position w:val="0"/>
                <w:sz w:val="21"/>
                <w:szCs w:val="21"/>
                <w:lang w:eastAsia="zh-CN"/>
              </w:rPr>
              <w:t>在切实落实环评提出的</w:t>
            </w:r>
            <w:r>
              <w:rPr>
                <w:rFonts w:hint="default" w:ascii="Times New Roman" w:hAnsi="Times New Roman" w:eastAsia="宋体" w:cs="Times New Roman"/>
                <w:spacing w:val="0"/>
                <w:w w:val="100"/>
                <w:position w:val="0"/>
                <w:sz w:val="21"/>
                <w:szCs w:val="21"/>
              </w:rPr>
              <w:t>环境风险防范措施，并加强环境管理的前提下，建设项目环境风险是可控的。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95" w:type="dxa"/>
            <w:gridSpan w:val="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left"/>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注：</w:t>
            </w:r>
            <w:r>
              <w:rPr>
                <w:rFonts w:hint="eastAsia" w:ascii="Times New Roman" w:hAnsi="Times New Roman" w:eastAsia="宋体" w:cs="Times New Roman"/>
                <w:spacing w:val="0"/>
                <w:w w:val="100"/>
                <w:position w:val="0"/>
                <w:sz w:val="21"/>
                <w:szCs w:val="21"/>
                <w:lang w:eastAsia="zh-CN"/>
              </w:rPr>
              <w:t>“□”</w:t>
            </w:r>
            <w:r>
              <w:rPr>
                <w:rFonts w:hint="default" w:ascii="Times New Roman" w:hAnsi="Times New Roman" w:eastAsia="宋体" w:cs="Times New Roman"/>
                <w:spacing w:val="0"/>
                <w:w w:val="100"/>
                <w:position w:val="0"/>
                <w:sz w:val="21"/>
                <w:szCs w:val="21"/>
              </w:rPr>
              <w:t>为勾选项；</w:t>
            </w:r>
            <w:r>
              <w:rPr>
                <w:rFonts w:hint="eastAsia" w:ascii="Times New Roman" w:hAnsi="Times New Roman" w:eastAsia="宋体" w:cs="Times New Roman"/>
                <w:spacing w:val="0"/>
                <w:w w:val="100"/>
                <w:position w:val="0"/>
                <w:sz w:val="21"/>
                <w:szCs w:val="21"/>
                <w:lang w:eastAsia="zh-CN"/>
              </w:rPr>
              <w:t>“</w:t>
            </w:r>
            <w:r>
              <w:rPr>
                <w:rFonts w:hint="default" w:ascii="Times New Roman" w:hAnsi="Times New Roman" w:eastAsia="宋体" w:cs="Times New Roman"/>
                <w:spacing w:val="0"/>
                <w:w w:val="100"/>
                <w:position w:val="0"/>
                <w:sz w:val="21"/>
                <w:szCs w:val="21"/>
                <w:u w:val="single" w:color="auto"/>
              </w:rPr>
              <w:t xml:space="preserve">         </w:t>
            </w:r>
            <w:r>
              <w:rPr>
                <w:rFonts w:hint="eastAsia" w:ascii="Times New Roman" w:hAnsi="Times New Roman" w:eastAsia="宋体" w:cs="Times New Roman"/>
                <w:spacing w:val="0"/>
                <w:w w:val="100"/>
                <w:position w:val="0"/>
                <w:sz w:val="21"/>
                <w:szCs w:val="21"/>
                <w:lang w:eastAsia="zh-CN"/>
              </w:rPr>
              <w:t>”</w:t>
            </w:r>
            <w:r>
              <w:rPr>
                <w:rFonts w:hint="default" w:ascii="Times New Roman" w:hAnsi="Times New Roman" w:eastAsia="宋体" w:cs="Times New Roman"/>
                <w:spacing w:val="0"/>
                <w:w w:val="100"/>
                <w:position w:val="0"/>
                <w:sz w:val="21"/>
                <w:szCs w:val="21"/>
              </w:rPr>
              <w:t>为填写项</w:t>
            </w:r>
          </w:p>
        </w:tc>
      </w:tr>
    </w:tbl>
    <w:p>
      <w:pPr>
        <w:keepNext w:val="0"/>
        <w:keepLines w:val="0"/>
        <w:pageBreakBefore w:val="0"/>
        <w:widowControl/>
        <w:kinsoku/>
        <w:wordWrap/>
        <w:overflowPunct/>
        <w:topLinePunct w:val="0"/>
        <w:autoSpaceDE/>
        <w:autoSpaceDN/>
        <w:bidi w:val="0"/>
        <w:adjustRightInd w:val="0"/>
        <w:snapToGrid w:val="0"/>
        <w:spacing w:before="156" w:beforeLines="50" w:after="156" w:afterLines="50" w:line="360" w:lineRule="auto"/>
        <w:jc w:val="center"/>
        <w:textAlignment w:val="auto"/>
        <w:outlineLvl w:val="9"/>
        <w:rPr>
          <w:b/>
          <w:bCs/>
          <w:spacing w:val="0"/>
          <w:position w:val="0"/>
          <w:sz w:val="36"/>
          <w:szCs w:val="36"/>
        </w:rPr>
      </w:pPr>
      <w:r>
        <w:rPr>
          <w:b/>
          <w:bCs/>
          <w:spacing w:val="0"/>
          <w:position w:val="0"/>
          <w:sz w:val="36"/>
          <w:szCs w:val="36"/>
        </w:rPr>
        <w:br w:type="page"/>
      </w:r>
      <w:r>
        <w:rPr>
          <w:rFonts w:hint="eastAsia"/>
          <w:b/>
          <w:bCs/>
          <w:spacing w:val="0"/>
          <w:position w:val="0"/>
          <w:sz w:val="36"/>
          <w:szCs w:val="36"/>
        </w:rPr>
        <w:t>7环境保护措施及其可行性论证</w:t>
      </w:r>
    </w:p>
    <w:p>
      <w:pPr>
        <w:adjustRightInd w:val="0"/>
        <w:snapToGrid w:val="0"/>
        <w:spacing w:line="360" w:lineRule="auto"/>
        <w:outlineLvl w:val="1"/>
        <w:rPr>
          <w:b/>
          <w:bCs/>
          <w:spacing w:val="0"/>
          <w:position w:val="0"/>
          <w:sz w:val="30"/>
          <w:szCs w:val="30"/>
        </w:rPr>
      </w:pPr>
      <w:r>
        <w:rPr>
          <w:rFonts w:hint="eastAsia"/>
          <w:b/>
          <w:bCs/>
          <w:spacing w:val="0"/>
          <w:position w:val="0"/>
          <w:sz w:val="30"/>
          <w:szCs w:val="30"/>
          <w:lang w:val="en-US" w:eastAsia="zh-CN"/>
        </w:rPr>
        <w:t>7.1</w:t>
      </w:r>
      <w:r>
        <w:rPr>
          <w:rFonts w:hint="eastAsia"/>
          <w:b/>
          <w:bCs/>
          <w:spacing w:val="0"/>
          <w:position w:val="0"/>
          <w:sz w:val="30"/>
          <w:szCs w:val="30"/>
        </w:rPr>
        <w:t>施工期污染防治措施</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val="en-US" w:eastAsia="zh-CN"/>
        </w:rPr>
        <w:t>7.1</w:t>
      </w:r>
      <w:r>
        <w:rPr>
          <w:rFonts w:hint="eastAsia"/>
          <w:b/>
          <w:bCs/>
          <w:spacing w:val="0"/>
          <w:position w:val="0"/>
          <w:sz w:val="28"/>
          <w:szCs w:val="28"/>
        </w:rPr>
        <w:t>.1施工期大气污染防治对策措施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（1）施工工地防尘、抑尘措施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为减轻施工过程对环境的影响，建设单位应加强各项环保措施，建筑工地要做到“六个100%”：</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①工地周边100%围挡。施工现场实行封闭管理，连续设置硬质围挡，做到坚固、平整、整洁、美观，并符合城市风貌规划和车辆行驶安全视距的要求，在建工程的外立面应用安全网，实现全封闭围护。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物料堆放100%覆盖。工程渣土、建筑垃圾和生活垃圾做到集中分类堆放、严密覆盖、及时清理；在施工现场裸露的场地和集中堆放的土方，采取覆盖、固化或绿化等防尘措施；易产生扬尘的物料，用防尘布或六针以上的防尘网苫盖，并定期洒水抑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③出入车辆100%冲洗。在施工现场出入口设置自动车辆冲洗装置和沉淀池，运输车辆底盘和车轮冲洗干净后，方可驶离施工现场。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④施工现场地面100%硬化。对施工场地的主要通道、进出道路、材料加工区及办公生活区地面进行硬化处理，场地硬化强度、厚度、宽度，应满足安全通行、卫生保洁需求，并且工地出入口与城市道路连接区域在全部硬化的同时，按要求敷设钢板，防止路面破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⑤在建工地100%湿法作业。施工现场安排专人负责卫生保洁工作，遇到干旱和大风天气时，增加洒水降尘次数，确保无浮土扬尘。在进行开挖、回填等土方作业时，要辅以洒水压尘等措施。工程竣工后，施工现场的临设、围挡、垃圾等，必须及时清理完毕，清理时必须采取有效的降尘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⑥渣土车辆100%密闭运输。车辆在运输煤炭、垃圾、渣土、砂石、土方、灰浆等散装、流体物料时，必须采取密闭或其他措施，做到车辆密封、装载均衡，不得沿途洒落，造成二次道路扬尘污染。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（2）施工机械、施工车辆燃油尾气控制措施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建设单位应加强监督管理，要求施工单位使用性能优良的施工机械和施工车辆，进入施工现场的车辆性能必须符合《轻型汽车污染物排放限值及测量方法》(GB18352.5-2013)、《重型车用汽油发动机与汽车排气污染物排放限值及测量方法（中国</w:t>
      </w:r>
      <w:r>
        <w:rPr>
          <w:rFonts w:hint="default" w:ascii="Times New Roman" w:hAnsi="Times New Roman" w:cs="Times New Roman"/>
          <w:b w:val="0"/>
          <w:bCs w:val="0"/>
          <w:spacing w:val="0"/>
          <w:position w:val="0"/>
          <w:sz w:val="24"/>
          <w:szCs w:val="24"/>
          <w:lang w:val="en-US" w:eastAsia="zh-CN"/>
        </w:rPr>
        <w:t>III、IV</w:t>
      </w:r>
      <w:r>
        <w:rPr>
          <w:rFonts w:hint="eastAsia"/>
          <w:b w:val="0"/>
          <w:bCs w:val="0"/>
          <w:spacing w:val="0"/>
          <w:position w:val="0"/>
          <w:sz w:val="24"/>
          <w:szCs w:val="24"/>
          <w:lang w:val="en-US" w:eastAsia="zh-CN"/>
        </w:rPr>
        <w:t>阶段）》（GB14762-2008）、《车用压燃式、气体燃料点燃式发动机与汽车排气污染物排放限值及测量方法（中国</w:t>
      </w:r>
      <w:r>
        <w:rPr>
          <w:rFonts w:hint="default" w:ascii="Times New Roman" w:hAnsi="Times New Roman" w:cs="Times New Roman"/>
          <w:b w:val="0"/>
          <w:bCs w:val="0"/>
          <w:spacing w:val="0"/>
          <w:position w:val="0"/>
          <w:sz w:val="24"/>
          <w:szCs w:val="24"/>
          <w:lang w:val="en-US" w:eastAsia="zh-CN"/>
        </w:rPr>
        <w:t>Ⅲ、Ⅳ、Ⅴ</w:t>
      </w:r>
      <w:r>
        <w:rPr>
          <w:rFonts w:hint="eastAsia"/>
          <w:b w:val="0"/>
          <w:bCs w:val="0"/>
          <w:spacing w:val="0"/>
          <w:position w:val="0"/>
          <w:sz w:val="24"/>
          <w:szCs w:val="24"/>
          <w:lang w:val="en-US" w:eastAsia="zh-CN"/>
        </w:rPr>
        <w:t>阶段）》（GB17691-2005）的要求，禁止使用不符合上述性能的施工车辆。</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val="en-US" w:eastAsia="zh-CN"/>
        </w:rPr>
        <w:t>7.1</w:t>
      </w:r>
      <w:r>
        <w:rPr>
          <w:rFonts w:hint="eastAsia"/>
          <w:b/>
          <w:bCs/>
          <w:spacing w:val="0"/>
          <w:position w:val="0"/>
          <w:sz w:val="28"/>
          <w:szCs w:val="28"/>
        </w:rPr>
        <w:t>.</w:t>
      </w:r>
      <w:r>
        <w:rPr>
          <w:rFonts w:hint="eastAsia"/>
          <w:b/>
          <w:bCs/>
          <w:spacing w:val="0"/>
          <w:position w:val="0"/>
          <w:sz w:val="28"/>
          <w:szCs w:val="28"/>
          <w:lang w:val="en-US" w:eastAsia="zh-CN"/>
        </w:rPr>
        <w:t>2</w:t>
      </w:r>
      <w:r>
        <w:rPr>
          <w:rFonts w:hint="eastAsia"/>
          <w:b/>
          <w:bCs/>
          <w:spacing w:val="0"/>
          <w:position w:val="0"/>
          <w:sz w:val="28"/>
          <w:szCs w:val="28"/>
        </w:rPr>
        <w:t>施工期</w:t>
      </w:r>
      <w:r>
        <w:rPr>
          <w:rFonts w:hint="eastAsia"/>
          <w:b/>
          <w:bCs/>
          <w:spacing w:val="0"/>
          <w:position w:val="0"/>
          <w:sz w:val="28"/>
          <w:szCs w:val="28"/>
          <w:lang w:val="en-US" w:eastAsia="zh-CN"/>
        </w:rPr>
        <w:t>水</w:t>
      </w:r>
      <w:r>
        <w:rPr>
          <w:rFonts w:hint="eastAsia"/>
          <w:b/>
          <w:bCs/>
          <w:spacing w:val="0"/>
          <w:position w:val="0"/>
          <w:sz w:val="28"/>
          <w:szCs w:val="28"/>
        </w:rPr>
        <w:t>污染防治对策措施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项目施工期废水主要为施工人员生活污水、施工泥浆水、水泥混凝土浇筑养护用水、车辆和机械设备洗涤水等，应采取以下的废水防治对策及措施。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（1）施工生活污水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为控制生活污水的排放量，主要施工居住场所宜租用附近的民房，不设置施工营地。施工人员的生活污水依托村庄现有污水处理设施处理。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（2）施工机械、施工车辆清洗废水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①减少清洗废水量措施：加强施工机械的清洗管理，设置汽车机械临时保养站（含停车场），运输车辆和机械设备冲洗在保养站内进行，主要安排在每日晚上进行1次。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②清洗废水处理措施：施工机械清洗废水主要含有泥土等悬浮物质（SS），施工机械清洗废水可简单沉淀后回用。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（3）施工泥浆水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①建筑施工模板应尽量采用密封性能较好的钢制模板，模板之间的缝隙应进行密封处理，以减少施工泥浆水的产生量。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②施工期工区内应设置废水沉淀池，机械废水、混凝土拌合排水等生产废水在沉淀池内经充分沉淀后回用于施工场地洒水抑尘、汽车及设备清洗水等环节。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（4）试车期间设备及管道清洗试压废水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在设备及管道安装完成后，需要对设备及管道进行清洗试压。设备及管道清洗试压废水即为设备及管道的清扫和试压阶段排放的废水，废水中除含少量的铁锈等悬浮物外，应通过沉降后由排入园区污水处理厂。</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val="en-US" w:eastAsia="zh-CN"/>
        </w:rPr>
        <w:t>7.1</w:t>
      </w:r>
      <w:r>
        <w:rPr>
          <w:rFonts w:hint="eastAsia"/>
          <w:b/>
          <w:bCs/>
          <w:spacing w:val="0"/>
          <w:position w:val="0"/>
          <w:sz w:val="28"/>
          <w:szCs w:val="28"/>
        </w:rPr>
        <w:t>.</w:t>
      </w:r>
      <w:r>
        <w:rPr>
          <w:rFonts w:hint="eastAsia"/>
          <w:b/>
          <w:bCs/>
          <w:spacing w:val="0"/>
          <w:position w:val="0"/>
          <w:sz w:val="28"/>
          <w:szCs w:val="28"/>
          <w:lang w:val="en-US" w:eastAsia="zh-CN"/>
        </w:rPr>
        <w:t>3</w:t>
      </w:r>
      <w:r>
        <w:rPr>
          <w:rFonts w:hint="eastAsia"/>
          <w:b/>
          <w:bCs/>
          <w:spacing w:val="0"/>
          <w:position w:val="0"/>
          <w:sz w:val="28"/>
          <w:szCs w:val="28"/>
        </w:rPr>
        <w:t>施工期</w:t>
      </w:r>
      <w:r>
        <w:rPr>
          <w:rFonts w:hint="eastAsia"/>
          <w:b/>
          <w:bCs/>
          <w:spacing w:val="0"/>
          <w:position w:val="0"/>
          <w:sz w:val="28"/>
          <w:szCs w:val="28"/>
          <w:lang w:val="en-US" w:eastAsia="zh-CN"/>
        </w:rPr>
        <w:t>噪声</w:t>
      </w:r>
      <w:r>
        <w:rPr>
          <w:rFonts w:hint="eastAsia"/>
          <w:b/>
          <w:bCs/>
          <w:spacing w:val="0"/>
          <w:position w:val="0"/>
          <w:sz w:val="28"/>
          <w:szCs w:val="28"/>
        </w:rPr>
        <w:t>防治对策措施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（1）施工应选用新型的低噪声施工机械设备。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（2）合理安排施工，尽量将强噪声源施工机械的作业时间错开，避免两个或两个以上的强噪声源施工机械同时在高分贝段运行。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（3）合理安排产生高噪声的施工作业时间，尽量避免夜间（22时至次日6时）施工，保证施工场界噪声不超过《建筑施工场界环境噪声排放标准》（GB12523-2011），即昼间70dB（A），夜间55dB（A）。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（4）对电锯、电刨等高噪声设备，采取必要的临时性减振、降噪措施，如加设防振垫片、隔声罩、建隔声墙等。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（5）与周围居民做好沟通工作，减少扰民问题，运输车辆应尽可能减少鸣号，特别是经过附近村庄时，同时尽量减少夜间运输车辆作业时间。</w:t>
      </w:r>
    </w:p>
    <w:p>
      <w:pPr>
        <w:adjustRightInd w:val="0"/>
        <w:snapToGrid w:val="0"/>
        <w:spacing w:line="360" w:lineRule="auto"/>
        <w:outlineLvl w:val="2"/>
        <w:rPr>
          <w:b/>
          <w:bCs/>
          <w:spacing w:val="0"/>
          <w:position w:val="0"/>
          <w:sz w:val="28"/>
          <w:szCs w:val="28"/>
        </w:rPr>
      </w:pPr>
      <w:r>
        <w:rPr>
          <w:rFonts w:hint="eastAsia"/>
          <w:b/>
          <w:bCs/>
          <w:spacing w:val="0"/>
          <w:position w:val="0"/>
          <w:sz w:val="28"/>
          <w:szCs w:val="28"/>
          <w:lang w:val="en-US" w:eastAsia="zh-CN"/>
        </w:rPr>
        <w:t>7.1</w:t>
      </w:r>
      <w:r>
        <w:rPr>
          <w:rFonts w:hint="eastAsia"/>
          <w:b/>
          <w:bCs/>
          <w:spacing w:val="0"/>
          <w:position w:val="0"/>
          <w:sz w:val="28"/>
          <w:szCs w:val="28"/>
        </w:rPr>
        <w:t>.</w:t>
      </w:r>
      <w:r>
        <w:rPr>
          <w:rFonts w:hint="eastAsia"/>
          <w:b/>
          <w:bCs/>
          <w:spacing w:val="0"/>
          <w:position w:val="0"/>
          <w:sz w:val="28"/>
          <w:szCs w:val="28"/>
          <w:lang w:val="en-US" w:eastAsia="zh-CN"/>
        </w:rPr>
        <w:t>4</w:t>
      </w:r>
      <w:r>
        <w:rPr>
          <w:rFonts w:hint="eastAsia"/>
          <w:b/>
          <w:bCs/>
          <w:spacing w:val="0"/>
          <w:position w:val="0"/>
          <w:sz w:val="28"/>
          <w:szCs w:val="28"/>
        </w:rPr>
        <w:t>施工期固体废物处置措施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施工期产生的固体废物主要为施工人员生活垃圾和施工作业固体废物。施工作业固体废物主要为建筑模板、建筑材料下脚料、断残钢筋头、破钢管、包装袋、废旧设备零件以及建筑碎片、碎砖头、水泥块、石子、沙子等建筑材料废弃物和少量机械修配擦油布等。建设单位应加强管理，采取以下的对策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（1）应在施工场地尤其是施工营地的周边设置一些垃圾筒收集施工人员的生活垃圾，并指定人员负责及时收集，定期清运至附近生活垃圾处理场进行处理。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（2）废钢筋、废纸箱、包装水泥袋等固体废物应回收综合利用，建筑碎片、碎砖头、水泥块、石子、沙子等建筑材料废杂物，应在指定场所临时堆存后，委托渣土公司运至政府指定的建筑垃圾受纳场。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施工期的弃土及建筑垃圾应有专人负责协调管理。施工前应按规定到有关部门办理处置批文，按处置批文规定的地点处置建筑垃圾，不得随意堆置在耕地、林地、河道等地。对规定的处置场的四周进行防护，同时做好排水防护，避免产生水土流失。</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（4）施工过程产生的废矿物油及含油废物等应集中收集，委托有资质单位接收处理处置，不得随意丢弃。</w:t>
      </w:r>
    </w:p>
    <w:p>
      <w:pPr>
        <w:adjustRightInd w:val="0"/>
        <w:snapToGrid w:val="0"/>
        <w:spacing w:line="360" w:lineRule="auto"/>
        <w:outlineLvl w:val="2"/>
        <w:rPr>
          <w:rFonts w:hint="default" w:eastAsia="宋体"/>
          <w:b/>
          <w:bCs/>
          <w:spacing w:val="0"/>
          <w:position w:val="0"/>
          <w:sz w:val="28"/>
          <w:szCs w:val="28"/>
          <w:lang w:val="en-US" w:eastAsia="zh-CN"/>
        </w:rPr>
      </w:pPr>
      <w:r>
        <w:rPr>
          <w:rFonts w:hint="eastAsia"/>
          <w:b/>
          <w:bCs/>
          <w:spacing w:val="0"/>
          <w:position w:val="0"/>
          <w:sz w:val="28"/>
          <w:szCs w:val="28"/>
          <w:lang w:val="en-US" w:eastAsia="zh-CN"/>
        </w:rPr>
        <w:t>7.1</w:t>
      </w:r>
      <w:r>
        <w:rPr>
          <w:rFonts w:hint="eastAsia"/>
          <w:b/>
          <w:bCs/>
          <w:spacing w:val="0"/>
          <w:position w:val="0"/>
          <w:sz w:val="28"/>
          <w:szCs w:val="28"/>
        </w:rPr>
        <w:t>.</w:t>
      </w:r>
      <w:r>
        <w:rPr>
          <w:rFonts w:hint="eastAsia"/>
          <w:b/>
          <w:bCs/>
          <w:spacing w:val="0"/>
          <w:position w:val="0"/>
          <w:sz w:val="28"/>
          <w:szCs w:val="28"/>
          <w:lang w:val="en-US" w:eastAsia="zh-CN"/>
        </w:rPr>
        <w:t>5</w:t>
      </w:r>
      <w:r>
        <w:rPr>
          <w:rFonts w:hint="eastAsia"/>
          <w:b/>
          <w:bCs/>
          <w:spacing w:val="0"/>
          <w:position w:val="0"/>
          <w:sz w:val="28"/>
          <w:szCs w:val="28"/>
        </w:rPr>
        <w:t>施工期</w:t>
      </w:r>
      <w:r>
        <w:rPr>
          <w:rFonts w:hint="eastAsia"/>
          <w:b/>
          <w:bCs/>
          <w:spacing w:val="0"/>
          <w:position w:val="0"/>
          <w:sz w:val="28"/>
          <w:szCs w:val="28"/>
          <w:lang w:val="en-US" w:eastAsia="zh-CN"/>
        </w:rPr>
        <w:t>环境管理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加强施工期环境管理是保障施工期环境保护各项工作顺利实施的关键，建设单位应设立过渡性的环境管理机构，配备至少一名专职的环保管理人员，具体负责该项目筹建、施工期间的环境管理和监督工作。重点监督、检查施工单位环保设施的落实情况，并委托专业单位进行施工期的环境监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综上所述，在施工期间，只要建设单位认真落实上述各项环保措施，施工期对环境造成的各种影响将得到有效控制。运营期环保措施及可行性分析。</w:t>
      </w:r>
    </w:p>
    <w:p>
      <w:pPr>
        <w:adjustRightInd w:val="0"/>
        <w:snapToGrid w:val="0"/>
        <w:spacing w:line="360" w:lineRule="auto"/>
        <w:outlineLvl w:val="1"/>
        <w:rPr>
          <w:b/>
          <w:bCs/>
          <w:spacing w:val="0"/>
          <w:position w:val="0"/>
          <w:sz w:val="30"/>
          <w:szCs w:val="30"/>
        </w:rPr>
      </w:pPr>
      <w:r>
        <w:rPr>
          <w:rFonts w:hint="eastAsia"/>
          <w:b/>
          <w:bCs/>
          <w:spacing w:val="0"/>
          <w:position w:val="0"/>
          <w:sz w:val="30"/>
          <w:szCs w:val="30"/>
          <w:lang w:val="en-US" w:eastAsia="zh-CN"/>
        </w:rPr>
        <w:t>7.2</w:t>
      </w:r>
      <w:r>
        <w:rPr>
          <w:rFonts w:hint="eastAsia"/>
          <w:b/>
          <w:bCs/>
          <w:spacing w:val="0"/>
          <w:position w:val="0"/>
          <w:sz w:val="30"/>
          <w:szCs w:val="30"/>
        </w:rPr>
        <w:t>运营期污染防治措施</w:t>
      </w:r>
    </w:p>
    <w:p>
      <w:pPr>
        <w:adjustRightInd w:val="0"/>
        <w:snapToGrid w:val="0"/>
        <w:spacing w:line="360" w:lineRule="auto"/>
        <w:outlineLvl w:val="2"/>
        <w:rPr>
          <w:rFonts w:hint="default" w:eastAsia="宋体"/>
          <w:b/>
          <w:bCs/>
          <w:spacing w:val="0"/>
          <w:position w:val="0"/>
          <w:sz w:val="28"/>
          <w:szCs w:val="28"/>
          <w:lang w:val="en-US" w:eastAsia="zh-CN"/>
        </w:rPr>
      </w:pPr>
      <w:r>
        <w:rPr>
          <w:rFonts w:hint="eastAsia"/>
          <w:b/>
          <w:bCs/>
          <w:spacing w:val="0"/>
          <w:position w:val="0"/>
          <w:sz w:val="28"/>
          <w:szCs w:val="28"/>
          <w:lang w:val="en-US" w:eastAsia="zh-CN"/>
        </w:rPr>
        <w:t>7.2.1运营期废水治理措施及可行性分析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3"/>
        <w:rPr>
          <w:rFonts w:hint="default" w:eastAsia="宋体"/>
          <w:b/>
          <w:bCs/>
          <w:spacing w:val="0"/>
          <w:position w:val="0"/>
          <w:sz w:val="24"/>
          <w:szCs w:val="24"/>
          <w:lang w:val="en-US" w:eastAsia="zh-CN"/>
        </w:rPr>
      </w:pPr>
      <w:r>
        <w:rPr>
          <w:rFonts w:hint="eastAsia"/>
          <w:b/>
          <w:bCs/>
          <w:spacing w:val="0"/>
          <w:position w:val="0"/>
          <w:sz w:val="24"/>
          <w:szCs w:val="24"/>
          <w:lang w:val="en-US" w:eastAsia="zh-CN"/>
        </w:rPr>
        <w:t>7.2.1.1运营期废水产生情况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废水主要包括印染废水、软水站再生废水、循环冷却排水、车间冲洗废水、生活污水，根据工程分析废水源强核算因子的选取评价内容，本项目染整废水源强分析不考虑六价铬、二氧化氯、AOX、苯胺等污染物，主要污染因子为pH、COD、BOD</w:t>
      </w:r>
      <w:r>
        <w:rPr>
          <w:rFonts w:hint="eastAsia"/>
          <w:b w:val="0"/>
          <w:bCs w:val="0"/>
          <w:spacing w:val="0"/>
          <w:position w:val="0"/>
          <w:sz w:val="24"/>
          <w:szCs w:val="24"/>
          <w:vertAlign w:val="subscript"/>
          <w:lang w:val="en-US" w:eastAsia="zh-CN"/>
        </w:rPr>
        <w:t>5</w:t>
      </w:r>
      <w:r>
        <w:rPr>
          <w:rFonts w:hint="eastAsia"/>
          <w:b w:val="0"/>
          <w:bCs w:val="0"/>
          <w:spacing w:val="0"/>
          <w:position w:val="0"/>
          <w:sz w:val="24"/>
          <w:szCs w:val="24"/>
          <w:lang w:val="en-US" w:eastAsia="zh-CN"/>
        </w:rPr>
        <w:t>、SS、氨氮、总氮、总磷、总锑、硫化物、色度，通过废水源强核算，高浓度废水接管浓度为：pH6-9、COD 1678.62mg/L、SS 400.01mg/L、氨氮 14.30mg/L、BOD5 467.86mg/L、总氮 14.30mg/L、总磷 2.87mg/L、硫化物 0.47mg/L、色度 150-300倍，浓度低于表5.2-2中高浓度废水接管水质要求，低浓度废水接管浓度为：pH6-9、COD 793.72mg/L、SS 247.83mg/L、氨氮 15.08mg/L、BOD5 149.36mg/L、总氮 15.17mg/L、总磷 2.52mg/L、硫化物 0.19mg/L、色度100-200，浓度低于表5.2-2低浓度废水接管水质要求。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7.2.1.2本项目厂内废水收集和处理方案</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（1）废水收集方案</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项目生产厂房的地下室建设拟建设1座1300m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高浓度废水收集池和1座1800m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低浓度废水收集池。染色车间内建设高、低浓度污水收集管沟（地面明沟+盖板），车间废水经地面明沟进入地下高、低浓度废水收集池，其他车间设计相应的管道将废水分类重力流排至废水收集池，生活污水经化粪池处理后收集进入低浓度废水池。高低浓度收集池废水用泵提升后采用管廊排出厂区排入产业园高低浓度“两管”输送至产业园污水处理厂集中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（2）废水处理方案</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位于连江可门绿色纺织产业园（一期），该产业园为规划的织染一体化园区，根据《连江可门绿色纺织产业园规划（一期）环境影响报告书》，产业园为入驻的印染企业提供污水处理、中水回用、集中供水、集中供热、商住配套和通用厂房租售等一站式综合服务。入驻企业废水达到园区污水处理厂纳管标准后排入园区污水厂集中处理。各企业排污许可证按照纳管标准核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产业园规划方案要求，本项目区不建设污水处理设施，按照“一企两管”分高、低浓度废水，分别经过厂区内高、低浓度废水管道排出厂区，厂区出口分别与园区高、低浓度废水收集管网连接，废水分质排放到园区污水处理厂集中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园区各企业申请排污许可证时申请出厂许可浓度按照协议标准填报，排入环境的许可浓度按照《城镇污水处理厂污染物排放标准》（GB18918-2002）中一级A标准填报。许可排放量按照《城镇污水处理厂污染物排放标准》（GB18918-2002）中一级A标准与各企业申报废水量进行核算申请。</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（3）接管水质控制措施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建设单位与福建申远产业园管理有限公司（连江可门绿色纺织产业园运营管理单位）签订了污水处理协议，产业园内企业废水排放执行协议中最高允许纳管浓度限值要求。园区污水处理厂高、低浓度废水纳管浓度限值见表7.2-1。本项目建成后，建设单位应按照纳管标准申请排污许可证。</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表7.2-1</w:t>
      </w:r>
      <w:r>
        <w:rPr>
          <w:rFonts w:ascii="宋体" w:hAnsi="宋体" w:eastAsia="宋体" w:cs="宋体"/>
          <w:b/>
          <w:bCs/>
          <w:spacing w:val="0"/>
          <w:position w:val="0"/>
          <w:sz w:val="24"/>
          <w:szCs w:val="24"/>
        </w:rPr>
        <w:t>可门绿色纺织产业园污水处理厂进水最高允许纳管浓度限值</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831"/>
        <w:gridCol w:w="1837"/>
        <w:gridCol w:w="1837"/>
        <w:gridCol w:w="1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序号</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控制项目</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单位</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高浓度</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b/>
                <w:bCs/>
                <w:spacing w:val="0"/>
                <w:position w:val="0"/>
                <w:sz w:val="21"/>
                <w:szCs w:val="21"/>
              </w:rPr>
            </w:pPr>
            <w:r>
              <w:rPr>
                <w:rFonts w:hint="eastAsia" w:ascii="Times New Roman" w:hAnsi="Times New Roman" w:eastAsia="宋体"/>
                <w:b/>
                <w:bCs/>
                <w:spacing w:val="0"/>
                <w:position w:val="0"/>
                <w:sz w:val="21"/>
                <w:szCs w:val="21"/>
              </w:rPr>
              <w:t>低浓度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COD</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2000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BOD</w:t>
            </w:r>
            <w:r>
              <w:rPr>
                <w:rFonts w:hint="eastAsia" w:ascii="Times New Roman" w:hAnsi="Times New Roman" w:eastAsia="宋体"/>
                <w:spacing w:val="0"/>
                <w:position w:val="0"/>
                <w:sz w:val="21"/>
                <w:szCs w:val="21"/>
                <w:vertAlign w:val="subscript"/>
              </w:rPr>
              <w:t>5</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500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悬浮物</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800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4</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TKN（含NH</w:t>
            </w:r>
            <w:r>
              <w:rPr>
                <w:rFonts w:hint="eastAsia" w:ascii="Times New Roman" w:hAnsi="Times New Roman" w:eastAsia="宋体"/>
                <w:spacing w:val="0"/>
                <w:position w:val="0"/>
                <w:sz w:val="21"/>
                <w:szCs w:val="21"/>
                <w:vertAlign w:val="subscript"/>
              </w:rPr>
              <w:t>3</w:t>
            </w:r>
            <w:r>
              <w:rPr>
                <w:rFonts w:hint="eastAsia" w:ascii="Times New Roman" w:hAnsi="Times New Roman" w:eastAsia="宋体"/>
                <w:spacing w:val="0"/>
                <w:position w:val="0"/>
                <w:sz w:val="21"/>
                <w:szCs w:val="21"/>
              </w:rPr>
              <w:t>-N）</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50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5</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总磷</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4</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6</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总氮</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80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7</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色度</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color w:val="000000"/>
                <w:spacing w:val="0"/>
                <w:kern w:val="0"/>
                <w:position w:val="0"/>
                <w:sz w:val="21"/>
                <w:lang w:bidi="ar"/>
              </w:rPr>
              <w:t>倍</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250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8</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pH</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6~9</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9</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硬度（CaCO</w:t>
            </w:r>
            <w:r>
              <w:rPr>
                <w:rFonts w:hint="eastAsia" w:ascii="Times New Roman" w:hAnsi="Times New Roman" w:eastAsia="宋体"/>
                <w:spacing w:val="0"/>
                <w:position w:val="0"/>
                <w:sz w:val="21"/>
                <w:szCs w:val="21"/>
                <w:vertAlign w:val="subscript"/>
              </w:rPr>
              <w:t>3</w:t>
            </w:r>
            <w:r>
              <w:rPr>
                <w:rFonts w:hint="eastAsia" w:ascii="Times New Roman" w:hAnsi="Times New Roman" w:eastAsia="宋体"/>
                <w:spacing w:val="0"/>
                <w:position w:val="0"/>
                <w:sz w:val="21"/>
                <w:szCs w:val="21"/>
              </w:rPr>
              <w:t>）</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450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10</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电导率</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uS/cm</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2500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11</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二氧化氯</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12</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AOX</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2.0</w:t>
            </w:r>
          </w:p>
        </w:tc>
        <w:tc>
          <w:tcPr>
            <w:tcW w:w="1838"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13</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硫化物</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2.0</w:t>
            </w:r>
          </w:p>
        </w:tc>
        <w:tc>
          <w:tcPr>
            <w:tcW w:w="1838"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14</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苯胺</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2.0</w:t>
            </w:r>
          </w:p>
        </w:tc>
        <w:tc>
          <w:tcPr>
            <w:tcW w:w="1838"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15</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六价铬</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0.1</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16</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总铬</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0.1</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17</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总锑</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0.15</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18</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石油类</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ascii="Times New Roman" w:hAnsi="Times New Roman" w:eastAsia="宋体"/>
                <w:color w:val="000000"/>
                <w:spacing w:val="0"/>
                <w:kern w:val="0"/>
                <w:position w:val="0"/>
                <w:sz w:val="21"/>
                <w:lang w:bidi="ar"/>
              </w:rPr>
              <w:t>mg/L</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3"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19</w:t>
            </w:r>
          </w:p>
        </w:tc>
        <w:tc>
          <w:tcPr>
            <w:tcW w:w="2831"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温度</w:t>
            </w:r>
          </w:p>
        </w:tc>
        <w:tc>
          <w:tcPr>
            <w:tcW w:w="1837" w:type="dxa"/>
            <w:tcBorders>
              <w:tl2br w:val="nil"/>
              <w:tr2bl w:val="nil"/>
            </w:tcBorders>
          </w:tcPr>
          <w:p>
            <w:pPr>
              <w:widowControl/>
              <w:adjustRightInd w:val="0"/>
              <w:snapToGrid w:val="0"/>
              <w:jc w:val="center"/>
              <w:rPr>
                <w:rFonts w:ascii="Times New Roman" w:hAnsi="Times New Roman" w:eastAsia="宋体"/>
                <w:spacing w:val="0"/>
                <w:position w:val="0"/>
                <w:sz w:val="21"/>
                <w:szCs w:val="21"/>
              </w:rPr>
            </w:pPr>
            <w:r>
              <w:rPr>
                <w:rFonts w:hint="eastAsia" w:ascii="Times New Roman" w:hAnsi="Times New Roman" w:eastAsia="宋体"/>
                <w:color w:val="000000"/>
                <w:spacing w:val="0"/>
                <w:kern w:val="0"/>
                <w:position w:val="0"/>
                <w:sz w:val="21"/>
                <w:lang w:bidi="ar"/>
              </w:rPr>
              <w:t>℃</w:t>
            </w:r>
          </w:p>
        </w:tc>
        <w:tc>
          <w:tcPr>
            <w:tcW w:w="1837"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30-50</w:t>
            </w:r>
          </w:p>
        </w:tc>
        <w:tc>
          <w:tcPr>
            <w:tcW w:w="1838" w:type="dxa"/>
            <w:tcBorders>
              <w:tl2br w:val="nil"/>
              <w:tr2bl w:val="nil"/>
            </w:tcBorders>
          </w:tcPr>
          <w:p>
            <w:pPr>
              <w:pStyle w:val="10"/>
              <w:widowControl/>
              <w:adjustRightInd w:val="0"/>
              <w:snapToGrid w:val="0"/>
              <w:spacing w:line="240" w:lineRule="auto"/>
              <w:ind w:firstLine="0"/>
              <w:jc w:val="center"/>
              <w:rPr>
                <w:rFonts w:ascii="Times New Roman" w:hAnsi="Times New Roman" w:eastAsia="宋体"/>
                <w:spacing w:val="0"/>
                <w:position w:val="0"/>
                <w:sz w:val="21"/>
                <w:szCs w:val="21"/>
              </w:rPr>
            </w:pPr>
            <w:r>
              <w:rPr>
                <w:rFonts w:hint="eastAsia" w:ascii="Times New Roman" w:hAnsi="Times New Roman" w:eastAsia="宋体"/>
                <w:spacing w:val="0"/>
                <w:position w:val="0"/>
                <w:sz w:val="21"/>
                <w:szCs w:val="21"/>
              </w:rPr>
              <w:t>30-50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根据企业提供的资料以及工程分析源强核算，本项目高、低浓度废水理论上可以满足园区污水处理厂接管标准，然而实际可能出现染整废水浓度波动的情形。考虑不确定因素影响，为确保污水符合接管标准，企业应在高、低浓度废水排放口前设置监测井，按照环保部门以及相关规范要求建设污水排放在线监测系统，并设置超标限值报警值以及监控警戒限值报警，一旦厂区排污口在线监测显示pH、COD或氨氮浓度达到警戒限值，则实施预警警报，企业环境管理人员应立即通知生产部门做好停产或限产准备，同时通知园区污水处理厂；当COD浓度突破接管水质要求，应立即停产或限产，关闭排水总闸门，打开应急事故池阀门，将超标废水引入事故池，采取清污水稀释或对污水进行预处理等方式降低浓度后再外排，同时查明超标原因并使水质达标后后再恢复生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（4）本项目废水清浊分流、分质处理、分质回用的运行管理控制要求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在生产过程中，建设单位应积极接受当地生态环境主管部门的监管监控和群众监督。为确保回用水系统得到有效监管及保证其回用率，应采取下列措施：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实行三级用水计量管理，分别为以全厂为核算单位进行管理的一级计量点，以车间为核算单位进行管理的二级计量点，以重点耗能设备为核算单位进行管理的三级计量点；设置专门机构或人员对取水、排污情况进行监督，并建立管理考核制度和数据统计系统。</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②回用水回用于工艺时，可掺一定比例新鲜水使用，使用前应先进行实验，保证色牢度等质量指标满足要求时，才能正式回用。</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③生产工序中染色、还原清洗等产生的废水污染物浓度较高，属于深色废水。后几次水洗工序产生的废水污染物浓度较低、色度较低，属于浅色废水，应分流单独收集处理后回用。染色机的排水管道设计分流三通阀门，可通过电脑程序控制分流方案，在每批次产品下单时向染色机的电控装置下达分流指令，在染色、水洗工序中实现自动污水分质分流，避免人为的操作失误。</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④应在厂区的废水出口和回用水处理设施管道均安装流量计，并建立回用水档案。并定期向当地生态环境主管部门汇报生产情况和回用水量。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⑤全厂的废水排放量应控制在问题控制的范围内，并确保废水排放口在污水在线监测监控措施的正常运行，与地方生态环境局联网，接受监控。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（5）园区污水厂故障时废水处置方案</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建设单位与福建申远产业园管理有限公司（连江可门绿色纺织产业园运营管理单位）签订的污水处理协议中明确提出：当园区污水厂设备发生故障或发生其他问题需要企业停止生产排水时，乙方应在收到园区污水厂任何方式的通知后（包括书面通知、口头通知等），两个半小时内无条件配合管理公司紧急停止排水，待收到管理公司通知可排水后再恢复企业生产排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（6）水池容积测算及运行管理方式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本项目的高浓度废水池、低浓度废水池、中水池采用“边进边出”的运行模式，正常情况下基本不存储废水，仅在园区污水处理厂出现故障导致废水不能进入污水厂时用于暂存高浓度废水和低浓度废水，或者企业暂停生产导致中水不能及时利用时用于暂存中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outlineLvl w:val="9"/>
        <w:rPr>
          <w:rFonts w:hint="eastAsia"/>
          <w:b/>
          <w:bCs/>
          <w:spacing w:val="0"/>
          <w:position w:val="0"/>
          <w:sz w:val="24"/>
          <w:szCs w:val="24"/>
          <w:vertAlign w:val="baseline"/>
          <w:lang w:val="en-US" w:eastAsia="zh-CN"/>
        </w:rPr>
      </w:pPr>
      <w:r>
        <w:rPr>
          <w:rFonts w:hint="eastAsia"/>
          <w:b/>
          <w:bCs/>
          <w:spacing w:val="0"/>
          <w:position w:val="0"/>
          <w:sz w:val="24"/>
          <w:szCs w:val="24"/>
          <w:lang w:val="en-US" w:eastAsia="zh-CN"/>
        </w:rPr>
        <w:t>表7.2-2水池暂存能力测算</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506"/>
        <w:gridCol w:w="1700"/>
        <w:gridCol w:w="1711"/>
        <w:gridCol w:w="2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53"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序号</w:t>
            </w:r>
          </w:p>
        </w:tc>
        <w:tc>
          <w:tcPr>
            <w:tcW w:w="1356"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池体名称</w:t>
            </w:r>
          </w:p>
        </w:tc>
        <w:tc>
          <w:tcPr>
            <w:tcW w:w="920"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容积（m</w:t>
            </w:r>
            <w:r>
              <w:rPr>
                <w:rFonts w:hint="eastAsia"/>
                <w:b w:val="0"/>
                <w:bCs w:val="0"/>
                <w:spacing w:val="0"/>
                <w:position w:val="0"/>
                <w:sz w:val="21"/>
                <w:szCs w:val="21"/>
                <w:vertAlign w:val="superscript"/>
                <w:lang w:val="en-US" w:eastAsia="zh-CN"/>
              </w:rPr>
              <w:t>3</w:t>
            </w:r>
            <w:r>
              <w:rPr>
                <w:rFonts w:hint="eastAsia"/>
                <w:b w:val="0"/>
                <w:bCs w:val="0"/>
                <w:spacing w:val="0"/>
                <w:position w:val="0"/>
                <w:sz w:val="21"/>
                <w:szCs w:val="21"/>
                <w:vertAlign w:val="baseline"/>
                <w:lang w:val="en-US" w:eastAsia="zh-CN"/>
              </w:rPr>
              <w:t>）</w:t>
            </w:r>
          </w:p>
        </w:tc>
        <w:tc>
          <w:tcPr>
            <w:tcW w:w="926"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相应水量（t/d）</w:t>
            </w:r>
          </w:p>
        </w:tc>
        <w:tc>
          <w:tcPr>
            <w:tcW w:w="1342"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暂存能力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1356"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高浓度废水收集池</w:t>
            </w:r>
          </w:p>
        </w:tc>
        <w:tc>
          <w:tcPr>
            <w:tcW w:w="920"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1300</w:t>
            </w:r>
          </w:p>
        </w:tc>
        <w:tc>
          <w:tcPr>
            <w:tcW w:w="926"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2526.77</w:t>
            </w:r>
          </w:p>
        </w:tc>
        <w:tc>
          <w:tcPr>
            <w:tcW w:w="1342"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可容纳12.35h的水量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356" w:type="pct"/>
            <w:tcBorders>
              <w:tl2br w:val="nil"/>
              <w:tr2bl w:val="nil"/>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b w:val="0"/>
                <w:bCs w:val="0"/>
                <w:spacing w:val="0"/>
                <w:position w:val="0"/>
                <w:sz w:val="21"/>
                <w:szCs w:val="21"/>
                <w:vertAlign w:val="baseline"/>
                <w:lang w:val="en-US" w:eastAsia="zh-CN"/>
              </w:rPr>
              <w:t>低浓度废水收集池</w:t>
            </w:r>
          </w:p>
        </w:tc>
        <w:tc>
          <w:tcPr>
            <w:tcW w:w="920"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1800</w:t>
            </w:r>
          </w:p>
        </w:tc>
        <w:tc>
          <w:tcPr>
            <w:tcW w:w="926"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1614.83</w:t>
            </w:r>
          </w:p>
        </w:tc>
        <w:tc>
          <w:tcPr>
            <w:tcW w:w="1342"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可容纳26.75h的水量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w:t>
            </w:r>
          </w:p>
        </w:tc>
        <w:tc>
          <w:tcPr>
            <w:tcW w:w="1356"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中水池</w:t>
            </w:r>
          </w:p>
        </w:tc>
        <w:tc>
          <w:tcPr>
            <w:tcW w:w="920"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2300</w:t>
            </w:r>
          </w:p>
        </w:tc>
        <w:tc>
          <w:tcPr>
            <w:tcW w:w="926"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1863.72</w:t>
            </w:r>
          </w:p>
        </w:tc>
        <w:tc>
          <w:tcPr>
            <w:tcW w:w="1342" w:type="pct"/>
            <w:tcBorders>
              <w:tl2br w:val="nil"/>
              <w:tr2bl w:val="nil"/>
            </w:tcBorders>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可容纳29.62h的水量</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根据工程分析废水量计算结果，本项目有高、低浓度废水量分别为2526.77t/d、1614.83t/d，生产厂房地下一层建设有高、低浓度废水收集池各一座，容积分别为1300m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、1800m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通过计算，高浓度废水收集池可以容纳12.35小时废水量，低浓度废水收集池可以容纳26.75小时废水量。当园区污水厂要求企业停止排水时，企业可以在短时间内继续生产但不得排水，将废水收集到高、低废水收集池中，并及时根据收集池余量采取停产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u w:val="none"/>
          <w:lang w:val="en-US" w:eastAsia="zh-CN"/>
        </w:rPr>
      </w:pPr>
      <w:r>
        <w:rPr>
          <w:rFonts w:hint="eastAsia"/>
          <w:b w:val="0"/>
          <w:bCs w:val="0"/>
          <w:spacing w:val="0"/>
          <w:position w:val="0"/>
          <w:sz w:val="24"/>
          <w:szCs w:val="24"/>
          <w:u w:val="none"/>
          <w:lang w:val="en-US" w:eastAsia="zh-CN"/>
        </w:rPr>
        <w:t>本项目中水回用量为1863.72t/d，生产厂房地下一层建设有一座容积为2300m</w:t>
      </w:r>
      <w:r>
        <w:rPr>
          <w:rFonts w:hint="eastAsia"/>
          <w:b w:val="0"/>
          <w:bCs w:val="0"/>
          <w:spacing w:val="0"/>
          <w:position w:val="0"/>
          <w:sz w:val="24"/>
          <w:szCs w:val="24"/>
          <w:u w:val="none"/>
          <w:vertAlign w:val="superscript"/>
          <w:lang w:val="en-US" w:eastAsia="zh-CN"/>
        </w:rPr>
        <w:t>3</w:t>
      </w:r>
      <w:r>
        <w:rPr>
          <w:rFonts w:hint="eastAsia"/>
          <w:b w:val="0"/>
          <w:bCs w:val="0"/>
          <w:spacing w:val="0"/>
          <w:position w:val="0"/>
          <w:sz w:val="24"/>
          <w:szCs w:val="24"/>
          <w:u w:val="none"/>
          <w:lang w:val="en-US" w:eastAsia="zh-CN"/>
        </w:rPr>
        <w:t>的中水池，可暂存29.62小时的中水量。当企业暂停生产或其他情况导致中水不能及时回用时，企业应在两小时内向产业园管理公司汇报相关情况，并申请暂停接纳园区污水厂的中水，待生产恢复正常后再利用中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7.2.1.3园区污水处理方案</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（1）</w:t>
      </w:r>
      <w:r>
        <w:rPr>
          <w:rFonts w:hint="eastAsia"/>
          <w:b w:val="0"/>
          <w:bCs w:val="0"/>
          <w:spacing w:val="0"/>
          <w:position w:val="0"/>
          <w:sz w:val="24"/>
          <w:szCs w:val="24"/>
          <w:lang w:val="en-US" w:eastAsia="zh-CN"/>
        </w:rPr>
        <w:t>园区污水排放方案</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连江可门绿色纺织产业园规划（一期）环境影响报告书》，园区污水排放方案为：入驻印染企业废水经分类分质收集预处理达到园区污水处理厂接管标准后统一进入园区污水处理厂处理，集中排放。除污水处理厂排水口外不再设置其他污水排口。企业废水按照</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一企两管</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分高浓水和低浓水分别排入园区污水处理厂。高浓度废水排入园区高浓污水处理装置集中处理、集中排放；低浓度废水排入园区低浓污水处理装置集中处理处理后返回各企业回用。园区污水处理厂规划位于产业园一期北侧，总设计处理量为5.5万t/d，污水排放量为3万t/d，中水回用率45%。根据企业入驻情况分组分期建设。污水站分低污废水和高污废水处置，污水处理厂尾水达到《城镇污水处理厂污染物排放标准》（GB18918-2002）一级A标准后通过可门经济区污水处理厂尾水排海管道引入湾外排放口深海排放。</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（2）园区污水处理厂污水处理工艺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9"/>
        <w:rPr>
          <w:rFonts w:hint="eastAsia"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园区污水处理厂是针对连江可门绿色纺织产业园染整行业进行专业设计的污水处理厂，集中处理产业园各企业产生的染整废水和一般废水。针对高浓度废水主要采用</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物化处理+生化处理+高级氧化处理</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的工艺；低浓度废水采用</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物化处理+生化处理</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工艺后，结合</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UF+RO</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处理，出水回用于</w:t>
      </w:r>
      <w:r>
        <w:rPr>
          <w:rFonts w:hint="eastAsia" w:cs="Times New Roman"/>
          <w:b w:val="0"/>
          <w:bCs w:val="0"/>
          <w:spacing w:val="0"/>
          <w:kern w:val="2"/>
          <w:position w:val="0"/>
          <w:sz w:val="24"/>
          <w:szCs w:val="24"/>
          <w:lang w:val="en-US" w:eastAsia="zh-CN" w:bidi="ar-SA"/>
        </w:rPr>
        <w:t>印染</w:t>
      </w:r>
      <w:r>
        <w:rPr>
          <w:rFonts w:hint="default" w:ascii="Times New Roman" w:hAnsi="Times New Roman" w:eastAsia="宋体" w:cs="Times New Roman"/>
          <w:b w:val="0"/>
          <w:bCs w:val="0"/>
          <w:spacing w:val="0"/>
          <w:kern w:val="2"/>
          <w:position w:val="0"/>
          <w:sz w:val="24"/>
          <w:szCs w:val="24"/>
          <w:lang w:val="en-US" w:eastAsia="zh-CN" w:bidi="ar-SA"/>
        </w:rPr>
        <w:t>企业，</w:t>
      </w:r>
      <w:r>
        <w:rPr>
          <w:rFonts w:hint="eastAsia" w:cs="Times New Roman"/>
          <w:b w:val="0"/>
          <w:bCs w:val="0"/>
          <w:spacing w:val="0"/>
          <w:kern w:val="2"/>
          <w:position w:val="0"/>
          <w:sz w:val="24"/>
          <w:szCs w:val="24"/>
          <w:lang w:val="en-US" w:eastAsia="zh-CN" w:bidi="ar-SA"/>
        </w:rPr>
        <w:t>工艺流程见图7.2-1。</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pacing w:val="0"/>
          <w:kern w:val="2"/>
          <w:position w:val="0"/>
          <w:sz w:val="24"/>
          <w:szCs w:val="24"/>
          <w:lang w:val="en-US" w:eastAsia="zh-CN" w:bidi="ar-SA"/>
        </w:rPr>
      </w:pPr>
      <w:r>
        <w:rPr>
          <w:rFonts w:hint="eastAsia" w:cs="Times New Roman"/>
          <w:b/>
          <w:bCs/>
          <w:spacing w:val="0"/>
          <w:kern w:val="2"/>
          <w:position w:val="0"/>
          <w:sz w:val="24"/>
          <w:szCs w:val="24"/>
          <w:lang w:val="en-US" w:eastAsia="zh-CN" w:bidi="ar-SA"/>
        </w:rPr>
        <w:t>图7.2-1污水厂处理工艺流程图</w:t>
      </w:r>
      <w:r>
        <w:rPr>
          <w:rFonts w:hint="eastAsia" w:cs="Times New Roman"/>
          <w:b/>
          <w:bCs/>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污水处理工艺流程说明：</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①高浓度废水处理工艺：</w:t>
      </w:r>
      <w:r>
        <w:rPr>
          <w:rFonts w:hint="default" w:ascii="Times New Roman" w:hAnsi="Times New Roman" w:eastAsia="宋体" w:cs="Times New Roman"/>
          <w:b w:val="0"/>
          <w:bCs w:val="0"/>
          <w:spacing w:val="0"/>
          <w:kern w:val="2"/>
          <w:position w:val="0"/>
          <w:sz w:val="24"/>
          <w:szCs w:val="24"/>
          <w:lang w:val="en-US" w:eastAsia="zh-CN" w:bidi="ar-SA"/>
        </w:rPr>
        <w:t>高浓水经计量、细格栅、分配渠分配后进入高浓水调节池。在高浓水调节池内设置穿孔曝气管间歇搅拌，进行水量、水质均匀调节，并防止固体颗粒物的沉淀。经过调节的废水中和后由提升泵提升至冷却塔进行降温。冷却塔出水进入气浮系统，经投加PAC和PAM进行混凝反应，气浮的浮渣进入浮渣贮池。气浮出水自流进入厌氧生物处理。在厌氧反应器内，废水由反应器底部进入，经过厌氧污泥层的生化反应，去除部分有机物并将大分子难降解有机物降解成小分子可降解有机物，从而提高废水的可生化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废水在厌氧反应器顶部收集后重力流入好氧D-CBR处理系统（载体生物膜反应器），利用生物载体附着的好氧生物膜进行好氧生化反应，进一步去除废水中的有机物。D-CBR池出水进入二沉池进行泥水分离。二沉池底部的污泥收集后由泵回流至D-CBR池前端，剩余污泥排入污泥浓缩机。二沉池上清液收集后流入后续的高效沉淀池，经投加PAC和PAM进行混凝反应，底部污泥排入污泥浓缩机，上清液经收集后流入臭氧接触氧化池。在臭氧接触氧化池内，经投加臭氧进行氧化反应，去除部分难降解有机物并将一部分大分子有机物氧化分解成小分子有机物。臭氧接触池出水经脱气后进入D-CBR池，进行进一步的好氧生物膜降解，以满足排放标准对COD的限制要求。D-CBR出水进入RMF（旋转式微滤机）进行过滤，去除水中的微小悬浮物，满足排放标准对S</w:t>
      </w:r>
      <w:r>
        <w:rPr>
          <w:rFonts w:hint="eastAsia" w:cs="Times New Roman"/>
          <w:b w:val="0"/>
          <w:bCs w:val="0"/>
          <w:spacing w:val="0"/>
          <w:kern w:val="2"/>
          <w:position w:val="0"/>
          <w:sz w:val="24"/>
          <w:szCs w:val="24"/>
          <w:lang w:val="en-US" w:eastAsia="zh-CN" w:bidi="ar-SA"/>
        </w:rPr>
        <w:t>S</w:t>
      </w:r>
      <w:r>
        <w:rPr>
          <w:rFonts w:hint="default" w:ascii="Times New Roman" w:hAnsi="Times New Roman" w:eastAsia="宋体" w:cs="Times New Roman"/>
          <w:b w:val="0"/>
          <w:bCs w:val="0"/>
          <w:spacing w:val="0"/>
          <w:kern w:val="2"/>
          <w:position w:val="0"/>
          <w:sz w:val="24"/>
          <w:szCs w:val="24"/>
          <w:lang w:val="en-US" w:eastAsia="zh-CN" w:bidi="ar-SA"/>
        </w:rPr>
        <w:t>的限值要求。RMF出水经次钠消毒后进入排水池，经由提升泵排入市政排海管道。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②低浓度废水处理工艺：低浓水经计量、细格栅、分配渠分配后进入低浓水调节池。在低浓水调节池内设置穿孔曝气管间歇搅拌，进行水量、水质均匀调节，并防止固体颗粒物的沉淀。经过调节的废水中和后由提升泵提升至冷却塔进行降温。冷却塔出水进入气浮系统，气浮的浮渣进入浮渣贮池。气浮出水自流进入厌氧生物处理。在厌氧反应器内，废水由反应器底部进入，经过厌氧污泥层的生化反应，去除部分有机物并将大分子难降解有机物降解成小分子可降解有机物，从而提高废水的可生化性。废水在厌氧反应器顶部收集后重力流入好氧D-CBR处理系统（载体生物膜反应器），利用生物载体附着的好氧生物膜进行好氧生化反应，进一步去除废水中的有机物。D-CBR池出水进入二沉池进行泥水分离。二沉池底部的污泥收集后由泵回流至D-CBR池前端，剩余污泥排入污泥浓缩机。二沉池上清液收集后流入后续的高效沉淀池，经投加PAC和PAM进行混凝反应，底部污泥排入污泥浓缩机，上清液经收集后流入RMF（旋转式微滤机）进行过滤，去除水中的微小悬浮物。RMF出水流入UF（超滤）进水储池，用于后续UF（超滤）+RO（反渗透）的进一步处理，满足回用水要求。在回用水池设置杀菌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该污水处理方案具有去除效率高、出水水质好、运行稳定、维护方便、占地面积小等优点；同时高浓度废水和低浓度废水分开收集、分别集中预处理，高浓度废水经处理后可实现达标排放；低浓度废水采用UF+RO工艺处理后，满足工厂回用水的水质需要。</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③废水处理工艺的可行性分析：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对比《纺织工业污染防治可行技术指南》（HJ1177-2021），园区污水处理厂工艺及回用水处理工艺可行性分析见表7.2-2。</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val="en-US" w:eastAsia="zh-CN"/>
        </w:rPr>
        <w:t>表7.2-2园区污水出厂工艺可行性分析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5003"/>
        <w:gridCol w:w="2262"/>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来源</w:t>
            </w:r>
          </w:p>
        </w:tc>
        <w:tc>
          <w:tcPr>
            <w:tcW w:w="48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可行技术</w:t>
            </w:r>
          </w:p>
        </w:tc>
        <w:tc>
          <w:tcPr>
            <w:tcW w:w="21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园区污水处理厂情况</w:t>
            </w:r>
          </w:p>
        </w:tc>
        <w:tc>
          <w:tcPr>
            <w:tcW w:w="69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《纺织工业污染防治可行技术指南》（HJ1177-2021）</w:t>
            </w:r>
          </w:p>
        </w:tc>
        <w:tc>
          <w:tcPr>
            <w:tcW w:w="48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bCs/>
                <w:spacing w:val="0"/>
                <w:position w:val="0"/>
                <w:sz w:val="21"/>
                <w:szCs w:val="21"/>
                <w:vertAlign w:val="baseline"/>
                <w:lang w:val="en-US" w:eastAsia="zh-CN"/>
              </w:rPr>
              <w:t>物化处理技术：</w:t>
            </w:r>
            <w:r>
              <w:rPr>
                <w:rFonts w:hint="eastAsia"/>
                <w:b w:val="0"/>
                <w:bCs w:val="0"/>
                <w:spacing w:val="0"/>
                <w:position w:val="0"/>
                <w:sz w:val="21"/>
                <w:szCs w:val="21"/>
                <w:vertAlign w:val="baseline"/>
                <w:lang w:val="en-US" w:eastAsia="zh-CN"/>
              </w:rPr>
              <w:t>包括格栅、调节、气浮、混凝和沉淀等操作单元，其中格栅适用于含织物纤维较多的纺织废水处理，调节适用于纺织工业废水的水质、水量调节，同时兼具中和、降温功能，混凝适用于纺织工业废水中纤维、油脂、分散染料、悬浮颗粒等污染物的去除，气浮适用于纺织工业废水中比重较小的悬浮颗粒的去除，例如纤维、油脂等；</w:t>
            </w:r>
          </w:p>
        </w:tc>
        <w:tc>
          <w:tcPr>
            <w:tcW w:w="21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具有格栅、调节等物化处理技术</w:t>
            </w:r>
          </w:p>
        </w:tc>
        <w:tc>
          <w:tcPr>
            <w:tcW w:w="69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48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1"/>
                <w:vertAlign w:val="baseline"/>
                <w:lang w:val="en-US" w:eastAsia="zh-CN"/>
              </w:rPr>
            </w:pPr>
            <w:r>
              <w:rPr>
                <w:rFonts w:hint="eastAsia"/>
                <w:b/>
                <w:bCs/>
                <w:spacing w:val="0"/>
                <w:position w:val="0"/>
                <w:sz w:val="21"/>
                <w:szCs w:val="21"/>
                <w:vertAlign w:val="baseline"/>
                <w:lang w:val="en-US" w:eastAsia="zh-CN"/>
              </w:rPr>
              <w:t>生物处理技术：</w:t>
            </w:r>
            <w:r>
              <w:rPr>
                <w:rFonts w:hint="eastAsia"/>
                <w:b w:val="0"/>
                <w:bCs w:val="0"/>
                <w:spacing w:val="0"/>
                <w:position w:val="0"/>
                <w:sz w:val="21"/>
                <w:szCs w:val="21"/>
                <w:vertAlign w:val="baseline"/>
                <w:lang w:val="en-US" w:eastAsia="zh-CN"/>
              </w:rPr>
              <w:t>包括厌氧生物技术和好氧生物技术，通过生物降解方式实现有机物降解和脱氮。</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厌氧生物技术有水解酸化、厌氧生物反应器，其中水解酸化适用于纺织工业中有机废水的处理，可对纤维素、浆料、染料、脂肪类、蛋白质类等有机高分子或大分子有机物进行降解，将二氧化氯等物质还原。厌氧生物反应器适用于绢纺废水、洗毛废水及淀粉浆料为主的退浆废水等高浓度有机废水，利用一定结构形式的生物反应器进行含有机物废水的厌氧代谢处理。</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好氧生物技术适用于纺织工业废水中有机污染物和硫化物的去除，指在有氧条件下利用微生物降解有机物和氨氮等污染物的过程，主要包括完全混合活性污泥法和生物膜法。</w:t>
            </w:r>
          </w:p>
        </w:tc>
        <w:tc>
          <w:tcPr>
            <w:tcW w:w="21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具有厌氧水解酸化工艺和好氧处理工艺</w:t>
            </w:r>
          </w:p>
        </w:tc>
        <w:tc>
          <w:tcPr>
            <w:tcW w:w="69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p>
        </w:tc>
        <w:tc>
          <w:tcPr>
            <w:tcW w:w="4822"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深度处理技术：指对生物处理出水进一步净化的处理过程，对纺织工业废水中的苯胺类、AOX等特征污染物进一步降解，从而降低废水的生物毒性。一般宜先采用混凝工艺进行预处理。包括曝气生物滤池、臭氧氧化、芬顿氧化、膜分离。</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膜分离技术适用于纺织工业废水脱盐及再生回用，包括微滤、超滤、纳滤和反渗透。</w:t>
            </w:r>
          </w:p>
        </w:tc>
        <w:tc>
          <w:tcPr>
            <w:tcW w:w="218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深度处理前先通过二沉池和高效沉淀池，属于混凝工艺；深度处理采用臭氧氧化和膜分离技术，膜分离选择超滤+反渗透膜</w:t>
            </w:r>
          </w:p>
        </w:tc>
        <w:tc>
          <w:tcPr>
            <w:tcW w:w="69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可行</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通过表7.2-2分析，园区污水处理厂设计方案中的各项技术属于《纺织工业污染防治可行技术指南》（HJ1177-2021）中的可行技术，专门处理纺织产业园内企业染整生产废水，可以有效去除纺织工业废水中纤维、油脂、分散染料、悬浮颗粒等污染物，硫化物、苯胺类、AOX等特征污染物，以及降解有机物、脱氮的能力，废水可以实现达标排放（《城镇污水处理厂污染物排放标准》（GB18918－2002）一级A排放标准），且UF+RO属于《纺织工业污染防治可行技术指南》（HJ1177-2021）中深度处理技术（膜分离技术），可以满足回用水水质要求。因此，园区污水处理厂处理工艺可行。</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（3）园区污水处理厂回用水回用方案</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①回用水处理工艺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根据《连江可门绿色纺织产业园污水处理厂可行性研究报告》，低浓污水经</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物化处理+生化处理+高级氧化</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处理后需要进一步采用</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UF+RO工艺</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处理，满足回用水要求（参照《纺织染整工业回用水水质》（FZ/T01107-2011）标准）后与新鲜水按照一定配比由专管回到各企业生产，在回用水池设置杀菌措施，园区污水厂中水回用率不低于45%。</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中水回用优先采用低浓度污水处理后的回用水。通过对产业区已批和拟批项目废水量的分析，低浓度废水占园区总污水量的45%以上（见表7.2-3），低浓度污水即可以满足回用水量要求，超过回用需求的水量与处理达标后的高浓度废水一并至湾外深海排放。但实际生产运行中若出现低浓度废水低于总水量的45%导致低浓度废水达不到回用水量要求的情况时，可将处理后满足排放要求的高浓度废水再经</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UF+RO工艺</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处理并回用，确保园区污水厂中水回用率不低于45%。</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pacing w:val="0"/>
          <w:kern w:val="2"/>
          <w:position w:val="0"/>
          <w:sz w:val="24"/>
          <w:szCs w:val="24"/>
          <w:vertAlign w:val="baseline"/>
          <w:lang w:val="en-US" w:eastAsia="zh-CN" w:bidi="ar-SA"/>
        </w:rPr>
      </w:pPr>
      <w:r>
        <w:rPr>
          <w:rFonts w:hint="eastAsia" w:cs="Times New Roman"/>
          <w:b/>
          <w:bCs/>
          <w:spacing w:val="0"/>
          <w:kern w:val="2"/>
          <w:position w:val="0"/>
          <w:sz w:val="24"/>
          <w:szCs w:val="24"/>
          <w:lang w:val="en-US" w:eastAsia="zh-CN" w:bidi="ar-SA"/>
        </w:rPr>
        <w:t>表7.2-3产业园已批和拟批项目废水量分析</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955"/>
        <w:gridCol w:w="1110"/>
        <w:gridCol w:w="1185"/>
        <w:gridCol w:w="1185"/>
        <w:gridCol w:w="1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序号</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企业名称</w:t>
            </w:r>
          </w:p>
        </w:tc>
        <w:tc>
          <w:tcPr>
            <w:tcW w:w="111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总废水量（t/d）</w:t>
            </w:r>
          </w:p>
        </w:tc>
        <w:tc>
          <w:tcPr>
            <w:tcW w:w="118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高浓度废水量（t/d）</w:t>
            </w:r>
          </w:p>
        </w:tc>
        <w:tc>
          <w:tcPr>
            <w:tcW w:w="118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lang w:val="en-US" w:eastAsia="zh-CN"/>
              </w:rPr>
              <w:t>低</w:t>
            </w:r>
            <w:r>
              <w:rPr>
                <w:rFonts w:hint="default" w:ascii="Times New Roman" w:hAnsi="Times New Roman" w:eastAsia="宋体" w:cs="Times New Roman"/>
                <w:spacing w:val="0"/>
                <w:position w:val="0"/>
                <w:sz w:val="21"/>
                <w:szCs w:val="24"/>
              </w:rPr>
              <w:t>浓度废水量（t/d）</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lang w:val="en-US" w:eastAsia="zh-CN"/>
              </w:rPr>
              <w:t>低</w:t>
            </w:r>
            <w:r>
              <w:rPr>
                <w:rFonts w:hint="default" w:ascii="Times New Roman" w:hAnsi="Times New Roman" w:eastAsia="宋体" w:cs="Times New Roman"/>
                <w:spacing w:val="0"/>
                <w:position w:val="0"/>
                <w:sz w:val="21"/>
                <w:szCs w:val="24"/>
              </w:rPr>
              <w:t>浓度废水占总废水量的比例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1</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福建东禾晟实业有限公司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7198.23</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3681.53</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3516.7</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2</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福建省恒创优品科技有限公司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4332.78</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1759.4</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2573.38</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3</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福建鑫源欣纺织有限公司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3501.25</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1940.02</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1561.23</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4</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福建领逸纺织有限公司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3576.18</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1830.27</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1745.91</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5</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福建俊诚纺织有限公司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7214.56</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3829.34</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3385.22</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6</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福建锦彦纺织有限公司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3603.02</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1987.72</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1615.31</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7</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spacing w:val="0"/>
                <w:position w:val="0"/>
                <w:sz w:val="21"/>
                <w:szCs w:val="24"/>
              </w:rPr>
              <w:t>福建芳达纺织有限公司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3477.78</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1960.54</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cs="Times New Roman"/>
                <w:spacing w:val="0"/>
                <w:position w:val="0"/>
                <w:sz w:val="21"/>
              </w:rPr>
              <w:t>1517.24</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8</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spacing w:val="0"/>
                <w:position w:val="0"/>
                <w:sz w:val="21"/>
                <w:szCs w:val="24"/>
                <w:lang w:val="en-US" w:eastAsia="zh-CN"/>
              </w:rPr>
            </w:pPr>
            <w:r>
              <w:rPr>
                <w:rFonts w:hint="default" w:ascii="Times New Roman" w:hAnsi="Times New Roman" w:eastAsia="宋体" w:cs="Times New Roman"/>
                <w:spacing w:val="0"/>
                <w:position w:val="0"/>
                <w:sz w:val="21"/>
                <w:szCs w:val="24"/>
                <w:lang w:val="en-US" w:eastAsia="zh-CN"/>
              </w:rPr>
              <w:t>福建君玥纺织有限公司</w:t>
            </w:r>
          </w:p>
        </w:tc>
        <w:tc>
          <w:tcPr>
            <w:tcW w:w="1110"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spacing w:val="0"/>
                <w:position w:val="0"/>
                <w:sz w:val="21"/>
                <w:lang w:val="en-US" w:eastAsia="zh-CN"/>
              </w:rPr>
            </w:pPr>
            <w:r>
              <w:rPr>
                <w:rFonts w:hint="default" w:ascii="Times New Roman" w:hAnsi="Times New Roman" w:cs="Times New Roman"/>
                <w:spacing w:val="0"/>
                <w:position w:val="0"/>
                <w:sz w:val="21"/>
                <w:lang w:val="en-US" w:eastAsia="zh-CN"/>
              </w:rPr>
              <w:t>3594.99</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pacing w:val="0"/>
                <w:position w:val="0"/>
                <w:sz w:val="21"/>
                <w:lang w:val="en-US" w:eastAsia="zh-CN"/>
              </w:rPr>
            </w:pPr>
            <w:r>
              <w:rPr>
                <w:rFonts w:hint="default" w:ascii="Times New Roman" w:hAnsi="Times New Roman" w:cs="Times New Roman"/>
                <w:spacing w:val="0"/>
                <w:position w:val="0"/>
                <w:sz w:val="21"/>
                <w:lang w:val="en-US" w:eastAsia="zh-CN"/>
              </w:rPr>
              <w:t>2170.63</w:t>
            </w:r>
          </w:p>
        </w:tc>
        <w:tc>
          <w:tcPr>
            <w:tcW w:w="1185"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pacing w:val="0"/>
                <w:position w:val="0"/>
                <w:sz w:val="21"/>
                <w:lang w:val="en-US" w:eastAsia="zh-CN"/>
              </w:rPr>
            </w:pPr>
            <w:r>
              <w:rPr>
                <w:rFonts w:hint="default" w:ascii="Times New Roman" w:hAnsi="Times New Roman" w:cs="Times New Roman"/>
                <w:spacing w:val="0"/>
                <w:position w:val="0"/>
                <w:sz w:val="21"/>
                <w:lang w:val="en-US" w:eastAsia="zh-CN"/>
              </w:rPr>
              <w:t>1424.36</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9</w:t>
            </w:r>
          </w:p>
        </w:tc>
        <w:tc>
          <w:tcPr>
            <w:tcW w:w="295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福建悦聚科技有限公司</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（本项目）</w:t>
            </w:r>
          </w:p>
        </w:tc>
        <w:tc>
          <w:tcPr>
            <w:tcW w:w="1110"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4141.60</w:t>
            </w:r>
          </w:p>
        </w:tc>
        <w:tc>
          <w:tcPr>
            <w:tcW w:w="118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2526.77</w:t>
            </w:r>
          </w:p>
        </w:tc>
        <w:tc>
          <w:tcPr>
            <w:tcW w:w="118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1614.83</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1"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合计</w:t>
            </w:r>
          </w:p>
        </w:tc>
        <w:tc>
          <w:tcPr>
            <w:tcW w:w="11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40640.39</w:t>
            </w:r>
          </w:p>
        </w:tc>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21686.22</w:t>
            </w:r>
          </w:p>
        </w:tc>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i w:val="0"/>
                <w:iCs w:val="0"/>
                <w:color w:val="000000"/>
                <w:spacing w:val="0"/>
                <w:kern w:val="0"/>
                <w:position w:val="0"/>
                <w:sz w:val="21"/>
                <w:szCs w:val="21"/>
                <w:u w:val="none"/>
                <w:lang w:val="en-US" w:eastAsia="zh-CN" w:bidi="ar"/>
              </w:rPr>
              <w:t>18954.18</w:t>
            </w:r>
          </w:p>
        </w:tc>
        <w:tc>
          <w:tcPr>
            <w:tcW w:w="1734"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46.64%</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②回用水处理工艺可行性分析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超滤（UF）是一种以筛分原理为基础，以膜两侧压差为动力的溶液分离过程，是一种现代化的膜分离技术，超滤微孔小于0.01微米，可有效去除水中的微粒、胶体、细菌垫层及高分子有机物质。超滤出水进入反渗透膜处理（RO）系统，RO装置是中水回用系统的核心部分，是一种以压力差为推动力，从溶液中分离出溶剂的膜分离操作。对膜一侧的料液施加压力，当压力超过它的渗透压时，溶剂会逆着自然渗透的方向作反向渗透。从而在膜的低压侧得到透过的溶剂，即渗透液；高压侧得到浓缩的溶液，即浓缩液。经RO处理的水，能去除绝大部分无机盐、有机物、微生物、细菌，纯水流入回用水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超滤、反渗透技术是一种广泛用于水的净化、溶液分离、浓缩，以及从废水中提取有用物质，废水净化再利用领域的高新技术，广泛应用于回用水处理，其深度处理后的水能够满足回用水要求。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③园区中水回用管理措施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建设单位与福建申远产业园管理有限公司（连江可门绿色纺织产业园运营管理单位）签订了污水处理协议，同时明确了回用水比例为45%，由污水处理厂统一管理，按照企业排放的废水量及中水回用比例45%进行分配，污水厂建设回用水计量设施，各企业应保证回用水管道阀门24小时开启，以确保回用水的持续使用，企业内部建设回用水池收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园区对拟引入的印染企业排放的废水量及中水回用率进行分配，本项目废水排放总量为</w:t>
      </w:r>
      <w:r>
        <w:rPr>
          <w:rFonts w:hint="eastAsia" w:cs="Times New Roman"/>
          <w:b w:val="0"/>
          <w:bCs w:val="0"/>
          <w:spacing w:val="0"/>
          <w:kern w:val="2"/>
          <w:position w:val="0"/>
          <w:sz w:val="24"/>
          <w:szCs w:val="24"/>
          <w:lang w:val="en-US" w:eastAsia="zh-CN" w:bidi="ar-SA"/>
        </w:rPr>
        <w:t>4141.6</w:t>
      </w:r>
      <w:r>
        <w:rPr>
          <w:rFonts w:hint="default" w:ascii="Times New Roman" w:hAnsi="Times New Roman" w:eastAsia="宋体" w:cs="Times New Roman"/>
          <w:b w:val="0"/>
          <w:bCs w:val="0"/>
          <w:spacing w:val="0"/>
          <w:kern w:val="2"/>
          <w:position w:val="0"/>
          <w:sz w:val="24"/>
          <w:szCs w:val="24"/>
          <w:lang w:val="en-US" w:eastAsia="zh-CN" w:bidi="ar-SA"/>
        </w:rPr>
        <w:t>t/d，中水回用量为</w:t>
      </w:r>
      <w:r>
        <w:rPr>
          <w:rFonts w:hint="eastAsia" w:cs="Times New Roman"/>
          <w:b w:val="0"/>
          <w:bCs w:val="0"/>
          <w:spacing w:val="0"/>
          <w:kern w:val="2"/>
          <w:position w:val="0"/>
          <w:sz w:val="24"/>
          <w:szCs w:val="24"/>
          <w:lang w:val="en-US" w:eastAsia="zh-CN" w:bidi="ar-SA"/>
        </w:rPr>
        <w:t>1863.72</w:t>
      </w:r>
      <w:r>
        <w:rPr>
          <w:rFonts w:hint="default" w:ascii="Times New Roman" w:hAnsi="Times New Roman" w:eastAsia="宋体" w:cs="Times New Roman"/>
          <w:b w:val="0"/>
          <w:bCs w:val="0"/>
          <w:spacing w:val="0"/>
          <w:kern w:val="2"/>
          <w:position w:val="0"/>
          <w:sz w:val="24"/>
          <w:szCs w:val="24"/>
          <w:lang w:val="en-US" w:eastAsia="zh-CN" w:bidi="ar-SA"/>
        </w:rPr>
        <w:t>t/d，满足中水回用率45%的要求。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7.2.1.4废水进入产业园污水处理厂的可行性分析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（1）水量可行性分析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园区污水处理厂初步设计方案，连江可门绿色纺织产业园污水处理厂拟建设规模为5.5万吨/天，分两期建设，一期规模2万吨/天，二期规模3.5万吨/天。产业园区所有入驻企业的污水直接排入园区污水处理厂进行处理。通过咨询园区污水处理厂相关人员及资料调查，园区目前已有5家企业投产，污水厂一期日处理余量为1.5万t/d，污水厂二期尚未建设，本项目运营期排水量约0.414万t/d，在园区规划排水量范围内，污水处理厂设计处理能力可满足本项目废水处理需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（2）水质可行性分析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根据工程分析废水源强核算因子的选取评价内容，本项目</w:t>
      </w:r>
      <w:r>
        <w:rPr>
          <w:rFonts w:hint="eastAsia" w:cs="Times New Roman"/>
          <w:b w:val="0"/>
          <w:bCs w:val="0"/>
          <w:spacing w:val="0"/>
          <w:kern w:val="2"/>
          <w:position w:val="0"/>
          <w:sz w:val="24"/>
          <w:szCs w:val="24"/>
          <w:lang w:val="en-US" w:eastAsia="zh-CN" w:bidi="ar-SA"/>
        </w:rPr>
        <w:t>印染</w:t>
      </w:r>
      <w:r>
        <w:rPr>
          <w:rFonts w:hint="default" w:ascii="Times New Roman" w:hAnsi="Times New Roman" w:eastAsia="宋体" w:cs="Times New Roman"/>
          <w:b w:val="0"/>
          <w:bCs w:val="0"/>
          <w:spacing w:val="0"/>
          <w:kern w:val="2"/>
          <w:position w:val="0"/>
          <w:sz w:val="24"/>
          <w:szCs w:val="24"/>
          <w:lang w:val="en-US" w:eastAsia="zh-CN" w:bidi="ar-SA"/>
        </w:rPr>
        <w:t>废水中不考虑六价铬、二氧化氯、AOX、苯胺等污染物，主要污染因子为COD、BOD</w:t>
      </w:r>
      <w:r>
        <w:rPr>
          <w:rFonts w:hint="default" w:ascii="Times New Roman" w:hAnsi="Times New Roman" w:eastAsia="宋体" w:cs="Times New Roman"/>
          <w:b w:val="0"/>
          <w:bCs w:val="0"/>
          <w:spacing w:val="0"/>
          <w:kern w:val="2"/>
          <w:position w:val="0"/>
          <w:sz w:val="24"/>
          <w:szCs w:val="24"/>
          <w:vertAlign w:val="subscript"/>
          <w:lang w:val="en-US" w:eastAsia="zh-CN" w:bidi="ar-SA"/>
        </w:rPr>
        <w:t>5</w:t>
      </w:r>
      <w:r>
        <w:rPr>
          <w:rFonts w:hint="default" w:ascii="Times New Roman" w:hAnsi="Times New Roman" w:eastAsia="宋体" w:cs="Times New Roman"/>
          <w:b w:val="0"/>
          <w:bCs w:val="0"/>
          <w:spacing w:val="0"/>
          <w:kern w:val="2"/>
          <w:position w:val="0"/>
          <w:sz w:val="24"/>
          <w:szCs w:val="24"/>
          <w:lang w:val="en-US" w:eastAsia="zh-CN" w:bidi="ar-SA"/>
        </w:rPr>
        <w:t>、SS、氨氮、总氮、总磷、硫化物</w:t>
      </w:r>
      <w:r>
        <w:rPr>
          <w:rFonts w:hint="eastAsia" w:cs="Times New Roman"/>
          <w:b w:val="0"/>
          <w:bCs w:val="0"/>
          <w:spacing w:val="0"/>
          <w:kern w:val="2"/>
          <w:position w:val="0"/>
          <w:sz w:val="24"/>
          <w:szCs w:val="24"/>
          <w:lang w:val="en-US" w:eastAsia="zh-CN" w:bidi="ar-SA"/>
        </w:rPr>
        <w:t>、总锑等</w:t>
      </w:r>
      <w:r>
        <w:rPr>
          <w:rFonts w:hint="default" w:ascii="Times New Roman" w:hAnsi="Times New Roman" w:eastAsia="宋体" w:cs="Times New Roman"/>
          <w:b w:val="0"/>
          <w:bCs w:val="0"/>
          <w:spacing w:val="0"/>
          <w:kern w:val="2"/>
          <w:position w:val="0"/>
          <w:sz w:val="24"/>
          <w:szCs w:val="24"/>
          <w:lang w:val="en-US" w:eastAsia="zh-CN" w:bidi="ar-SA"/>
        </w:rPr>
        <w:t>。通过表3.4-3的对比分析，本项目废水能够达到园区污水处理厂接管标准要求</w:t>
      </w:r>
      <w:r>
        <w:rPr>
          <w:rFonts w:hint="eastAsia"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（3）本项目污水管网与园区污水接管衔接性分析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绿色纺织产业园排水体制采用雨污分流制和清污分流制，规划建设高、低浓度两套管网系统分别收集园区废水，管网沿园区中部向北敷设至1号地块往西至产业园西侧边界，后沿1号地西侧边界敷设至污水处理厂。园区高、低浓度废水收集干管到达本项目东厂界。园区污水管网图见图7.2-2。</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本项目产生的高、低浓度废水通过管网分别排至位于生产厂房地下室一层的高浓废水池和低浓废水池，高、低浓度废水通过泵房分别接至产业园高、低浓度废水管，厂区污水管网见图3.2-3。因此，本项目污水管网能与产业园污水管网衔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（4）绿色纺织产业园污水处理厂建设情况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连江可门绿色纺织产业园污水处理厂由福建申远产业园管理有限公司建设运营，已取得环评批复（附件5），根据调查了解，该污水处理厂一期工程及其配套的事故应急池已于2023年4月投入运行使用</w:t>
      </w:r>
      <w:r>
        <w:rPr>
          <w:rFonts w:hint="eastAsia" w:cs="Times New Roman"/>
          <w:b w:val="0"/>
          <w:bCs w:val="0"/>
          <w:spacing w:val="0"/>
          <w:kern w:val="2"/>
          <w:position w:val="0"/>
          <w:sz w:val="24"/>
          <w:szCs w:val="24"/>
          <w:lang w:val="en-US" w:eastAsia="zh-CN" w:bidi="ar-SA"/>
        </w:rPr>
        <w:t>，因此</w:t>
      </w:r>
      <w:r>
        <w:rPr>
          <w:rFonts w:hint="default" w:ascii="Times New Roman" w:hAnsi="Times New Roman" w:eastAsia="宋体" w:cs="Times New Roman"/>
          <w:b w:val="0"/>
          <w:bCs w:val="0"/>
          <w:spacing w:val="0"/>
          <w:kern w:val="2"/>
          <w:position w:val="0"/>
          <w:sz w:val="24"/>
          <w:szCs w:val="24"/>
          <w:lang w:val="en-US" w:eastAsia="zh-CN" w:bidi="ar-SA"/>
        </w:rPr>
        <w:t>本项目投产时污水厂可接受本项目废水。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（5）监管要求权责关系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生态环境部于2020年12月14日发布加急文件《关于进一步规范城镇（园区）污水处理环境管理的通知》（环水体〔2020〕71号），根据通知第二点“推动各方履职尽责”中提出“新建冶金、电镀、有色金属、化工、印染、制革、原料药制造等企业，原则上布局在符合产业定位的园区，其排放的污水由园区污水处理厂集中处理。”“鼓励运营单位与纳管企业通过签订委托处理合同等方式，约定水质水量、监测监控、信息共享、应急响应、违约赔偿、解释和争议解决等内容。在责任明晰的基础上，运营单位和纳管企业可以对工业污水协商确定纳管浓度，报送生态环境部门并依法载入排污许可证后，作为监督管理依据。</w:t>
      </w:r>
      <w:r>
        <w:rPr>
          <w:rFonts w:hint="eastAsia"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通知精神，福建申远产业园管理有限公司（连江可门绿色纺织产业园运营管理单位）与园区内企业签订了污水处理协议（附件7），产业园内企业废水排放执行协议中最高允许纳管浓度限值要求排放废水，企业应将高、低浓度废水分质分流收集，按“一企两管”分别排放废水并满足协议浓度限值要求，不得混接，各企业应在其厂区高低浓度污水排放口设置细格栅井、监测井，总闸门和污水计量等装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产业园建设园区中水管网系统，确保将污水处理厂中水回用于各企业，回用水质满足《纺织染整工业回用水水质标准》（FZ/T01107-2011），各企业中水量为废水排放量的45%。</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由生态环境主管部门监管园区污水处理厂总排放口是否达到《城镇污水处理厂污染物排放标准》（GB18918-2002）一级A标准。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园区各企业申请排污许可证时申请出厂许可浓度按照协议标准填报，排入环境的许可浓度按照《城镇污水处理厂污染物排放标准》（GB18918-2002）中一级A标准填报。许可排放量按照《城镇污水处理厂污染物排放标准》（GB18918-2002）中一级A标准与各企业申报废水量进行核算申请。</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val="0"/>
          <w:spacing w:val="0"/>
          <w:kern w:val="2"/>
          <w:position w:val="0"/>
          <w:sz w:val="24"/>
          <w:szCs w:val="24"/>
          <w:lang w:val="en-US" w:eastAsia="zh-CN" w:bidi="ar-SA"/>
        </w:rPr>
      </w:pPr>
      <w:r>
        <w:rPr>
          <w:rFonts w:hint="eastAsia" w:cs="Times New Roman"/>
          <w:b w:val="0"/>
          <w:bCs w:val="0"/>
          <w:spacing w:val="0"/>
          <w:kern w:val="2"/>
          <w:position w:val="0"/>
          <w:sz w:val="24"/>
          <w:szCs w:val="24"/>
          <w:lang w:val="en-US" w:eastAsia="zh-CN" w:bidi="ar-SA"/>
        </w:rPr>
        <w:t>综上所述，本项目废水依托园区污水处理厂处理是可行的，但项目在投产前应与园区污水处理厂沟通核实，确保可接受本项目废水的前提下再投产。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图7.2-2纺织产业园污水处理厂管网布设图</w:t>
      </w:r>
      <w:r>
        <w:rPr>
          <w:rFonts w:hint="eastAsia" w:cs="Times New Roman"/>
          <w:b/>
          <w:bCs/>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7.2.1.5产业园污水厂尾水依托可门经开区污水厂排放管湾外深海排放的可行性分析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（1）湾外排放口排污量分析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连江县可门经济开发区污水厂投资9994.26万元，近期总规模4万m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/d，分两阶段实施，一阶段规模2万m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/d，二阶段2万m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/d，并规划预留远期20万m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/d建设用地。目前近期一阶段2万m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/d已建成投入运行。连江县可门经济开发区污水厂近期二阶段2万m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w:t>
      </w:r>
      <w:r>
        <w:rPr>
          <w:rFonts w:hint="eastAsia" w:cs="Times New Roman"/>
          <w:b w:val="0"/>
          <w:bCs w:val="0"/>
          <w:spacing w:val="0"/>
          <w:kern w:val="2"/>
          <w:position w:val="0"/>
          <w:sz w:val="24"/>
          <w:szCs w:val="24"/>
          <w:lang w:val="en-US" w:eastAsia="zh-CN" w:bidi="ar-SA"/>
        </w:rPr>
        <w:t>已</w:t>
      </w:r>
      <w:r>
        <w:rPr>
          <w:rFonts w:hint="default" w:ascii="Times New Roman" w:hAnsi="Times New Roman" w:eastAsia="宋体" w:cs="Times New Roman"/>
          <w:b w:val="0"/>
          <w:bCs w:val="0"/>
          <w:spacing w:val="0"/>
          <w:kern w:val="2"/>
          <w:position w:val="0"/>
          <w:sz w:val="24"/>
          <w:szCs w:val="24"/>
          <w:lang w:val="en-US" w:eastAsia="zh-CN" w:bidi="ar-SA"/>
        </w:rPr>
        <w:t>于2023年6月建成并投入试运行。排放口排污量</w:t>
      </w:r>
      <w:r>
        <w:rPr>
          <w:rFonts w:hint="eastAsia" w:cs="Times New Roman"/>
          <w:b w:val="0"/>
          <w:bCs w:val="0"/>
          <w:spacing w:val="0"/>
          <w:kern w:val="2"/>
          <w:position w:val="0"/>
          <w:sz w:val="24"/>
          <w:szCs w:val="24"/>
          <w:lang w:val="en-US" w:eastAsia="zh-CN" w:bidi="ar-SA"/>
        </w:rPr>
        <w:t>约</w:t>
      </w:r>
      <w:r>
        <w:rPr>
          <w:rFonts w:hint="default" w:ascii="Times New Roman" w:hAnsi="Times New Roman" w:eastAsia="宋体" w:cs="Times New Roman"/>
          <w:b w:val="0"/>
          <w:bCs w:val="0"/>
          <w:spacing w:val="0"/>
          <w:kern w:val="2"/>
          <w:position w:val="0"/>
          <w:sz w:val="24"/>
          <w:szCs w:val="24"/>
          <w:lang w:val="en-US" w:eastAsia="zh-CN" w:bidi="ar-SA"/>
        </w:rPr>
        <w:t>为4万m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可门湾外排污口中期设计规模10万m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/d，远期设计规模20万m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/d，目前按中期设计规模建设，故可门经济开发区污水厂近期全部建成后，总排污量为4万m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/d，尚有6万m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/d余量。连江可门绿色纺织产业园（一期）污水处理厂尾水排放量为3万m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该排放口余量能够满足纺织产业园区污水排放，因此，本项目废水进入绿色纺织产业园（一期）污水处理厂集中处理达到《城镇污水处理厂污染物排放标准》（GB18918-2002）一级A标准后接入连江黄岐半岛东侧外部海域可门湾外排污口（依托连江可门经济开发区污水处理厂湾外排海口）排放可行。</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（2）排海管道情况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连江县可门经济开发区污水处理厂排污口选址报告》，排放口定在罗源湾可门口外，排放口中心坐标119.981649°，26.437415°，所在水深约48m。陆上管道走向自可门开区区污水处理厂排海泵站加压后，沿规划路、疏港公路通过污水管道排向外海，近期先埋设1根DN1000的污水管道，远期再增设1根DN1200的污水管道，污水管出口流速控制在2.9~3.0m/s之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根据连江县可门经济开发区管委会介绍，连江县可门经济区污水处理厂尾水排海工程按近期10万m</w:t>
      </w:r>
      <w:r>
        <w:rPr>
          <w:rFonts w:hint="default" w:ascii="Times New Roman" w:hAnsi="Times New Roman" w:eastAsia="宋体" w:cs="Times New Roman"/>
          <w:b w:val="0"/>
          <w:bCs w:val="0"/>
          <w:spacing w:val="0"/>
          <w:kern w:val="2"/>
          <w:position w:val="0"/>
          <w:sz w:val="24"/>
          <w:szCs w:val="24"/>
          <w:vertAlign w:val="superscript"/>
          <w:lang w:val="en-US" w:eastAsia="zh-CN" w:bidi="ar-SA"/>
        </w:rPr>
        <w:t>3</w:t>
      </w:r>
      <w:r>
        <w:rPr>
          <w:rFonts w:hint="default" w:ascii="Times New Roman" w:hAnsi="Times New Roman" w:eastAsia="宋体" w:cs="Times New Roman"/>
          <w:b w:val="0"/>
          <w:bCs w:val="0"/>
          <w:spacing w:val="0"/>
          <w:kern w:val="2"/>
          <w:position w:val="0"/>
          <w:sz w:val="24"/>
          <w:szCs w:val="24"/>
          <w:lang w:val="en-US" w:eastAsia="zh-CN" w:bidi="ar-SA"/>
        </w:rPr>
        <w:t>/d规模</w:t>
      </w:r>
      <w:r>
        <w:rPr>
          <w:rFonts w:hint="eastAsia" w:cs="Times New Roman"/>
          <w:b w:val="0"/>
          <w:bCs w:val="0"/>
          <w:spacing w:val="0"/>
          <w:kern w:val="2"/>
          <w:position w:val="0"/>
          <w:sz w:val="24"/>
          <w:szCs w:val="24"/>
          <w:lang w:val="en-US" w:eastAsia="zh-CN" w:bidi="ar-SA"/>
        </w:rPr>
        <w:t>已</w:t>
      </w:r>
      <w:r>
        <w:rPr>
          <w:rFonts w:hint="default" w:ascii="Times New Roman" w:hAnsi="Times New Roman" w:eastAsia="宋体" w:cs="Times New Roman"/>
          <w:b w:val="0"/>
          <w:bCs w:val="0"/>
          <w:spacing w:val="0"/>
          <w:kern w:val="2"/>
          <w:position w:val="0"/>
          <w:sz w:val="24"/>
          <w:szCs w:val="24"/>
          <w:lang w:val="en-US" w:eastAsia="zh-CN" w:bidi="ar-SA"/>
        </w:rPr>
        <w:t>施工建设</w:t>
      </w:r>
      <w:r>
        <w:rPr>
          <w:rFonts w:hint="eastAsia" w:cs="Times New Roman"/>
          <w:b w:val="0"/>
          <w:bCs w:val="0"/>
          <w:spacing w:val="0"/>
          <w:kern w:val="2"/>
          <w:position w:val="0"/>
          <w:sz w:val="24"/>
          <w:szCs w:val="24"/>
          <w:lang w:val="en-US" w:eastAsia="zh-CN" w:bidi="ar-SA"/>
        </w:rPr>
        <w:t>完毕</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已</w:t>
      </w:r>
      <w:r>
        <w:rPr>
          <w:rFonts w:hint="default" w:ascii="Times New Roman" w:hAnsi="Times New Roman" w:eastAsia="宋体" w:cs="Times New Roman"/>
          <w:b w:val="0"/>
          <w:bCs w:val="0"/>
          <w:spacing w:val="0"/>
          <w:kern w:val="2"/>
          <w:position w:val="0"/>
          <w:sz w:val="24"/>
          <w:szCs w:val="24"/>
          <w:lang w:val="en-US" w:eastAsia="zh-CN" w:bidi="ar-SA"/>
        </w:rPr>
        <w:t>于2022年6月建成整个尾水排海工程。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连江可门经济开发区污水处理厂尾水排海管道设计走向及湾外深海排放口位置见图7.2-3。</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（3）纺织产业园污水厂尾水管与可门开发区排海管道的衔接性分析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根据纺织产业园污水处理厂设计方案，尾水排放管道规划设计长度为1487m，从污水处理厂北侧接出。根据周边实际情况分高架和埋地两段建设，其中高架段长度608m，DN600，从污水处理厂北侧出厂用泵提升至高架，依托申远新材料化工园区现有高架建设尾水管道；埋地段长度879m，DN600，从高架接出后，由西向东埋地敷设至可门经济开区污水处理厂后往北敷设，直至与排海管道陆上埋地管段起点衔接。因此，园区污水处理厂需建设出厂尾水排放管与排海工程管道连接，确保产业园废水通过排海管道引至湾外深海排放。园区污水处理厂尾水管道设计走向见图7.2-4。</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因此，纺织产业园污水处理厂实施后尾水依托可门经开区污水处理厂排放管湾外深海排放合理可行</w:t>
      </w:r>
      <w:r>
        <w:rPr>
          <w:rFonts w:hint="eastAsia" w:cs="Times New Roman"/>
          <w:b w:val="0"/>
          <w:bCs w:val="0"/>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图7.2-3连江可门经济开发区污水处理厂尾水排海管道设计走向及深海排放口位置</w:t>
      </w:r>
      <w:r>
        <w:rPr>
          <w:rFonts w:hint="eastAsia" w:cs="Times New Roman"/>
          <w:b/>
          <w:bCs/>
          <w:spacing w:val="0"/>
          <w:position w:val="0"/>
          <w:sz w:val="24"/>
          <w:szCs w:val="24"/>
          <w:lang w:val="en-US" w:eastAsia="zh-CN"/>
        </w:rPr>
        <w:t>（略）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eastAsia"/>
          <w:b/>
          <w:bCs/>
          <w:spacing w:val="0"/>
          <w:position w:val="0"/>
          <w:sz w:val="24"/>
          <w:szCs w:val="24"/>
          <w:lang w:val="en-US" w:eastAsia="zh-CN"/>
        </w:rPr>
        <w:t>图7.2-4园区污水处理厂尾水管道设计走向图</w:t>
      </w:r>
      <w:r>
        <w:rPr>
          <w:rFonts w:hint="eastAsia" w:cs="Times New Roman"/>
          <w:b/>
          <w:bCs/>
          <w:spacing w:val="0"/>
          <w:position w:val="0"/>
          <w:sz w:val="24"/>
          <w:szCs w:val="24"/>
          <w:lang w:val="en-US" w:eastAsia="zh-CN"/>
        </w:rPr>
        <w:t>（略）</w:t>
      </w:r>
    </w:p>
    <w:p>
      <w:pPr>
        <w:adjustRightInd w:val="0"/>
        <w:snapToGrid w:val="0"/>
        <w:spacing w:line="360" w:lineRule="auto"/>
        <w:outlineLvl w:val="2"/>
        <w:rPr>
          <w:rFonts w:hint="default" w:eastAsia="宋体"/>
          <w:b/>
          <w:bCs/>
          <w:spacing w:val="0"/>
          <w:position w:val="0"/>
          <w:sz w:val="28"/>
          <w:szCs w:val="28"/>
          <w:lang w:val="en-US" w:eastAsia="zh-CN"/>
        </w:rPr>
      </w:pPr>
      <w:r>
        <w:rPr>
          <w:rFonts w:hint="eastAsia"/>
          <w:b/>
          <w:bCs/>
          <w:spacing w:val="0"/>
          <w:position w:val="0"/>
          <w:sz w:val="28"/>
          <w:szCs w:val="28"/>
          <w:lang w:val="en-US" w:eastAsia="zh-CN"/>
        </w:rPr>
        <w:t>7.2.2运营期废气治理措施及可行性分析</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7.2.2.1印染废气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（1）废气成分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项目</w:t>
      </w:r>
      <w:r>
        <w:rPr>
          <w:rFonts w:hint="eastAsia"/>
          <w:b w:val="0"/>
          <w:bCs w:val="0"/>
          <w:spacing w:val="0"/>
          <w:position w:val="0"/>
          <w:sz w:val="24"/>
          <w:szCs w:val="24"/>
          <w:lang w:val="en-US" w:eastAsia="zh-CN"/>
        </w:rPr>
        <w:t>印染废气主要包括定型废气、印花废气、蒸化废气，</w:t>
      </w:r>
      <w:r>
        <w:rPr>
          <w:rFonts w:hint="default"/>
          <w:b w:val="0"/>
          <w:bCs w:val="0"/>
          <w:spacing w:val="0"/>
          <w:position w:val="0"/>
          <w:sz w:val="24"/>
          <w:szCs w:val="24"/>
          <w:lang w:val="en-US" w:eastAsia="zh-CN"/>
        </w:rPr>
        <w:t>产生的定型机废气和印花工艺废气主要污染物有非甲烷总烃、颗粒物、油烟</w:t>
      </w:r>
      <w:r>
        <w:rPr>
          <w:rFonts w:hint="eastAsia"/>
          <w:b w:val="0"/>
          <w:bCs w:val="0"/>
          <w:spacing w:val="0"/>
          <w:position w:val="0"/>
          <w:sz w:val="24"/>
          <w:szCs w:val="24"/>
          <w:lang w:val="en-US" w:eastAsia="zh-CN"/>
        </w:rPr>
        <w:t>，除此之外，定型机、蒸化机所排放的废气温度极高，一般在260-280℃，大量余热被带出定型机外，热量的散失不仅浪费能源而且造成定型机车间环境温度的升高。因此对废气净化、热能回收是刻不容缓的</w:t>
      </w:r>
      <w:r>
        <w:rPr>
          <w:rFonts w:hint="default"/>
          <w:b w:val="0"/>
          <w:bCs w:val="0"/>
          <w:spacing w:val="0"/>
          <w:position w:val="0"/>
          <w:sz w:val="24"/>
          <w:szCs w:val="24"/>
          <w:lang w:val="en-US" w:eastAsia="zh-CN"/>
        </w:rPr>
        <w:t>。</w:t>
      </w:r>
      <w:r>
        <w:rPr>
          <w:rFonts w:hint="eastAsia"/>
          <w:b w:val="0"/>
          <w:bCs w:val="0"/>
          <w:spacing w:val="0"/>
          <w:position w:val="0"/>
          <w:sz w:val="24"/>
          <w:szCs w:val="24"/>
          <w:lang w:val="en-US" w:eastAsia="zh-CN"/>
        </w:rPr>
        <w:t>项目</w:t>
      </w:r>
      <w:r>
        <w:rPr>
          <w:rFonts w:hint="default"/>
          <w:b w:val="0"/>
          <w:bCs w:val="0"/>
          <w:spacing w:val="0"/>
          <w:position w:val="0"/>
          <w:sz w:val="24"/>
          <w:szCs w:val="24"/>
          <w:lang w:val="en-US" w:eastAsia="zh-CN"/>
        </w:rPr>
        <w:t>共配有</w:t>
      </w:r>
      <w:r>
        <w:rPr>
          <w:rFonts w:hint="eastAsia"/>
          <w:b w:val="0"/>
          <w:bCs w:val="0"/>
          <w:spacing w:val="0"/>
          <w:position w:val="0"/>
          <w:sz w:val="24"/>
          <w:szCs w:val="24"/>
          <w:lang w:val="en-US" w:eastAsia="zh-CN"/>
        </w:rPr>
        <w:t>8</w:t>
      </w:r>
      <w:r>
        <w:rPr>
          <w:rFonts w:hint="default"/>
          <w:b w:val="0"/>
          <w:bCs w:val="0"/>
          <w:spacing w:val="0"/>
          <w:position w:val="0"/>
          <w:sz w:val="24"/>
          <w:szCs w:val="24"/>
          <w:lang w:val="en-US" w:eastAsia="zh-CN"/>
        </w:rPr>
        <w:t>套定型废气处理装置，</w:t>
      </w:r>
      <w:r>
        <w:rPr>
          <w:rFonts w:hint="eastAsia"/>
          <w:b w:val="0"/>
          <w:bCs w:val="0"/>
          <w:spacing w:val="0"/>
          <w:position w:val="0"/>
          <w:sz w:val="24"/>
          <w:szCs w:val="24"/>
          <w:lang w:val="en-US" w:eastAsia="zh-CN"/>
        </w:rPr>
        <w:t>均</w:t>
      </w:r>
      <w:r>
        <w:rPr>
          <w:rFonts w:hint="default"/>
          <w:b w:val="0"/>
          <w:bCs w:val="0"/>
          <w:spacing w:val="0"/>
          <w:position w:val="0"/>
          <w:sz w:val="24"/>
          <w:szCs w:val="24"/>
          <w:lang w:val="en-US" w:eastAsia="zh-CN"/>
        </w:rPr>
        <w:t>采用“热回收+</w:t>
      </w:r>
      <w:r>
        <w:rPr>
          <w:rFonts w:hint="eastAsia"/>
          <w:b w:val="0"/>
          <w:bCs w:val="0"/>
          <w:spacing w:val="0"/>
          <w:position w:val="0"/>
          <w:sz w:val="24"/>
          <w:szCs w:val="24"/>
          <w:lang w:val="en-US" w:eastAsia="zh-CN"/>
        </w:rPr>
        <w:t>冷却</w:t>
      </w:r>
      <w:r>
        <w:rPr>
          <w:rFonts w:hint="default"/>
          <w:b w:val="0"/>
          <w:bCs w:val="0"/>
          <w:spacing w:val="0"/>
          <w:position w:val="0"/>
          <w:sz w:val="24"/>
          <w:szCs w:val="24"/>
          <w:lang w:val="en-US" w:eastAsia="zh-CN"/>
        </w:rPr>
        <w:t>+静电”处理工艺。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（2）治理工艺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本项目</w:t>
      </w:r>
      <w:r>
        <w:rPr>
          <w:rFonts w:hint="eastAsia"/>
          <w:b w:val="0"/>
          <w:bCs w:val="0"/>
          <w:spacing w:val="0"/>
          <w:position w:val="0"/>
          <w:sz w:val="24"/>
          <w:szCs w:val="24"/>
          <w:lang w:val="en-US" w:eastAsia="zh-CN"/>
        </w:rPr>
        <w:t>印染废气</w:t>
      </w:r>
      <w:r>
        <w:rPr>
          <w:rFonts w:hint="default"/>
          <w:b w:val="0"/>
          <w:bCs w:val="0"/>
          <w:spacing w:val="0"/>
          <w:position w:val="0"/>
          <w:sz w:val="24"/>
          <w:szCs w:val="24"/>
          <w:lang w:val="en-US" w:eastAsia="zh-CN"/>
        </w:rPr>
        <w:t>拟采用余热回收设备以及冷却+静电一体化高温定型机油烟废气处理技术。</w:t>
      </w:r>
      <w:r>
        <w:rPr>
          <w:rFonts w:hint="eastAsia"/>
          <w:b w:val="0"/>
          <w:bCs w:val="0"/>
          <w:spacing w:val="0"/>
          <w:position w:val="0"/>
          <w:sz w:val="24"/>
          <w:szCs w:val="24"/>
          <w:lang w:val="en-US" w:eastAsia="zh-CN"/>
        </w:rPr>
        <w:t>产生的高温烟气</w:t>
      </w:r>
      <w:r>
        <w:rPr>
          <w:rFonts w:hint="default"/>
          <w:b w:val="0"/>
          <w:bCs w:val="0"/>
          <w:spacing w:val="0"/>
          <w:position w:val="0"/>
          <w:sz w:val="24"/>
          <w:szCs w:val="24"/>
          <w:lang w:val="en-US" w:eastAsia="zh-CN"/>
        </w:rPr>
        <w:t>通过余热回收使温度得到降低，有助于提高后续单元的净化效率，尾气通过“冷却—高压静电一体化设备”有效回收烟气所含的热量和废油，实现烟气中油烟颗粒物的高效率净化。废气处理工艺流程见图7.2-5。</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default"/>
          <w:b/>
          <w:bCs/>
          <w:spacing w:val="0"/>
          <w:position w:val="0"/>
          <w:sz w:val="24"/>
          <w:szCs w:val="24"/>
          <w:lang w:val="en-US" w:eastAsia="zh-CN"/>
        </w:rPr>
      </w:pPr>
      <w:r>
        <w:rPr>
          <w:rFonts w:hint="default"/>
          <w:b/>
          <w:bCs/>
          <w:spacing w:val="0"/>
          <w:position w:val="0"/>
          <w:sz w:val="24"/>
          <w:szCs w:val="24"/>
          <w:lang w:val="en-US" w:eastAsia="zh-CN"/>
        </w:rPr>
        <w:t>图7.2-5定型废气处理工艺流程</w:t>
      </w:r>
      <w:r>
        <w:rPr>
          <w:rFonts w:hint="eastAsia"/>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b/>
          <w:bCs/>
          <w:spacing w:val="0"/>
          <w:position w:val="0"/>
          <w:sz w:val="24"/>
          <w:szCs w:val="24"/>
          <w:lang w:val="en-US" w:eastAsia="zh-CN"/>
        </w:rPr>
      </w:pPr>
      <w:r>
        <w:rPr>
          <w:rFonts w:hint="eastAsia"/>
          <w:b/>
          <w:bCs/>
          <w:spacing w:val="0"/>
          <w:position w:val="0"/>
          <w:sz w:val="24"/>
          <w:szCs w:val="24"/>
          <w:lang w:val="en-US" w:eastAsia="zh-CN"/>
        </w:rPr>
        <w:t>热能回收流程：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①定型机高温废气排风口引管道进入热回收器中，加热排列密集的被加热列管。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②列管内行走新鲜常温空气，流动的列管外废气对列管内空气进行加热。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③被加热新鲜空气经管道分别引入定型机烘箱。</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④经热能回收器回收的废气出口与净化装置进口连接进入废气净化系统。</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冷却+静电一体化设备净化流程：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冷却降温系统：热能回收器出来的烟气进入一体化净化设备冷却器进行降温。烟气进入不锈钢多面管降温器，冷却水与高温烟气的非接触热传导热量交换，把烟气温度冷凝降到40℃以下，使烟气中的污染物冷凝并聚集成大颗粒油烟粒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静电吸附系统：降温后的烟气送到净化设备中，在高压静电作用下，电子对油烟有很强的吸引力使油烟颗粒带上电荷，带电的粒子在电场力的作用下被吸附单元收集在设备阳极板上后流到设备底部油斗，通过排油口顺利排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③净化后的达标排放的气体由排烟出口引出排到空气中排放。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（3）废气处理工艺可行性分析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本项目定型废气采用冷却+静电一体化设备作为核心设备，根据厂家提供的参数，废气处理效果可达：油烟&lt;15mg/m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、颗粒物&lt;10mg/m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、VOCs&lt;10mg/m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，可以满足本项目定型废气排放要求。同时为验证处理设施处理效果，环评收集了省内晋江、长乐采用同类工艺处理定型废气的染整项目验收情况，定型废气经同类处理设施处理后可达油烟&lt;15mg/m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、颗粒物&lt;10mg/m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、VOCs&lt;7.5mg/m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，因此环评认为采用该工艺处理定型废气可以满足本项目的排放标准限值要求（染整油烟15mg/m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、颗粒物15mg/m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、NMHC40mg/m</w:t>
      </w:r>
      <w:r>
        <w:rPr>
          <w:rFonts w:hint="eastAsia"/>
          <w:b w:val="0"/>
          <w:bCs w:val="0"/>
          <w:spacing w:val="0"/>
          <w:position w:val="0"/>
          <w:sz w:val="24"/>
          <w:szCs w:val="24"/>
          <w:vertAlign w:val="superscript"/>
          <w:lang w:val="en-US" w:eastAsia="zh-CN"/>
        </w:rPr>
        <w:t>3</w:t>
      </w:r>
      <w:r>
        <w:rPr>
          <w:rFonts w:hint="eastAsia"/>
          <w:b w:val="0"/>
          <w:bCs w:val="0"/>
          <w:spacing w:val="0"/>
          <w:position w:val="0"/>
          <w:sz w:val="24"/>
          <w:szCs w:val="24"/>
          <w:lang w:val="en-US" w:eastAsia="zh-CN"/>
        </w:rPr>
        <w:t>）。同时根据浙江省《纺织染整工业大气污染物排放标准编制说明》、《排污许可证申请与核发技术规范纺织印染工业》及和《纺织工业污染防治可行技术指南》（HJ1177-2021），本项目采用的“冷却+静电”处理工艺为可行技术。因此，该废气治理设施及工艺技术可行。</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4"/>
          <w:szCs w:val="24"/>
          <w:lang w:val="en-US" w:eastAsia="zh-CN"/>
        </w:rPr>
      </w:pPr>
      <w:r>
        <w:rPr>
          <w:rFonts w:hint="eastAsia"/>
          <w:b/>
          <w:bCs/>
          <w:spacing w:val="0"/>
          <w:position w:val="0"/>
          <w:sz w:val="24"/>
          <w:szCs w:val="24"/>
          <w:lang w:val="en-US" w:eastAsia="zh-CN"/>
        </w:rPr>
        <w:t>表7.2-3纺织工业废气污染防治可行技术（摘录）</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46"/>
        <w:gridCol w:w="1299"/>
        <w:gridCol w:w="1956"/>
        <w:gridCol w:w="1095"/>
        <w:gridCol w:w="2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使用工序</w:t>
            </w:r>
          </w:p>
        </w:tc>
        <w:tc>
          <w:tcPr>
            <w:tcW w:w="114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主要污染项目</w:t>
            </w:r>
          </w:p>
        </w:tc>
        <w:tc>
          <w:tcPr>
            <w:tcW w:w="12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污染治理技术</w:t>
            </w:r>
          </w:p>
        </w:tc>
        <w:tc>
          <w:tcPr>
            <w:tcW w:w="19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污染物排放浓度（标态）/mg/m</w:t>
            </w:r>
            <w:r>
              <w:rPr>
                <w:rFonts w:hint="eastAsia" w:ascii="Times New Roman" w:hAnsi="Times New Roman" w:eastAsia="宋体"/>
                <w:b w:val="0"/>
                <w:bCs w:val="0"/>
                <w:spacing w:val="0"/>
                <w:position w:val="0"/>
                <w:sz w:val="21"/>
                <w:szCs w:val="21"/>
                <w:vertAlign w:val="superscript"/>
                <w:lang w:val="en-US" w:eastAsia="zh-CN"/>
              </w:rPr>
              <w:t>3</w:t>
            </w:r>
          </w:p>
        </w:tc>
        <w:tc>
          <w:tcPr>
            <w:tcW w:w="10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标准来源</w:t>
            </w:r>
          </w:p>
        </w:tc>
        <w:tc>
          <w:tcPr>
            <w:tcW w:w="2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热定型</w:t>
            </w:r>
          </w:p>
        </w:tc>
        <w:tc>
          <w:tcPr>
            <w:tcW w:w="114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染整油烟</w:t>
            </w:r>
          </w:p>
        </w:tc>
        <w:tc>
          <w:tcPr>
            <w:tcW w:w="12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（多级）喷淋洗涤</w:t>
            </w:r>
          </w:p>
        </w:tc>
        <w:tc>
          <w:tcPr>
            <w:tcW w:w="19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染整油烟：10~20</w:t>
            </w:r>
          </w:p>
        </w:tc>
        <w:tc>
          <w:tcPr>
            <w:tcW w:w="109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《纺织工业污染防治可行技术指南》（HJ1177-2021）</w:t>
            </w:r>
          </w:p>
        </w:tc>
        <w:tc>
          <w:tcPr>
            <w:tcW w:w="25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本项目采用冷却+静电处理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11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12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冷却+静电处理</w:t>
            </w:r>
          </w:p>
        </w:tc>
        <w:tc>
          <w:tcPr>
            <w:tcW w:w="19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染整油烟：10~15</w:t>
            </w:r>
          </w:p>
        </w:tc>
        <w:tc>
          <w:tcPr>
            <w:tcW w:w="10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2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11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12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喷淋洗涤+静电处理</w:t>
            </w:r>
          </w:p>
        </w:tc>
        <w:tc>
          <w:tcPr>
            <w:tcW w:w="19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染整油烟：6~10</w:t>
            </w:r>
          </w:p>
        </w:tc>
        <w:tc>
          <w:tcPr>
            <w:tcW w:w="10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2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印花</w:t>
            </w:r>
          </w:p>
        </w:tc>
        <w:tc>
          <w:tcPr>
            <w:tcW w:w="114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颗粒物、VOCs</w:t>
            </w:r>
          </w:p>
        </w:tc>
        <w:tc>
          <w:tcPr>
            <w:tcW w:w="12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喷淋洗涤+吸附</w:t>
            </w:r>
          </w:p>
        </w:tc>
        <w:tc>
          <w:tcPr>
            <w:tcW w:w="19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颗粒物：5~10；</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非甲烷总烃：12~36</w:t>
            </w:r>
          </w:p>
        </w:tc>
        <w:tc>
          <w:tcPr>
            <w:tcW w:w="10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25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由于印花使用染料与染色用料成分基本一致，印花、蒸化等高温处理产生的废气性质与定型原理基本相同，故印花工艺废气采用冷却+静电处理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114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12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静电处理+吸附</w:t>
            </w:r>
          </w:p>
        </w:tc>
        <w:tc>
          <w:tcPr>
            <w:tcW w:w="19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颗粒物：5~10；</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非甲烷总烃：12~36</w:t>
            </w:r>
          </w:p>
        </w:tc>
        <w:tc>
          <w:tcPr>
            <w:tcW w:w="10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c>
          <w:tcPr>
            <w:tcW w:w="2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（4）废气治理措施与地方管理要求的符合性分析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2018年，福州市制定了《福州市纺织染整行业挥发性有机物整治验收技术要求》，根据纺织染整行业含挥发性有机物废气特性提出末端治理措施及治理要求如下：定型废气宜采用机械净化与吸附技术或高压静电技术等组合工艺处理，优先使用冷却与高压静电一体化组合处理工艺、水喷淋与静电一体化处理工艺。机械净化包括冷凝、机械除尘、过滤及吸附等技术。</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表7.2-4《福州市纺织染整行业挥发性有机物整治验收技术要求》附表A</w:t>
      </w:r>
    </w:p>
    <w:p>
      <w:pPr>
        <w:keepNext w:val="0"/>
        <w:keepLines w:val="0"/>
        <w:pageBreakBefore w:val="0"/>
        <w:widowControl/>
        <w:kinsoku/>
        <w:wordWrap/>
        <w:overflowPunct/>
        <w:topLinePunct w:val="0"/>
        <w:autoSpaceDE/>
        <w:autoSpaceDN/>
        <w:bidi w:val="0"/>
        <w:adjustRightInd w:val="0"/>
        <w:snapToGrid w:val="0"/>
        <w:spacing w:line="240" w:lineRule="auto"/>
        <w:ind w:firstLine="482" w:firstLineChars="200"/>
        <w:jc w:val="center"/>
        <w:textAlignment w:val="auto"/>
        <w:outlineLvl w:val="9"/>
        <w:rPr>
          <w:rFonts w:hint="eastAsia"/>
          <w:b/>
          <w:bCs/>
          <w:spacing w:val="0"/>
          <w:position w:val="0"/>
          <w:sz w:val="24"/>
          <w:szCs w:val="24"/>
          <w:lang w:val="en-US" w:eastAsia="zh-CN"/>
        </w:rPr>
      </w:pPr>
      <w:r>
        <w:rPr>
          <w:rFonts w:hint="eastAsia"/>
          <w:b/>
          <w:bCs/>
          <w:spacing w:val="0"/>
          <w:position w:val="0"/>
          <w:sz w:val="24"/>
          <w:szCs w:val="24"/>
          <w:lang w:val="en-US" w:eastAsia="zh-CN"/>
        </w:rPr>
        <w:t>纺织染整行业推荐治理技术一览表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52"/>
        <w:gridCol w:w="4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治理技术</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使用生产工艺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直接燃烧法</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适用于溶剂型涂层烘干工艺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催化燃烧法</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适用于溶剂型涂层烘干工艺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蓄热式催化燃烧法RCO</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适用于溶剂型涂层烘干工艺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活性炭吸附抛弃法</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适用于各类涂层非烘干工艺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吸附-冷凝回收法</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适用于各类涂层非烘干工艺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吸附-催化燃烧法</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适用于各类涂层非烘干工艺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光催化法</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适用于各类涂层非烘干工艺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水喷淋处理工艺</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天然织物定型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冷却与高压静电组合处理工艺</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bCs/>
                <w:spacing w:val="0"/>
                <w:position w:val="0"/>
                <w:sz w:val="21"/>
                <w:szCs w:val="21"/>
                <w:vertAlign w:val="baseline"/>
                <w:lang w:val="en-US" w:eastAsia="zh-CN"/>
              </w:rPr>
            </w:pPr>
            <w:r>
              <w:rPr>
                <w:rFonts w:hint="eastAsia" w:ascii="Times New Roman" w:hAnsi="Times New Roman" w:eastAsia="宋体"/>
                <w:b/>
                <w:bCs/>
                <w:spacing w:val="0"/>
                <w:position w:val="0"/>
                <w:sz w:val="21"/>
                <w:szCs w:val="21"/>
                <w:vertAlign w:val="baseline"/>
                <w:lang w:val="en-US" w:eastAsia="zh-CN"/>
              </w:rPr>
              <w:t>定型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水喷淋与静电一体化处理工艺</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定型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次氯酸钠氧化加碱液喷淋处理工艺</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污水处理废气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生物除臭处理工艺</w:t>
            </w:r>
          </w:p>
        </w:tc>
        <w:tc>
          <w:tcPr>
            <w:tcW w:w="44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污水处理废气</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定型废气采用冷却与高压静电组合处理工艺，属于《福州市纺织染整行业挥发性有机物整治验收技术要求》中推荐的定型废气治理工艺。因此，本项目废气处理方案符合《福州市纺织染整行业挥发性有机物整治验收技术要求》。</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eastAsia"/>
          <w:b/>
          <w:bCs/>
          <w:spacing w:val="0"/>
          <w:position w:val="0"/>
          <w:sz w:val="24"/>
          <w:szCs w:val="24"/>
          <w:lang w:val="en-US" w:eastAsia="zh-CN"/>
        </w:rPr>
      </w:pPr>
      <w:r>
        <w:rPr>
          <w:rFonts w:hint="eastAsia"/>
          <w:b/>
          <w:bCs/>
          <w:spacing w:val="0"/>
          <w:position w:val="0"/>
          <w:sz w:val="24"/>
          <w:szCs w:val="24"/>
          <w:lang w:val="en-US" w:eastAsia="zh-CN"/>
        </w:rPr>
        <w:t>7.2.2.2磨毛废气</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（1）</w:t>
      </w:r>
      <w:r>
        <w:rPr>
          <w:rFonts w:hint="eastAsia"/>
          <w:b w:val="0"/>
          <w:bCs w:val="0"/>
          <w:spacing w:val="0"/>
          <w:position w:val="0"/>
          <w:sz w:val="24"/>
          <w:szCs w:val="24"/>
          <w:lang w:val="en-US" w:eastAsia="zh-CN"/>
        </w:rPr>
        <w:t>废气成分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vertAlign w:val="baseline"/>
          <w:lang w:val="en-US" w:eastAsia="zh-CN" w:bidi="ar-SA"/>
        </w:rPr>
      </w:pPr>
      <w:r>
        <w:rPr>
          <w:rFonts w:hint="eastAsia" w:cs="Times New Roman"/>
          <w:b w:val="0"/>
          <w:bCs w:val="0"/>
          <w:spacing w:val="0"/>
          <w:kern w:val="2"/>
          <w:position w:val="0"/>
          <w:sz w:val="24"/>
          <w:szCs w:val="24"/>
          <w:lang w:val="en-US" w:eastAsia="zh-CN" w:bidi="ar-SA"/>
        </w:rPr>
        <w:t>本项目磨毛废气来自后整理车间的拉毛/剪毛工艺。剪毛拉毛过程中，纤维被剪断或拉断时会产生颗粒物，颗粒物主要由纤维片段、小纤维和纤维屑组成。这些颗粒物大小主要分布在PM</w:t>
      </w:r>
      <w:r>
        <w:rPr>
          <w:rFonts w:hint="eastAsia" w:cs="Times New Roman"/>
          <w:b w:val="0"/>
          <w:bCs w:val="0"/>
          <w:spacing w:val="0"/>
          <w:kern w:val="2"/>
          <w:position w:val="0"/>
          <w:sz w:val="24"/>
          <w:szCs w:val="24"/>
          <w:vertAlign w:val="subscript"/>
          <w:lang w:val="en-US" w:eastAsia="zh-CN" w:bidi="ar-SA"/>
        </w:rPr>
        <w:t>10</w:t>
      </w:r>
      <w:r>
        <w:rPr>
          <w:rFonts w:hint="eastAsia" w:cs="Times New Roman"/>
          <w:b w:val="0"/>
          <w:bCs w:val="0"/>
          <w:spacing w:val="0"/>
          <w:kern w:val="2"/>
          <w:position w:val="0"/>
          <w:sz w:val="24"/>
          <w:szCs w:val="24"/>
          <w:lang w:val="en-US" w:eastAsia="zh-CN" w:bidi="ar-SA"/>
        </w:rPr>
        <w:t>的范围内。本项目主要布袋除尘器对磨毛废气进行处理，处理后于车间内排放，生产过程中车间密闭。</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pacing w:val="0"/>
          <w:kern w:val="2"/>
          <w:position w:val="0"/>
          <w:sz w:val="24"/>
          <w:szCs w:val="24"/>
          <w:lang w:val="en-US" w:eastAsia="zh-CN" w:bidi="ar-SA"/>
        </w:rPr>
      </w:pPr>
      <w:r>
        <w:rPr>
          <w:rFonts w:hint="default" w:ascii="Times New Roman" w:hAnsi="Times New Roman" w:eastAsia="宋体" w:cs="Times New Roman"/>
          <w:b w:val="0"/>
          <w:bCs w:val="0"/>
          <w:spacing w:val="0"/>
          <w:kern w:val="2"/>
          <w:position w:val="0"/>
          <w:sz w:val="24"/>
          <w:szCs w:val="24"/>
          <w:lang w:val="en-US" w:eastAsia="zh-CN" w:bidi="ar-SA"/>
        </w:rPr>
        <w:t>（2）</w:t>
      </w:r>
      <w:r>
        <w:rPr>
          <w:rFonts w:hint="eastAsia" w:cs="Times New Roman"/>
          <w:b w:val="0"/>
          <w:bCs w:val="0"/>
          <w:spacing w:val="0"/>
          <w:kern w:val="2"/>
          <w:position w:val="0"/>
          <w:sz w:val="24"/>
          <w:szCs w:val="24"/>
          <w:lang w:val="en-US" w:eastAsia="zh-CN" w:bidi="ar-SA"/>
        </w:rPr>
        <w:t>治理工艺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布袋除尘器工作原理：含尘气体通过鼓风机被引入布袋除尘器，颗粒大、比重大的粉尘，在重力作用下沉降，当粉尘的颗粒直径较滤料的纤维间的空隙大时，粉尘在气流通过时即被阻留下来，从而达到除尘目的。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ascii="Times New Roman" w:hAnsi="Times New Roman" w:eastAsia="宋体" w:cs="Times New Roman"/>
          <w:b w:val="0"/>
          <w:bCs w:val="0"/>
          <w:spacing w:val="0"/>
          <w:kern w:val="2"/>
          <w:position w:val="0"/>
          <w:sz w:val="24"/>
          <w:szCs w:val="24"/>
          <w:lang w:val="en-US" w:eastAsia="zh-CN" w:bidi="ar-SA"/>
        </w:rPr>
        <w:t>（3）</w:t>
      </w:r>
      <w:r>
        <w:rPr>
          <w:rFonts w:hint="eastAsia"/>
          <w:b w:val="0"/>
          <w:bCs w:val="0"/>
          <w:spacing w:val="0"/>
          <w:position w:val="0"/>
          <w:sz w:val="24"/>
          <w:szCs w:val="24"/>
          <w:lang w:val="en-US" w:eastAsia="zh-CN"/>
        </w:rPr>
        <w:t>废气处理工艺可行性分析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磨毛废气采用布袋除尘器，其为过滤除尘技术，根据《纺织工业污染防治可行技术指南》（HJ1177-2021）中废气治理技术相关内容：颗粒物治理技术可采用过滤除尘，该技术适用于纺织织造产生的纤维颗粒物治理和染整工段烧毛产生的烟尘治理，是利用过滤材料分离气体中固体颗粒物的工艺，常用的包括袋式除尘和滤筒除尘。纤维尘去除宜采用滤袋技术，过滤风速0.7～1.2m/min，过滤效率达到99%以上。</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本项目磨毛废气主要成分为纤维颗粒，颗粒物大小主要分布在PM</w:t>
      </w:r>
      <w:r>
        <w:rPr>
          <w:rFonts w:hint="eastAsia"/>
          <w:b w:val="0"/>
          <w:bCs w:val="0"/>
          <w:spacing w:val="0"/>
          <w:position w:val="0"/>
          <w:sz w:val="24"/>
          <w:szCs w:val="24"/>
          <w:vertAlign w:val="subscript"/>
          <w:lang w:val="en-US" w:eastAsia="zh-CN"/>
        </w:rPr>
        <w:t>10</w:t>
      </w:r>
      <w:r>
        <w:rPr>
          <w:rFonts w:hint="eastAsia"/>
          <w:b w:val="0"/>
          <w:bCs w:val="0"/>
          <w:spacing w:val="0"/>
          <w:position w:val="0"/>
          <w:sz w:val="24"/>
          <w:szCs w:val="24"/>
          <w:lang w:val="en-US" w:eastAsia="zh-CN"/>
        </w:rPr>
        <w:t>的范围内，根据《纺织工业污染防治可行技术指南》（HJ1177-2021），磨毛废气采用布袋除尘器进行治理，该废气治理设施及工艺技术可行。</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7.2.2.3污水恶臭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本项目不设污水处理站，高、低浓度废水分别收集后进入园区污水处理厂集中处理，污水收集池设置在地下一层，要求池体采取加盖封闭处理，以减轻废气扩散。</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7.2.2.4有机废气控制措施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结合《福州市纺织染整行业挥发性有机物整治验收技术要求》，为有效控制有机废气，提出以下措施：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（1）源头控制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禁止生产或采用《产业结构调整指导目录》中“淘汰类”的产品或工艺技术，不得使用或采用《部分工业行业淘汰落后生产工艺装备和产品指导目录》中列举的设备和产品。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鼓励使用低毒、低VOCs或无VOCs含量的环保型整理剂及溶剂等原辅材料，如功能性后整理中采用到的一些助剂；在印染生产中使用无醛品种固色剂，选用环保型柔软剂。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使用环保型染料。推广使用清洁环保原料。应选用固色率高、色牢度好、可满足应用性能的染料，不存在国家规定的禁用染料。要求染料供应商提供染料索引号，并与禁用染料索引号进行比较。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控制原料及产品档次，对于来料所附着残留物无法控制，可根据Eco-Label标准实行限定：即原料出厂时限定有害残留物不超标。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（2）过程控制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①物料储存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生产过程中VOCs无组织排放的控制，重点是规范原料、化学助剂等原料的储存、运输、调配、使用过程，改进生产工艺和完善废气的收集和治理。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规范挥发性原料储存。单种挥发性物料日用量大于630L，该物料宜采用储罐集中存放，并采用管道输送。沸点低于45℃的甲类液体应采用压力储罐储存，并按相关规范落实防火间距；沸点高于45℃的易挥发介质如选用固定顶储罐储存时，须设置储罐控温和罐顶废气回收或预处理设施，储罐的气相空间宜设置氮气保护系统，储罐排放的废气须收集、处理后达标排放，装卸应采用装有平衡管的封闭装卸系统。其他未采用储罐存放的所有有机溶剂和含有有机溶剂的原辅料应采取密封存储和密闭存放，属于危化品应符合危化品相关规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规范原料调配、转运与使用。对存放化学助剂的料桶应加盖，上规模企业推广使用原料自动配料系统。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②过程控制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使用先进设备和技术。鼓励纺织染整企业和机械设备制造商联合开发环保密闭型生产集成装备，如投料废气收集罩衔接一体化密闭系统，削减废气量，提高收集效率；鼓励采用中央供浆系统技术，降低损耗。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通过全闭环控制系统及传感器技术，在染料、助剂、设备、配方等实现信息化管理的基础上，实现自动配料、称料、化料、管道化自动输送。实现前处理加工工序生产过程中加料的自动控制，精确计量印染生产过程中染化料及用水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③含VOCs废物处置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盛装含VOCs废料（渣）的容器应密闭储存和存放。列入《国家危险废物名录》的含VOCs废料应以密闭容器收集，并按危险废物进行处理和处置。含油墨、有机溶剂、清洗剂的包装物、废弃物等，产生后必须马上放入具有标识的密闭容器中密封储存，属于危险废物，应按照危险废物相关规定妥善处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④开停工（车）、检修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载有含VOCs物料的设备、管道在开停工（车）、检修、清洗时，应在退料阶段尽量将残存物料退净，用密闭容器盛接，并回收利用。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（3）废气收集处理要求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定型机配套废气收集系统，进行密封收集经处理后高空排放。定型机废气处理设备应设置监测平台、监测通道和启闭式取样口。定型机高温废气应经过热能回收系统回收热能，废气收集率应达到97%以上，定型废气总颗粒物去除率85%以上，油烟去除率80%以上，VOCs处理效率不低于80%，确保污染物稳定达标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定型生产线在各车间内单独设置、整体密闭，密闭区域内换风次数原则上不少于20次/小时；采用车间整体密闭换风，车间换风次数原则上不少于8次/小时。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VOCs污染气体的收集和输送应满足HJ2000《大气污染治理工程技术导则》中的要求，集气方向与污染气流运动方向一致，管路应有走向标识。排气管路禁止设置旁路、支管等可能致使收集废气未进入处理设施的行为。废气收集系统材质应防腐防锈，定期维护，存在泄露时需及时修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生产过程中VOCs无组织排放的控制，重点是规范原料、化学助剂等原料的储存、运输、调配、使用过程，改进生产工艺和完善废气的收集和治理。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7.2.3噪声治理措施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（1）设备选型：在设计中，应要求设计部门按照《工业企业噪声控制设计规范》规范要求，尽量选用技术先进、性能质量良好、同类成品中声级较低的设备，从源头上控制噪声源。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（2）合理布局：在平面布局时，应尽量将噪声源设备集中布置在离厂界距离较远的位置，同时将声级高的设备安置在厂房内地面，避免露天或者高空安置，以降低噪声对厂界的影响。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（3）尽量利用厂房隔声：应将声级高的设备，如风机等设备安置在厂房内，变室外噪声源为室内噪声源，利用厂房进行隔声，避免露天安置，以降低噪声的影响。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（4）防振减振措施：所有电动设备的基座应安装防振、减振垫片，与动力设备连接的管道应安装软性接头，并对管道进行固定加固处理，防止因设备、管道振动引起的噪声。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（5）吸声消声措施：厂房设计时充分考虑墙体吸声效果，内侧墙面尽量采用吸声较好的材料，各类泵及高声级设备应安装消声器。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（6）车间内选用集中排气、换气系统或选用低噪声排气风机，科学合理安排排气风机的安装位置。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（7）加强动力机械设备的定期检修与维护，以减少动力机械设备故障等原因造成的振动及声辐射。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（8）在厂区及厂区周围加强绿化植树，保护植被，以提高消声隔音的效果。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在采取以上有效的降噪措施后，可确保厂界噪声达标。</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eastAsia"/>
          <w:b/>
          <w:bCs/>
          <w:spacing w:val="0"/>
          <w:position w:val="0"/>
          <w:sz w:val="28"/>
          <w:szCs w:val="28"/>
          <w:lang w:val="en-US" w:eastAsia="zh-CN"/>
        </w:rPr>
        <w:t>7.2.4固体废物污染治理及可行性分析</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7.2.4.1固体废物处置措施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（1）一般固体废物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主要包括普通废包装、废丝、废布及次品，共计约635t/a，有利用价值，收集后外售其他企业综合利用，处置方法可行。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（2）危险废物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主要包括危化品废包装、废气处理废油、废机油、化验室废液，共计约607.45t/a。对照《国家危险废物名录》（2021年版），染料助剂废弃包装物属于“HW49其他废物”类危险废物，废物代码为“900-041-49含有或沾染毒性、感染性危险废物的废弃包装物、容器、过滤吸附介质”；废气处理废油属于“HW08废矿物油与含矿物油废物”类危险废物，废物代码为“900-210-08含油废水处理中隔油、气浮、沉淀等处理过程中产生的浮油、浮渣和污泥（不包括废水生化处理污泥）”；废机油属于“HW08废矿物油与含矿物油废物”类危险废物，废物代码为“900-249-08其他生产、销售、使用过程中产生的废矿物油及沾染矿物油的废气包装物”；化验室废液属于“HW49其他废物”类危险废物，废物代码为“900-047-49含有或沾染毒性、感染性危险废物的废弃包装物、容器、过滤吸附介质”。危险废物具有毒性、腐蚀性、易燃性、反应性等危险特性，应单独收集后存放于危废间，委托有资质单位进行处置，措施可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（3）生活垃圾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生活垃圾产生量42.74t/a，由环卫部门接收处置，措施可行。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综上，本项目固体废物按照性质分别采取相应的收集、处置措施，能够得到综合利用和妥善处置，不会对环境造成不利影响，措施可行。</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7.2.4.2一般工业固体废物贮存场所建设及管理要求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（1）一般工业固体废物贮存场所</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vertAlign w:val="baseline"/>
          <w:lang w:val="en-US" w:eastAsia="zh-CN"/>
        </w:rPr>
      </w:pPr>
      <w:r>
        <w:rPr>
          <w:rFonts w:hint="eastAsia"/>
          <w:b w:val="0"/>
          <w:bCs w:val="0"/>
          <w:spacing w:val="0"/>
          <w:position w:val="0"/>
          <w:sz w:val="24"/>
          <w:szCs w:val="24"/>
          <w:lang w:val="en-US" w:eastAsia="zh-CN"/>
        </w:rPr>
        <w:t>厂区内建设一般固废仓库，位于生产厂房一层的染整车间南部，建筑面积80m</w:t>
      </w:r>
      <w:r>
        <w:rPr>
          <w:rFonts w:hint="eastAsia"/>
          <w:b w:val="0"/>
          <w:bCs w:val="0"/>
          <w:spacing w:val="0"/>
          <w:position w:val="0"/>
          <w:sz w:val="24"/>
          <w:szCs w:val="24"/>
          <w:vertAlign w:val="superscript"/>
          <w:lang w:val="en-US" w:eastAsia="zh-CN"/>
        </w:rPr>
        <w:t>2</w:t>
      </w:r>
      <w:r>
        <w:rPr>
          <w:rFonts w:hint="eastAsia"/>
          <w:b w:val="0"/>
          <w:bCs w:val="0"/>
          <w:spacing w:val="0"/>
          <w:position w:val="0"/>
          <w:sz w:val="24"/>
          <w:szCs w:val="24"/>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482" w:firstLineChars="200"/>
        <w:jc w:val="center"/>
        <w:textAlignment w:val="auto"/>
        <w:outlineLvl w:val="9"/>
        <w:rPr>
          <w:rFonts w:hint="default"/>
          <w:b/>
          <w:bCs/>
          <w:spacing w:val="0"/>
          <w:position w:val="0"/>
          <w:sz w:val="24"/>
          <w:szCs w:val="24"/>
          <w:vertAlign w:val="baseline"/>
          <w:lang w:val="en-US" w:eastAsia="zh-CN"/>
        </w:rPr>
      </w:pPr>
      <w:r>
        <w:rPr>
          <w:rFonts w:hint="eastAsia"/>
          <w:b/>
          <w:bCs/>
          <w:spacing w:val="0"/>
          <w:position w:val="0"/>
          <w:sz w:val="24"/>
          <w:szCs w:val="24"/>
          <w:lang w:val="en-US" w:eastAsia="zh-CN"/>
        </w:rPr>
        <w:t>表7.2-3一般固体废物分类及暂存设施</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190"/>
        <w:gridCol w:w="873"/>
        <w:gridCol w:w="872"/>
        <w:gridCol w:w="930"/>
        <w:gridCol w:w="660"/>
        <w:gridCol w:w="1465"/>
        <w:gridCol w:w="24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序号</w:t>
            </w:r>
          </w:p>
        </w:tc>
        <w:tc>
          <w:tcPr>
            <w:tcW w:w="11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固体废物名称</w:t>
            </w:r>
          </w:p>
        </w:tc>
        <w:tc>
          <w:tcPr>
            <w:tcW w:w="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产生量（t/a）</w:t>
            </w:r>
          </w:p>
        </w:tc>
        <w:tc>
          <w:tcPr>
            <w:tcW w:w="8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最大储量（t）</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暂存周期</w:t>
            </w:r>
          </w:p>
        </w:tc>
        <w:tc>
          <w:tcPr>
            <w:tcW w:w="6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储存方式</w:t>
            </w:r>
          </w:p>
        </w:tc>
        <w:tc>
          <w:tcPr>
            <w:tcW w:w="1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占地面积（m</w:t>
            </w:r>
            <w:r>
              <w:rPr>
                <w:rFonts w:hint="eastAsia"/>
                <w:b w:val="0"/>
                <w:bCs w:val="0"/>
                <w:spacing w:val="0"/>
                <w:position w:val="0"/>
                <w:sz w:val="21"/>
                <w:szCs w:val="21"/>
                <w:vertAlign w:val="superscript"/>
                <w:lang w:val="en-US" w:eastAsia="zh-CN"/>
              </w:rPr>
              <w:t>2</w:t>
            </w:r>
            <w:r>
              <w:rPr>
                <w:rFonts w:hint="eastAsia"/>
                <w:b w:val="0"/>
                <w:bCs w:val="0"/>
                <w:spacing w:val="0"/>
                <w:position w:val="0"/>
                <w:sz w:val="21"/>
                <w:szCs w:val="21"/>
                <w:vertAlign w:val="baseline"/>
                <w:lang w:val="en-US" w:eastAsia="zh-CN"/>
              </w:rPr>
              <w:t>）</w:t>
            </w:r>
          </w:p>
        </w:tc>
        <w:tc>
          <w:tcPr>
            <w:tcW w:w="24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建设要求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11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废丝、废布头和次品</w:t>
            </w:r>
          </w:p>
        </w:tc>
        <w:tc>
          <w:tcPr>
            <w:tcW w:w="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633</w:t>
            </w:r>
          </w:p>
        </w:tc>
        <w:tc>
          <w:tcPr>
            <w:tcW w:w="8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43</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半个月</w:t>
            </w:r>
          </w:p>
        </w:tc>
        <w:tc>
          <w:tcPr>
            <w:tcW w:w="6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袋装</w:t>
            </w:r>
          </w:p>
        </w:tc>
        <w:tc>
          <w:tcPr>
            <w:tcW w:w="1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70</w:t>
            </w:r>
          </w:p>
        </w:tc>
        <w:tc>
          <w:tcPr>
            <w:tcW w:w="24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default"/>
                <w:b w:val="0"/>
                <w:bCs w:val="0"/>
                <w:spacing w:val="0"/>
                <w:position w:val="0"/>
                <w:sz w:val="21"/>
                <w:szCs w:val="21"/>
                <w:vertAlign w:val="baseline"/>
                <w:lang w:val="en-US" w:eastAsia="zh-CN"/>
              </w:rPr>
              <w:t>符合《一般工业固体废物贮存和填埋污染控制标准》（GB18599-2020）要求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1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普通废包装</w:t>
            </w:r>
          </w:p>
        </w:tc>
        <w:tc>
          <w:tcPr>
            <w:tcW w:w="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8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半年</w:t>
            </w:r>
          </w:p>
        </w:tc>
        <w:tc>
          <w:tcPr>
            <w:tcW w:w="6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袋装</w:t>
            </w:r>
          </w:p>
        </w:tc>
        <w:tc>
          <w:tcPr>
            <w:tcW w:w="1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10</w:t>
            </w:r>
          </w:p>
        </w:tc>
        <w:tc>
          <w:tcPr>
            <w:tcW w:w="24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（2）一般工业固体废物暂存管理要求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规范化建设固体废物临时贮存场所，按照《一般工业固体废物贮存和填埋污染控制标准》（GB18599-2020）落实设计、管理、监测监控等要求。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（3）一般工业固体废物运输管理要求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由于外运固废量大，运输车辆车次较多，对周围及沿程不可避免地会造成噪声及扬尘污染。厂家及运输车辆必须注意做到以下几点：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①及时清洗、保持装载场地及专用运输车辆的清洁。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②采用专用的密闭运输车辆，防止沿程洒、漏现象的发生。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③注意运载路线的选择，白天尽量避免穿越闹市及繁华区域。</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eastAsia"/>
          <w:b/>
          <w:bCs/>
          <w:spacing w:val="0"/>
          <w:position w:val="0"/>
          <w:sz w:val="24"/>
          <w:szCs w:val="24"/>
          <w:lang w:val="en-US" w:eastAsia="zh-CN"/>
        </w:rPr>
        <w:t>7.2.4.3危险废物贮存场所建设及管理要求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（1）危险废物暂存间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项目租用一座危废暂存间，建筑面积为57.6m</w:t>
      </w:r>
      <w:r>
        <w:rPr>
          <w:rFonts w:hint="eastAsia"/>
          <w:b w:val="0"/>
          <w:bCs w:val="0"/>
          <w:spacing w:val="0"/>
          <w:position w:val="0"/>
          <w:sz w:val="24"/>
          <w:szCs w:val="24"/>
          <w:vertAlign w:val="superscript"/>
          <w:lang w:val="en-US" w:eastAsia="zh-CN"/>
        </w:rPr>
        <w:t>2</w:t>
      </w:r>
      <w:r>
        <w:rPr>
          <w:rFonts w:hint="eastAsia"/>
          <w:b w:val="0"/>
          <w:bCs w:val="0"/>
          <w:spacing w:val="0"/>
          <w:position w:val="0"/>
          <w:sz w:val="24"/>
          <w:szCs w:val="24"/>
          <w:lang w:val="en-US" w:eastAsia="zh-CN"/>
        </w:rPr>
        <w:t>，危废暂存间应按《危险废物贮存污染控制标准》</w:t>
      </w:r>
      <w:r>
        <w:rPr>
          <w:rFonts w:hint="eastAsia" w:hAnsi="Cambria Math"/>
          <w:b w:val="0"/>
          <w:bCs w:val="0"/>
          <w:i w:val="0"/>
          <w:spacing w:val="0"/>
          <w:position w:val="0"/>
          <w:sz w:val="24"/>
          <w:szCs w:val="24"/>
          <w:vertAlign w:val="baseline"/>
          <w:lang w:val="en-US" w:eastAsia="zh-CN"/>
        </w:rPr>
        <w:t>（GB18597—2023）</w:t>
      </w:r>
      <w:r>
        <w:rPr>
          <w:rFonts w:hint="eastAsia"/>
          <w:b w:val="0"/>
          <w:bCs w:val="0"/>
          <w:spacing w:val="0"/>
          <w:position w:val="0"/>
          <w:sz w:val="24"/>
          <w:szCs w:val="24"/>
          <w:lang w:val="en-US" w:eastAsia="zh-CN"/>
        </w:rPr>
        <w:t>要求建设，并按照《环境影响评价技术导则地下水环境》（HJ610-2016）重点防渗区要求采取防渗措施。</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4"/>
          <w:szCs w:val="24"/>
          <w:vertAlign w:val="baseline"/>
          <w:lang w:val="en-US" w:eastAsia="zh-CN"/>
        </w:rPr>
      </w:pPr>
      <w:r>
        <w:rPr>
          <w:rFonts w:hint="eastAsia"/>
          <w:b/>
          <w:bCs/>
          <w:spacing w:val="0"/>
          <w:position w:val="0"/>
          <w:sz w:val="24"/>
          <w:szCs w:val="24"/>
          <w:lang w:val="en-US" w:eastAsia="zh-CN"/>
        </w:rPr>
        <w:t>表7.2-4危险废物分类及暂存设施</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555"/>
        <w:gridCol w:w="859"/>
        <w:gridCol w:w="1036"/>
        <w:gridCol w:w="1078"/>
        <w:gridCol w:w="1090"/>
        <w:gridCol w:w="1078"/>
        <w:gridCol w:w="1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序号</w:t>
            </w:r>
          </w:p>
        </w:tc>
        <w:tc>
          <w:tcPr>
            <w:tcW w:w="15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危险废物名称</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产生量（t/a）</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最大储量（t）</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暂存周期</w:t>
            </w:r>
          </w:p>
        </w:tc>
        <w:tc>
          <w:tcPr>
            <w:tcW w:w="10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储存方式</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占地面积（m</w:t>
            </w:r>
            <w:r>
              <w:rPr>
                <w:rFonts w:hint="eastAsia"/>
                <w:b w:val="0"/>
                <w:bCs w:val="0"/>
                <w:spacing w:val="0"/>
                <w:position w:val="0"/>
                <w:sz w:val="21"/>
                <w:szCs w:val="21"/>
                <w:vertAlign w:val="superscript"/>
                <w:lang w:val="en-US" w:eastAsia="zh-CN"/>
              </w:rPr>
              <w:t>2</w:t>
            </w:r>
            <w:r>
              <w:rPr>
                <w:rFonts w:hint="eastAsia"/>
                <w:b w:val="0"/>
                <w:bCs w:val="0"/>
                <w:spacing w:val="0"/>
                <w:position w:val="0"/>
                <w:sz w:val="21"/>
                <w:szCs w:val="21"/>
                <w:vertAlign w:val="baseline"/>
                <w:lang w:val="en-US" w:eastAsia="zh-CN"/>
              </w:rPr>
              <w:t>）</w:t>
            </w:r>
          </w:p>
        </w:tc>
        <w:tc>
          <w:tcPr>
            <w:tcW w:w="174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建设要求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w:t>
            </w:r>
          </w:p>
        </w:tc>
        <w:tc>
          <w:tcPr>
            <w:tcW w:w="15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危化品废包装</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8.1</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2.5</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3个月</w:t>
            </w:r>
          </w:p>
        </w:tc>
        <w:tc>
          <w:tcPr>
            <w:tcW w:w="10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袋装</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15</w:t>
            </w:r>
          </w:p>
        </w:tc>
        <w:tc>
          <w:tcPr>
            <w:tcW w:w="174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default"/>
                <w:b w:val="0"/>
                <w:bCs w:val="0"/>
                <w:spacing w:val="0"/>
                <w:position w:val="0"/>
                <w:sz w:val="21"/>
                <w:szCs w:val="21"/>
                <w:vertAlign w:val="baseline"/>
                <w:lang w:val="en-US" w:eastAsia="zh-CN"/>
              </w:rPr>
              <w:t>符合《危险废物贮存污染控制标准》(18597-2001)及修改单要求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w:t>
            </w:r>
          </w:p>
        </w:tc>
        <w:tc>
          <w:tcPr>
            <w:tcW w:w="15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废气处理废油</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598.75</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28</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20天</w:t>
            </w:r>
          </w:p>
        </w:tc>
        <w:tc>
          <w:tcPr>
            <w:tcW w:w="10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桶装</w:t>
            </w:r>
          </w:p>
        </w:tc>
        <w:tc>
          <w:tcPr>
            <w:tcW w:w="107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40</w:t>
            </w:r>
          </w:p>
        </w:tc>
        <w:tc>
          <w:tcPr>
            <w:tcW w:w="174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w:t>
            </w:r>
          </w:p>
        </w:tc>
        <w:tc>
          <w:tcPr>
            <w:tcW w:w="15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废机油</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0.1</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0.03</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3个月</w:t>
            </w:r>
          </w:p>
        </w:tc>
        <w:tc>
          <w:tcPr>
            <w:tcW w:w="10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桶装</w:t>
            </w:r>
          </w:p>
        </w:tc>
        <w:tc>
          <w:tcPr>
            <w:tcW w:w="107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c>
          <w:tcPr>
            <w:tcW w:w="174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4</w:t>
            </w:r>
          </w:p>
        </w:tc>
        <w:tc>
          <w:tcPr>
            <w:tcW w:w="15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化验室废液</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0.5</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0.3</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半年</w:t>
            </w:r>
          </w:p>
        </w:tc>
        <w:tc>
          <w:tcPr>
            <w:tcW w:w="10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桶装</w:t>
            </w:r>
          </w:p>
        </w:tc>
        <w:tc>
          <w:tcPr>
            <w:tcW w:w="10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r>
              <w:rPr>
                <w:rFonts w:hint="eastAsia"/>
                <w:b w:val="0"/>
                <w:bCs w:val="0"/>
                <w:spacing w:val="0"/>
                <w:position w:val="0"/>
                <w:sz w:val="21"/>
                <w:szCs w:val="21"/>
                <w:vertAlign w:val="baseline"/>
                <w:lang w:val="en-US" w:eastAsia="zh-CN"/>
              </w:rPr>
              <w:t>2.6</w:t>
            </w:r>
          </w:p>
        </w:tc>
        <w:tc>
          <w:tcPr>
            <w:tcW w:w="174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val="0"/>
                <w:bCs w:val="0"/>
                <w:spacing w:val="0"/>
                <w:position w:val="0"/>
                <w:sz w:val="21"/>
                <w:szCs w:val="21"/>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（2）危险废物收集、贮存和转运管理要求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建设单位应委托有资质的单位收运处置，危险废物的贮存和转运应严格按《危险废物贮存污染控制标准》（18597-2001）及修改单、《危险废物转移联单管理办法》及《危险废物转移联单管理办法（修订草案）》（征求意见稿）要求执行。主要有以下几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1）一般要求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a.禁止将不相容（相互反应）的危险废物在同一容器内混装。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b.装载液体、半固体危险废物的容器内须留足够空间，容器顶部与液体表面之间保留100mm以上的空间。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c.盛装危险废物的容器上必须粘贴符合本标准（《危险废物贮存污染控制标准》18597-2001）附录A所示的标签。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2）危险废物贮存容器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a.应当使用符合标准的容器盛装危险废物。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b.装载危险废物的容器及材质要满足相应的强度要求。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c.装载危险废物的容器必须完好无损。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d.盛装危险废物的容器材质和衬里要与危险废物相容（不相互反应）。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e.液体危险废物可注入开孔直径不超过70mm并有放气孔的桶中。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（3）危险废物贮存设施的选址与设计原则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a.应建在易燃、易爆等危险品仓库、高压输电线路防护区域以外。</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b.地面与裙脚要用坚固、防渗的材料建造，建筑材料必须与危险废物相容。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c.必须有泄漏液体收集装置、气体导出口及气体净化装置。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d.设施内要有安全照明设施和观察窗口。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e.用以存放装载液体、半固体危险废物容器的地方，必须有耐腐蚀的硬化地面，且表面无裂隙。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f.应设计堵截泄漏的裙脚，地面与裙脚所围建的容积不低于堵截最大容器的最大储量或总储量的1/5。</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g.不相容的危险废物必须分开存放，并设有隔离间隔断。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h.基础必须防渗，防渗层为至少1m厚粘土层（渗透系数≤10-7cm/s），或2mm厚高密度聚乙烯，或至少2mm厚的其它人工材料，渗透系数≤10-10crn/s。</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i.堆放危险废物的高度应根据地面承载能力确定。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j.衬里放在一个基础或底座上，要能够覆盖危险废物或其溶出物可能涉及到的范围，衬里材料与堆放危险废物相容，在衬里上设计、建造浸出液收集清除系统。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k.应设计建造径流疏导系统，保证能防止25a一遇的暴雨不会流到危险废物堆里。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l.危险废物堆要防风、防雨、防晒。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m.不相容的危险废物不能堆放在一起。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n.不相容危险废物要分别存放或存放在不渗透间隔分开的区域内，每个部分都应有防漏裙脚或储漏盘，防漏裙脚或储漏盘的材料要与危险废物相容。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（4）危险废物贮存设施的运行与管理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a.危险废物贮存前应进行检验，确保同预定接收的危险废物一致，并登记注册。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b.盛装在容器内的同类危险废物可以堆叠存放。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c.每个堆间应留有搬运通道。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d.不得将不相容的废物混合或合并存放。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e.危险废物产生者和危险废物贮存设施经营者均须作好危险废物情况的记录，记录上须注明危险废物的名称、来源、数量、特性和包装容器的类别、入库日期、存放库位、废物出库日期及接收单位名称。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f.危险废物的记录和货单在危险废物回取后应继续保留3a。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g.必须定期对所贮存的危险废物包装容器及贮存设施进行检查，发现破损，应及时釆取措施清理更换。</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h.泄漏液、清洗液、浸出液必须符合GB8978的要求方可排放，气体导出口排出的气体经处理后，应满足GB16297和GB14554的要求。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（5）危险废物贮存设施的安全防护与监测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a.危险废物贮存设施都必须按GB15562.2的规定设置警示标志。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b.危险废物贮存设施周围应设置围墙或其它防护栅栏。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c.危险废物贮存设施应配备通讯设备、照明设施、安全防护服装及工具，并设有应急防护设施。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d.危险废物贮存设施内清理出来的泄漏物，一律按危险废物处理。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e.按国家污染源管理要求对危险废物贮存设施进行监测。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（6）危险废物的转移</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危险废物的运输应采取危险废物转移“三联单”制度，按照《危险废物转移联单管理办法》（修订草案）（征求意见稿）的要求执行，保证运输安全，防止非法转移和非法处置，保证危险废物的安全监控，防止危险废物污染事故发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总体分析，本项目固体废物采取了相应的处置措施，只要建设单位认真落实本环评提出的各项固体废物处置措施，并按照固体废物的相关管理要求，加强各类固体废物的收集、分类储存、转移和处置管理，本工程产生的固体废物均能得到合理处置。</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default"/>
          <w:b/>
          <w:bCs/>
          <w:spacing w:val="0"/>
          <w:position w:val="0"/>
          <w:sz w:val="28"/>
          <w:szCs w:val="28"/>
          <w:lang w:val="en-US" w:eastAsia="zh-CN"/>
        </w:rPr>
      </w:pPr>
      <w:r>
        <w:rPr>
          <w:rFonts w:hint="default"/>
          <w:b/>
          <w:bCs/>
          <w:spacing w:val="0"/>
          <w:position w:val="0"/>
          <w:sz w:val="28"/>
          <w:szCs w:val="28"/>
          <w:lang w:val="en-US" w:eastAsia="zh-CN"/>
        </w:rPr>
        <w:t>7.2.5</w:t>
      </w:r>
      <w:r>
        <w:rPr>
          <w:rFonts w:hint="eastAsia"/>
          <w:b/>
          <w:bCs/>
          <w:spacing w:val="0"/>
          <w:position w:val="0"/>
          <w:sz w:val="28"/>
          <w:szCs w:val="28"/>
          <w:lang w:val="en-US" w:eastAsia="zh-CN"/>
        </w:rPr>
        <w:t>地下水污染防治措施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为防止项目运行对地下水造成污染，建设单位要按照《环境影响评价技术导则地下水环境》（HJ610-2016）的相关规定，按照“源头控制、分区防控、污染监控、应急响应”的原则，从原料和产品的储存、装卸、运输、生产过程、污染处理装置等全过程控制各种有毒有害原辅材料、中间材料、产品泄漏（含跑、冒、滴、漏）；同时针对厂区的地质环境、水文地质条件，对有害物质可能泄漏到的区域采取防渗措施，阻止其渗入地下水中，即从源头到末端全方位采取控制措施，防止建设项目运行对地下水污染。</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default"/>
          <w:b/>
          <w:bCs/>
          <w:spacing w:val="0"/>
          <w:position w:val="0"/>
          <w:sz w:val="24"/>
          <w:szCs w:val="24"/>
          <w:lang w:val="en-US" w:eastAsia="zh-CN"/>
        </w:rPr>
        <w:t>7.2.5.1源头</w:t>
      </w:r>
      <w:r>
        <w:rPr>
          <w:rFonts w:hint="eastAsia"/>
          <w:b/>
          <w:bCs/>
          <w:spacing w:val="0"/>
          <w:position w:val="0"/>
          <w:sz w:val="24"/>
          <w:szCs w:val="24"/>
          <w:lang w:val="en-US" w:eastAsia="zh-CN"/>
        </w:rPr>
        <w:t>控制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源头控制措施，主要包括在工艺、管道、设备、污水储存及处理构筑物采取相应措施，防止和降低污染物跑、冒、滴、漏，将污染物泄漏事故降到最低程度。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（1）设备、设施防渗措施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将生产装置区域内易产生泄漏的设备按其物料的物性分类集中布置，对于不同物料性质的区域，分别设置围堰。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对于储存和输送有毒有害介质的设备和管线排液阀门采用双阀，设备及管道排放出的各种含有毒有害介质液体设置专门的废液收集系统加以收集，不任意排放。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对于机、泵基础周边设置废液收集设施，确保泄漏物料统一收集至排放系统。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装有毒有害介质设备的设备法兰及接管法兰的密封面和垫片提高密封等级，必要时采用焊接连接。所有设备的液面计及视镜加设保护设施。设备的排净及排空口不采用螺纹密封结构，且不间接排放，搅拌设备的轴封选择适当的密封形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所有转动设备进行有效的设计，尽可能防止有害介质泄漏。对输送有毒有害介质的泵选用无密封泵。所有输送工艺物料的离心泵及回转泵采用机械密封。所有转动设备均提供一体化的集液盘或集液盆式底座，确保泄漏物料统一收集至排放系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处理易燃、易爆、腐蚀性和有毒介质的承压壳体不使用铸铁（不包括球墨铸铁或可锻铸铁）。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eastAsia"/>
          <w:b w:val="0"/>
          <w:bCs w:val="0"/>
          <w:spacing w:val="0"/>
          <w:position w:val="0"/>
          <w:sz w:val="24"/>
          <w:szCs w:val="24"/>
          <w:lang w:val="en-US" w:eastAsia="zh-CN"/>
        </w:rPr>
        <w:t>（2）给水、排水防渗措施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完善地表污水和雨水的收集系统，减少污染物下渗的可能性。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各装置污染区地面初期雨水、地面冲洗水及使用过的消防水全部收集进入雨污水收集池，通过泵提升后送污水处理场处理。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新建输送污水压力管道尽量采用地上敷设，重力收集管道宜采用埋地敷设；埋地敷设的排水管道在穿越厂区干道时采用套管保护，禁止在重力排水的污水管线上使用倒虹吸管。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所有穿过污水处理构筑物壁的管道预先设置防水套管，防水套管的环缝隙采用不透水的柔性材料填塞。</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default"/>
          <w:b/>
          <w:bCs/>
          <w:spacing w:val="0"/>
          <w:position w:val="0"/>
          <w:sz w:val="24"/>
          <w:szCs w:val="24"/>
          <w:lang w:val="en-US" w:eastAsia="zh-CN"/>
        </w:rPr>
        <w:t>7.2.5.</w:t>
      </w:r>
      <w:r>
        <w:rPr>
          <w:rFonts w:hint="eastAsia"/>
          <w:b/>
          <w:bCs/>
          <w:spacing w:val="0"/>
          <w:position w:val="0"/>
          <w:sz w:val="24"/>
          <w:szCs w:val="24"/>
          <w:lang w:val="en-US" w:eastAsia="zh-CN"/>
        </w:rPr>
        <w:t>2分区防渗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（1）防渗区划分标准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按照《环境影响评价技术导则地下水环境》（HJ610-2016）的要求，将场地区域划分为重点防渗区、一般防渗区、简单防渗区，并落实不同防渗分区的防渗技术要求。重点防渗区：等效黏土防渗层Mb≥6.0m，K≤1×10</w:t>
      </w:r>
      <w:r>
        <w:rPr>
          <w:rFonts w:hint="eastAsia"/>
          <w:b w:val="0"/>
          <w:bCs w:val="0"/>
          <w:spacing w:val="0"/>
          <w:position w:val="0"/>
          <w:sz w:val="24"/>
          <w:szCs w:val="24"/>
          <w:vertAlign w:val="superscript"/>
          <w:lang w:val="en-US" w:eastAsia="zh-CN"/>
        </w:rPr>
        <w:t>-7</w:t>
      </w:r>
      <w:r>
        <w:rPr>
          <w:rFonts w:hint="eastAsia"/>
          <w:b w:val="0"/>
          <w:bCs w:val="0"/>
          <w:spacing w:val="0"/>
          <w:position w:val="0"/>
          <w:sz w:val="24"/>
          <w:szCs w:val="24"/>
          <w:lang w:val="en-US" w:eastAsia="zh-CN"/>
        </w:rPr>
        <w:t>cm/s。</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一般防渗区：等效黏土防渗层Mb≥1.5m，K≤1×10</w:t>
      </w:r>
      <w:r>
        <w:rPr>
          <w:rFonts w:hint="eastAsia"/>
          <w:b w:val="0"/>
          <w:bCs w:val="0"/>
          <w:spacing w:val="0"/>
          <w:position w:val="0"/>
          <w:sz w:val="24"/>
          <w:szCs w:val="24"/>
          <w:vertAlign w:val="superscript"/>
          <w:lang w:val="en-US" w:eastAsia="zh-CN"/>
        </w:rPr>
        <w:t>-7</w:t>
      </w:r>
      <w:r>
        <w:rPr>
          <w:rFonts w:hint="eastAsia"/>
          <w:b w:val="0"/>
          <w:bCs w:val="0"/>
          <w:spacing w:val="0"/>
          <w:position w:val="0"/>
          <w:sz w:val="24"/>
          <w:szCs w:val="24"/>
          <w:lang w:val="en-US" w:eastAsia="zh-CN"/>
        </w:rPr>
        <w:t>cm/s。</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简单防渗区：一般地面硬化。</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（2）项目污染防治分区要求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污染分区防渗划分情况见表7.2-5。</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4"/>
          <w:szCs w:val="24"/>
          <w:vertAlign w:val="baseline"/>
          <w:lang w:val="en-US" w:eastAsia="zh-CN"/>
        </w:rPr>
      </w:pPr>
      <w:r>
        <w:rPr>
          <w:rFonts w:hint="eastAsia"/>
          <w:b/>
          <w:bCs/>
          <w:spacing w:val="0"/>
          <w:position w:val="0"/>
          <w:sz w:val="24"/>
          <w:szCs w:val="24"/>
          <w:lang w:val="en-US" w:eastAsia="zh-CN"/>
        </w:rPr>
        <w:t>表7.2-5项目污染防治分区一览表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68"/>
        <w:gridCol w:w="2968"/>
        <w:gridCol w:w="2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区域</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污染防治区域及部位</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污染防治区类别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危化品库</w:t>
            </w:r>
            <w:r>
              <w:rPr>
                <w:rFonts w:hint="eastAsia" w:cs="宋体"/>
                <w:spacing w:val="0"/>
                <w:position w:val="0"/>
                <w:sz w:val="21"/>
                <w:szCs w:val="21"/>
                <w:lang w:eastAsia="zh-CN"/>
              </w:rPr>
              <w:t>（</w:t>
            </w:r>
            <w:r>
              <w:rPr>
                <w:rFonts w:hint="eastAsia" w:cs="宋体"/>
                <w:spacing w:val="0"/>
                <w:position w:val="0"/>
                <w:sz w:val="21"/>
                <w:szCs w:val="21"/>
                <w:lang w:val="en-US" w:eastAsia="zh-CN"/>
              </w:rPr>
              <w:t>租用</w:t>
            </w:r>
            <w:r>
              <w:rPr>
                <w:rFonts w:hint="eastAsia" w:cs="宋体"/>
                <w:spacing w:val="0"/>
                <w:position w:val="0"/>
                <w:sz w:val="21"/>
                <w:szCs w:val="21"/>
                <w:lang w:eastAsia="zh-CN"/>
              </w:rPr>
              <w:t>）</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地面</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重点防渗区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染料库</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地面</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重点防渗区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危险废物暂存间</w:t>
            </w:r>
            <w:r>
              <w:rPr>
                <w:rFonts w:hint="eastAsia" w:cs="宋体"/>
                <w:spacing w:val="0"/>
                <w:position w:val="0"/>
                <w:sz w:val="21"/>
                <w:szCs w:val="21"/>
                <w:lang w:eastAsia="zh-CN"/>
              </w:rPr>
              <w:t>（</w:t>
            </w:r>
            <w:r>
              <w:rPr>
                <w:rFonts w:hint="eastAsia" w:cs="宋体"/>
                <w:spacing w:val="0"/>
                <w:position w:val="0"/>
                <w:sz w:val="21"/>
                <w:szCs w:val="21"/>
                <w:lang w:val="en-US" w:eastAsia="zh-CN"/>
              </w:rPr>
              <w:t>租用</w:t>
            </w:r>
            <w:r>
              <w:rPr>
                <w:rFonts w:hint="eastAsia" w:cs="宋体"/>
                <w:spacing w:val="0"/>
                <w:position w:val="0"/>
                <w:sz w:val="21"/>
                <w:szCs w:val="21"/>
                <w:lang w:eastAsia="zh-CN"/>
              </w:rPr>
              <w:t>）</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地面及四周墙面一定高度</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重点防渗区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污水收集池</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池的底板及壁板</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重点防渗区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初期雨水池</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池的底板及壁板</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重点防渗区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事故应急池</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池的底板及壁板</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一般防渗区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ascii="Times New Roman" w:hAnsi="Times New Roman" w:eastAsia="宋体" w:cs="宋体"/>
                <w:spacing w:val="0"/>
                <w:position w:val="0"/>
                <w:sz w:val="21"/>
                <w:szCs w:val="21"/>
              </w:rPr>
              <w:t>生产车间</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一层地面</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一般防渗区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宋体"/>
                <w:spacing w:val="0"/>
                <w:position w:val="0"/>
                <w:sz w:val="21"/>
                <w:szCs w:val="21"/>
              </w:rPr>
            </w:pPr>
            <w:r>
              <w:rPr>
                <w:rFonts w:ascii="Times New Roman" w:hAnsi="Times New Roman" w:eastAsia="宋体" w:cs="宋体"/>
                <w:spacing w:val="0"/>
                <w:position w:val="0"/>
                <w:sz w:val="21"/>
                <w:szCs w:val="21"/>
              </w:rPr>
              <w:t>办公楼、门卫</w:t>
            </w:r>
          </w:p>
        </w:tc>
        <w:tc>
          <w:tcPr>
            <w:tcW w:w="296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地面</w:t>
            </w:r>
          </w:p>
        </w:tc>
        <w:tc>
          <w:tcPr>
            <w:tcW w:w="29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简单防渗区</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（3）防渗技术要求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一般防渗区的防渗性能不应低于1.5m厚，渗透系数为1×10</w:t>
      </w:r>
      <w:r>
        <w:rPr>
          <w:rFonts w:hint="default"/>
          <w:b w:val="0"/>
          <w:bCs w:val="0"/>
          <w:spacing w:val="0"/>
          <w:position w:val="0"/>
          <w:sz w:val="24"/>
          <w:szCs w:val="24"/>
          <w:vertAlign w:val="superscript"/>
          <w:lang w:val="en-US" w:eastAsia="zh-CN"/>
        </w:rPr>
        <w:t>-7</w:t>
      </w:r>
      <w:r>
        <w:rPr>
          <w:rFonts w:hint="default"/>
          <w:b w:val="0"/>
          <w:bCs w:val="0"/>
          <w:spacing w:val="0"/>
          <w:position w:val="0"/>
          <w:sz w:val="24"/>
          <w:szCs w:val="24"/>
          <w:lang w:val="en-US" w:eastAsia="zh-CN"/>
        </w:rPr>
        <w:t>cm/s的黏土层的防渗性能。重点防渗区的防渗性能不应低于6.0m厚，渗透系数为1×10</w:t>
      </w:r>
      <w:r>
        <w:rPr>
          <w:rFonts w:hint="default"/>
          <w:b w:val="0"/>
          <w:bCs w:val="0"/>
          <w:spacing w:val="0"/>
          <w:position w:val="0"/>
          <w:sz w:val="24"/>
          <w:szCs w:val="24"/>
          <w:vertAlign w:val="superscript"/>
          <w:lang w:val="en-US" w:eastAsia="zh-CN"/>
        </w:rPr>
        <w:t>-7</w:t>
      </w:r>
      <w:r>
        <w:rPr>
          <w:rFonts w:hint="default"/>
          <w:b w:val="0"/>
          <w:bCs w:val="0"/>
          <w:spacing w:val="0"/>
          <w:position w:val="0"/>
          <w:sz w:val="24"/>
          <w:szCs w:val="24"/>
          <w:lang w:val="en-US" w:eastAsia="zh-CN"/>
        </w:rPr>
        <w:t>cm/s的黏土层的防渗性能。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防渗结构型式选择应结合当地土壤包气带防污性能、环境水文地质条件、工程地质条件、污染防治区划分等，综合选择。为保证防渗工程正常施工、运行，达到设计防渗等级，应对工程质量进行管理控制：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①选择具有相应资质的设计单位对工程进行设计，防渗工程的设计符合相应要求及设计规范；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②工程材料符合设计要求，并按照有关规定和要求进行质量检验，保证使用材料全部合格；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③聘请优秀专业施工队伍，施工方法符合规范要求；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④工程完工后进行质量检测。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val="0"/>
          <w:spacing w:val="0"/>
          <w:position w:val="0"/>
          <w:sz w:val="24"/>
          <w:szCs w:val="24"/>
          <w:lang w:val="en-US" w:eastAsia="zh-CN"/>
        </w:rPr>
      </w:pPr>
      <w:r>
        <w:rPr>
          <w:rFonts w:hint="default"/>
          <w:b w:val="0"/>
          <w:bCs w:val="0"/>
          <w:spacing w:val="0"/>
          <w:position w:val="0"/>
          <w:sz w:val="24"/>
          <w:szCs w:val="24"/>
          <w:lang w:val="en-US" w:eastAsia="zh-CN"/>
        </w:rPr>
        <w:t>在防渗设施投入使用后，要加强日常的维护管理。</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default"/>
          <w:b/>
          <w:bCs/>
          <w:spacing w:val="0"/>
          <w:position w:val="0"/>
          <w:sz w:val="24"/>
          <w:szCs w:val="24"/>
          <w:lang w:val="en-US" w:eastAsia="zh-CN"/>
        </w:rPr>
        <w:t>7.2.5.</w:t>
      </w:r>
      <w:r>
        <w:rPr>
          <w:rFonts w:hint="eastAsia"/>
          <w:b/>
          <w:bCs/>
          <w:spacing w:val="0"/>
          <w:position w:val="0"/>
          <w:sz w:val="24"/>
          <w:szCs w:val="24"/>
          <w:lang w:val="en-US" w:eastAsia="zh-CN"/>
        </w:rPr>
        <w:t>3污染监控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建立地下水污染监控系统，制定地下水环境影响跟踪监测计划，科学、合理设置地下水污染监控井，达到及时发现并控制污染的目的。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项目位于可门绿色纺织产业园，根据《连江可门绿色纺织产业园规划(一期)环境影响报告书》中对于地下水监控井设置要求：在产业园上游设置1个背景观测点，产业园园内及其下游影响区的地下水设置不少于2个观测点。本项目厂区内设置1个监控井，其余利用产业园区监控井点位。</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3"/>
        <w:rPr>
          <w:rFonts w:hint="default"/>
          <w:b/>
          <w:bCs/>
          <w:spacing w:val="0"/>
          <w:position w:val="0"/>
          <w:sz w:val="24"/>
          <w:szCs w:val="24"/>
          <w:lang w:val="en-US" w:eastAsia="zh-CN"/>
        </w:rPr>
      </w:pPr>
      <w:r>
        <w:rPr>
          <w:rFonts w:hint="default"/>
          <w:b/>
          <w:bCs/>
          <w:spacing w:val="0"/>
          <w:position w:val="0"/>
          <w:sz w:val="24"/>
          <w:szCs w:val="24"/>
          <w:lang w:val="en-US" w:eastAsia="zh-CN"/>
        </w:rPr>
        <w:t>7.2.5.</w:t>
      </w:r>
      <w:r>
        <w:rPr>
          <w:rFonts w:hint="eastAsia"/>
          <w:b/>
          <w:bCs/>
          <w:spacing w:val="0"/>
          <w:position w:val="0"/>
          <w:sz w:val="24"/>
          <w:szCs w:val="24"/>
          <w:lang w:val="en-US" w:eastAsia="zh-CN"/>
        </w:rPr>
        <w:t>4应急响应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建立地下水污染事故应急预案，一旦发现地下水中与本项目相关的主要污染物异常升高，应立即查找污染源，及时处理，将污染控制在最低的限度。排查原因若不是因为本项目造成地下水指标异常升高，应及时向园区管委会汇报情况，并由园区组织开展全面排查和评估工作，根据评估结果采取相关措施。</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9"/>
        <w:rPr>
          <w:rFonts w:hint="eastAsia"/>
          <w:b/>
          <w:bCs/>
          <w:spacing w:val="0"/>
          <w:position w:val="0"/>
          <w:sz w:val="28"/>
          <w:szCs w:val="28"/>
          <w:lang w:val="en-US" w:eastAsia="zh-CN"/>
        </w:rPr>
      </w:pPr>
      <w:r>
        <w:rPr>
          <w:rFonts w:hint="eastAsia"/>
          <w:b/>
          <w:bCs/>
          <w:spacing w:val="0"/>
          <w:position w:val="0"/>
          <w:sz w:val="28"/>
          <w:szCs w:val="28"/>
          <w:lang w:val="en-US" w:eastAsia="zh-CN"/>
        </w:rPr>
        <w:t>7.2.6环境风险防范措施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环境风险防范与应急措施详见第6章。</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7.3环保投资估算及运行成本</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lang w:val="en-US" w:eastAsia="zh-CN"/>
        </w:rPr>
      </w:pPr>
      <w:r>
        <w:rPr>
          <w:rFonts w:hint="eastAsia"/>
          <w:b w:val="0"/>
          <w:bCs w:val="0"/>
          <w:spacing w:val="0"/>
          <w:position w:val="0"/>
          <w:sz w:val="24"/>
          <w:szCs w:val="24"/>
          <w:lang w:val="en-US" w:eastAsia="zh-CN"/>
        </w:rPr>
        <w:t>本项目的环保投资由施工期环保投资与营运期环保投资两部分组成。本项目总投资51925.4万元，环保投资541万元（含施工期31万元），环保投资约占总投资的1.04%，项目建成后年运行费用为57.5万元，项目环保措施及其投资估算见表7.3-1~表7.3-2。</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b/>
          <w:bCs/>
          <w:spacing w:val="0"/>
          <w:position w:val="0"/>
          <w:sz w:val="24"/>
          <w:szCs w:val="24"/>
          <w:vertAlign w:val="baseline"/>
          <w:lang w:val="en-US" w:eastAsia="zh-CN"/>
        </w:rPr>
      </w:pPr>
      <w:r>
        <w:rPr>
          <w:rFonts w:hint="eastAsia"/>
          <w:b/>
          <w:bCs/>
          <w:spacing w:val="0"/>
          <w:position w:val="0"/>
          <w:sz w:val="24"/>
          <w:szCs w:val="24"/>
          <w:lang w:val="en-US" w:eastAsia="zh-CN"/>
        </w:rPr>
        <w:t>表7.3-1施工期环保措施及其投资一览表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6056"/>
        <w:gridCol w:w="1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措施类别</w:t>
            </w:r>
          </w:p>
        </w:tc>
        <w:tc>
          <w:tcPr>
            <w:tcW w:w="6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措施内容</w:t>
            </w:r>
          </w:p>
        </w:tc>
        <w:tc>
          <w:tcPr>
            <w:tcW w:w="17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施工废气控制措施</w:t>
            </w:r>
          </w:p>
        </w:tc>
        <w:tc>
          <w:tcPr>
            <w:tcW w:w="6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1.防尘、抑尘对策措施；</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2.焊接烟尘控制措施；</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3.施工机械、施工车辆燃油尾气控制措施</w:t>
            </w:r>
            <w:r>
              <w:rPr>
                <w:rFonts w:hint="eastAsia" w:ascii="Times New Roman" w:hAnsi="Times New Roman" w:eastAsia="宋体"/>
                <w:b w:val="0"/>
                <w:bCs w:val="0"/>
                <w:spacing w:val="0"/>
                <w:position w:val="0"/>
                <w:sz w:val="21"/>
                <w:szCs w:val="21"/>
                <w:vertAlign w:val="baseline"/>
                <w:lang w:val="en-US" w:eastAsia="zh-CN"/>
              </w:rPr>
              <w:t>。</w:t>
            </w:r>
          </w:p>
        </w:tc>
        <w:tc>
          <w:tcPr>
            <w:tcW w:w="17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施工污水处理措施</w:t>
            </w:r>
          </w:p>
        </w:tc>
        <w:tc>
          <w:tcPr>
            <w:tcW w:w="6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施工人员生活污水依托当地污水处理设施处理；施工废水设置收集沉淀池处理</w:t>
            </w:r>
            <w:r>
              <w:rPr>
                <w:rFonts w:hint="eastAsia" w:ascii="Times New Roman" w:hAnsi="Times New Roman" w:eastAsia="宋体"/>
                <w:b w:val="0"/>
                <w:bCs w:val="0"/>
                <w:spacing w:val="0"/>
                <w:position w:val="0"/>
                <w:sz w:val="21"/>
                <w:szCs w:val="21"/>
                <w:vertAlign w:val="baseline"/>
                <w:lang w:val="en-US" w:eastAsia="zh-CN"/>
              </w:rPr>
              <w:t>。</w:t>
            </w:r>
          </w:p>
        </w:tc>
        <w:tc>
          <w:tcPr>
            <w:tcW w:w="17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施工噪声控制措施</w:t>
            </w:r>
          </w:p>
        </w:tc>
        <w:tc>
          <w:tcPr>
            <w:tcW w:w="6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1.选用新型的低噪声施工机械设备；</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2.合理安排施工作业时间，避免在夜间施工；</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3.运输车辆应尽可能减少鸣号，特别是经过附近村庄时，同时尽量减少夜间运输车辆作业时间。</w:t>
            </w:r>
          </w:p>
        </w:tc>
        <w:tc>
          <w:tcPr>
            <w:tcW w:w="17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施工固体废物处置措施</w:t>
            </w:r>
          </w:p>
        </w:tc>
        <w:tc>
          <w:tcPr>
            <w:tcW w:w="6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1.施工场地设置一定数量的垃圾筒，生活垃圾集中收集堆放，定期清运至垃圾处理场处理；</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2.可回收的建筑垃圾回收利用，不能回收的建筑垃圾委托当地建筑渣土管理部门统一装运到环卫和城管部门指定地点进行填埋。</w:t>
            </w:r>
          </w:p>
        </w:tc>
        <w:tc>
          <w:tcPr>
            <w:tcW w:w="17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水土保持措施</w:t>
            </w:r>
          </w:p>
        </w:tc>
        <w:tc>
          <w:tcPr>
            <w:tcW w:w="6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default" w:ascii="Times New Roman" w:hAnsi="Times New Roman" w:eastAsia="宋体"/>
                <w:b w:val="0"/>
                <w:bCs w:val="0"/>
                <w:spacing w:val="0"/>
                <w:position w:val="0"/>
                <w:sz w:val="21"/>
                <w:szCs w:val="21"/>
                <w:vertAlign w:val="baseline"/>
                <w:lang w:val="en-US" w:eastAsia="zh-CN"/>
              </w:rPr>
              <w:t>做好施工场地截洪、排水工作，保证截洪、排水系统畅通。对含泥砂的雨水应设置泥砂沉淀池进行处理后排放等</w:t>
            </w:r>
            <w:r>
              <w:rPr>
                <w:rFonts w:hint="eastAsia" w:ascii="Times New Roman" w:hAnsi="Times New Roman" w:eastAsia="宋体"/>
                <w:b w:val="0"/>
                <w:bCs w:val="0"/>
                <w:spacing w:val="0"/>
                <w:position w:val="0"/>
                <w:sz w:val="21"/>
                <w:szCs w:val="21"/>
                <w:vertAlign w:val="baseline"/>
                <w:lang w:val="en-US" w:eastAsia="zh-CN"/>
              </w:rPr>
              <w:t>。</w:t>
            </w:r>
          </w:p>
        </w:tc>
        <w:tc>
          <w:tcPr>
            <w:tcW w:w="17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合计</w:t>
            </w:r>
          </w:p>
        </w:tc>
        <w:tc>
          <w:tcPr>
            <w:tcW w:w="605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b w:val="0"/>
                <w:bCs w:val="0"/>
                <w:spacing w:val="0"/>
                <w:position w:val="0"/>
                <w:sz w:val="21"/>
                <w:szCs w:val="21"/>
                <w:vertAlign w:val="baseline"/>
                <w:lang w:val="en-US" w:eastAsia="zh-CN"/>
              </w:rPr>
            </w:pPr>
          </w:p>
        </w:tc>
        <w:tc>
          <w:tcPr>
            <w:tcW w:w="17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val="0"/>
                <w:spacing w:val="0"/>
                <w:position w:val="0"/>
                <w:sz w:val="21"/>
                <w:szCs w:val="21"/>
                <w:vertAlign w:val="baseline"/>
                <w:lang w:val="en-US" w:eastAsia="zh-CN"/>
              </w:rPr>
            </w:pPr>
            <w:r>
              <w:rPr>
                <w:rFonts w:hint="eastAsia" w:ascii="Times New Roman" w:hAnsi="Times New Roman" w:eastAsia="宋体"/>
                <w:b w:val="0"/>
                <w:bCs w:val="0"/>
                <w:spacing w:val="0"/>
                <w:position w:val="0"/>
                <w:sz w:val="21"/>
                <w:szCs w:val="21"/>
                <w:vertAlign w:val="baseline"/>
                <w:lang w:val="en-US" w:eastAsia="zh-CN"/>
              </w:rPr>
              <w:t>31</w:t>
            </w:r>
          </w:p>
        </w:tc>
      </w:tr>
    </w:tbl>
    <w:p>
      <w:pPr>
        <w:rPr>
          <w:rFonts w:hint="eastAsia"/>
          <w:b/>
          <w:bCs/>
          <w:spacing w:val="0"/>
          <w:position w:val="0"/>
          <w:sz w:val="36"/>
          <w:szCs w:val="36"/>
        </w:rPr>
      </w:pPr>
      <w:r>
        <w:rPr>
          <w:rFonts w:hint="eastAsia"/>
          <w:b/>
          <w:bCs/>
          <w:spacing w:val="0"/>
          <w:position w:val="0"/>
          <w:sz w:val="36"/>
          <w:szCs w:val="36"/>
        </w:rPr>
        <w:br w:type="page"/>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0"/>
        <w:rPr>
          <w:rFonts w:hint="eastAsia"/>
          <w:b/>
          <w:bCs/>
          <w:spacing w:val="0"/>
          <w:position w:val="0"/>
          <w:sz w:val="36"/>
          <w:szCs w:val="36"/>
        </w:rPr>
      </w:pPr>
      <w:r>
        <w:rPr>
          <w:rFonts w:hint="eastAsia"/>
          <w:b/>
          <w:bCs/>
          <w:spacing w:val="0"/>
          <w:position w:val="0"/>
          <w:sz w:val="36"/>
          <w:szCs w:val="36"/>
        </w:rPr>
        <w:t>8环境影响经济损益分析</w:t>
      </w:r>
    </w:p>
    <w:p>
      <w:pPr>
        <w:pStyle w:val="3"/>
        <w:keepNext w:val="0"/>
        <w:keepLines w:val="0"/>
        <w:pageBreakBefore w:val="0"/>
        <w:widowControl/>
        <w:kinsoku/>
        <w:wordWrap/>
        <w:overflowPunct/>
        <w:topLinePunct w:val="0"/>
        <w:autoSpaceDE/>
        <w:autoSpaceDN/>
        <w:bidi w:val="0"/>
        <w:adjustRightInd w:val="0"/>
        <w:snapToGrid w:val="0"/>
        <w:spacing w:before="0" w:beforeLines="0" w:after="0" w:afterLines="0"/>
        <w:ind w:left="0" w:firstLine="0"/>
        <w:textAlignment w:val="auto"/>
        <w:outlineLvl w:val="1"/>
        <w:rPr>
          <w:rFonts w:hint="default" w:ascii="Times New Roman" w:hAnsi="Times New Roman" w:eastAsia="宋体" w:cs="Times New Roman"/>
          <w:b/>
          <w:bCs/>
          <w:spacing w:val="0"/>
          <w:w w:val="100"/>
          <w:kern w:val="2"/>
          <w:position w:val="0"/>
          <w:sz w:val="30"/>
          <w:szCs w:val="30"/>
          <w:lang w:val="en-US" w:eastAsia="zh-CN" w:bidi="ar-SA"/>
        </w:rPr>
      </w:pPr>
      <w:r>
        <w:rPr>
          <w:rFonts w:hint="default" w:ascii="Times New Roman" w:hAnsi="Times New Roman" w:eastAsia="宋体" w:cs="Times New Roman"/>
          <w:b/>
          <w:bCs/>
          <w:spacing w:val="0"/>
          <w:w w:val="100"/>
          <w:kern w:val="2"/>
          <w:position w:val="0"/>
          <w:sz w:val="30"/>
          <w:szCs w:val="30"/>
          <w:lang w:val="en-US" w:eastAsia="zh-CN" w:bidi="ar-SA"/>
        </w:rPr>
        <w:t>8.1经济效益分析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pacing w:val="0"/>
          <w:w w:val="100"/>
          <w:position w:val="0"/>
          <w:sz w:val="24"/>
          <w:szCs w:val="24"/>
          <w:lang w:val="en-US" w:eastAsia="zh-CN" w:bidi="ar-SA"/>
        </w:rPr>
      </w:pPr>
      <w:r>
        <w:rPr>
          <w:rFonts w:hint="default" w:ascii="Times New Roman" w:hAnsi="Times New Roman" w:eastAsia="宋体" w:cs="Times New Roman"/>
          <w:spacing w:val="0"/>
          <w:w w:val="100"/>
          <w:position w:val="0"/>
          <w:sz w:val="24"/>
          <w:szCs w:val="24"/>
          <w:lang w:val="en-US" w:eastAsia="zh-CN" w:bidi="ar-SA"/>
        </w:rPr>
        <w:t>项目总投资为51925.4万元，建设投资为45605.5万元，流动资金为</w:t>
      </w:r>
      <w:r>
        <w:rPr>
          <w:rFonts w:hint="eastAsia" w:ascii="Times New Roman" w:hAnsi="Times New Roman" w:eastAsia="宋体"/>
          <w:spacing w:val="0"/>
          <w:w w:val="100"/>
          <w:position w:val="0"/>
          <w:sz w:val="24"/>
          <w:szCs w:val="24"/>
        </w:rPr>
        <w:t>4912.04</w:t>
      </w:r>
      <w:r>
        <w:rPr>
          <w:rFonts w:hint="default" w:ascii="Times New Roman" w:hAnsi="Times New Roman" w:eastAsia="宋体" w:cs="Times New Roman"/>
          <w:spacing w:val="0"/>
          <w:w w:val="100"/>
          <w:position w:val="0"/>
          <w:sz w:val="24"/>
          <w:szCs w:val="24"/>
          <w:lang w:val="en-US" w:eastAsia="zh-CN" w:bidi="ar-SA"/>
        </w:rPr>
        <w:t>万元。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ascii="Times New Roman" w:hAnsi="Times New Roman" w:eastAsia="宋体"/>
          <w:spacing w:val="0"/>
          <w:w w:val="100"/>
          <w:position w:val="0"/>
        </w:rPr>
      </w:pPr>
      <w:r>
        <w:rPr>
          <w:rFonts w:hint="default" w:ascii="Times New Roman" w:hAnsi="Times New Roman" w:eastAsia="宋体" w:cs="Times New Roman"/>
          <w:spacing w:val="0"/>
          <w:w w:val="100"/>
          <w:position w:val="0"/>
          <w:sz w:val="24"/>
          <w:szCs w:val="24"/>
          <w:lang w:val="en-US" w:eastAsia="zh-CN" w:bidi="ar-SA"/>
        </w:rPr>
        <w:t>根据数据分析显示，本工程国民经济效益指标和企业财务效益指标均较好，抗风险能力较强，具有较强的生存能力，实施本工程不仅仅是为了体现企业自身价值，更是为了提高所在城市的经济技术水平。而且在提高企业自身经济效益的同时又促进了当地经济发展。项目投产后，年均利润总额为</w:t>
      </w:r>
      <w:r>
        <w:rPr>
          <w:rFonts w:hint="eastAsia" w:ascii="Times New Roman" w:hAnsi="Times New Roman" w:eastAsia="宋体" w:cs="Times New Roman"/>
          <w:spacing w:val="0"/>
          <w:w w:val="100"/>
          <w:position w:val="0"/>
          <w:sz w:val="24"/>
          <w:szCs w:val="24"/>
          <w:lang w:val="en-US" w:eastAsia="zh-CN" w:bidi="ar-SA"/>
        </w:rPr>
        <w:t>4258.35</w:t>
      </w:r>
      <w:r>
        <w:rPr>
          <w:rFonts w:hint="default" w:ascii="Times New Roman" w:hAnsi="Times New Roman" w:eastAsia="宋体" w:cs="Times New Roman"/>
          <w:spacing w:val="0"/>
          <w:w w:val="100"/>
          <w:position w:val="0"/>
          <w:sz w:val="24"/>
          <w:szCs w:val="24"/>
          <w:lang w:val="en-US" w:eastAsia="zh-CN" w:bidi="ar-SA"/>
        </w:rPr>
        <w:t>万元，所得税</w:t>
      </w:r>
      <w:r>
        <w:rPr>
          <w:rFonts w:hint="eastAsia" w:ascii="Times New Roman" w:hAnsi="Times New Roman" w:eastAsia="宋体" w:cs="Times New Roman"/>
          <w:spacing w:val="0"/>
          <w:w w:val="100"/>
          <w:position w:val="0"/>
          <w:sz w:val="24"/>
          <w:szCs w:val="24"/>
          <w:lang w:val="en-US" w:eastAsia="zh-CN" w:bidi="ar-SA"/>
        </w:rPr>
        <w:t>1064.59</w:t>
      </w:r>
      <w:r>
        <w:rPr>
          <w:rFonts w:hint="default" w:ascii="Times New Roman" w:hAnsi="Times New Roman" w:eastAsia="宋体" w:cs="Times New Roman"/>
          <w:spacing w:val="0"/>
          <w:w w:val="100"/>
          <w:position w:val="0"/>
          <w:sz w:val="24"/>
          <w:szCs w:val="24"/>
          <w:lang w:val="en-US" w:eastAsia="zh-CN" w:bidi="ar-SA"/>
        </w:rPr>
        <w:t>万元，净利润</w:t>
      </w:r>
      <w:r>
        <w:rPr>
          <w:rFonts w:hint="eastAsia" w:ascii="Times New Roman" w:hAnsi="Times New Roman" w:eastAsia="宋体" w:cs="Times New Roman"/>
          <w:spacing w:val="0"/>
          <w:w w:val="100"/>
          <w:position w:val="0"/>
          <w:sz w:val="24"/>
          <w:szCs w:val="24"/>
          <w:lang w:val="en-US" w:eastAsia="zh-CN" w:bidi="ar-SA"/>
        </w:rPr>
        <w:t>3193.76</w:t>
      </w:r>
      <w:r>
        <w:rPr>
          <w:rFonts w:hint="default" w:ascii="Times New Roman" w:hAnsi="Times New Roman" w:eastAsia="宋体" w:cs="Times New Roman"/>
          <w:spacing w:val="0"/>
          <w:w w:val="100"/>
          <w:position w:val="0"/>
          <w:sz w:val="24"/>
          <w:szCs w:val="24"/>
          <w:lang w:val="en-US" w:eastAsia="zh-CN" w:bidi="ar-SA"/>
        </w:rPr>
        <w:t>万元，其经济效益是十分显著的。</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Times New Roman"/>
          <w:b/>
          <w:bCs/>
          <w:spacing w:val="0"/>
          <w:w w:val="100"/>
          <w:kern w:val="2"/>
          <w:position w:val="0"/>
          <w:sz w:val="30"/>
          <w:szCs w:val="30"/>
          <w:lang w:val="en-US" w:eastAsia="zh-CN" w:bidi="ar-SA"/>
        </w:rPr>
        <w:t>8.2社会效益分析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spacing w:val="0"/>
          <w:w w:val="100"/>
          <w:position w:val="0"/>
          <w:sz w:val="24"/>
          <w:szCs w:val="24"/>
          <w:lang w:val="en-US" w:eastAsia="zh-CN" w:bidi="ar-SA"/>
        </w:rPr>
      </w:pPr>
      <w:r>
        <w:rPr>
          <w:rFonts w:hint="eastAsia" w:ascii="Times New Roman" w:hAnsi="Times New Roman" w:eastAsia="宋体" w:cs="Times New Roman"/>
          <w:spacing w:val="0"/>
          <w:w w:val="100"/>
          <w:position w:val="0"/>
          <w:sz w:val="24"/>
          <w:szCs w:val="24"/>
          <w:lang w:val="en-US" w:eastAsia="zh-CN" w:bidi="ar-SA"/>
        </w:rPr>
        <w:t>本项目的建成，不仅有良好的经济效益，同时也具有良好的社会效益。</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spacing w:val="0"/>
          <w:w w:val="100"/>
          <w:position w:val="0"/>
          <w:sz w:val="24"/>
          <w:szCs w:val="24"/>
          <w:lang w:val="en-US" w:eastAsia="zh-CN" w:bidi="ar-SA"/>
        </w:rPr>
      </w:pPr>
      <w:r>
        <w:rPr>
          <w:rFonts w:hint="eastAsia" w:ascii="Times New Roman" w:hAnsi="Times New Roman" w:eastAsia="宋体" w:cs="Times New Roman"/>
          <w:spacing w:val="0"/>
          <w:w w:val="100"/>
          <w:position w:val="0"/>
          <w:sz w:val="24"/>
          <w:szCs w:val="24"/>
          <w:lang w:val="en-US" w:eastAsia="zh-CN" w:bidi="ar-SA"/>
        </w:rPr>
        <w:t>①项目建成后，织造生产规模1.95万吨</w:t>
      </w:r>
      <w:r>
        <w:rPr>
          <w:rFonts w:hint="default" w:ascii="Times New Roman" w:hAnsi="Times New Roman" w:eastAsia="宋体" w:cs="Times New Roman"/>
          <w:spacing w:val="0"/>
          <w:w w:val="100"/>
          <w:position w:val="0"/>
          <w:sz w:val="24"/>
          <w:szCs w:val="24"/>
          <w:lang w:val="en-US" w:eastAsia="zh-CN" w:bidi="ar-SA"/>
        </w:rPr>
        <w:t>/</w:t>
      </w:r>
      <w:r>
        <w:rPr>
          <w:rFonts w:hint="eastAsia" w:ascii="Times New Roman" w:hAnsi="Times New Roman" w:eastAsia="宋体" w:cs="Times New Roman"/>
          <w:spacing w:val="0"/>
          <w:w w:val="100"/>
          <w:position w:val="0"/>
          <w:sz w:val="24"/>
          <w:szCs w:val="24"/>
          <w:lang w:val="en-US" w:eastAsia="zh-CN" w:bidi="ar-SA"/>
        </w:rPr>
        <w:t>年针织坯布；染整加工规模1.95万吨</w:t>
      </w:r>
      <w:r>
        <w:rPr>
          <w:rFonts w:hint="default" w:ascii="Times New Roman" w:hAnsi="Times New Roman" w:eastAsia="宋体" w:cs="Times New Roman"/>
          <w:spacing w:val="0"/>
          <w:w w:val="100"/>
          <w:position w:val="0"/>
          <w:sz w:val="24"/>
          <w:szCs w:val="24"/>
          <w:lang w:val="en-US" w:eastAsia="zh-CN" w:bidi="ar-SA"/>
        </w:rPr>
        <w:t>/</w:t>
      </w:r>
      <w:r>
        <w:rPr>
          <w:rFonts w:hint="eastAsia" w:ascii="Times New Roman" w:hAnsi="Times New Roman" w:eastAsia="宋体" w:cs="Times New Roman"/>
          <w:spacing w:val="0"/>
          <w:w w:val="100"/>
          <w:position w:val="0"/>
          <w:sz w:val="24"/>
          <w:szCs w:val="24"/>
          <w:lang w:val="en-US" w:eastAsia="zh-CN" w:bidi="ar-SA"/>
        </w:rPr>
        <w:t>年，印花加工规模</w:t>
      </w:r>
      <w:r>
        <w:rPr>
          <w:rFonts w:hint="default" w:ascii="Times New Roman" w:hAnsi="Times New Roman" w:eastAsia="宋体" w:cs="Times New Roman"/>
          <w:spacing w:val="0"/>
          <w:w w:val="100"/>
          <w:position w:val="0"/>
          <w:sz w:val="24"/>
          <w:szCs w:val="24"/>
          <w:lang w:val="en-US" w:eastAsia="zh-CN" w:bidi="ar-SA"/>
        </w:rPr>
        <w:t>4</w:t>
      </w:r>
      <w:r>
        <w:rPr>
          <w:rFonts w:hint="eastAsia" w:ascii="Times New Roman" w:hAnsi="Times New Roman" w:eastAsia="宋体" w:cs="Times New Roman"/>
          <w:spacing w:val="0"/>
          <w:w w:val="100"/>
          <w:position w:val="0"/>
          <w:sz w:val="24"/>
          <w:szCs w:val="24"/>
          <w:lang w:val="en-US" w:eastAsia="zh-CN" w:bidi="ar-SA"/>
        </w:rPr>
        <w:t>5</w:t>
      </w:r>
      <w:r>
        <w:rPr>
          <w:rFonts w:hint="default" w:ascii="Times New Roman" w:hAnsi="Times New Roman" w:eastAsia="宋体" w:cs="Times New Roman"/>
          <w:spacing w:val="0"/>
          <w:w w:val="100"/>
          <w:position w:val="0"/>
          <w:sz w:val="24"/>
          <w:szCs w:val="24"/>
          <w:lang w:val="en-US" w:eastAsia="zh-CN" w:bidi="ar-SA"/>
        </w:rPr>
        <w:t>00</w:t>
      </w:r>
      <w:r>
        <w:rPr>
          <w:rFonts w:hint="eastAsia" w:ascii="Times New Roman" w:hAnsi="Times New Roman" w:eastAsia="宋体" w:cs="Times New Roman"/>
          <w:spacing w:val="0"/>
          <w:w w:val="100"/>
          <w:position w:val="0"/>
          <w:sz w:val="24"/>
          <w:szCs w:val="24"/>
          <w:lang w:val="en-US" w:eastAsia="zh-CN" w:bidi="ar-SA"/>
        </w:rPr>
        <w:t>吨</w:t>
      </w:r>
      <w:r>
        <w:rPr>
          <w:rFonts w:hint="default" w:ascii="Times New Roman" w:hAnsi="Times New Roman" w:eastAsia="宋体" w:cs="Times New Roman"/>
          <w:spacing w:val="0"/>
          <w:w w:val="100"/>
          <w:position w:val="0"/>
          <w:sz w:val="24"/>
          <w:szCs w:val="24"/>
          <w:lang w:val="en-US" w:eastAsia="zh-CN" w:bidi="ar-SA"/>
        </w:rPr>
        <w:t>/</w:t>
      </w:r>
      <w:r>
        <w:rPr>
          <w:rFonts w:hint="eastAsia" w:ascii="Times New Roman" w:hAnsi="Times New Roman" w:eastAsia="宋体" w:cs="Times New Roman"/>
          <w:spacing w:val="0"/>
          <w:w w:val="100"/>
          <w:position w:val="0"/>
          <w:sz w:val="24"/>
          <w:szCs w:val="24"/>
          <w:lang w:val="en-US" w:eastAsia="zh-CN" w:bidi="ar-SA"/>
        </w:rPr>
        <w:t>年印花布料，市场容量大。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hint="eastAsia" w:ascii="Times New Roman" w:hAnsi="Times New Roman" w:eastAsia="宋体" w:cs="Times New Roman"/>
          <w:spacing w:val="0"/>
          <w:w w:val="100"/>
          <w:position w:val="0"/>
          <w:sz w:val="24"/>
          <w:szCs w:val="24"/>
          <w:lang w:val="en-US" w:eastAsia="zh-CN" w:bidi="ar-SA"/>
        </w:rPr>
      </w:pPr>
      <w:r>
        <w:rPr>
          <w:rFonts w:hint="eastAsia" w:ascii="Times New Roman" w:hAnsi="Times New Roman" w:eastAsia="宋体" w:cs="Times New Roman"/>
          <w:spacing w:val="0"/>
          <w:w w:val="100"/>
          <w:position w:val="0"/>
          <w:sz w:val="24"/>
          <w:szCs w:val="24"/>
          <w:lang w:val="en-US" w:eastAsia="zh-CN" w:bidi="ar-SA"/>
        </w:rPr>
        <w:t>②本工程建成后，可提供259个就业岗位，对缓解当地的就业压力，增加社会安定、和谐等因素起到了积极作用。也可增加人民的收入，提高人民的生活水平，促进人们的文化、智能素质的提高，加速科技、文化事业的发展，同时安置该地区过剩劳力，避免劳力外流，对促进全社会安定团结起重要的作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pacing w:val="0"/>
          <w:w w:val="100"/>
          <w:position w:val="0"/>
          <w:sz w:val="24"/>
          <w:szCs w:val="24"/>
          <w:lang w:val="en-US" w:eastAsia="zh-CN" w:bidi="ar-SA"/>
        </w:rPr>
      </w:pPr>
      <w:r>
        <w:rPr>
          <w:rFonts w:hint="eastAsia" w:ascii="Times New Roman" w:hAnsi="Times New Roman" w:eastAsia="宋体" w:cs="Times New Roman"/>
          <w:spacing w:val="0"/>
          <w:w w:val="100"/>
          <w:position w:val="0"/>
          <w:sz w:val="24"/>
          <w:szCs w:val="24"/>
          <w:lang w:val="en-US" w:eastAsia="zh-CN" w:bidi="ar-SA"/>
        </w:rPr>
        <w:t>③该项目投产后，对增加国家和地方财税收入，促进经济发展具有重要意义，为当地的经济繁荣做出贡献。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ascii="Times New Roman" w:hAnsi="Times New Roman" w:eastAsia="宋体" w:cs="Times New Roman"/>
          <w:spacing w:val="0"/>
          <w:w w:val="100"/>
          <w:position w:val="0"/>
          <w:sz w:val="24"/>
          <w:szCs w:val="24"/>
          <w:lang w:val="en-US" w:eastAsia="zh-CN" w:bidi="ar-SA"/>
        </w:rPr>
        <w:t>④项目符合国家的产业政策和当地总体发展和环境保护规划，生产过程中产生的污染物能得到有效控制，正常生产不会对周围居民及社会环境造成不良影响。项目的建设具有良好的社会效益。</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Times New Roman"/>
          <w:b/>
          <w:bCs/>
          <w:spacing w:val="0"/>
          <w:w w:val="100"/>
          <w:kern w:val="2"/>
          <w:position w:val="0"/>
          <w:sz w:val="30"/>
          <w:szCs w:val="30"/>
          <w:lang w:val="en-US" w:eastAsia="zh-CN" w:bidi="ar-SA"/>
        </w:rPr>
        <w:t>8.3环境效益分析</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8.3.1环保投资与运行费用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宋体"/>
          <w:spacing w:val="0"/>
          <w:w w:val="100"/>
          <w:position w:val="0"/>
          <w:sz w:val="24"/>
          <w:szCs w:val="24"/>
        </w:rPr>
      </w:pPr>
      <w:r>
        <w:rPr>
          <w:rFonts w:hint="eastAsia" w:ascii="Times New Roman" w:hAnsi="Times New Roman" w:eastAsia="宋体" w:cs="宋体"/>
          <w:color w:val="000000"/>
          <w:spacing w:val="0"/>
          <w:w w:val="100"/>
          <w:kern w:val="0"/>
          <w:position w:val="0"/>
          <w:sz w:val="24"/>
          <w:szCs w:val="24"/>
          <w:lang w:val="en-US" w:eastAsia="zh-CN" w:bidi="ar"/>
        </w:rPr>
        <w:t>本项目建成投产后的社会效益和经济效益是好的，但制约此工程的主要是环境保护问题。因此，为了将环境影响减少到最小程度，必须实施环境保护措施，投入必要的环保建设费用和运行费用，才能达到保护周围环境的要求，本项目环保总投资为</w:t>
      </w:r>
      <w:r>
        <w:rPr>
          <w:rFonts w:hint="eastAsia" w:cs="Times New Roman"/>
          <w:color w:val="000000"/>
          <w:spacing w:val="0"/>
          <w:w w:val="100"/>
          <w:kern w:val="0"/>
          <w:position w:val="0"/>
          <w:sz w:val="24"/>
          <w:szCs w:val="24"/>
          <w:shd w:val="clear" w:color="auto" w:fill="auto"/>
          <w:lang w:val="en-US" w:eastAsia="zh-CN" w:bidi="ar"/>
        </w:rPr>
        <w:t>541</w:t>
      </w:r>
      <w:r>
        <w:rPr>
          <w:rFonts w:hint="eastAsia" w:ascii="Times New Roman" w:hAnsi="Times New Roman" w:eastAsia="宋体" w:cs="宋体"/>
          <w:color w:val="000000"/>
          <w:spacing w:val="0"/>
          <w:w w:val="100"/>
          <w:kern w:val="0"/>
          <w:position w:val="0"/>
          <w:sz w:val="24"/>
          <w:szCs w:val="24"/>
          <w:lang w:val="en-US" w:eastAsia="zh-CN" w:bidi="ar"/>
        </w:rPr>
        <w:t>万，占工程总投资的</w:t>
      </w:r>
      <w:r>
        <w:rPr>
          <w:rFonts w:hint="eastAsia" w:ascii="Times New Roman" w:hAnsi="Times New Roman" w:eastAsia="宋体" w:cs="宋体"/>
          <w:color w:val="000000"/>
          <w:spacing w:val="0"/>
          <w:w w:val="100"/>
          <w:kern w:val="0"/>
          <w:position w:val="0"/>
          <w:sz w:val="24"/>
          <w:szCs w:val="24"/>
          <w:highlight w:val="none"/>
          <w:shd w:val="clear" w:color="auto" w:fill="auto"/>
          <w:lang w:val="en-US" w:eastAsia="zh-CN" w:bidi="ar"/>
        </w:rPr>
        <w:t>1.</w:t>
      </w:r>
      <w:r>
        <w:rPr>
          <w:rFonts w:hint="eastAsia" w:cs="宋体"/>
          <w:color w:val="000000"/>
          <w:spacing w:val="0"/>
          <w:w w:val="100"/>
          <w:kern w:val="0"/>
          <w:position w:val="0"/>
          <w:sz w:val="24"/>
          <w:szCs w:val="24"/>
          <w:highlight w:val="none"/>
          <w:shd w:val="clear" w:color="auto" w:fill="auto"/>
          <w:lang w:val="en-US" w:eastAsia="zh-CN" w:bidi="ar"/>
        </w:rPr>
        <w:t>04</w:t>
      </w:r>
      <w:r>
        <w:rPr>
          <w:rFonts w:hint="eastAsia" w:ascii="Times New Roman" w:hAnsi="Times New Roman" w:eastAsia="宋体" w:cs="宋体"/>
          <w:color w:val="000000"/>
          <w:spacing w:val="0"/>
          <w:w w:val="100"/>
          <w:kern w:val="0"/>
          <w:position w:val="0"/>
          <w:sz w:val="24"/>
          <w:szCs w:val="24"/>
          <w:highlight w:val="none"/>
          <w:shd w:val="clear" w:color="auto" w:fill="auto"/>
          <w:lang w:val="en-US" w:eastAsia="zh-CN" w:bidi="ar"/>
        </w:rPr>
        <w:t>%</w:t>
      </w:r>
      <w:r>
        <w:rPr>
          <w:rFonts w:hint="eastAsia" w:ascii="Times New Roman" w:hAnsi="Times New Roman" w:eastAsia="宋体" w:cs="宋体"/>
          <w:color w:val="000000"/>
          <w:spacing w:val="0"/>
          <w:w w:val="100"/>
          <w:kern w:val="0"/>
          <w:position w:val="0"/>
          <w:sz w:val="24"/>
          <w:szCs w:val="24"/>
          <w:lang w:val="en-US" w:eastAsia="zh-CN" w:bidi="ar"/>
        </w:rPr>
        <w:t>。本项目的环保设施投资见表</w:t>
      </w:r>
      <w:r>
        <w:rPr>
          <w:rFonts w:hint="eastAsia" w:cs="宋体"/>
          <w:color w:val="000000"/>
          <w:spacing w:val="0"/>
          <w:w w:val="100"/>
          <w:kern w:val="0"/>
          <w:position w:val="0"/>
          <w:sz w:val="24"/>
          <w:szCs w:val="24"/>
          <w:shd w:val="clear" w:color="auto" w:fill="auto"/>
          <w:lang w:val="en-US" w:eastAsia="zh-CN" w:bidi="ar"/>
        </w:rPr>
        <w:t>7.3</w:t>
      </w:r>
      <w:r>
        <w:rPr>
          <w:rFonts w:hint="eastAsia" w:ascii="Times New Roman" w:hAnsi="Times New Roman" w:eastAsia="宋体" w:cs="宋体"/>
          <w:color w:val="000000"/>
          <w:spacing w:val="0"/>
          <w:w w:val="100"/>
          <w:kern w:val="0"/>
          <w:position w:val="0"/>
          <w:sz w:val="24"/>
          <w:szCs w:val="24"/>
          <w:shd w:val="clear" w:color="auto" w:fill="auto"/>
          <w:lang w:val="en-US" w:eastAsia="zh-CN" w:bidi="ar"/>
        </w:rPr>
        <w:t>-1</w:t>
      </w:r>
      <w:r>
        <w:rPr>
          <w:rFonts w:hint="eastAsia" w:cs="宋体"/>
          <w:color w:val="000000"/>
          <w:spacing w:val="0"/>
          <w:w w:val="100"/>
          <w:kern w:val="0"/>
          <w:position w:val="0"/>
          <w:sz w:val="24"/>
          <w:szCs w:val="24"/>
          <w:shd w:val="clear" w:color="auto" w:fill="auto"/>
          <w:lang w:val="en-US" w:eastAsia="zh-CN" w:bidi="ar"/>
        </w:rPr>
        <w:t>及表7.3-2</w:t>
      </w:r>
      <w:r>
        <w:rPr>
          <w:rFonts w:hint="eastAsia" w:ascii="Times New Roman" w:hAnsi="Times New Roman" w:eastAsia="宋体" w:cs="宋体"/>
          <w:color w:val="000000"/>
          <w:spacing w:val="0"/>
          <w:w w:val="100"/>
          <w:kern w:val="0"/>
          <w:position w:val="0"/>
          <w:sz w:val="24"/>
          <w:szCs w:val="24"/>
          <w:lang w:val="en-US" w:eastAsia="zh-CN" w:bidi="ar"/>
        </w:rPr>
        <w:t>。</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8.3.2环保设施的经济效益</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项目建设环保投资带来的经济效益可通过不采取措施时，因工程建设而导致的生态环境、水环境、声环境和大气环境质量变化引起沿线人民生活质量、身体健康以及农业生产等方面的经济损失作粗略计算。</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）人群健康的损失挽回</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项目对生产过程中产生的废气、废水等采取污染治理措施后，可减轻对本项目及周边群众身体健康的影响损失，</w:t>
      </w:r>
      <w:r>
        <w:rPr>
          <w:rFonts w:hint="default" w:ascii="Times New Roman" w:hAnsi="Times New Roman" w:eastAsia="宋体" w:cs="Times New Roman"/>
          <w:spacing w:val="0"/>
          <w:w w:val="100"/>
          <w:position w:val="0"/>
          <w:sz w:val="24"/>
          <w:szCs w:val="24"/>
        </w:rPr>
        <w:t>厂内员工共</w:t>
      </w:r>
      <w:r>
        <w:rPr>
          <w:rFonts w:hint="default" w:ascii="Times New Roman" w:hAnsi="Times New Roman" w:eastAsia="宋体" w:cs="Times New Roman"/>
          <w:spacing w:val="0"/>
          <w:w w:val="100"/>
          <w:position w:val="0"/>
          <w:sz w:val="24"/>
          <w:szCs w:val="24"/>
          <w:lang w:val="en-US" w:eastAsia="zh-CN"/>
        </w:rPr>
        <w:t>259</w:t>
      </w:r>
      <w:r>
        <w:rPr>
          <w:rFonts w:hint="default" w:ascii="Times New Roman" w:hAnsi="Times New Roman" w:eastAsia="宋体" w:cs="Times New Roman"/>
          <w:spacing w:val="0"/>
          <w:w w:val="100"/>
          <w:position w:val="0"/>
          <w:sz w:val="24"/>
          <w:szCs w:val="24"/>
        </w:rPr>
        <w:t>人，每人减少健康医疗费0.1万元，则全厂人群健康的损失挽回</w:t>
      </w:r>
      <w:r>
        <w:rPr>
          <w:rFonts w:hint="default" w:ascii="Times New Roman" w:hAnsi="Times New Roman" w:eastAsia="宋体" w:cs="Times New Roman"/>
          <w:spacing w:val="0"/>
          <w:w w:val="100"/>
          <w:position w:val="0"/>
          <w:sz w:val="24"/>
          <w:szCs w:val="24"/>
          <w:lang w:val="en-US" w:eastAsia="zh-CN"/>
        </w:rPr>
        <w:t>25.9</w:t>
      </w:r>
      <w:r>
        <w:rPr>
          <w:rFonts w:hint="default" w:ascii="Times New Roman" w:hAnsi="Times New Roman" w:eastAsia="宋体" w:cs="Times New Roman"/>
          <w:spacing w:val="0"/>
          <w:w w:val="100"/>
          <w:position w:val="0"/>
          <w:sz w:val="24"/>
          <w:szCs w:val="24"/>
        </w:rPr>
        <w:t>万元。</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）减收环保税</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spacing w:val="0"/>
          <w:w w:val="100"/>
          <w:position w:val="0"/>
        </w:rPr>
      </w:pPr>
      <w:r>
        <w:rPr>
          <w:rFonts w:ascii="Times New Roman" w:hAnsi="Times New Roman" w:eastAsia="宋体" w:cs="宋体"/>
          <w:spacing w:val="0"/>
          <w:w w:val="100"/>
          <w:position w:val="0"/>
          <w:sz w:val="24"/>
          <w:szCs w:val="24"/>
        </w:rPr>
        <w:t>根据中华人民共和国环境保护税法规定，纳税人排放应税大气污染物或者水污染物的浓度值低于国家和地方规定的污染物排放标准百分之三十的，减按百分之七十五征收环境保护税。纳税人排放应税大气污染物或者水污染物的浓度值低于国家和地方规定的污染物排放标准百分之五十的，减按百分之五十征收环境保护税。</w:t>
      </w:r>
      <w:r>
        <w:rPr>
          <w:rFonts w:hint="eastAsia" w:ascii="Times New Roman" w:hAnsi="Times New Roman" w:eastAsia="宋体" w:cs="宋体"/>
          <w:color w:val="000000"/>
          <w:spacing w:val="0"/>
          <w:w w:val="100"/>
          <w:kern w:val="0"/>
          <w:position w:val="0"/>
          <w:sz w:val="24"/>
          <w:szCs w:val="24"/>
          <w:lang w:val="en-US" w:eastAsia="zh-CN" w:bidi="ar"/>
        </w:rPr>
        <w:t>按折合的污染当量数确定排污税额，本项目环保措施的实施和污染物达标排放后，每年可免交超标排污费。</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8.3.3工程建设对环境造成的影响与损失</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spacing w:val="0"/>
          <w:w w:val="100"/>
          <w:position w:val="0"/>
        </w:rPr>
      </w:pPr>
      <w:r>
        <w:rPr>
          <w:rFonts w:hint="eastAsia" w:ascii="Times New Roman" w:hAnsi="Times New Roman" w:eastAsia="宋体" w:cs="宋体"/>
          <w:color w:val="000000"/>
          <w:spacing w:val="0"/>
          <w:w w:val="100"/>
          <w:kern w:val="0"/>
          <w:position w:val="0"/>
          <w:sz w:val="24"/>
          <w:szCs w:val="24"/>
          <w:lang w:val="en-US" w:eastAsia="zh-CN" w:bidi="ar"/>
        </w:rPr>
        <w:t>本工程的建设将产生明显的社会效益和经济效益，但若未采取环保措施，将对周围水环境、生态环境和气、声环境产生一定的影响，造成一定的损失。其中有些影响可以按费用来折算，有些则无法用费用来折算。难以用费用来折算的损失主要有以下几个方面：</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spacing w:val="0"/>
          <w:w w:val="100"/>
          <w:position w:val="0"/>
        </w:rPr>
      </w:pPr>
      <w:r>
        <w:rPr>
          <w:rFonts w:hint="eastAsia" w:ascii="Times New Roman" w:hAnsi="Times New Roman" w:eastAsia="宋体" w:cs="宋体"/>
          <w:color w:val="000000"/>
          <w:spacing w:val="0"/>
          <w:w w:val="100"/>
          <w:kern w:val="0"/>
          <w:position w:val="0"/>
          <w:sz w:val="24"/>
          <w:szCs w:val="24"/>
          <w:lang w:val="en-US" w:eastAsia="zh-CN" w:bidi="ar"/>
        </w:rPr>
        <w:t>①施工期作业排出的水污染物</w:t>
      </w:r>
      <w:r>
        <w:rPr>
          <w:rFonts w:hint="default" w:ascii="Times New Roman" w:hAnsi="Times New Roman" w:eastAsia="宋体" w:cs="Times New Roman"/>
          <w:color w:val="000000"/>
          <w:spacing w:val="0"/>
          <w:w w:val="100"/>
          <w:kern w:val="0"/>
          <w:position w:val="0"/>
          <w:sz w:val="24"/>
          <w:szCs w:val="24"/>
          <w:lang w:val="en-US" w:eastAsia="zh-CN" w:bidi="ar"/>
        </w:rPr>
        <w:t>(</w:t>
      </w:r>
      <w:r>
        <w:rPr>
          <w:rFonts w:hint="eastAsia" w:ascii="Times New Roman" w:hAnsi="Times New Roman" w:eastAsia="宋体" w:cs="宋体"/>
          <w:color w:val="000000"/>
          <w:spacing w:val="0"/>
          <w:w w:val="100"/>
          <w:kern w:val="0"/>
          <w:position w:val="0"/>
          <w:sz w:val="24"/>
          <w:szCs w:val="24"/>
          <w:lang w:val="en-US" w:eastAsia="zh-CN" w:bidi="ar"/>
        </w:rPr>
        <w:t>包括</w:t>
      </w:r>
      <w:r>
        <w:rPr>
          <w:rFonts w:hint="default" w:ascii="Times New Roman" w:hAnsi="Times New Roman" w:eastAsia="宋体" w:cs="Times New Roman"/>
          <w:color w:val="000000"/>
          <w:spacing w:val="0"/>
          <w:w w:val="100"/>
          <w:kern w:val="0"/>
          <w:position w:val="0"/>
          <w:sz w:val="24"/>
          <w:szCs w:val="24"/>
          <w:lang w:val="en-US" w:eastAsia="zh-CN" w:bidi="ar"/>
        </w:rPr>
        <w:t>SS</w:t>
      </w:r>
      <w:r>
        <w:rPr>
          <w:rFonts w:hint="eastAsia" w:ascii="Times New Roman" w:hAnsi="Times New Roman" w:eastAsia="宋体" w:cs="宋体"/>
          <w:color w:val="000000"/>
          <w:spacing w:val="0"/>
          <w:w w:val="100"/>
          <w:kern w:val="0"/>
          <w:position w:val="0"/>
          <w:sz w:val="24"/>
          <w:szCs w:val="24"/>
          <w:lang w:val="en-US" w:eastAsia="zh-CN" w:bidi="ar"/>
        </w:rPr>
        <w:t>和</w:t>
      </w:r>
      <w:r>
        <w:rPr>
          <w:rFonts w:hint="default" w:ascii="Times New Roman" w:hAnsi="Times New Roman" w:eastAsia="宋体" w:cs="Times New Roman"/>
          <w:color w:val="000000"/>
          <w:spacing w:val="0"/>
          <w:w w:val="100"/>
          <w:kern w:val="0"/>
          <w:position w:val="0"/>
          <w:sz w:val="24"/>
          <w:szCs w:val="24"/>
          <w:lang w:val="en-US" w:eastAsia="zh-CN" w:bidi="ar"/>
        </w:rPr>
        <w:t>COD)</w:t>
      </w:r>
      <w:r>
        <w:rPr>
          <w:rFonts w:hint="eastAsia" w:ascii="Times New Roman" w:hAnsi="Times New Roman" w:eastAsia="宋体" w:cs="宋体"/>
          <w:color w:val="000000"/>
          <w:spacing w:val="0"/>
          <w:w w:val="100"/>
          <w:kern w:val="0"/>
          <w:position w:val="0"/>
          <w:sz w:val="24"/>
          <w:szCs w:val="24"/>
          <w:lang w:val="en-US" w:eastAsia="zh-CN" w:bidi="ar"/>
        </w:rPr>
        <w:t>进入水体后对水质和水生生物造成威胁，从而影响了水中生物的生存和发展。</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宋体"/>
          <w:color w:val="000000"/>
          <w:spacing w:val="0"/>
          <w:w w:val="100"/>
          <w:kern w:val="0"/>
          <w:position w:val="0"/>
          <w:sz w:val="24"/>
          <w:szCs w:val="24"/>
          <w:lang w:val="en-US" w:eastAsia="zh-CN" w:bidi="ar"/>
        </w:rPr>
      </w:pPr>
      <w:r>
        <w:rPr>
          <w:rFonts w:hint="eastAsia" w:ascii="Times New Roman" w:hAnsi="Times New Roman" w:eastAsia="宋体" w:cs="宋体"/>
          <w:color w:val="000000"/>
          <w:spacing w:val="0"/>
          <w:w w:val="100"/>
          <w:kern w:val="0"/>
          <w:position w:val="0"/>
          <w:sz w:val="24"/>
          <w:szCs w:val="24"/>
          <w:lang w:val="en-US" w:eastAsia="zh-CN" w:bidi="ar"/>
        </w:rPr>
        <w:t>②运营期废气废水排放对周边环境造成污染，对周边村庄人群身体健康造成威胁。</w:t>
      </w:r>
    </w:p>
    <w:p>
      <w:pPr>
        <w:keepNext w:val="0"/>
        <w:keepLines w:val="0"/>
        <w:pageBreakBefore w:val="0"/>
        <w:widowControl/>
        <w:kinsoku/>
        <w:wordWrap/>
        <w:overflowPunct/>
        <w:topLinePunct w:val="0"/>
        <w:autoSpaceDE/>
        <w:autoSpaceDN/>
        <w:bidi w:val="0"/>
        <w:adjustRightInd w:val="0"/>
        <w:snapToGrid w:val="0"/>
        <w:spacing w:line="360" w:lineRule="auto"/>
        <w:ind w:leftChars="0" w:firstLine="480" w:firstLineChars="200"/>
        <w:textAlignment w:val="auto"/>
        <w:outlineLvl w:val="9"/>
        <w:rPr>
          <w:rFonts w:hint="eastAsia" w:ascii="Times New Roman" w:hAnsi="Times New Roman" w:eastAsia="宋体" w:cs="宋体"/>
          <w:b w:val="0"/>
          <w:bCs w:val="0"/>
          <w:color w:val="000000"/>
          <w:spacing w:val="0"/>
          <w:w w:val="100"/>
          <w:kern w:val="0"/>
          <w:position w:val="0"/>
          <w:sz w:val="24"/>
          <w:szCs w:val="24"/>
          <w:lang w:val="en-US" w:eastAsia="zh-CN" w:bidi="ar"/>
        </w:rPr>
      </w:pPr>
      <w:r>
        <w:rPr>
          <w:rFonts w:hint="default" w:ascii="Times New Roman" w:hAnsi="Times New Roman" w:eastAsia="宋体" w:cs="宋体"/>
          <w:b w:val="0"/>
          <w:bCs w:val="0"/>
          <w:color w:val="000000"/>
          <w:spacing w:val="0"/>
          <w:w w:val="100"/>
          <w:kern w:val="0"/>
          <w:position w:val="0"/>
          <w:sz w:val="24"/>
          <w:szCs w:val="24"/>
          <w:lang w:val="en-US" w:eastAsia="zh-CN" w:bidi="ar"/>
        </w:rPr>
        <w:t>③</w:t>
      </w:r>
      <w:r>
        <w:rPr>
          <w:rFonts w:hint="eastAsia" w:ascii="Times New Roman" w:hAnsi="Times New Roman" w:eastAsia="宋体" w:cs="宋体"/>
          <w:b w:val="0"/>
          <w:bCs w:val="0"/>
          <w:color w:val="000000"/>
          <w:spacing w:val="0"/>
          <w:w w:val="100"/>
          <w:kern w:val="0"/>
          <w:position w:val="0"/>
          <w:sz w:val="24"/>
          <w:szCs w:val="24"/>
          <w:lang w:val="en-US" w:eastAsia="zh-CN" w:bidi="ar"/>
        </w:rPr>
        <w:t>运营期高噪声设备运作对周边声环境的影响。</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spacing w:val="0"/>
          <w:w w:val="100"/>
          <w:position w:val="0"/>
        </w:rPr>
      </w:pPr>
      <w:r>
        <w:rPr>
          <w:rFonts w:hint="eastAsia" w:ascii="Times New Roman" w:hAnsi="Times New Roman" w:eastAsia="宋体" w:cs="宋体"/>
          <w:color w:val="000000"/>
          <w:spacing w:val="0"/>
          <w:w w:val="100"/>
          <w:kern w:val="0"/>
          <w:position w:val="0"/>
          <w:sz w:val="24"/>
          <w:szCs w:val="24"/>
          <w:lang w:val="en-US" w:eastAsia="zh-CN" w:bidi="ar"/>
        </w:rPr>
        <w:t>通过加强施工期和运营期环境管理，并采取相应的污染防治措施和生态恢复措施，可以将本项目建设的环境影响降低到最低程度。</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Times New Roman"/>
          <w:b/>
          <w:bCs/>
          <w:spacing w:val="0"/>
          <w:w w:val="100"/>
          <w:kern w:val="2"/>
          <w:position w:val="0"/>
          <w:sz w:val="30"/>
          <w:szCs w:val="30"/>
          <w:lang w:val="en-US" w:eastAsia="zh-CN" w:bidi="ar-SA"/>
        </w:rPr>
        <w:t>8.4小结</w:t>
      </w:r>
    </w:p>
    <w:p>
      <w:pPr>
        <w:keepNext w:val="0"/>
        <w:keepLines w:val="0"/>
        <w:pageBreakBefore w:val="0"/>
        <w:widowControl w:val="0"/>
        <w:kinsoku/>
        <w:wordWrap/>
        <w:overflowPunct/>
        <w:topLinePunct w:val="0"/>
        <w:autoSpaceDE/>
        <w:autoSpaceDN/>
        <w:bidi w:val="0"/>
        <w:adjustRightInd w:val="0"/>
        <w:snapToGrid w:val="0"/>
        <w:spacing w:line="360" w:lineRule="auto"/>
        <w:ind w:left="6" w:leftChars="0" w:firstLine="480" w:firstLineChars="200"/>
        <w:textAlignment w:val="auto"/>
        <w:rPr>
          <w:rFonts w:hint="eastAsia" w:ascii="Times New Roman" w:hAnsi="Times New Roman" w:eastAsia="宋体" w:cs="宋体"/>
          <w:color w:val="000000"/>
          <w:spacing w:val="0"/>
          <w:w w:val="100"/>
          <w:kern w:val="0"/>
          <w:position w:val="0"/>
          <w:sz w:val="24"/>
          <w:szCs w:val="24"/>
          <w:lang w:val="en-US" w:eastAsia="zh-CN" w:bidi="ar"/>
        </w:rPr>
      </w:pPr>
      <w:r>
        <w:rPr>
          <w:rFonts w:ascii="Times New Roman" w:hAnsi="Times New Roman" w:eastAsia="宋体" w:cs="宋体"/>
          <w:spacing w:val="0"/>
          <w:w w:val="100"/>
          <w:position w:val="0"/>
          <w:sz w:val="24"/>
          <w:szCs w:val="24"/>
        </w:rPr>
        <w:t>本项目总投资</w:t>
      </w:r>
      <w:r>
        <w:rPr>
          <w:rFonts w:hint="eastAsia" w:ascii="Times New Roman" w:hAnsi="Times New Roman" w:eastAsia="宋体" w:cs="Times New Roman"/>
          <w:spacing w:val="0"/>
          <w:w w:val="100"/>
          <w:position w:val="0"/>
          <w:sz w:val="24"/>
          <w:szCs w:val="24"/>
          <w:lang w:val="en-US" w:eastAsia="zh-CN"/>
        </w:rPr>
        <w:t>51925.4</w:t>
      </w:r>
      <w:r>
        <w:rPr>
          <w:rFonts w:ascii="Times New Roman" w:hAnsi="Times New Roman" w:eastAsia="宋体" w:cs="宋体"/>
          <w:spacing w:val="0"/>
          <w:w w:val="100"/>
          <w:position w:val="0"/>
          <w:sz w:val="24"/>
          <w:szCs w:val="24"/>
        </w:rPr>
        <w:t>万元，环保投资</w:t>
      </w:r>
      <w:r>
        <w:rPr>
          <w:rFonts w:hint="eastAsia" w:cs="宋体"/>
          <w:spacing w:val="0"/>
          <w:w w:val="100"/>
          <w:position w:val="0"/>
          <w:sz w:val="24"/>
          <w:szCs w:val="24"/>
          <w:lang w:val="en-US" w:eastAsia="zh-CN"/>
        </w:rPr>
        <w:t>541</w:t>
      </w:r>
      <w:r>
        <w:rPr>
          <w:rFonts w:hint="eastAsia" w:ascii="Times New Roman" w:hAnsi="Times New Roman" w:eastAsia="宋体" w:cs="宋体"/>
          <w:spacing w:val="0"/>
          <w:w w:val="100"/>
          <w:position w:val="0"/>
          <w:sz w:val="24"/>
          <w:szCs w:val="24"/>
          <w:lang w:val="en-US" w:eastAsia="zh-CN"/>
        </w:rPr>
        <w:t>万元</w:t>
      </w:r>
      <w:r>
        <w:rPr>
          <w:rFonts w:ascii="Times New Roman" w:hAnsi="Times New Roman" w:eastAsia="宋体" w:cs="宋体"/>
          <w:spacing w:val="0"/>
          <w:w w:val="100"/>
          <w:position w:val="0"/>
          <w:sz w:val="24"/>
          <w:szCs w:val="24"/>
        </w:rPr>
        <w:t>，主要用于废水、废气、噪声、固体废物的治理、风险防范措施等。环保投资的直接效益是环境效益，主要体现在降低</w:t>
      </w:r>
      <w:r>
        <w:rPr>
          <w:rFonts w:hint="eastAsia" w:cs="宋体"/>
          <w:spacing w:val="0"/>
          <w:w w:val="100"/>
          <w:position w:val="0"/>
          <w:sz w:val="24"/>
          <w:szCs w:val="24"/>
          <w:lang w:eastAsia="zh-CN"/>
        </w:rPr>
        <w:t>“</w:t>
      </w:r>
      <w:r>
        <w:rPr>
          <w:rFonts w:ascii="Times New Roman" w:hAnsi="Times New Roman" w:eastAsia="宋体" w:cs="宋体"/>
          <w:spacing w:val="0"/>
          <w:w w:val="100"/>
          <w:position w:val="0"/>
          <w:sz w:val="24"/>
          <w:szCs w:val="24"/>
        </w:rPr>
        <w:t>三废</w:t>
      </w:r>
      <w:r>
        <w:rPr>
          <w:rFonts w:hint="eastAsia" w:cs="宋体"/>
          <w:spacing w:val="0"/>
          <w:w w:val="100"/>
          <w:position w:val="0"/>
          <w:sz w:val="24"/>
          <w:szCs w:val="24"/>
          <w:lang w:eastAsia="zh-CN"/>
        </w:rPr>
        <w:t>”</w:t>
      </w:r>
      <w:r>
        <w:rPr>
          <w:rFonts w:ascii="Times New Roman" w:hAnsi="Times New Roman" w:eastAsia="宋体" w:cs="宋体"/>
          <w:spacing w:val="0"/>
          <w:w w:val="100"/>
          <w:position w:val="0"/>
          <w:sz w:val="24"/>
          <w:szCs w:val="24"/>
        </w:rPr>
        <w:t>排放量，使项目产生的废物得到安全妥善处置，保护建设项目所在地的环境空气、水和生态环境，保护企业职工及厂区周边人群的身心健康。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b w:val="0"/>
          <w:bCs w:val="0"/>
          <w:spacing w:val="0"/>
          <w:position w:val="0"/>
          <w:sz w:val="24"/>
          <w:szCs w:val="24"/>
        </w:rPr>
      </w:pPr>
      <w:r>
        <w:rPr>
          <w:rFonts w:hint="eastAsia" w:ascii="Times New Roman" w:hAnsi="Times New Roman" w:eastAsia="宋体" w:cs="宋体"/>
          <w:color w:val="000000"/>
          <w:spacing w:val="0"/>
          <w:w w:val="100"/>
          <w:kern w:val="0"/>
          <w:position w:val="0"/>
          <w:sz w:val="24"/>
          <w:szCs w:val="24"/>
          <w:lang w:val="en-US" w:eastAsia="zh-CN" w:bidi="ar"/>
        </w:rPr>
        <w:t>通过以上简要分析，说明拟建项目的建设具有良好的经济效益、社会效益和环境效益。项目建设对项目所在区域的大气环境和水环境等造成一定程度的不良影响，但在采取有效的环保措施后，其对环境的不利影响可得到有效的控制，基本能达到经济效益、社会效益和环境效益的协调发展。因此，拟建项目从环境影响经济损益的角度考虑是可行的。</w:t>
      </w:r>
    </w:p>
    <w:p>
      <w:pPr>
        <w:adjustRightInd w:val="0"/>
        <w:snapToGrid w:val="0"/>
        <w:spacing w:before="156" w:beforeLines="50" w:after="156" w:afterLines="50" w:line="360" w:lineRule="auto"/>
        <w:jc w:val="center"/>
        <w:outlineLvl w:val="0"/>
        <w:rPr>
          <w:b/>
          <w:bCs/>
          <w:spacing w:val="0"/>
          <w:position w:val="0"/>
          <w:sz w:val="36"/>
          <w:szCs w:val="36"/>
        </w:rPr>
      </w:pPr>
      <w:r>
        <w:rPr>
          <w:b/>
          <w:bCs/>
          <w:spacing w:val="0"/>
          <w:position w:val="0"/>
          <w:sz w:val="36"/>
          <w:szCs w:val="36"/>
        </w:rPr>
        <w:br w:type="page"/>
      </w:r>
      <w:r>
        <w:rPr>
          <w:rFonts w:hint="eastAsia"/>
          <w:b/>
          <w:bCs/>
          <w:spacing w:val="0"/>
          <w:position w:val="0"/>
          <w:sz w:val="36"/>
          <w:szCs w:val="36"/>
        </w:rPr>
        <w:t>9环境管理与监测计划</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Times New Roman"/>
          <w:b/>
          <w:bCs/>
          <w:spacing w:val="0"/>
          <w:w w:val="100"/>
          <w:kern w:val="2"/>
          <w:position w:val="0"/>
          <w:sz w:val="30"/>
          <w:szCs w:val="30"/>
          <w:lang w:val="en-US" w:eastAsia="zh-CN" w:bidi="ar-SA"/>
        </w:rPr>
        <w:t>9.1环境管理体系</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9.1.1本项目环境管理体系规划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为做好环境管理工作，建设单位应建立环境管理体系，将环境管理工作自上而下的贯穿到公司的生产管理中，现就建立环境管理体系提出如下建议：</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1</w:t>
      </w:r>
      <w:r>
        <w:rPr>
          <w:rFonts w:ascii="Times New Roman" w:hAnsi="Times New Roman" w:eastAsia="宋体" w:cs="宋体"/>
          <w:spacing w:val="0"/>
          <w:w w:val="100"/>
          <w:position w:val="0"/>
          <w:sz w:val="24"/>
          <w:szCs w:val="24"/>
        </w:rPr>
        <w:t>）建设单位的环境管理工作实行公司主要负责人负责制，以便在制定环保方针、制度、规划，协调人力、物力和财力等方面，将环境管理和生产管理结合起来。</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）建立专职环境管理机构，配备专职环保管理人员</w:t>
      </w:r>
      <w:r>
        <w:rPr>
          <w:rFonts w:ascii="Times New Roman" w:hAnsi="Times New Roman" w:eastAsia="宋体" w:cs="Times New Roman"/>
          <w:spacing w:val="0"/>
          <w:w w:val="100"/>
          <w:position w:val="0"/>
          <w:sz w:val="24"/>
          <w:szCs w:val="24"/>
        </w:rPr>
        <w:t>1~3</w:t>
      </w:r>
      <w:r>
        <w:rPr>
          <w:rFonts w:ascii="Times New Roman" w:hAnsi="Times New Roman" w:eastAsia="宋体" w:cs="宋体"/>
          <w:spacing w:val="0"/>
          <w:w w:val="100"/>
          <w:position w:val="0"/>
          <w:sz w:val="24"/>
          <w:szCs w:val="24"/>
        </w:rPr>
        <w:t>名，具体制定环境管理方案并实施运行；负责与政府生态环境主管部门的联系与协调工作。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3</w:t>
      </w:r>
      <w:r>
        <w:rPr>
          <w:rFonts w:ascii="Times New Roman" w:hAnsi="Times New Roman" w:eastAsia="宋体" w:cs="宋体"/>
          <w:spacing w:val="0"/>
          <w:w w:val="100"/>
          <w:position w:val="0"/>
          <w:sz w:val="24"/>
          <w:szCs w:val="24"/>
        </w:rPr>
        <w:t>）以水、气、声等环境要素的保护和改善作为推动企业环境保护工作的基础，并在生产工作中检查环境管理的成效。</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4</w:t>
      </w:r>
      <w:r>
        <w:rPr>
          <w:rFonts w:ascii="Times New Roman" w:hAnsi="Times New Roman" w:eastAsia="宋体" w:cs="宋体"/>
          <w:spacing w:val="0"/>
          <w:w w:val="100"/>
          <w:position w:val="0"/>
          <w:sz w:val="24"/>
          <w:szCs w:val="24"/>
        </w:rPr>
        <w:t>）按照所制定的环保方针和环境管理方案，将环境管理目标和指标层层分解，落实到各生产部门和人，签订责任书，定期考核。</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5</w:t>
      </w:r>
      <w:r>
        <w:rPr>
          <w:rFonts w:ascii="Times New Roman" w:hAnsi="Times New Roman" w:eastAsia="宋体" w:cs="宋体"/>
          <w:spacing w:val="0"/>
          <w:w w:val="100"/>
          <w:position w:val="0"/>
          <w:sz w:val="24"/>
          <w:szCs w:val="24"/>
        </w:rPr>
        <w:t>）按照环境管理的要求，将计划实现的目标和过程编制成文件，有关指标制成目标管理图表，标明工作内容和进度，以便与目标对比，及时掌握环保工作的进展情况。环境管理体系框架图见图</w:t>
      </w:r>
      <w:r>
        <w:rPr>
          <w:rFonts w:ascii="Times New Roman" w:hAnsi="Times New Roman" w:eastAsia="宋体" w:cs="Times New Roman"/>
          <w:spacing w:val="0"/>
          <w:w w:val="100"/>
          <w:position w:val="0"/>
          <w:sz w:val="24"/>
          <w:szCs w:val="24"/>
        </w:rPr>
        <w:t>9.1-1</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ascii="Times New Roman" w:hAnsi="Times New Roman" w:eastAsia="宋体" w:cs="黑体"/>
          <w:spacing w:val="0"/>
          <w:w w:val="100"/>
          <w:position w:val="0"/>
          <w:sz w:val="24"/>
          <w:szCs w:val="24"/>
        </w:rPr>
      </w:pPr>
      <w:bookmarkStart w:id="3" w:name="_GoBack"/>
      <w:bookmarkEnd w:id="3"/>
      <w:r>
        <w:rPr>
          <w:rFonts w:hint="default" w:ascii="Times New Roman" w:hAnsi="Times New Roman" w:eastAsia="宋体" w:cs="Times New Roman"/>
          <w:b/>
          <w:bCs/>
          <w:spacing w:val="0"/>
          <w:w w:val="100"/>
          <w:position w:val="0"/>
          <w:sz w:val="24"/>
          <w:szCs w:val="24"/>
        </w:rPr>
        <w:t>图9.1-1环境管理体系框架图</w:t>
      </w:r>
      <w:r>
        <w:rPr>
          <w:rFonts w:hint="eastAsia"/>
          <w:b/>
          <w:bCs/>
          <w:spacing w:val="0"/>
          <w:position w:val="0"/>
          <w:sz w:val="24"/>
          <w:szCs w:val="24"/>
          <w:lang w:val="en-US" w:eastAsia="zh-CN"/>
        </w:rPr>
        <w:t>（略）</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9.1.2环境管理规章制度</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建立和完善环境管理制度，是公司环境管理体系的重要组成部分，需建立的环境管理制度主要有：</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（1）环境管理岗位责任制；</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（2）原材料的管理和使用、节约制度；</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（3）环保设施运行和管理制度；</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（4）环境污染物排放和监测制度；</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（5）环境污染事故应急和处理制度；</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（6）生产环境管理制度；</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（7）厂区绿化和管理制度。</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9.1.3环境管理机构设置及其职责</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承运企业须设立一个环境管理机构，以便日常环境管理工作的顺利开展。根据该企业的建设规模建议成立环保科，定员人数1~3人，可由法人代表主管，一名副总分管。环保科应接受各级生态环境部门的指导和监督，环保科的主要职责：</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（1）宣传贯彻执行国家和地方的有关环境保护的法律法规及标准，提高全体员工的环保意识，制定生产过程中的环保工作计划，纳入生产管理中去，落实到具体人员和岗位。</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（2）实行分级管理的办法，建立岗位责任制，环保科专人负责督查。开展清洁生产审核工作，对企业的“三废”排放进行严格控制，加强危险固废的处理处置管理工作。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（3）督促本工程的环保措施实施，确保建设项目主体工程与环保措施的“三同时”，即同时设计、同时施工和同时运作。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（4）定期检查各处理单元和各工序的环保设施的运行情况，组织人员经常维护检修环保治理设备，保证其完好率，保证生产运行过程污染物达标排放。</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（5）建立防止事故排放的严密操作规程，制定污染事故的防范与应急措施计划，杜绝事故发生。</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（6）负责组织对员工的环保和技能培训，提高本单位员工对环保设备的操作、维护和保养技术水平，及时更新环保设备。</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（7）制定废水、废气、噪声和固废的监测监控计划，要选派一名专职的环保人员负责环境监测工作，对企业的其它环境监测人员要进行培训和考核。</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（8）负责厂界内的环境卫生管理工作，做好固废的分类和处置工作，特别是对危险废物的保管和处置，确保厂区范围内的绿化达标。</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（9）建立环保信息系统，负责环境状况及各类污染物排放数据的整理和统计，及时上报、存档和定期汇报。</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9.1.4项目筹建期间的环境管理机构及其职责</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在筹建期间，环境管理暂时由筹建办负责。筹建办至少有一名专职的环保管理人员，具体负责该项目筹建期间的环境管理和监督工作。其主要职责是：</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（1）负责本建设项目的</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三同时</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措施的落实、实施工作；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（2）负责环境影响报告书提出的各项环保措施在工程中的落实、实施和监督；</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（3）在施工期中，对各施工单位和各重要施工场所环境保护措施实施情况进行检查、指导、监督。</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9.1.5项目前期工作阶段环境管理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（1）设计阶段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设计部门应将环境影响报告书提出的环保措施列入设计和投资概算中，该公司应对环保措施的设计方案进行审查，并及时提出修改意见。</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（2）招标阶段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建设单位应根据环境影响报告书的要求和建议，提出工程施工时的环境保护措施的要求和管理规定，纳入招标要求，要求承包商在标书中要有相应的环保措施内容，并要求承包商在中标后提出较详细的实施计划，确保环保措施在施工时的实施。</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9.1.6施工期环境管理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建设单位应成立施工期的环境管理组织，该组织在项目施工建设中，应履行以下职责：</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（1）施工中的环境管理应着重于施工场所的现场检查和监督。应采取日常的、全面的检查和重点监督检查相结合。该公司环保科（或筹建办）应于施工开始前编制好重点监督检查工作的计划。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①重点检查建设项目设计和施工过程中，项目的性质、规模、选址、平面布置、工艺及环保措施是否发生重大变动；</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②主体工程环保</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三同时</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落实情况；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③环境风险防范与事故应急设施与措施的落实情况；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④与环保相关的重要隐蔽工程；</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⑤项目建设和运行过程中与公众环境权益密切相关、社会关注度高的环保措施和要求，重点检查本项目环境防护距离内是否新增环境敏感目标。</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施工中环境管理的监督检查是防止施工中的水、气、声、固废污染。检查的重点是施工的高峰期和重点施工段。检查其是否实施了有关的水、气、声、固废污染控制措施。对于违规施工的，应及时予以制止和警告；对于造成严重污染者应给予处罚和追究责任。</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①项目实施过程中，要求承包商落实环境保护“三同时”制度，严格按设计要求实施各项环境保护措施。</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②对施工工地进行环境保护日常巡查，对施工单位的环境保护措施落实情况、施工区及周边地区的环境状况、工程建设监理的现场监管情况等进行检查，若出现问题应提出整改要求。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③参加各项验收工作。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④发生环境污染事件时，参与处理项目环境保护事故，提出治理意见，并监督实施。</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⑤收集各项环保水保措施实施过程中的设计文件、工程进度款资料、验收签证等相关资料，并建立统计台账，为工程环境保护竣工验收打下基础。</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（3）根据环境影响报告提出的环保措施和生态环境局审批要求，该公司应严格执行环保</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三同时</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制度，健全各项环保设施，绿化美化厂区环境。</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9.1.7建设项目信息公开管理要求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建设项目开工建设前，建设单位应当向社会公开建设项目开工日期、设计单位、施工单位和环境监理单位、工程基本情况、实际选址、拟采取的环境保护措施清单和实施计划、由地方政府或相关部门负责配套的环境保护措施清单和实施计划等，并确保上述信息在整个施工期内均处于公开状态。</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（2）项目建设过程中，建设单位应当在施工中期向社会公开建设项目环境保护措施进展情况、施工期的环境保护措施落实情况监理情况、监测结果等。</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9.1.8</w:t>
      </w:r>
      <w:r>
        <w:rPr>
          <w:rFonts w:hint="eastAsia" w:cs="Times New Roman"/>
          <w:b/>
          <w:bCs/>
          <w:spacing w:val="0"/>
          <w:w w:val="100"/>
          <w:position w:val="0"/>
          <w:sz w:val="28"/>
          <w:szCs w:val="28"/>
          <w:lang w:val="en-US" w:eastAsia="zh-CN" w:bidi="ar-SA"/>
        </w:rPr>
        <w:t>运营</w:t>
      </w:r>
      <w:r>
        <w:rPr>
          <w:rFonts w:hint="eastAsia" w:ascii="Times New Roman" w:hAnsi="Times New Roman" w:eastAsia="宋体" w:cs="Times New Roman"/>
          <w:b/>
          <w:bCs/>
          <w:spacing w:val="0"/>
          <w:w w:val="100"/>
          <w:position w:val="0"/>
          <w:sz w:val="28"/>
          <w:szCs w:val="28"/>
          <w:lang w:val="en-US" w:eastAsia="zh-CN" w:bidi="ar-SA"/>
        </w:rPr>
        <w:t>期环境管理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eastAsia" w:cs="Times New Roman"/>
          <w:spacing w:val="0"/>
          <w:w w:val="100"/>
          <w:position w:val="0"/>
          <w:sz w:val="24"/>
          <w:szCs w:val="24"/>
          <w:lang w:val="en-US" w:eastAsia="zh-CN"/>
        </w:rPr>
        <w:t>运营</w:t>
      </w:r>
      <w:r>
        <w:rPr>
          <w:rFonts w:hint="default" w:ascii="Times New Roman" w:hAnsi="Times New Roman" w:eastAsia="宋体" w:cs="Times New Roman"/>
          <w:spacing w:val="0"/>
          <w:w w:val="100"/>
          <w:position w:val="0"/>
          <w:sz w:val="24"/>
          <w:szCs w:val="24"/>
        </w:rPr>
        <w:t>期的环境管理的重点是各项环境保护措施的落实，环保设施运行的管理和维护，日常的监测及污染事故的防范和应急处理。企业应按排污许可要求，在申领到排污许可证后方可投产。</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（1）生产中的环境管理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①进行清洁生产审计，采纳应用无污染和少污染的新工艺和新技术。</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②建立环境管理体系，提高环境管理水平。</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根据企业的环境保护目标考核计划，结合生产过程各环节的不同环境要求，把资源回收利用、能源消耗、污染物排放量和反映环保工作水平的生产环境质量等环保指标，纳入各级生产作业计划，同其它生产指标一起组织实施和考核。</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④所有的员工都应受到相应的岗位培训，使能胜任该岗位的工作。所有的岗位都应有相应的操作规程，完整的运行记录和畅通的信息交流通道。</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（2）后勤部门的环境管理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①在辅助生产材料采购供应中，要尽量供应无污染或少污染的材料；在贮备保管物资时，要加强化学药品的保管，避免化学药品丢失、误用，泄漏对环境造成危害。</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②要加强设备、管道、阀门、仪器、仪表的维护、检修，保证设备完好运行，防止滴、漏、跑、冒对环境的污染。</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③根据企业制定的环境保护目标考核计划，结合生产各个环节对环境的不同要求进行考核，并把资源、能源消耗、资源回收、污染物排放量等环保指标纳入考核的范围内。</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④要做好绿化的建设和维护工作。绿色植物不仅能涵养水分，保持水土，而且能挡尘降噪，有利于改善生态环境。</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（3）环保设施的管理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①尽量采用先进、成熟的污染控制技术，选用先进、高效的环保设施。</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②环保设施应经试运行达标，并经竣工验收合格后，方可正式投入运行。并加强对其维护、检修、保养工作，以保证环保设施的完好率。建立运行纪录并制定考核指标，并应实行与经济效益挂钩的岗位责任制。</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③每套环保设备都应有详细的操作规程，环保设施的操作人员必须经过相应的培训，才能上岗，以确证环保设施的正常运行。</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④加强对环保设施的运行管理，制定定期维修制度，如环保设施出现故障，应立即停厂检修，严禁非正常排放。</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宋体" w:cs="Times New Roman"/>
          <w:spacing w:val="0"/>
          <w:w w:val="100"/>
          <w:position w:val="0"/>
          <w:sz w:val="24"/>
          <w:szCs w:val="24"/>
        </w:rPr>
      </w:pPr>
      <w:r>
        <w:rPr>
          <w:rFonts w:hint="eastAsia" w:ascii="Times New Roman" w:hAnsi="Times New Roman" w:eastAsia="宋体" w:cs="Times New Roman"/>
          <w:spacing w:val="0"/>
          <w:w w:val="100"/>
          <w:position w:val="0"/>
          <w:sz w:val="24"/>
          <w:szCs w:val="24"/>
          <w:lang w:eastAsia="zh-CN"/>
        </w:rPr>
        <w:t>（</w:t>
      </w:r>
      <w:r>
        <w:rPr>
          <w:rFonts w:hint="eastAsia" w:ascii="Times New Roman" w:hAnsi="Times New Roman" w:eastAsia="宋体" w:cs="Times New Roman"/>
          <w:spacing w:val="0"/>
          <w:w w:val="100"/>
          <w:position w:val="0"/>
          <w:sz w:val="24"/>
          <w:szCs w:val="24"/>
          <w:lang w:val="en-US" w:eastAsia="zh-CN"/>
        </w:rPr>
        <w:t>4</w:t>
      </w:r>
      <w:r>
        <w:rPr>
          <w:rFonts w:hint="eastAsia"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污染事故的防范与应急处理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详见</w:t>
      </w:r>
      <w:r>
        <w:rPr>
          <w:rFonts w:hint="eastAsia" w:cs="Times New Roman"/>
          <w:spacing w:val="0"/>
          <w:w w:val="100"/>
          <w:position w:val="0"/>
          <w:sz w:val="24"/>
          <w:szCs w:val="24"/>
          <w:lang w:val="en-US" w:eastAsia="zh-CN"/>
        </w:rPr>
        <w:t>第6.6章环境风险防范措施</w:t>
      </w:r>
      <w:r>
        <w:rPr>
          <w:rFonts w:hint="default" w:ascii="Times New Roman" w:hAnsi="Times New Roman" w:eastAsia="宋体" w:cs="Times New Roman"/>
          <w:spacing w:val="0"/>
          <w:w w:val="100"/>
          <w:position w:val="0"/>
          <w:sz w:val="24"/>
          <w:szCs w:val="24"/>
        </w:rPr>
        <w:t>章节。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（5）企业排污许可管理要求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固定污染源排污许可分类管理名录（2019年版）》和《关于做好环境影响评价制度与排污许可制衔接相关工作的通知》（环办环评[2017]84号），实行排污许可重点管理。企业应根据《排污单位自行监测技术指南总则》（HJ819-2017）、</w:t>
      </w:r>
      <w:r>
        <w:rPr>
          <w:rFonts w:hint="eastAsia"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排污许可证申请与核发技术规范纺织印染工业</w:t>
      </w:r>
      <w:r>
        <w:rPr>
          <w:rFonts w:hint="eastAsia"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（HJ861-2017）的要求开展全厂排污许可证申请工作。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建设单位在申请排污许可证前，应当将主要申请内容，包括排污单位基本信息、拟申请的许可事项、产排污环节、污染防治设施，通过国家排污许可证管理信息平台或者其他规定途径等便于公众知晓的方式向社会公开。公开时间不得少于5日。</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园区各企业申请排污许可证时申请废水出厂许可浓度按照与产业园管理单位签订的协议标准填报，排入环境的许可浓度按照《城镇污水处理厂污染物排放标准》（GB18918-2002）中一级A标准填报。许可排放量按照《城镇污水处理厂污染物排放标准》（GB18918-2002）中一级A标准与各企业申报废水量进行核算申请。</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（6）企业自主验收的环境管理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建设项目环境保护管理条例》（国务院令第682号）和《建设项目竣工环境保护验收暂行办法》（国环规环评[2017]4号），以及《建设项目竣工环境保护验收技术指南污染影响类》（生态环境部公告2018年第9号）等规定要求，建设单位应强化环境保护主体责任，落实建设项目环境保护</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三同时</w:t>
      </w:r>
      <w:r>
        <w:rPr>
          <w:rFonts w:hint="eastAsia"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制度，本次项目竣工后的验收程序、验收自查、验收监测方案和报告编制、验收监测技术均应按照技术指南的要求进行。</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本项目竣工后，建设单位应当依照国家有关法律法规、建设项目竣工环境保护验收技术规范、建设项目环境影响报告书和审批决定等要求，应当如实查验、监测、记载建设项目环境保护设施的建设和调试情况，同时还应如实记载其他环境保护对策措施“三同时”落实情况，编制验收监测（调查）报告。验收报告编制人员对其编制的验收报告结论终身负责，不得弄虚作假。</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建设单位应当通过其网站或其他便于公众知晓的方式，向社会公开下列信息：（一）建设项目配套建设的环境保护设施竣工后，公开竣工日期；（二）对建设项目配套建设的环境保护设施进行调试前，公开调试的起止日期；（三）验收报告编制完成后5个工作日内，公开验收报告，公示的期限不得少于20个工作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spacing w:val="0"/>
          <w:w w:val="100"/>
          <w:position w:val="0"/>
          <w:sz w:val="24"/>
          <w:szCs w:val="24"/>
          <w:lang w:eastAsia="zh-CN"/>
        </w:rPr>
      </w:pPr>
      <w:r>
        <w:rPr>
          <w:rFonts w:hint="eastAsia" w:ascii="Times New Roman" w:hAnsi="Times New Roman" w:eastAsia="宋体" w:cs="Times New Roman"/>
          <w:spacing w:val="0"/>
          <w:w w:val="100"/>
          <w:kern w:val="2"/>
          <w:position w:val="0"/>
          <w:sz w:val="24"/>
          <w:szCs w:val="24"/>
          <w:lang w:eastAsia="zh-CN"/>
        </w:rPr>
        <w:t>（</w:t>
      </w:r>
      <w:r>
        <w:rPr>
          <w:rFonts w:hint="eastAsia" w:cs="Times New Roman"/>
          <w:spacing w:val="0"/>
          <w:w w:val="100"/>
          <w:kern w:val="2"/>
          <w:position w:val="0"/>
          <w:sz w:val="24"/>
          <w:szCs w:val="24"/>
          <w:lang w:val="en-US" w:eastAsia="zh-CN"/>
        </w:rPr>
        <w:t>7</w:t>
      </w:r>
      <w:r>
        <w:rPr>
          <w:rFonts w:hint="eastAsia" w:ascii="Times New Roman" w:hAnsi="Times New Roman" w:eastAsia="宋体" w:cs="Times New Roman"/>
          <w:spacing w:val="0"/>
          <w:w w:val="100"/>
          <w:kern w:val="2"/>
          <w:position w:val="0"/>
          <w:sz w:val="24"/>
          <w:szCs w:val="24"/>
          <w:lang w:eastAsia="zh-CN"/>
        </w:rPr>
        <w:t>）</w:t>
      </w:r>
      <w:r>
        <w:rPr>
          <w:rFonts w:hint="eastAsia" w:ascii="Times New Roman" w:hAnsi="Times New Roman" w:eastAsia="宋体" w:cs="Times New Roman"/>
          <w:spacing w:val="0"/>
          <w:w w:val="100"/>
          <w:position w:val="0"/>
          <w:sz w:val="24"/>
          <w:szCs w:val="24"/>
          <w:lang w:eastAsia="zh-CN"/>
        </w:rPr>
        <w:t>退役期环境管理要求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position w:val="0"/>
          <w:sz w:val="24"/>
          <w:szCs w:val="24"/>
          <w:lang w:val="en-US" w:eastAsia="zh-CN"/>
        </w:rPr>
        <w:t>本工程退役期应结合《企业拆除活动污染防治技术规定（试行）》（环保部公告2017年第78号）实施，建设单位应委托有资质的单位编制退役期环境影响报告，退役期环境影响报告应包括场地污染评价，若受污染、建设单位应负责修复，对残存的固体废物、废水等应编制无害化处理方案，并责成原建设单位负责处理等内容，经报环境保护主管部门审查后实施。特别是应重视环境安全的措施、杜绝二次污染和土壤修复等措施；环保设施拆除应执行相应的环保管理制度。</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Times New Roman"/>
          <w:b/>
          <w:bCs/>
          <w:spacing w:val="0"/>
          <w:w w:val="100"/>
          <w:kern w:val="2"/>
          <w:position w:val="0"/>
          <w:sz w:val="30"/>
          <w:szCs w:val="30"/>
          <w:lang w:val="en-US" w:eastAsia="zh-CN" w:bidi="ar-SA"/>
        </w:rPr>
        <w:t>9.2总量控制与污染物排放清单管理要求</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9.2.1总量控制</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（1）总量控制因子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spacing w:val="0"/>
          <w:w w:val="100"/>
          <w:kern w:val="0"/>
          <w:position w:val="0"/>
          <w:sz w:val="24"/>
          <w:highlight w:val="none"/>
        </w:rPr>
      </w:pPr>
      <w:r>
        <w:rPr>
          <w:rFonts w:hint="default" w:ascii="Times New Roman" w:hAnsi="Times New Roman" w:eastAsia="宋体" w:cs="Times New Roman"/>
          <w:color w:val="000000"/>
          <w:spacing w:val="0"/>
          <w:w w:val="100"/>
          <w:kern w:val="0"/>
          <w:position w:val="0"/>
          <w:sz w:val="24"/>
          <w:highlight w:val="none"/>
        </w:rPr>
        <w:t>根据《福建省</w:t>
      </w:r>
      <w:r>
        <w:rPr>
          <w:rFonts w:hint="eastAsia" w:cs="Times New Roman"/>
          <w:color w:val="000000"/>
          <w:spacing w:val="0"/>
          <w:w w:val="100"/>
          <w:kern w:val="0"/>
          <w:position w:val="0"/>
          <w:sz w:val="24"/>
          <w:highlight w:val="none"/>
          <w:lang w:eastAsia="zh-CN"/>
        </w:rPr>
        <w:t>“</w:t>
      </w:r>
      <w:r>
        <w:rPr>
          <w:rFonts w:hint="default" w:ascii="Times New Roman" w:hAnsi="Times New Roman" w:eastAsia="宋体" w:cs="Times New Roman"/>
          <w:color w:val="000000"/>
          <w:spacing w:val="0"/>
          <w:w w:val="100"/>
          <w:kern w:val="0"/>
          <w:position w:val="0"/>
          <w:sz w:val="24"/>
          <w:highlight w:val="none"/>
        </w:rPr>
        <w:t>十四五</w:t>
      </w:r>
      <w:r>
        <w:rPr>
          <w:rFonts w:hint="eastAsia" w:cs="Times New Roman"/>
          <w:color w:val="000000"/>
          <w:spacing w:val="0"/>
          <w:w w:val="100"/>
          <w:kern w:val="0"/>
          <w:position w:val="0"/>
          <w:sz w:val="24"/>
          <w:highlight w:val="none"/>
          <w:lang w:eastAsia="zh-CN"/>
        </w:rPr>
        <w:t>”</w:t>
      </w:r>
      <w:r>
        <w:rPr>
          <w:rFonts w:hint="default" w:ascii="Times New Roman" w:hAnsi="Times New Roman" w:eastAsia="宋体" w:cs="Times New Roman"/>
          <w:color w:val="000000"/>
          <w:spacing w:val="0"/>
          <w:w w:val="100"/>
          <w:kern w:val="0"/>
          <w:position w:val="0"/>
          <w:sz w:val="24"/>
          <w:highlight w:val="none"/>
        </w:rPr>
        <w:t>生态环境保护专项规划》</w:t>
      </w:r>
      <w:r>
        <w:rPr>
          <w:rFonts w:hint="default" w:ascii="Times New Roman" w:hAnsi="Times New Roman" w:eastAsia="宋体" w:cs="Times New Roman"/>
          <w:color w:val="000000"/>
          <w:spacing w:val="0"/>
          <w:w w:val="100"/>
          <w:kern w:val="0"/>
          <w:position w:val="0"/>
          <w:sz w:val="24"/>
          <w:highlight w:val="none"/>
          <w:lang w:eastAsia="zh-CN"/>
        </w:rPr>
        <w:t>、《福建省大气污染防治条例》</w:t>
      </w:r>
      <w:r>
        <w:rPr>
          <w:rFonts w:hint="default" w:ascii="Times New Roman" w:hAnsi="Times New Roman" w:eastAsia="宋体" w:cs="Times New Roman"/>
          <w:color w:val="000000"/>
          <w:spacing w:val="0"/>
          <w:w w:val="100"/>
          <w:kern w:val="0"/>
          <w:position w:val="0"/>
          <w:sz w:val="24"/>
          <w:highlight w:val="none"/>
        </w:rPr>
        <w:t>和《福建省建设项目主要污染物排放总量指标管理办法（试行）》（闽环发[2014]13号），</w:t>
      </w:r>
      <w:r>
        <w:rPr>
          <w:rFonts w:hint="eastAsia" w:cs="Times New Roman"/>
          <w:color w:val="000000"/>
          <w:spacing w:val="0"/>
          <w:w w:val="100"/>
          <w:kern w:val="0"/>
          <w:position w:val="0"/>
          <w:sz w:val="24"/>
          <w:highlight w:val="none"/>
          <w:lang w:eastAsia="zh-CN"/>
        </w:rPr>
        <w:t>“</w:t>
      </w:r>
      <w:r>
        <w:rPr>
          <w:rFonts w:hint="default" w:ascii="Times New Roman" w:hAnsi="Times New Roman" w:eastAsia="宋体" w:cs="Times New Roman"/>
          <w:color w:val="000000"/>
          <w:spacing w:val="0"/>
          <w:w w:val="100"/>
          <w:kern w:val="0"/>
          <w:position w:val="0"/>
          <w:sz w:val="24"/>
          <w:highlight w:val="none"/>
        </w:rPr>
        <w:t>十</w:t>
      </w:r>
      <w:r>
        <w:rPr>
          <w:rFonts w:hint="eastAsia" w:ascii="Times New Roman" w:hAnsi="Times New Roman" w:eastAsia="宋体" w:cs="Times New Roman"/>
          <w:color w:val="000000"/>
          <w:spacing w:val="0"/>
          <w:w w:val="100"/>
          <w:kern w:val="0"/>
          <w:position w:val="0"/>
          <w:sz w:val="24"/>
          <w:highlight w:val="none"/>
          <w:lang w:val="en-US" w:eastAsia="zh-CN"/>
        </w:rPr>
        <w:t>四</w:t>
      </w:r>
      <w:r>
        <w:rPr>
          <w:rFonts w:hint="default" w:ascii="Times New Roman" w:hAnsi="Times New Roman" w:eastAsia="宋体" w:cs="Times New Roman"/>
          <w:color w:val="000000"/>
          <w:spacing w:val="0"/>
          <w:w w:val="100"/>
          <w:kern w:val="0"/>
          <w:position w:val="0"/>
          <w:sz w:val="24"/>
          <w:highlight w:val="none"/>
        </w:rPr>
        <w:t>五</w:t>
      </w:r>
      <w:r>
        <w:rPr>
          <w:rFonts w:hint="eastAsia" w:cs="Times New Roman"/>
          <w:color w:val="000000"/>
          <w:spacing w:val="0"/>
          <w:w w:val="100"/>
          <w:kern w:val="0"/>
          <w:position w:val="0"/>
          <w:sz w:val="24"/>
          <w:highlight w:val="none"/>
          <w:lang w:eastAsia="zh-CN"/>
        </w:rPr>
        <w:t>”</w:t>
      </w:r>
      <w:r>
        <w:rPr>
          <w:rFonts w:hint="default" w:ascii="Times New Roman" w:hAnsi="Times New Roman" w:eastAsia="宋体" w:cs="Times New Roman"/>
          <w:color w:val="000000"/>
          <w:spacing w:val="0"/>
          <w:w w:val="100"/>
          <w:kern w:val="0"/>
          <w:position w:val="0"/>
          <w:sz w:val="24"/>
          <w:highlight w:val="none"/>
        </w:rPr>
        <w:t>期间国家对二氧化硫（SO</w:t>
      </w:r>
      <w:r>
        <w:rPr>
          <w:rFonts w:hint="default" w:ascii="Times New Roman" w:hAnsi="Times New Roman" w:eastAsia="宋体" w:cs="Times New Roman"/>
          <w:color w:val="000000"/>
          <w:spacing w:val="0"/>
          <w:w w:val="100"/>
          <w:kern w:val="0"/>
          <w:position w:val="0"/>
          <w:sz w:val="24"/>
          <w:highlight w:val="none"/>
          <w:vertAlign w:val="subscript"/>
        </w:rPr>
        <w:t>2</w:t>
      </w:r>
      <w:r>
        <w:rPr>
          <w:rFonts w:hint="default" w:ascii="Times New Roman" w:hAnsi="Times New Roman" w:eastAsia="宋体" w:cs="Times New Roman"/>
          <w:color w:val="000000"/>
          <w:spacing w:val="0"/>
          <w:w w:val="100"/>
          <w:kern w:val="0"/>
          <w:position w:val="0"/>
          <w:sz w:val="24"/>
          <w:highlight w:val="none"/>
        </w:rPr>
        <w:t>）、氮氧化物（NO</w:t>
      </w:r>
      <w:r>
        <w:rPr>
          <w:rFonts w:hint="default" w:ascii="Times New Roman" w:hAnsi="Times New Roman" w:eastAsia="宋体" w:cs="Times New Roman"/>
          <w:color w:val="000000"/>
          <w:spacing w:val="0"/>
          <w:w w:val="100"/>
          <w:kern w:val="0"/>
          <w:position w:val="0"/>
          <w:sz w:val="24"/>
          <w:highlight w:val="none"/>
          <w:vertAlign w:val="subscript"/>
        </w:rPr>
        <w:t>X</w:t>
      </w:r>
      <w:r>
        <w:rPr>
          <w:rFonts w:hint="default" w:ascii="Times New Roman" w:hAnsi="Times New Roman" w:eastAsia="宋体" w:cs="Times New Roman"/>
          <w:color w:val="000000"/>
          <w:spacing w:val="0"/>
          <w:w w:val="100"/>
          <w:kern w:val="0"/>
          <w:position w:val="0"/>
          <w:sz w:val="24"/>
          <w:highlight w:val="none"/>
        </w:rPr>
        <w:t>）、化学需氧量（COD）和氨氮（NH</w:t>
      </w:r>
      <w:r>
        <w:rPr>
          <w:rFonts w:hint="default" w:ascii="Times New Roman" w:hAnsi="Times New Roman" w:eastAsia="宋体" w:cs="Times New Roman"/>
          <w:color w:val="000000"/>
          <w:spacing w:val="0"/>
          <w:w w:val="100"/>
          <w:kern w:val="0"/>
          <w:position w:val="0"/>
          <w:sz w:val="24"/>
          <w:highlight w:val="none"/>
          <w:vertAlign w:val="subscript"/>
        </w:rPr>
        <w:t>3</w:t>
      </w:r>
      <w:r>
        <w:rPr>
          <w:rFonts w:hint="default" w:ascii="Times New Roman" w:hAnsi="Times New Roman" w:eastAsia="宋体" w:cs="Times New Roman"/>
          <w:color w:val="000000"/>
          <w:spacing w:val="0"/>
          <w:w w:val="100"/>
          <w:kern w:val="0"/>
          <w:position w:val="0"/>
          <w:sz w:val="24"/>
          <w:highlight w:val="none"/>
        </w:rPr>
        <w:t>-N）4种主要污染物实行排放总量控制计划管理。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000000"/>
          <w:spacing w:val="0"/>
          <w:w w:val="100"/>
          <w:position w:val="0"/>
          <w:sz w:val="24"/>
          <w:szCs w:val="24"/>
        </w:rPr>
      </w:pPr>
      <w:r>
        <w:rPr>
          <w:rFonts w:hint="default" w:ascii="Times New Roman" w:hAnsi="Times New Roman" w:eastAsia="宋体" w:cs="Times New Roman"/>
          <w:color w:val="000000"/>
          <w:spacing w:val="0"/>
          <w:w w:val="100"/>
          <w:position w:val="0"/>
          <w:sz w:val="24"/>
        </w:rPr>
        <w:t>同时根据《福建省人民政府关于印发大气污染防治行动计划实施细则的通知》（闽政[2014]1号文）中</w:t>
      </w:r>
      <w:r>
        <w:rPr>
          <w:rFonts w:hint="eastAsia" w:cs="Times New Roman"/>
          <w:color w:val="000000"/>
          <w:spacing w:val="0"/>
          <w:w w:val="100"/>
          <w:position w:val="0"/>
          <w:sz w:val="24"/>
          <w:lang w:eastAsia="zh-CN"/>
        </w:rPr>
        <w:t>“</w:t>
      </w:r>
      <w:r>
        <w:rPr>
          <w:rFonts w:hint="default" w:ascii="Times New Roman" w:hAnsi="Times New Roman" w:eastAsia="宋体" w:cs="Times New Roman"/>
          <w:color w:val="000000"/>
          <w:spacing w:val="0"/>
          <w:w w:val="100"/>
          <w:position w:val="0"/>
          <w:sz w:val="24"/>
        </w:rPr>
        <w:t>二、重点工作（五）严格节能环保准入，优化产业空间布局</w:t>
      </w:r>
      <w:r>
        <w:rPr>
          <w:rFonts w:hint="eastAsia" w:cs="Times New Roman"/>
          <w:color w:val="000000"/>
          <w:spacing w:val="0"/>
          <w:w w:val="100"/>
          <w:position w:val="0"/>
          <w:sz w:val="24"/>
          <w:lang w:eastAsia="zh-CN"/>
        </w:rPr>
        <w:t>”</w:t>
      </w:r>
      <w:r>
        <w:rPr>
          <w:rFonts w:hint="default" w:ascii="Times New Roman" w:hAnsi="Times New Roman" w:eastAsia="宋体" w:cs="Times New Roman"/>
          <w:color w:val="000000"/>
          <w:spacing w:val="0"/>
          <w:w w:val="100"/>
          <w:position w:val="0"/>
          <w:sz w:val="24"/>
        </w:rPr>
        <w:t>中的第2小点可知，国家强力推行强化节能环保指标的约束，严格实施污染物排放总量控制，根据国家统一部署，将二氧化硫、氮氧化物、烟粉尘和挥发性有机物排放是否符合总量控制要求作为建设项目环境影响评价审批的前置条件。因此，本评价将挥发性有机物（VOCs）的排放量一并计算入此次总量控制方案中</w:t>
      </w:r>
      <w:r>
        <w:rPr>
          <w:rFonts w:hint="default" w:ascii="Times New Roman" w:hAnsi="Times New Roman" w:eastAsia="宋体" w:cs="Times New Roman"/>
          <w:color w:val="000000"/>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spacing w:val="0"/>
          <w:w w:val="100"/>
          <w:kern w:val="0"/>
          <w:position w:val="0"/>
          <w:sz w:val="24"/>
          <w:highlight w:val="none"/>
        </w:rPr>
      </w:pPr>
      <w:r>
        <w:rPr>
          <w:rFonts w:hint="default" w:ascii="Times New Roman" w:hAnsi="Times New Roman" w:eastAsia="宋体" w:cs="Times New Roman"/>
          <w:color w:val="000000"/>
          <w:spacing w:val="0"/>
          <w:w w:val="100"/>
          <w:kern w:val="0"/>
          <w:position w:val="0"/>
          <w:sz w:val="24"/>
          <w:highlight w:val="none"/>
        </w:rPr>
        <w:t>（2）主要污染物排放控制总量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spacing w:val="0"/>
          <w:w w:val="100"/>
          <w:kern w:val="0"/>
          <w:position w:val="0"/>
          <w:sz w:val="24"/>
          <w:highlight w:val="none"/>
        </w:rPr>
      </w:pPr>
      <w:r>
        <w:rPr>
          <w:rFonts w:hint="default" w:ascii="Times New Roman" w:hAnsi="Times New Roman" w:eastAsia="宋体" w:cs="Times New Roman"/>
          <w:color w:val="000000"/>
          <w:spacing w:val="0"/>
          <w:w w:val="100"/>
          <w:kern w:val="0"/>
          <w:position w:val="0"/>
          <w:sz w:val="24"/>
          <w:highlight w:val="none"/>
        </w:rPr>
        <w:t>废水、废气污染物排放总量控制指标见表9.2-1。</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表9.2-1全厂污染物排放总量控制指标</w:t>
      </w: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1357"/>
        <w:gridCol w:w="2960"/>
        <w:gridCol w:w="2144"/>
        <w:gridCol w:w="25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13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项目</w:t>
            </w:r>
          </w:p>
        </w:tc>
        <w:tc>
          <w:tcPr>
            <w:tcW w:w="3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总量控制指标</w:t>
            </w:r>
          </w:p>
        </w:tc>
        <w:tc>
          <w:tcPr>
            <w:tcW w:w="21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排放总量（</w:t>
            </w:r>
            <w:r>
              <w:rPr>
                <w:rFonts w:ascii="Times New Roman" w:hAnsi="Times New Roman" w:eastAsia="宋体" w:cs="Times New Roman"/>
                <w:spacing w:val="0"/>
                <w:w w:val="100"/>
                <w:position w:val="0"/>
                <w:sz w:val="21"/>
                <w:szCs w:val="20"/>
              </w:rPr>
              <w:t>t/a</w:t>
            </w:r>
            <w:r>
              <w:rPr>
                <w:rFonts w:ascii="Times New Roman" w:hAnsi="Times New Roman" w:eastAsia="宋体" w:cs="宋体"/>
                <w:spacing w:val="0"/>
                <w:w w:val="100"/>
                <w:position w:val="0"/>
                <w:sz w:val="21"/>
                <w:szCs w:val="20"/>
              </w:rPr>
              <w:t>）</w:t>
            </w:r>
          </w:p>
        </w:tc>
        <w:tc>
          <w:tcPr>
            <w:tcW w:w="26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1377"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废气</w:t>
            </w:r>
          </w:p>
        </w:tc>
        <w:tc>
          <w:tcPr>
            <w:tcW w:w="3003"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Times New Roman"/>
                <w:spacing w:val="0"/>
                <w:w w:val="100"/>
                <w:position w:val="0"/>
                <w:sz w:val="21"/>
                <w:szCs w:val="20"/>
              </w:rPr>
              <w:t>VOCs</w:t>
            </w:r>
            <w:r>
              <w:rPr>
                <w:rFonts w:ascii="Times New Roman" w:hAnsi="Times New Roman" w:eastAsia="宋体" w:cs="宋体"/>
                <w:spacing w:val="0"/>
                <w:w w:val="100"/>
                <w:position w:val="0"/>
                <w:sz w:val="21"/>
                <w:szCs w:val="20"/>
              </w:rPr>
              <w:t>（按非甲烷总烃计）</w:t>
            </w:r>
          </w:p>
        </w:tc>
        <w:tc>
          <w:tcPr>
            <w:tcW w:w="217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0"/>
                <w:shd w:val="clear" w:color="auto" w:fill="auto"/>
                <w:lang w:val="en-US" w:eastAsia="zh-CN"/>
              </w:rPr>
            </w:pPr>
            <w:r>
              <w:rPr>
                <w:rFonts w:hint="eastAsia" w:cs="Times New Roman"/>
                <w:spacing w:val="0"/>
                <w:w w:val="100"/>
                <w:position w:val="0"/>
                <w:sz w:val="21"/>
                <w:szCs w:val="20"/>
                <w:shd w:val="clear" w:color="auto" w:fill="auto"/>
                <w:lang w:val="en-US" w:eastAsia="zh-CN"/>
              </w:rPr>
              <w:t>27.081</w:t>
            </w:r>
          </w:p>
        </w:tc>
        <w:tc>
          <w:tcPr>
            <w:tcW w:w="26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建议总量控制指标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1377" w:type="dxa"/>
            <w:vMerge w:val="restar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废水</w:t>
            </w:r>
          </w:p>
        </w:tc>
        <w:tc>
          <w:tcPr>
            <w:tcW w:w="3003"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COD</w:t>
            </w:r>
          </w:p>
        </w:tc>
        <w:tc>
          <w:tcPr>
            <w:tcW w:w="217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0"/>
                <w:shd w:val="clear" w:color="auto" w:fill="auto"/>
                <w:lang w:val="en-US" w:eastAsia="zh-CN"/>
              </w:rPr>
            </w:pPr>
            <w:r>
              <w:rPr>
                <w:rFonts w:hint="eastAsia" w:ascii="Times New Roman" w:hAnsi="Times New Roman" w:eastAsia="宋体" w:cs="Times New Roman"/>
                <w:spacing w:val="0"/>
                <w:w w:val="100"/>
                <w:position w:val="0"/>
                <w:sz w:val="21"/>
                <w:szCs w:val="20"/>
                <w:shd w:val="clear" w:color="auto" w:fill="auto"/>
                <w:lang w:val="en-US" w:eastAsia="zh-CN"/>
              </w:rPr>
              <w:t>37.59</w:t>
            </w:r>
          </w:p>
        </w:tc>
        <w:tc>
          <w:tcPr>
            <w:tcW w:w="26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spacing w:val="0"/>
                <w:w w:val="100"/>
                <w:position w:val="0"/>
                <w:sz w:val="21"/>
                <w:szCs w:val="20"/>
              </w:rPr>
            </w:pPr>
            <w:r>
              <w:rPr>
                <w:rFonts w:ascii="Times New Roman" w:hAnsi="Times New Roman" w:eastAsia="宋体" w:cs="宋体"/>
                <w:spacing w:val="0"/>
                <w:w w:val="100"/>
                <w:position w:val="0"/>
                <w:sz w:val="21"/>
                <w:szCs w:val="20"/>
              </w:rPr>
              <w:t>国家总量控制指标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jc w:val="center"/>
        </w:trPr>
        <w:tc>
          <w:tcPr>
            <w:tcW w:w="1377" w:type="dxa"/>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rPr>
            </w:pPr>
          </w:p>
        </w:tc>
        <w:tc>
          <w:tcPr>
            <w:tcW w:w="3003"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rPr>
            </w:pPr>
            <w:r>
              <w:rPr>
                <w:rFonts w:ascii="Times New Roman" w:hAnsi="Times New Roman" w:eastAsia="宋体" w:cs="Times New Roman"/>
                <w:spacing w:val="0"/>
                <w:w w:val="100"/>
                <w:position w:val="0"/>
                <w:sz w:val="21"/>
                <w:szCs w:val="20"/>
              </w:rPr>
              <w:t>NH</w:t>
            </w:r>
            <w:r>
              <w:rPr>
                <w:rFonts w:ascii="Times New Roman" w:hAnsi="Times New Roman" w:eastAsia="宋体" w:cs="Times New Roman"/>
                <w:spacing w:val="0"/>
                <w:w w:val="100"/>
                <w:position w:val="0"/>
                <w:sz w:val="21"/>
                <w:szCs w:val="13"/>
                <w:vertAlign w:val="subscript"/>
              </w:rPr>
              <w:t>3</w:t>
            </w:r>
            <w:r>
              <w:rPr>
                <w:rFonts w:ascii="Times New Roman" w:hAnsi="Times New Roman" w:eastAsia="宋体" w:cs="Times New Roman"/>
                <w:spacing w:val="0"/>
                <w:w w:val="100"/>
                <w:position w:val="0"/>
                <w:sz w:val="21"/>
                <w:szCs w:val="20"/>
              </w:rPr>
              <w:t>-N</w:t>
            </w:r>
          </w:p>
        </w:tc>
        <w:tc>
          <w:tcPr>
            <w:tcW w:w="217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spacing w:val="0"/>
                <w:w w:val="100"/>
                <w:position w:val="0"/>
                <w:sz w:val="21"/>
                <w:szCs w:val="20"/>
                <w:shd w:val="clear" w:color="auto" w:fill="auto"/>
              </w:rPr>
            </w:pPr>
            <w:r>
              <w:rPr>
                <w:rFonts w:ascii="Times New Roman" w:hAnsi="Times New Roman" w:eastAsia="宋体" w:cs="Times New Roman"/>
                <w:spacing w:val="0"/>
                <w:w w:val="100"/>
                <w:position w:val="0"/>
                <w:sz w:val="21"/>
                <w:szCs w:val="20"/>
                <w:shd w:val="clear" w:color="auto" w:fill="auto"/>
              </w:rPr>
              <w:t>3.</w:t>
            </w:r>
            <w:r>
              <w:rPr>
                <w:rFonts w:hint="eastAsia" w:ascii="Times New Roman" w:hAnsi="Times New Roman" w:eastAsia="宋体" w:cs="Times New Roman"/>
                <w:spacing w:val="0"/>
                <w:w w:val="100"/>
                <w:position w:val="0"/>
                <w:sz w:val="21"/>
                <w:szCs w:val="20"/>
                <w:shd w:val="clear" w:color="auto" w:fill="auto"/>
                <w:lang w:val="en-US" w:eastAsia="zh-CN"/>
              </w:rPr>
              <w:t>7</w:t>
            </w:r>
            <w:r>
              <w:rPr>
                <w:rFonts w:ascii="Times New Roman" w:hAnsi="Times New Roman" w:eastAsia="宋体" w:cs="Times New Roman"/>
                <w:spacing w:val="0"/>
                <w:w w:val="100"/>
                <w:position w:val="0"/>
                <w:sz w:val="21"/>
                <w:szCs w:val="20"/>
                <w:shd w:val="clear" w:color="auto" w:fill="auto"/>
              </w:rPr>
              <w:t>6</w:t>
            </w:r>
          </w:p>
        </w:tc>
        <w:tc>
          <w:tcPr>
            <w:tcW w:w="26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sz w:val="21"/>
              </w:rPr>
            </w:pP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根据上表可知，本项目废气污染物</w:t>
      </w:r>
      <w:r>
        <w:rPr>
          <w:rFonts w:ascii="Times New Roman" w:hAnsi="Times New Roman" w:eastAsia="宋体" w:cs="Times New Roman"/>
          <w:spacing w:val="0"/>
          <w:w w:val="100"/>
          <w:position w:val="0"/>
          <w:sz w:val="24"/>
          <w:szCs w:val="24"/>
        </w:rPr>
        <w:t>VOCs</w:t>
      </w:r>
      <w:r>
        <w:rPr>
          <w:rFonts w:ascii="Times New Roman" w:hAnsi="Times New Roman" w:eastAsia="宋体" w:cs="宋体"/>
          <w:spacing w:val="0"/>
          <w:w w:val="100"/>
          <w:position w:val="0"/>
          <w:sz w:val="24"/>
          <w:szCs w:val="24"/>
        </w:rPr>
        <w:t>排放量</w:t>
      </w:r>
      <w:r>
        <w:rPr>
          <w:rFonts w:hint="eastAsia" w:cs="Times New Roman"/>
          <w:spacing w:val="0"/>
          <w:w w:val="100"/>
          <w:position w:val="0"/>
          <w:sz w:val="24"/>
          <w:szCs w:val="24"/>
          <w:lang w:val="en-US" w:eastAsia="zh-CN"/>
        </w:rPr>
        <w:t>27.081</w:t>
      </w:r>
      <w:r>
        <w:rPr>
          <w:rFonts w:ascii="Times New Roman" w:hAnsi="Times New Roman" w:eastAsia="宋体" w:cs="Times New Roman"/>
          <w:spacing w:val="0"/>
          <w:w w:val="100"/>
          <w:position w:val="0"/>
          <w:sz w:val="24"/>
          <w:szCs w:val="24"/>
        </w:rPr>
        <w:t>t/a</w:t>
      </w:r>
      <w:r>
        <w:rPr>
          <w:rFonts w:ascii="Times New Roman" w:hAnsi="Times New Roman" w:eastAsia="宋体" w:cs="宋体"/>
          <w:spacing w:val="0"/>
          <w:w w:val="100"/>
          <w:position w:val="0"/>
          <w:sz w:val="24"/>
          <w:szCs w:val="24"/>
        </w:rPr>
        <w:t>，废水污染物</w:t>
      </w:r>
      <w:r>
        <w:rPr>
          <w:rFonts w:ascii="Times New Roman" w:hAnsi="Times New Roman" w:eastAsia="宋体" w:cs="Times New Roman"/>
          <w:spacing w:val="0"/>
          <w:w w:val="100"/>
          <w:position w:val="0"/>
          <w:sz w:val="24"/>
          <w:szCs w:val="24"/>
        </w:rPr>
        <w:t>COD</w:t>
      </w:r>
      <w:r>
        <w:rPr>
          <w:rFonts w:ascii="Times New Roman" w:hAnsi="Times New Roman" w:eastAsia="宋体" w:cs="宋体"/>
          <w:spacing w:val="0"/>
          <w:w w:val="100"/>
          <w:position w:val="0"/>
          <w:sz w:val="24"/>
          <w:szCs w:val="24"/>
        </w:rPr>
        <w:t>排放总量为</w:t>
      </w:r>
      <w:r>
        <w:rPr>
          <w:rFonts w:hint="eastAsia" w:ascii="Times New Roman" w:hAnsi="Times New Roman" w:eastAsia="宋体" w:cs="Times New Roman"/>
          <w:spacing w:val="0"/>
          <w:w w:val="100"/>
          <w:position w:val="0"/>
          <w:sz w:val="24"/>
          <w:szCs w:val="24"/>
          <w:lang w:val="en-US" w:eastAsia="zh-CN"/>
        </w:rPr>
        <w:t>37.59</w:t>
      </w:r>
      <w:r>
        <w:rPr>
          <w:rFonts w:ascii="Times New Roman" w:hAnsi="Times New Roman" w:eastAsia="宋体" w:cs="Times New Roman"/>
          <w:spacing w:val="0"/>
          <w:w w:val="100"/>
          <w:position w:val="0"/>
          <w:sz w:val="24"/>
          <w:szCs w:val="24"/>
        </w:rPr>
        <w:t>t/a</w:t>
      </w: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NH</w:t>
      </w:r>
      <w:r>
        <w:rPr>
          <w:rFonts w:ascii="Times New Roman" w:hAnsi="Times New Roman" w:eastAsia="宋体" w:cs="Times New Roman"/>
          <w:spacing w:val="0"/>
          <w:w w:val="100"/>
          <w:position w:val="0"/>
          <w:sz w:val="15"/>
          <w:szCs w:val="15"/>
        </w:rPr>
        <w:t>3</w:t>
      </w:r>
      <w:r>
        <w:rPr>
          <w:rFonts w:ascii="Times New Roman" w:hAnsi="Times New Roman" w:eastAsia="宋体" w:cs="Times New Roman"/>
          <w:spacing w:val="0"/>
          <w:w w:val="100"/>
          <w:position w:val="0"/>
          <w:sz w:val="24"/>
          <w:szCs w:val="24"/>
        </w:rPr>
        <w:t>-N</w:t>
      </w:r>
      <w:r>
        <w:rPr>
          <w:rFonts w:ascii="Times New Roman" w:hAnsi="Times New Roman" w:eastAsia="宋体" w:cs="宋体"/>
          <w:spacing w:val="0"/>
          <w:w w:val="100"/>
          <w:position w:val="0"/>
          <w:sz w:val="24"/>
          <w:szCs w:val="24"/>
        </w:rPr>
        <w:t>排放总量为</w:t>
      </w:r>
      <w:r>
        <w:rPr>
          <w:rFonts w:ascii="Times New Roman" w:hAnsi="Times New Roman" w:eastAsia="宋体" w:cs="Times New Roman"/>
          <w:spacing w:val="0"/>
          <w:w w:val="100"/>
          <w:position w:val="0"/>
          <w:sz w:val="24"/>
          <w:szCs w:val="24"/>
        </w:rPr>
        <w:t>3.</w:t>
      </w:r>
      <w:r>
        <w:rPr>
          <w:rFonts w:hint="eastAsia" w:ascii="Times New Roman" w:hAnsi="Times New Roman" w:eastAsia="宋体" w:cs="Times New Roman"/>
          <w:spacing w:val="0"/>
          <w:w w:val="100"/>
          <w:position w:val="0"/>
          <w:sz w:val="24"/>
          <w:szCs w:val="24"/>
          <w:lang w:val="en-US" w:eastAsia="zh-CN"/>
        </w:rPr>
        <w:t>7</w:t>
      </w:r>
      <w:r>
        <w:rPr>
          <w:rFonts w:ascii="Times New Roman" w:hAnsi="Times New Roman" w:eastAsia="宋体" w:cs="Times New Roman"/>
          <w:spacing w:val="0"/>
          <w:w w:val="100"/>
          <w:position w:val="0"/>
          <w:sz w:val="24"/>
          <w:szCs w:val="24"/>
        </w:rPr>
        <w:t>6t/a</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hint="default" w:ascii="Times New Roman" w:hAnsi="Times New Roman" w:eastAsia="宋体" w:cs="Times New Roman"/>
          <w:spacing w:val="0"/>
          <w:w w:val="100"/>
          <w:position w:val="0"/>
          <w:sz w:val="24"/>
          <w:szCs w:val="24"/>
        </w:rPr>
        <w:t>（3）总</w:t>
      </w:r>
      <w:r>
        <w:rPr>
          <w:rFonts w:ascii="Times New Roman" w:hAnsi="Times New Roman" w:eastAsia="宋体" w:cs="宋体"/>
          <w:spacing w:val="0"/>
          <w:w w:val="100"/>
          <w:position w:val="0"/>
          <w:sz w:val="24"/>
          <w:szCs w:val="24"/>
        </w:rPr>
        <w:t>量来源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根据《福建省生态环境准入清单》及《连江可门绿色纺织产业园规划(一期)环境影响报告书》，本项目所在连江可门经济开发区重点管控单元</w:t>
      </w:r>
      <w:r>
        <w:rPr>
          <w:rFonts w:hint="default" w:ascii="Times New Roman" w:hAnsi="Times New Roman" w:eastAsia="宋体" w:cs="Times New Roman"/>
          <w:spacing w:val="0"/>
          <w:w w:val="100"/>
          <w:position w:val="0"/>
          <w:sz w:val="24"/>
          <w:szCs w:val="24"/>
        </w:rPr>
        <w:t>新增VOCs排放项</w:t>
      </w:r>
      <w:r>
        <w:rPr>
          <w:rFonts w:ascii="Times New Roman" w:hAnsi="Times New Roman" w:eastAsia="宋体" w:cs="宋体"/>
          <w:spacing w:val="0"/>
          <w:w w:val="100"/>
          <w:position w:val="0"/>
          <w:sz w:val="24"/>
          <w:szCs w:val="24"/>
        </w:rPr>
        <w:t>目实行区域内倍量替代，由福州市生态环境局在福州市统筹调剂</w:t>
      </w:r>
      <w:r>
        <w:rPr>
          <w:rFonts w:hint="default" w:ascii="Times New Roman" w:hAnsi="Times New Roman" w:eastAsia="宋体" w:cs="Times New Roman"/>
          <w:spacing w:val="0"/>
          <w:w w:val="100"/>
          <w:position w:val="0"/>
          <w:sz w:val="24"/>
          <w:szCs w:val="24"/>
        </w:rPr>
        <w:t>VOCs总</w:t>
      </w:r>
      <w:r>
        <w:rPr>
          <w:rFonts w:ascii="Times New Roman" w:hAnsi="Times New Roman" w:eastAsia="宋体" w:cs="宋体"/>
          <w:spacing w:val="0"/>
          <w:w w:val="100"/>
          <w:position w:val="0"/>
          <w:sz w:val="24"/>
          <w:szCs w:val="24"/>
        </w:rPr>
        <w:t>量来源，建设单位在</w:t>
      </w:r>
      <w:r>
        <w:rPr>
          <w:rFonts w:hint="default" w:ascii="Times New Roman" w:hAnsi="Times New Roman" w:eastAsia="宋体" w:cs="Times New Roman"/>
          <w:spacing w:val="0"/>
          <w:w w:val="100"/>
          <w:position w:val="0"/>
          <w:sz w:val="24"/>
          <w:szCs w:val="24"/>
        </w:rPr>
        <w:t>VOCs总</w:t>
      </w:r>
      <w:r>
        <w:rPr>
          <w:rFonts w:ascii="Times New Roman" w:hAnsi="Times New Roman" w:eastAsia="宋体" w:cs="宋体"/>
          <w:spacing w:val="0"/>
          <w:w w:val="100"/>
          <w:position w:val="0"/>
          <w:sz w:val="24"/>
          <w:szCs w:val="24"/>
        </w:rPr>
        <w:t>量调剂来源落实前不得投产。</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本项目废水排入纺织产业园区污水处理厂，总量纳入污水厂总量指标。建设单位应尽快向排污权交易机构申购所需总量指标，并按照生态环境主管部门出具的排污权交易来源限制条件进行交易。</w:t>
      </w:r>
    </w:p>
    <w:p>
      <w:pPr>
        <w:keepNext w:val="0"/>
        <w:keepLines w:val="0"/>
        <w:pageBreakBefore w:val="0"/>
        <w:widowControl/>
        <w:kinsoku/>
        <w:wordWrap/>
        <w:overflowPunct/>
        <w:topLinePunct w:val="0"/>
        <w:autoSpaceDE/>
        <w:autoSpaceDN/>
        <w:bidi w:val="0"/>
        <w:adjustRightInd w:val="0"/>
        <w:snapToGrid w:val="0"/>
        <w:spacing w:line="360" w:lineRule="auto"/>
        <w:ind w:left="420" w:left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（4）产业园已批项目污染物总量指标汇总</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表9.2-2产业园已报批项目污染物总量指标汇总</w:t>
      </w:r>
    </w:p>
    <w:p>
      <w:pPr>
        <w:keepNext w:val="0"/>
        <w:keepLines w:val="0"/>
        <w:pageBreakBefore w:val="0"/>
        <w:widowControl/>
        <w:kinsoku/>
        <w:wordWrap/>
        <w:overflowPunct/>
        <w:topLinePunct w:val="0"/>
        <w:autoSpaceDE/>
        <w:autoSpaceDN/>
        <w:bidi w:val="0"/>
        <w:adjustRightInd w:val="0"/>
        <w:snapToGrid w:val="0"/>
        <w:spacing w:line="65" w:lineRule="exact"/>
        <w:rPr>
          <w:rFonts w:ascii="Times New Roman" w:hAnsi="Times New Roman" w:eastAsia="宋体"/>
          <w:spacing w:val="0"/>
          <w:w w:val="100"/>
          <w:position w:val="0"/>
        </w:rPr>
      </w:pP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3101"/>
        <w:gridCol w:w="1107"/>
        <w:gridCol w:w="1994"/>
        <w:gridCol w:w="1408"/>
        <w:gridCol w:w="141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占地面积</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挥发性有机物（t/a）</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COD（t/a）</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NH</w:t>
            </w:r>
            <w:r>
              <w:rPr>
                <w:rFonts w:hint="default" w:ascii="Times New Roman" w:hAnsi="Times New Roman" w:eastAsia="宋体" w:cs="Times New Roman"/>
                <w:spacing w:val="0"/>
                <w:w w:val="100"/>
                <w:position w:val="0"/>
                <w:sz w:val="21"/>
                <w:szCs w:val="21"/>
                <w:vertAlign w:val="subscript"/>
              </w:rPr>
              <w:t>3</w:t>
            </w:r>
            <w:r>
              <w:rPr>
                <w:rFonts w:hint="default" w:ascii="Times New Roman" w:hAnsi="Times New Roman" w:eastAsia="宋体" w:cs="Times New Roman"/>
                <w:spacing w:val="0"/>
                <w:w w:val="100"/>
                <w:position w:val="0"/>
                <w:sz w:val="21"/>
                <w:szCs w:val="21"/>
              </w:rPr>
              <w:t>-N（t/a）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福建东禾晟实业有限公司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100亩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47.6</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65.3</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福建省恒创优品科技有限公司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64.65亩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14.3</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39</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福建鑫源欣纺织有限公司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50亩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21.4</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31.8</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福建领逸纺织有限公司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50亩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23.98</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32.4</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福建俊诚纺织有限公司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100亩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48.057</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65.052</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6.506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0"/>
                <w:w w:val="100"/>
                <w:position w:val="0"/>
                <w:sz w:val="21"/>
                <w:szCs w:val="21"/>
                <w:lang w:eastAsia="zh-CN"/>
              </w:rPr>
            </w:pPr>
            <w:r>
              <w:rPr>
                <w:rFonts w:hint="eastAsia" w:ascii="Times New Roman" w:hAnsi="Times New Roman" w:eastAsia="宋体" w:cs="Times New Roman"/>
                <w:spacing w:val="0"/>
                <w:w w:val="100"/>
                <w:position w:val="0"/>
                <w:sz w:val="21"/>
                <w:szCs w:val="21"/>
                <w:lang w:eastAsia="zh-CN"/>
              </w:rPr>
              <w:t>福建芳达纺织有限公司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50亩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21.46</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31.56</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3.16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0"/>
                <w:w w:val="100"/>
                <w:position w:val="0"/>
                <w:sz w:val="21"/>
                <w:szCs w:val="21"/>
                <w:lang w:eastAsia="zh-CN"/>
              </w:rPr>
            </w:pPr>
            <w:r>
              <w:rPr>
                <w:rFonts w:hint="eastAsia" w:ascii="Times New Roman" w:hAnsi="Times New Roman" w:eastAsia="宋体" w:cs="Times New Roman"/>
                <w:spacing w:val="0"/>
                <w:w w:val="100"/>
                <w:position w:val="0"/>
                <w:sz w:val="21"/>
                <w:szCs w:val="21"/>
                <w:lang w:eastAsia="zh-CN"/>
              </w:rPr>
              <w:t>福建君玥纺织有限公司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50亩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23.76</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32.62</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3.26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0"/>
                <w:w w:val="100"/>
                <w:position w:val="0"/>
                <w:sz w:val="21"/>
                <w:szCs w:val="21"/>
                <w:lang w:eastAsia="zh-CN"/>
              </w:rPr>
            </w:pPr>
            <w:r>
              <w:rPr>
                <w:rFonts w:hint="eastAsia" w:ascii="Times New Roman" w:hAnsi="Times New Roman" w:eastAsia="宋体" w:cs="Times New Roman"/>
                <w:spacing w:val="0"/>
                <w:w w:val="100"/>
                <w:position w:val="0"/>
                <w:sz w:val="21"/>
                <w:szCs w:val="21"/>
                <w:lang w:eastAsia="zh-CN"/>
              </w:rPr>
              <w:t>福建锦彦纺织有限公司</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50亩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21.38</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32.72</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3.27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9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合计</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364.65亩</w:t>
            </w:r>
          </w:p>
        </w:tc>
        <w:tc>
          <w:tcPr>
            <w:tcW w:w="19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155.337</w:t>
            </w:r>
          </w:p>
        </w:tc>
        <w:tc>
          <w:tcPr>
            <w:tcW w:w="13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233.552</w:t>
            </w:r>
          </w:p>
        </w:tc>
        <w:tc>
          <w:tcPr>
            <w:tcW w:w="1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23.306</w:t>
            </w: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（5）与园区排污量控制指标方案符合性分析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连江可门绿色纺织产业园规划（一期）》、《连江可门绿色纺织产业园规划（一期）环境影响报告书》及《连江可门绿色纺织产业园污水处理厂环境影响报告书》，产业园染整总规模18-25万t/a，挥发性有机物控制总量为369.4t/a，废水排放量不超过3万t/d。产业园拟入驻企业11家，园区运营管理公司对入驻企业实施统一管理，根据用地指标控制各企业产能，规范企业入驻标准。为确保园区污染物排放总量不突破规划环评控制总量，园区对各地块排污量进行控制，设置污染物排放限值，该限值为各地块污染物最大允许排放量，各企业排污量不得超过该限值。其中VOCs排放量在不突破园区分配排放限值的前提下，由企业向福州市生态环境局申请调剂，以实际调剂指标作为企业最终核定控制量。</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各企业污染物排放限值分配见表9.2-3。</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表9.2-3园区总量控制指标</w:t>
      </w:r>
    </w:p>
    <w:p>
      <w:pPr>
        <w:keepNext w:val="0"/>
        <w:keepLines w:val="0"/>
        <w:pageBreakBefore w:val="0"/>
        <w:widowControl/>
        <w:kinsoku/>
        <w:wordWrap/>
        <w:overflowPunct/>
        <w:topLinePunct w:val="0"/>
        <w:autoSpaceDE/>
        <w:autoSpaceDN/>
        <w:bidi w:val="0"/>
        <w:adjustRightInd w:val="0"/>
        <w:snapToGrid w:val="0"/>
        <w:spacing w:line="64" w:lineRule="exact"/>
        <w:rPr>
          <w:rFonts w:ascii="Times New Roman" w:hAnsi="Times New Roman" w:eastAsia="宋体"/>
          <w:spacing w:val="0"/>
          <w:w w:val="100"/>
          <w:position w:val="0"/>
        </w:rPr>
      </w:pPr>
    </w:p>
    <w:tbl>
      <w:tblPr>
        <w:tblStyle w:val="5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2791"/>
        <w:gridCol w:w="1459"/>
        <w:gridCol w:w="1278"/>
        <w:gridCol w:w="239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地块编号</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入驻企业</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用地面积</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（亩）</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VOCs</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w:t>
            </w:r>
            <w:r>
              <w:rPr>
                <w:rFonts w:ascii="Times New Roman" w:hAnsi="Times New Roman" w:eastAsia="宋体" w:cs="Times New Roman"/>
                <w:b w:val="0"/>
                <w:bCs w:val="0"/>
                <w:spacing w:val="0"/>
                <w:w w:val="100"/>
                <w:position w:val="0"/>
                <w:sz w:val="21"/>
                <w:szCs w:val="21"/>
              </w:rPr>
              <w:t>t/a</w:t>
            </w:r>
            <w:r>
              <w:rPr>
                <w:rFonts w:ascii="Times New Roman" w:hAnsi="Times New Roman" w:eastAsia="宋体" w:cs="宋体"/>
                <w:b w:val="0"/>
                <w:bCs w:val="0"/>
                <w:spacing w:val="0"/>
                <w:w w:val="100"/>
                <w:position w:val="0"/>
                <w:sz w:val="21"/>
                <w:szCs w:val="21"/>
              </w:rPr>
              <w:t>）</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排污量</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（排入污水处理厂</w:t>
            </w:r>
            <w:r>
              <w:rPr>
                <w:rFonts w:ascii="Times New Roman" w:hAnsi="Times New Roman" w:eastAsia="宋体" w:cs="Times New Roman"/>
                <w:b w:val="0"/>
                <w:bCs w:val="0"/>
                <w:spacing w:val="0"/>
                <w:w w:val="100"/>
                <w:position w:val="0"/>
                <w:sz w:val="21"/>
                <w:szCs w:val="21"/>
              </w:rPr>
              <w:t>t/d</w:t>
            </w:r>
            <w:r>
              <w:rPr>
                <w:rFonts w:ascii="Times New Roman" w:hAnsi="Times New Roman" w:eastAsia="宋体" w:cs="宋体"/>
                <w:b w:val="0"/>
                <w:bCs w:val="0"/>
                <w:spacing w:val="0"/>
                <w:w w:val="100"/>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福建恒创优品科技有限公司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164.65</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79.850</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11891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福建芳达纺织有限公司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24.248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3610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bCs/>
                <w:spacing w:val="0"/>
                <w:w w:val="100"/>
                <w:position w:val="0"/>
                <w:sz w:val="21"/>
                <w:szCs w:val="21"/>
              </w:rPr>
            </w:pPr>
            <w:r>
              <w:rPr>
                <w:rFonts w:ascii="Times New Roman" w:hAnsi="Times New Roman" w:eastAsia="宋体" w:cs="Times New Roman"/>
                <w:b/>
                <w:bCs/>
                <w:spacing w:val="0"/>
                <w:w w:val="100"/>
                <w:position w:val="0"/>
                <w:sz w:val="21"/>
                <w:szCs w:val="21"/>
              </w:rPr>
              <w:t>3</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福建悦聚科技有限公司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bCs/>
                <w:spacing w:val="0"/>
                <w:w w:val="100"/>
                <w:position w:val="0"/>
                <w:sz w:val="21"/>
                <w:szCs w:val="21"/>
              </w:rPr>
            </w:pPr>
            <w:r>
              <w:rPr>
                <w:rFonts w:ascii="Times New Roman" w:hAnsi="Times New Roman" w:eastAsia="宋体" w:cs="Times New Roman"/>
                <w:b/>
                <w:bCs/>
                <w:spacing w:val="0"/>
                <w:w w:val="100"/>
                <w:position w:val="0"/>
                <w:sz w:val="21"/>
                <w:szCs w:val="21"/>
              </w:rPr>
              <w:t>60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bCs/>
                <w:spacing w:val="0"/>
                <w:w w:val="100"/>
                <w:position w:val="0"/>
                <w:sz w:val="21"/>
                <w:szCs w:val="21"/>
              </w:rPr>
            </w:pPr>
            <w:r>
              <w:rPr>
                <w:rFonts w:ascii="Times New Roman" w:hAnsi="Times New Roman" w:eastAsia="宋体" w:cs="Times New Roman"/>
                <w:b/>
                <w:bCs/>
                <w:spacing w:val="0"/>
                <w:w w:val="100"/>
                <w:position w:val="0"/>
                <w:sz w:val="21"/>
                <w:szCs w:val="21"/>
              </w:rPr>
              <w:t>29.098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bCs/>
                <w:spacing w:val="0"/>
                <w:w w:val="100"/>
                <w:position w:val="0"/>
                <w:sz w:val="21"/>
                <w:szCs w:val="21"/>
              </w:rPr>
            </w:pPr>
            <w:r>
              <w:rPr>
                <w:rFonts w:ascii="Times New Roman" w:hAnsi="Times New Roman" w:eastAsia="宋体" w:cs="Times New Roman"/>
                <w:b/>
                <w:bCs/>
                <w:spacing w:val="0"/>
                <w:w w:val="100"/>
                <w:position w:val="0"/>
                <w:sz w:val="21"/>
                <w:szCs w:val="21"/>
              </w:rPr>
              <w:t>4332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4</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福建东禾晟实业有限公司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100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48.497</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7221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福建俊诚纺织有限公司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100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48.497</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7221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6</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福建鑫源欣纺织有限公司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24.248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3610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7</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福建领逸纺织有限公司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24.248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3610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8</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福建优盛通纺织有限公司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24.248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3610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9</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福建锦彦纺织有限公司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24.248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3610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10</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福建君明纺织有限公司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50</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24.248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3610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11</w:t>
            </w:r>
          </w:p>
        </w:tc>
        <w:tc>
          <w:tcPr>
            <w:tcW w:w="2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福建灿业印染有限公司</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37.05</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17.968</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2675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393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宋体"/>
                <w:b w:val="0"/>
                <w:bCs w:val="0"/>
                <w:spacing w:val="0"/>
                <w:w w:val="100"/>
                <w:position w:val="0"/>
                <w:sz w:val="21"/>
                <w:szCs w:val="21"/>
              </w:rPr>
            </w:pPr>
            <w:r>
              <w:rPr>
                <w:rFonts w:ascii="Times New Roman" w:hAnsi="Times New Roman" w:eastAsia="宋体" w:cs="宋体"/>
                <w:b w:val="0"/>
                <w:bCs w:val="0"/>
                <w:spacing w:val="0"/>
                <w:w w:val="100"/>
                <w:position w:val="0"/>
                <w:sz w:val="21"/>
                <w:szCs w:val="21"/>
              </w:rPr>
              <w:t>合计</w:t>
            </w:r>
          </w:p>
        </w:tc>
        <w:tc>
          <w:tcPr>
            <w:tcW w:w="1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761.7</w:t>
            </w:r>
          </w:p>
        </w:tc>
        <w:tc>
          <w:tcPr>
            <w:tcW w:w="12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369.40</w:t>
            </w:r>
          </w:p>
        </w:tc>
        <w:tc>
          <w:tcPr>
            <w:tcW w:w="24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val="0"/>
                <w:bCs w:val="0"/>
                <w:spacing w:val="0"/>
                <w:w w:val="100"/>
                <w:position w:val="0"/>
                <w:sz w:val="21"/>
                <w:szCs w:val="21"/>
              </w:rPr>
            </w:pPr>
            <w:r>
              <w:rPr>
                <w:rFonts w:ascii="Times New Roman" w:hAnsi="Times New Roman" w:eastAsia="宋体" w:cs="Times New Roman"/>
                <w:b w:val="0"/>
                <w:bCs w:val="0"/>
                <w:spacing w:val="0"/>
                <w:w w:val="100"/>
                <w:position w:val="0"/>
                <w:sz w:val="21"/>
                <w:szCs w:val="21"/>
              </w:rPr>
              <w:t>55000</w:t>
            </w: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本项目废气污染物挥发性有机物排放量为</w:t>
      </w:r>
      <w:r>
        <w:rPr>
          <w:rFonts w:hint="eastAsia" w:ascii="Times New Roman" w:hAnsi="Times New Roman" w:eastAsia="宋体" w:cs="Times New Roman"/>
          <w:spacing w:val="0"/>
          <w:w w:val="100"/>
          <w:position w:val="0"/>
          <w:sz w:val="24"/>
          <w:szCs w:val="24"/>
          <w:lang w:val="en-US" w:eastAsia="zh-CN"/>
        </w:rPr>
        <w:t>27.081</w:t>
      </w:r>
      <w:r>
        <w:rPr>
          <w:rFonts w:hint="default" w:ascii="Times New Roman" w:hAnsi="Times New Roman" w:eastAsia="宋体" w:cs="Times New Roman"/>
          <w:spacing w:val="0"/>
          <w:w w:val="100"/>
          <w:position w:val="0"/>
          <w:sz w:val="24"/>
          <w:szCs w:val="24"/>
          <w:lang w:val="en-US" w:eastAsia="zh-CN"/>
        </w:rPr>
        <w:t>t/a</w:t>
      </w:r>
      <w:r>
        <w:rPr>
          <w:rFonts w:ascii="Times New Roman" w:hAnsi="Times New Roman" w:eastAsia="宋体" w:cs="宋体"/>
          <w:spacing w:val="0"/>
          <w:w w:val="100"/>
          <w:position w:val="0"/>
          <w:sz w:val="24"/>
          <w:szCs w:val="24"/>
        </w:rPr>
        <w:t>，排入园区污水处理厂废水量为</w:t>
      </w:r>
      <w:r>
        <w:rPr>
          <w:rFonts w:hint="eastAsia" w:ascii="Times New Roman" w:hAnsi="Times New Roman" w:eastAsia="宋体" w:cs="Times New Roman"/>
          <w:spacing w:val="0"/>
          <w:w w:val="100"/>
          <w:position w:val="0"/>
          <w:sz w:val="24"/>
          <w:szCs w:val="24"/>
          <w:lang w:val="en-US" w:eastAsia="zh-CN"/>
        </w:rPr>
        <w:t>4141.60</w:t>
      </w:r>
      <w:r>
        <w:rPr>
          <w:rFonts w:ascii="Times New Roman" w:hAnsi="Times New Roman" w:eastAsia="宋体" w:cs="Times New Roman"/>
          <w:spacing w:val="0"/>
          <w:w w:val="100"/>
          <w:position w:val="0"/>
          <w:sz w:val="24"/>
          <w:szCs w:val="24"/>
        </w:rPr>
        <w:t>t/d</w:t>
      </w:r>
      <w:r>
        <w:rPr>
          <w:rFonts w:ascii="Times New Roman" w:hAnsi="Times New Roman" w:eastAsia="宋体" w:cs="宋体"/>
          <w:spacing w:val="0"/>
          <w:w w:val="100"/>
          <w:position w:val="0"/>
          <w:sz w:val="24"/>
          <w:szCs w:val="24"/>
        </w:rPr>
        <w:t>，均未突破园区分配污染物排放限值。</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9.2.2污染物排放清单</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eastAsia="宋体"/>
          <w:b w:val="0"/>
          <w:bCs w:val="0"/>
          <w:spacing w:val="0"/>
          <w:position w:val="0"/>
          <w:sz w:val="24"/>
          <w:szCs w:val="24"/>
          <w:lang w:val="en-US" w:eastAsia="zh-CN"/>
        </w:rPr>
      </w:pPr>
      <w:r>
        <w:rPr>
          <w:rFonts w:hint="default" w:ascii="Times New Roman" w:hAnsi="Times New Roman" w:eastAsia="宋体" w:cs="Times New Roman"/>
          <w:spacing w:val="0"/>
          <w:w w:val="100"/>
          <w:position w:val="0"/>
          <w:sz w:val="24"/>
          <w:szCs w:val="24"/>
        </w:rPr>
        <w:t>本工程的污染物排放的管理要求详见表9.2-</w:t>
      </w:r>
      <w:r>
        <w:rPr>
          <w:rFonts w:hint="eastAsia" w:cs="Times New Roman"/>
          <w:spacing w:val="0"/>
          <w:w w:val="100"/>
          <w:position w:val="0"/>
          <w:sz w:val="24"/>
          <w:szCs w:val="24"/>
          <w:lang w:val="en-US" w:eastAsia="zh-CN"/>
        </w:rPr>
        <w:t>4</w:t>
      </w:r>
      <w:r>
        <w:rPr>
          <w:rFonts w:hint="default" w:ascii="Times New Roman" w:hAnsi="Times New Roman" w:eastAsia="宋体" w:cs="Times New Roman"/>
          <w:spacing w:val="0"/>
          <w:w w:val="100"/>
          <w:position w:val="0"/>
          <w:sz w:val="24"/>
          <w:szCs w:val="24"/>
        </w:rPr>
        <w:t>，其内容应向社会公开</w:t>
      </w:r>
      <w:r>
        <w:rPr>
          <w:rFonts w:hint="eastAsia" w:cs="Times New Roman"/>
          <w:spacing w:val="0"/>
          <w:w w:val="100"/>
          <w:positio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宋体"/>
          <w:spacing w:val="0"/>
          <w:w w:val="100"/>
          <w:position w:val="0"/>
          <w:sz w:val="24"/>
          <w:szCs w:val="24"/>
        </w:rPr>
        <w:sectPr>
          <w:footerReference r:id="rId7" w:type="default"/>
          <w:pgSz w:w="12240" w:h="15840"/>
          <w:pgMar w:top="1417" w:right="1417" w:bottom="1417" w:left="1800" w:header="992" w:footer="992" w:gutter="0"/>
          <w:pgBorders>
            <w:top w:val="none" w:sz="0" w:space="0"/>
            <w:left w:val="none" w:sz="0" w:space="0"/>
            <w:bottom w:val="none" w:sz="0" w:space="0"/>
            <w:right w:val="none" w:sz="0" w:space="0"/>
          </w:pgBorders>
          <w:lnNumType w:countBy="0" w:distance="360"/>
          <w:pgNumType w:fmt="decimal"/>
          <w:cols w:space="720" w:num="1"/>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w:t>
      </w:r>
      <w:r>
        <w:rPr>
          <w:rFonts w:hint="default" w:ascii="Times New Roman" w:hAnsi="Times New Roman" w:eastAsia="宋体" w:cs="Times New Roman"/>
          <w:b/>
          <w:bCs/>
          <w:spacing w:val="0"/>
          <w:w w:val="100"/>
          <w:position w:val="0"/>
          <w:sz w:val="24"/>
          <w:szCs w:val="24"/>
          <w:lang w:val="en-US" w:eastAsia="zh-CN"/>
        </w:rPr>
        <w:t>9</w:t>
      </w:r>
      <w:r>
        <w:rPr>
          <w:rFonts w:hint="default" w:ascii="Times New Roman" w:hAnsi="Times New Roman" w:eastAsia="宋体" w:cs="Times New Roman"/>
          <w:b/>
          <w:bCs/>
          <w:spacing w:val="0"/>
          <w:w w:val="100"/>
          <w:position w:val="0"/>
          <w:sz w:val="24"/>
          <w:szCs w:val="24"/>
        </w:rPr>
        <w:t>.2-</w:t>
      </w:r>
      <w:r>
        <w:rPr>
          <w:rFonts w:hint="eastAsia" w:cs="Times New Roman"/>
          <w:b/>
          <w:bCs/>
          <w:spacing w:val="0"/>
          <w:w w:val="100"/>
          <w:position w:val="0"/>
          <w:sz w:val="24"/>
          <w:szCs w:val="24"/>
          <w:lang w:val="en-US" w:eastAsia="zh-CN"/>
        </w:rPr>
        <w:t>4</w:t>
      </w:r>
      <w:r>
        <w:rPr>
          <w:rFonts w:hint="default" w:ascii="Times New Roman" w:hAnsi="Times New Roman" w:eastAsia="宋体" w:cs="Times New Roman"/>
          <w:b/>
          <w:bCs/>
          <w:spacing w:val="0"/>
          <w:w w:val="100"/>
          <w:position w:val="0"/>
          <w:sz w:val="24"/>
          <w:szCs w:val="24"/>
        </w:rPr>
        <w:t>本项目污染物排放清单</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85" w:type="dxa"/>
          <w:bottom w:w="28" w:type="dxa"/>
          <w:right w:w="85" w:type="dxa"/>
        </w:tblCellMar>
      </w:tblPr>
      <w:tblGrid>
        <w:gridCol w:w="647"/>
        <w:gridCol w:w="1133"/>
        <w:gridCol w:w="663"/>
        <w:gridCol w:w="575"/>
        <w:gridCol w:w="194"/>
        <w:gridCol w:w="631"/>
        <w:gridCol w:w="175"/>
        <w:gridCol w:w="286"/>
        <w:gridCol w:w="718"/>
        <w:gridCol w:w="384"/>
        <w:gridCol w:w="1031"/>
        <w:gridCol w:w="336"/>
        <w:gridCol w:w="714"/>
        <w:gridCol w:w="167"/>
        <w:gridCol w:w="677"/>
        <w:gridCol w:w="552"/>
        <w:gridCol w:w="211"/>
        <w:gridCol w:w="24"/>
        <w:gridCol w:w="607"/>
        <w:gridCol w:w="331"/>
        <w:gridCol w:w="881"/>
        <w:gridCol w:w="1106"/>
        <w:gridCol w:w="14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宋体"/>
                <w:b/>
                <w:i w:val="0"/>
                <w:color w:val="auto"/>
                <w:spacing w:val="0"/>
                <w:w w:val="100"/>
                <w:kern w:val="0"/>
                <w:position w:val="0"/>
                <w:sz w:val="21"/>
                <w:szCs w:val="21"/>
                <w:u w:val="none"/>
                <w:lang w:val="en-US" w:eastAsia="zh-CN" w:bidi="ar"/>
              </w:rPr>
            </w:pPr>
            <w:r>
              <w:rPr>
                <w:rFonts w:hint="eastAsia" w:ascii="Times New Roman" w:hAnsi="Times New Roman" w:eastAsia="宋体" w:cs="宋体"/>
                <w:b/>
                <w:i w:val="0"/>
                <w:color w:val="auto"/>
                <w:spacing w:val="0"/>
                <w:w w:val="100"/>
                <w:kern w:val="0"/>
                <w:position w:val="0"/>
                <w:sz w:val="21"/>
                <w:szCs w:val="21"/>
                <w:u w:val="none"/>
                <w:lang w:val="en-US" w:eastAsia="zh-CN" w:bidi="ar"/>
              </w:rPr>
              <w:t>一、工程主要内容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宋体"/>
                <w:b/>
                <w:i w:val="0"/>
                <w:color w:val="auto"/>
                <w:spacing w:val="0"/>
                <w:w w:val="100"/>
                <w:kern w:val="0"/>
                <w:position w:val="0"/>
                <w:sz w:val="21"/>
                <w:szCs w:val="21"/>
                <w:u w:val="none"/>
                <w:lang w:val="en-US" w:eastAsia="zh-CN" w:bidi="ar"/>
              </w:rPr>
            </w:pPr>
            <w:r>
              <w:rPr>
                <w:rFonts w:hint="default" w:ascii="Times New Roman" w:hAnsi="Times New Roman" w:eastAsia="宋体" w:cs="Times New Roman"/>
                <w:spacing w:val="0"/>
                <w:w w:val="100"/>
                <w:position w:val="0"/>
                <w:sz w:val="21"/>
                <w:szCs w:val="21"/>
              </w:rPr>
              <w:t>项目用地面积约</w:t>
            </w:r>
            <w:r>
              <w:rPr>
                <w:rFonts w:hint="eastAsia" w:ascii="Times New Roman" w:hAnsi="Times New Roman" w:eastAsia="宋体" w:cs="Times New Roman"/>
                <w:spacing w:val="0"/>
                <w:w w:val="100"/>
                <w:position w:val="0"/>
                <w:sz w:val="21"/>
                <w:szCs w:val="21"/>
                <w:lang w:val="en-US" w:eastAsia="zh-CN"/>
              </w:rPr>
              <w:t>40000</w:t>
            </w:r>
            <w:r>
              <w:rPr>
                <w:rFonts w:hint="eastAsia" w:cs="Times New Roman"/>
                <w:spacing w:val="0"/>
                <w:w w:val="100"/>
                <w:position w:val="0"/>
                <w:sz w:val="21"/>
                <w:szCs w:val="21"/>
                <w:lang w:val="en-US" w:eastAsia="zh-CN"/>
              </w:rPr>
              <w:t>m</w:t>
            </w:r>
            <w:r>
              <w:rPr>
                <w:rFonts w:hint="eastAsia" w:cs="Times New Roman"/>
                <w:spacing w:val="0"/>
                <w:w w:val="100"/>
                <w:position w:val="0"/>
                <w:sz w:val="21"/>
                <w:szCs w:val="21"/>
                <w:vertAlign w:val="superscript"/>
                <w:lang w:val="en-US" w:eastAsia="zh-CN"/>
              </w:rPr>
              <w:t>2</w:t>
            </w:r>
            <w:r>
              <w:rPr>
                <w:rFonts w:hint="default" w:ascii="Times New Roman" w:hAnsi="Times New Roman" w:eastAsia="宋体" w:cs="Times New Roman"/>
                <w:spacing w:val="0"/>
                <w:w w:val="100"/>
                <w:position w:val="0"/>
                <w:sz w:val="21"/>
                <w:szCs w:val="21"/>
              </w:rPr>
              <w:t>（</w:t>
            </w:r>
            <w:r>
              <w:rPr>
                <w:rFonts w:hint="eastAsia" w:ascii="Times New Roman" w:hAnsi="Times New Roman" w:eastAsia="宋体" w:cs="Times New Roman"/>
                <w:spacing w:val="0"/>
                <w:w w:val="100"/>
                <w:position w:val="0"/>
                <w:sz w:val="21"/>
                <w:szCs w:val="21"/>
                <w:lang w:val="en-US" w:eastAsia="zh-CN"/>
              </w:rPr>
              <w:t>6</w:t>
            </w:r>
            <w:r>
              <w:rPr>
                <w:rFonts w:hint="default" w:ascii="Times New Roman" w:hAnsi="Times New Roman" w:eastAsia="宋体" w:cs="Times New Roman"/>
                <w:spacing w:val="0"/>
                <w:w w:val="100"/>
                <w:position w:val="0"/>
                <w:sz w:val="21"/>
                <w:szCs w:val="21"/>
              </w:rPr>
              <w:t>0亩），总建筑面积</w:t>
            </w:r>
            <w:r>
              <w:rPr>
                <w:rFonts w:hint="eastAsia" w:ascii="Times New Roman" w:hAnsi="Times New Roman" w:eastAsia="宋体" w:cs="Times New Roman"/>
                <w:spacing w:val="0"/>
                <w:w w:val="100"/>
                <w:position w:val="0"/>
                <w:sz w:val="21"/>
                <w:szCs w:val="21"/>
                <w:lang w:val="en-US" w:eastAsia="zh-CN"/>
              </w:rPr>
              <w:t>109449.43</w:t>
            </w:r>
            <w:r>
              <w:rPr>
                <w:rFonts w:hint="eastAsia" w:cs="Times New Roman"/>
                <w:spacing w:val="0"/>
                <w:w w:val="100"/>
                <w:position w:val="0"/>
                <w:sz w:val="21"/>
                <w:szCs w:val="21"/>
                <w:lang w:val="en-US" w:eastAsia="zh-CN"/>
              </w:rPr>
              <w:t>m</w:t>
            </w:r>
            <w:r>
              <w:rPr>
                <w:rFonts w:hint="eastAsia" w:cs="Times New Roman"/>
                <w:spacing w:val="0"/>
                <w:w w:val="100"/>
                <w:position w:val="0"/>
                <w:sz w:val="21"/>
                <w:szCs w:val="21"/>
                <w:vertAlign w:val="superscript"/>
                <w:lang w:val="en-US" w:eastAsia="zh-CN"/>
              </w:rPr>
              <w:t>2</w:t>
            </w:r>
            <w:r>
              <w:rPr>
                <w:rFonts w:hint="default" w:ascii="Times New Roman" w:hAnsi="Times New Roman" w:eastAsia="宋体" w:cs="Times New Roman"/>
                <w:spacing w:val="0"/>
                <w:w w:val="100"/>
                <w:position w:val="0"/>
                <w:sz w:val="21"/>
                <w:szCs w:val="21"/>
              </w:rPr>
              <w:t>。项目建成后，形成年织造1.</w:t>
            </w:r>
            <w:r>
              <w:rPr>
                <w:rFonts w:hint="eastAsia" w:ascii="Times New Roman" w:hAnsi="Times New Roman" w:eastAsia="宋体" w:cs="Times New Roman"/>
                <w:spacing w:val="0"/>
                <w:w w:val="100"/>
                <w:position w:val="0"/>
                <w:sz w:val="21"/>
                <w:szCs w:val="21"/>
                <w:lang w:val="en-US" w:eastAsia="zh-CN"/>
              </w:rPr>
              <w:t>9</w:t>
            </w:r>
            <w:r>
              <w:rPr>
                <w:rFonts w:hint="default" w:ascii="Times New Roman" w:hAnsi="Times New Roman" w:eastAsia="宋体" w:cs="Times New Roman"/>
                <w:spacing w:val="0"/>
                <w:w w:val="100"/>
                <w:position w:val="0"/>
                <w:sz w:val="21"/>
                <w:szCs w:val="21"/>
              </w:rPr>
              <w:t>5万吨针织坯布（</w:t>
            </w:r>
            <w:r>
              <w:rPr>
                <w:rFonts w:hint="eastAsia" w:ascii="Times New Roman" w:hAnsi="Times New Roman" w:eastAsia="宋体" w:cs="Times New Roman"/>
                <w:spacing w:val="0"/>
                <w:w w:val="100"/>
                <w:position w:val="0"/>
                <w:sz w:val="21"/>
                <w:szCs w:val="21"/>
                <w:lang w:eastAsia="zh-CN"/>
              </w:rPr>
              <w:t>原料中的</w:t>
            </w:r>
            <w:r>
              <w:rPr>
                <w:rFonts w:hint="default" w:ascii="Times New Roman" w:hAnsi="Times New Roman" w:eastAsia="宋体" w:cs="Times New Roman"/>
                <w:spacing w:val="0"/>
                <w:w w:val="100"/>
                <w:position w:val="0"/>
                <w:sz w:val="21"/>
                <w:szCs w:val="21"/>
              </w:rPr>
              <w:t>锦纶、氨纶、FDY涤纶长丝均外购）、年染整1.</w:t>
            </w:r>
            <w:r>
              <w:rPr>
                <w:rFonts w:hint="eastAsia" w:ascii="Times New Roman" w:hAnsi="Times New Roman" w:eastAsia="宋体" w:cs="Times New Roman"/>
                <w:spacing w:val="0"/>
                <w:w w:val="100"/>
                <w:position w:val="0"/>
                <w:sz w:val="21"/>
                <w:szCs w:val="21"/>
                <w:lang w:val="en-US" w:eastAsia="zh-CN"/>
              </w:rPr>
              <w:t>9</w:t>
            </w:r>
            <w:r>
              <w:rPr>
                <w:rFonts w:hint="default" w:ascii="Times New Roman" w:hAnsi="Times New Roman" w:eastAsia="宋体" w:cs="Times New Roman"/>
                <w:spacing w:val="0"/>
                <w:w w:val="100"/>
                <w:position w:val="0"/>
                <w:sz w:val="21"/>
                <w:szCs w:val="21"/>
              </w:rPr>
              <w:t>5万吨针织坯布的能力（全部为本项目织造的坯布）</w:t>
            </w:r>
            <w:r>
              <w:rPr>
                <w:rFonts w:hint="eastAsia" w:ascii="Times New Roman" w:hAnsi="Times New Roman" w:eastAsia="宋体" w:cs="Times New Roman"/>
                <w:spacing w:val="0"/>
                <w:w w:val="100"/>
                <w:position w:val="0"/>
                <w:sz w:val="21"/>
                <w:szCs w:val="21"/>
                <w:lang w:eastAsia="zh-CN"/>
              </w:rPr>
              <w:t>、年加工处理</w:t>
            </w:r>
            <w:r>
              <w:rPr>
                <w:rFonts w:hint="eastAsia" w:ascii="Times New Roman" w:hAnsi="Times New Roman" w:eastAsia="宋体" w:cs="Times New Roman"/>
                <w:spacing w:val="0"/>
                <w:w w:val="100"/>
                <w:position w:val="0"/>
                <w:sz w:val="21"/>
                <w:szCs w:val="21"/>
                <w:lang w:val="en-US" w:eastAsia="zh-CN"/>
              </w:rPr>
              <w:t>4500吨印花面料的能力</w:t>
            </w:r>
            <w:r>
              <w:rPr>
                <w:rFonts w:hint="default" w:ascii="Times New Roman" w:hAnsi="Times New Roman" w:eastAsia="宋体" w:cs="Times New Roman"/>
                <w:spacing w:val="0"/>
                <w:w w:val="100"/>
                <w:position w:val="0"/>
                <w:sz w:val="21"/>
                <w:szCs w:val="21"/>
              </w:rPr>
              <w:t>（全部为本项目织造的坯布）。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宋体"/>
                <w:b/>
                <w:i w:val="0"/>
                <w:color w:val="auto"/>
                <w:spacing w:val="0"/>
                <w:w w:val="100"/>
                <w:kern w:val="0"/>
                <w:position w:val="0"/>
                <w:sz w:val="21"/>
                <w:szCs w:val="21"/>
                <w:u w:val="none"/>
                <w:lang w:val="en-US" w:eastAsia="zh-CN" w:bidi="ar"/>
              </w:rPr>
            </w:pPr>
            <w:r>
              <w:rPr>
                <w:rFonts w:hint="eastAsia" w:ascii="Times New Roman" w:hAnsi="Times New Roman" w:eastAsia="宋体" w:cs="宋体"/>
                <w:b/>
                <w:i w:val="0"/>
                <w:color w:val="auto"/>
                <w:spacing w:val="0"/>
                <w:w w:val="100"/>
                <w:kern w:val="0"/>
                <w:position w:val="0"/>
                <w:sz w:val="21"/>
                <w:szCs w:val="21"/>
                <w:u w:val="none"/>
                <w:lang w:val="en-US" w:eastAsia="zh-CN" w:bidi="ar"/>
              </w:rPr>
              <w:t>二、污染物排放清单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宋体"/>
                <w:b/>
                <w:i w:val="0"/>
                <w:color w:val="auto"/>
                <w:spacing w:val="0"/>
                <w:w w:val="100"/>
                <w:kern w:val="0"/>
                <w:position w:val="0"/>
                <w:sz w:val="21"/>
                <w:szCs w:val="21"/>
                <w:u w:val="none"/>
                <w:lang w:val="en-US" w:eastAsia="zh-CN" w:bidi="ar"/>
              </w:rPr>
            </w:pPr>
            <w:r>
              <w:rPr>
                <w:rFonts w:hint="eastAsia" w:ascii="Times New Roman" w:hAnsi="Times New Roman" w:eastAsia="宋体" w:cs="宋体"/>
                <w:b/>
                <w:i w:val="0"/>
                <w:color w:val="auto"/>
                <w:spacing w:val="0"/>
                <w:w w:val="100"/>
                <w:kern w:val="0"/>
                <w:position w:val="0"/>
                <w:sz w:val="21"/>
                <w:szCs w:val="21"/>
                <w:u w:val="none"/>
                <w:lang w:val="en-US" w:eastAsia="zh-CN" w:bidi="ar"/>
              </w:rPr>
              <w:t>1、废气排放清单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编号</w:t>
            </w:r>
          </w:p>
        </w:tc>
        <w:tc>
          <w:tcPr>
            <w:tcW w:w="66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污染源</w:t>
            </w:r>
          </w:p>
        </w:tc>
        <w:tc>
          <w:tcPr>
            <w:tcW w:w="28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b/>
                <w:bCs/>
                <w:color w:val="auto"/>
                <w:spacing w:val="0"/>
                <w:w w:val="100"/>
                <w:position w:val="0"/>
                <w:sz w:val="21"/>
                <w:szCs w:val="21"/>
                <w:lang w:val="en-US" w:eastAsia="zh-CN" w:bidi="ar"/>
              </w:rPr>
            </w:pPr>
            <w:r>
              <w:rPr>
                <w:rFonts w:hint="eastAsia" w:ascii="Times New Roman" w:hAnsi="Times New Roman" w:eastAsia="宋体"/>
                <w:b/>
                <w:bCs/>
                <w:color w:val="auto"/>
                <w:spacing w:val="0"/>
                <w:w w:val="100"/>
                <w:position w:val="0"/>
                <w:sz w:val="21"/>
                <w:szCs w:val="21"/>
                <w:lang w:val="en-US" w:eastAsia="zh-CN" w:bidi="ar"/>
              </w:rPr>
              <w:t>运行时间</w:t>
            </w:r>
            <w:r>
              <w:rPr>
                <w:rFonts w:hint="eastAsia" w:ascii="Times New Roman" w:hAnsi="Times New Roman"/>
                <w:b/>
                <w:bCs/>
                <w:color w:val="auto"/>
                <w:spacing w:val="0"/>
                <w:w w:val="100"/>
                <w:position w:val="0"/>
                <w:sz w:val="21"/>
                <w:szCs w:val="21"/>
                <w:lang w:val="en-US" w:eastAsia="zh-CN" w:bidi="ar"/>
              </w:rPr>
              <w:t>(</w:t>
            </w:r>
            <w:r>
              <w:rPr>
                <w:rFonts w:hint="eastAsia" w:ascii="Times New Roman" w:hAnsi="Times New Roman" w:eastAsia="宋体"/>
                <w:b/>
                <w:bCs/>
                <w:color w:val="auto"/>
                <w:spacing w:val="0"/>
                <w:w w:val="100"/>
                <w:position w:val="0"/>
                <w:sz w:val="21"/>
                <w:szCs w:val="21"/>
                <w:lang w:val="en-US" w:eastAsia="zh-CN" w:bidi="ar"/>
              </w:rPr>
              <w:t>h/a)</w:t>
            </w:r>
          </w:p>
        </w:tc>
        <w:tc>
          <w:tcPr>
            <w:tcW w:w="29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i w:val="0"/>
                <w:color w:val="auto"/>
                <w:spacing w:val="0"/>
                <w:w w:val="100"/>
                <w:kern w:val="0"/>
                <w:position w:val="0"/>
                <w:sz w:val="21"/>
                <w:szCs w:val="21"/>
                <w:u w:val="none"/>
                <w:lang w:val="en-US" w:eastAsia="zh-CN" w:bidi="ar"/>
              </w:rPr>
            </w:pPr>
            <w:r>
              <w:rPr>
                <w:rFonts w:hint="eastAsia" w:ascii="Times New Roman" w:hAnsi="Times New Roman" w:eastAsia="宋体" w:cs="宋体"/>
                <w:b/>
                <w:bCs/>
                <w:i w:val="0"/>
                <w:color w:val="auto"/>
                <w:spacing w:val="0"/>
                <w:w w:val="100"/>
                <w:kern w:val="0"/>
                <w:position w:val="0"/>
                <w:sz w:val="21"/>
                <w:szCs w:val="21"/>
                <w:u w:val="none"/>
                <w:lang w:val="en-US" w:eastAsia="zh-CN" w:bidi="ar"/>
              </w:rPr>
              <w:t>废气量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i w:val="0"/>
                <w:color w:val="auto"/>
                <w:spacing w:val="0"/>
                <w:w w:val="100"/>
                <w:position w:val="0"/>
                <w:sz w:val="21"/>
                <w:szCs w:val="21"/>
                <w:u w:val="none"/>
              </w:rPr>
            </w:pPr>
            <w:r>
              <w:rPr>
                <w:rFonts w:hint="eastAsia" w:ascii="Times New Roman" w:hAnsi="Times New Roman"/>
                <w:b/>
                <w:bCs/>
                <w:color w:val="auto"/>
                <w:spacing w:val="0"/>
                <w:w w:val="100"/>
                <w:position w:val="0"/>
                <w:sz w:val="21"/>
                <w:szCs w:val="21"/>
                <w:lang w:val="en-US" w:eastAsia="zh-CN" w:bidi="ar"/>
              </w:rPr>
              <w:t>(</w:t>
            </w:r>
            <w:r>
              <w:rPr>
                <w:rFonts w:ascii="Times New Roman" w:hAnsi="Times New Roman" w:eastAsia="宋体"/>
                <w:b/>
                <w:bCs/>
                <w:color w:val="auto"/>
                <w:spacing w:val="0"/>
                <w:w w:val="100"/>
                <w:position w:val="0"/>
                <w:sz w:val="21"/>
                <w:szCs w:val="21"/>
                <w:lang w:val="en-US" w:eastAsia="zh-CN" w:bidi="ar"/>
              </w:rPr>
              <w:t>m</w:t>
            </w:r>
            <w:r>
              <w:rPr>
                <w:rFonts w:ascii="Times New Roman" w:hAnsi="Times New Roman" w:eastAsia="宋体"/>
                <w:b/>
                <w:bCs/>
                <w:color w:val="auto"/>
                <w:spacing w:val="0"/>
                <w:w w:val="100"/>
                <w:position w:val="0"/>
                <w:sz w:val="21"/>
                <w:szCs w:val="21"/>
                <w:vertAlign w:val="superscript"/>
                <w:lang w:val="en-US" w:eastAsia="zh-CN" w:bidi="ar"/>
              </w:rPr>
              <w:t>3</w:t>
            </w:r>
            <w:r>
              <w:rPr>
                <w:rFonts w:ascii="Times New Roman" w:hAnsi="Times New Roman" w:eastAsia="宋体"/>
                <w:b/>
                <w:bCs/>
                <w:color w:val="auto"/>
                <w:spacing w:val="0"/>
                <w:w w:val="100"/>
                <w:position w:val="0"/>
                <w:sz w:val="21"/>
                <w:szCs w:val="21"/>
                <w:lang w:val="en-US" w:eastAsia="zh-CN" w:bidi="ar"/>
              </w:rPr>
              <w:t>/h</w:t>
            </w:r>
            <w:r>
              <w:rPr>
                <w:rFonts w:hint="eastAsia" w:ascii="Times New Roman" w:hAnsi="Times New Roman"/>
                <w:b/>
                <w:bCs/>
                <w:color w:val="auto"/>
                <w:spacing w:val="0"/>
                <w:w w:val="100"/>
                <w:position w:val="0"/>
                <w:sz w:val="21"/>
                <w:szCs w:val="21"/>
                <w:lang w:val="en-US" w:eastAsia="zh-CN" w:bidi="ar"/>
              </w:rPr>
              <w:t>)</w:t>
            </w: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污染物</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b/>
                <w:bCs/>
                <w:color w:val="auto"/>
                <w:spacing w:val="0"/>
                <w:w w:val="100"/>
                <w:position w:val="0"/>
                <w:sz w:val="21"/>
                <w:szCs w:val="21"/>
                <w:lang w:val="en-US" w:eastAsia="zh-CN" w:bidi="ar"/>
              </w:rPr>
            </w:pPr>
            <w:r>
              <w:rPr>
                <w:rFonts w:ascii="Times New Roman" w:hAnsi="Times New Roman" w:eastAsia="宋体"/>
                <w:b/>
                <w:bCs/>
                <w:color w:val="auto"/>
                <w:spacing w:val="0"/>
                <w:w w:val="100"/>
                <w:position w:val="0"/>
                <w:sz w:val="21"/>
                <w:szCs w:val="21"/>
                <w:lang w:val="en-US" w:eastAsia="zh-CN" w:bidi="ar"/>
              </w:rPr>
              <w:t>排放浓度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hint="eastAsia" w:ascii="Times New Roman" w:hAnsi="Times New Roman"/>
                <w:b/>
                <w:bCs/>
                <w:color w:val="auto"/>
                <w:spacing w:val="0"/>
                <w:w w:val="100"/>
                <w:position w:val="0"/>
                <w:sz w:val="21"/>
                <w:szCs w:val="21"/>
                <w:lang w:val="en-US" w:eastAsia="zh-CN" w:bidi="ar"/>
              </w:rPr>
              <w:t>(</w:t>
            </w:r>
            <w:r>
              <w:rPr>
                <w:rFonts w:ascii="Times New Roman" w:hAnsi="Times New Roman" w:eastAsia="宋体"/>
                <w:b/>
                <w:bCs/>
                <w:color w:val="auto"/>
                <w:spacing w:val="0"/>
                <w:w w:val="100"/>
                <w:position w:val="0"/>
                <w:sz w:val="21"/>
                <w:szCs w:val="21"/>
                <w:lang w:val="en-US" w:eastAsia="zh-CN" w:bidi="ar"/>
              </w:rPr>
              <w:t>mg/m</w:t>
            </w:r>
            <w:r>
              <w:rPr>
                <w:rFonts w:ascii="Times New Roman" w:hAnsi="Times New Roman" w:eastAsia="宋体"/>
                <w:b/>
                <w:bCs/>
                <w:color w:val="auto"/>
                <w:spacing w:val="0"/>
                <w:w w:val="100"/>
                <w:position w:val="0"/>
                <w:sz w:val="21"/>
                <w:szCs w:val="21"/>
                <w:vertAlign w:val="superscript"/>
                <w:lang w:val="en-US" w:eastAsia="zh-CN" w:bidi="ar"/>
              </w:rPr>
              <w:t>3</w:t>
            </w:r>
            <w:r>
              <w:rPr>
                <w:rFonts w:hint="eastAsia" w:ascii="Times New Roman" w:hAnsi="Times New Roman"/>
                <w:b/>
                <w:bCs/>
                <w:color w:val="auto"/>
                <w:spacing w:val="0"/>
                <w:w w:val="100"/>
                <w:position w:val="0"/>
                <w:sz w:val="21"/>
                <w:szCs w:val="21"/>
                <w:lang w:val="en-US" w:eastAsia="zh-CN" w:bidi="ar"/>
              </w:rPr>
              <w:t>)</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b/>
                <w:bCs/>
                <w:color w:val="auto"/>
                <w:spacing w:val="0"/>
                <w:w w:val="100"/>
                <w:position w:val="0"/>
                <w:sz w:val="21"/>
                <w:szCs w:val="21"/>
                <w:lang w:val="en-US" w:eastAsia="zh-CN" w:bidi="ar"/>
              </w:rPr>
            </w:pPr>
            <w:r>
              <w:rPr>
                <w:rFonts w:hint="eastAsia" w:ascii="Times New Roman" w:hAnsi="Times New Roman" w:eastAsia="宋体"/>
                <w:b/>
                <w:bCs/>
                <w:color w:val="auto"/>
                <w:spacing w:val="0"/>
                <w:w w:val="100"/>
                <w:position w:val="0"/>
                <w:sz w:val="21"/>
                <w:szCs w:val="21"/>
                <w:lang w:val="en-US" w:eastAsia="zh-CN" w:bidi="ar"/>
              </w:rPr>
              <w:t>排放</w:t>
            </w:r>
            <w:r>
              <w:rPr>
                <w:rFonts w:ascii="Times New Roman" w:hAnsi="Times New Roman" w:eastAsia="宋体"/>
                <w:b/>
                <w:bCs/>
                <w:color w:val="auto"/>
                <w:spacing w:val="0"/>
                <w:w w:val="100"/>
                <w:position w:val="0"/>
                <w:sz w:val="21"/>
                <w:szCs w:val="21"/>
                <w:lang w:val="en-US" w:eastAsia="zh-CN" w:bidi="ar"/>
              </w:rPr>
              <w:t>速率</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（kg/h）</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b/>
                <w:bCs/>
                <w:color w:val="auto"/>
                <w:spacing w:val="0"/>
                <w:w w:val="100"/>
                <w:position w:val="0"/>
                <w:sz w:val="21"/>
                <w:szCs w:val="21"/>
                <w:lang w:val="en-US" w:eastAsia="zh-CN" w:bidi="ar"/>
              </w:rPr>
            </w:pPr>
            <w:r>
              <w:rPr>
                <w:rFonts w:ascii="Times New Roman" w:hAnsi="Times New Roman" w:eastAsia="宋体"/>
                <w:b/>
                <w:bCs/>
                <w:color w:val="auto"/>
                <w:spacing w:val="0"/>
                <w:w w:val="100"/>
                <w:position w:val="0"/>
                <w:sz w:val="21"/>
                <w:szCs w:val="21"/>
                <w:lang w:val="en-US" w:eastAsia="zh-CN" w:bidi="ar"/>
              </w:rPr>
              <w:t>排放量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（t/a）</w:t>
            </w:r>
          </w:p>
        </w:tc>
        <w:tc>
          <w:tcPr>
            <w:tcW w:w="29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b/>
                <w:bCs/>
                <w:color w:val="auto"/>
                <w:spacing w:val="0"/>
                <w:w w:val="100"/>
                <w:position w:val="0"/>
                <w:sz w:val="21"/>
                <w:szCs w:val="21"/>
                <w:lang w:val="en-US" w:eastAsia="zh-CN" w:bidi="ar"/>
              </w:rPr>
            </w:pPr>
            <w:r>
              <w:rPr>
                <w:rFonts w:hint="eastAsia" w:ascii="Times New Roman" w:hAnsi="Times New Roman" w:eastAsia="宋体"/>
                <w:b/>
                <w:bCs/>
                <w:color w:val="auto"/>
                <w:spacing w:val="0"/>
                <w:w w:val="100"/>
                <w:position w:val="0"/>
                <w:sz w:val="21"/>
                <w:szCs w:val="21"/>
                <w:lang w:val="en-US" w:eastAsia="zh-CN" w:bidi="ar"/>
              </w:rPr>
              <w:t>总量控制</w:t>
            </w:r>
            <w:r>
              <w:rPr>
                <w:rFonts w:ascii="Times New Roman" w:hAnsi="Times New Roman" w:eastAsia="宋体"/>
                <w:b/>
                <w:bCs/>
                <w:color w:val="auto"/>
                <w:spacing w:val="0"/>
                <w:w w:val="100"/>
                <w:position w:val="0"/>
                <w:sz w:val="21"/>
                <w:szCs w:val="21"/>
                <w:lang w:val="en-US" w:eastAsia="zh-CN" w:bidi="ar"/>
              </w:rPr>
              <w:t>（t/a）</w:t>
            </w:r>
          </w:p>
        </w:tc>
        <w:tc>
          <w:tcPr>
            <w:tcW w:w="348"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治理措施</w:t>
            </w:r>
          </w:p>
        </w:tc>
        <w:tc>
          <w:tcPr>
            <w:tcW w:w="32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排气筒参数</w:t>
            </w:r>
          </w:p>
        </w:tc>
        <w:tc>
          <w:tcPr>
            <w:tcW w:w="4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i w:val="0"/>
                <w:color w:val="auto"/>
                <w:spacing w:val="0"/>
                <w:w w:val="100"/>
                <w:position w:val="0"/>
                <w:sz w:val="21"/>
                <w:szCs w:val="21"/>
                <w:u w:val="none"/>
              </w:rPr>
            </w:pPr>
            <w:r>
              <w:rPr>
                <w:rFonts w:ascii="Times New Roman" w:hAnsi="Times New Roman" w:eastAsia="宋体"/>
                <w:b/>
                <w:bCs/>
                <w:color w:val="auto"/>
                <w:spacing w:val="0"/>
                <w:w w:val="100"/>
                <w:position w:val="0"/>
                <w:sz w:val="21"/>
                <w:szCs w:val="21"/>
                <w:lang w:val="en-US" w:eastAsia="zh-CN" w:bidi="ar"/>
              </w:rPr>
              <w:t>浓度限值（mg/m</w:t>
            </w:r>
            <w:r>
              <w:rPr>
                <w:rFonts w:ascii="Times New Roman" w:hAnsi="Times New Roman" w:eastAsia="宋体"/>
                <w:b/>
                <w:bCs/>
                <w:color w:val="auto"/>
                <w:spacing w:val="0"/>
                <w:w w:val="100"/>
                <w:position w:val="0"/>
                <w:sz w:val="21"/>
                <w:szCs w:val="21"/>
                <w:vertAlign w:val="superscript"/>
                <w:lang w:val="en-US" w:eastAsia="zh-CN" w:bidi="ar"/>
              </w:rPr>
              <w:t>3</w:t>
            </w:r>
            <w:r>
              <w:rPr>
                <w:rFonts w:ascii="Times New Roman" w:hAnsi="Times New Roman" w:eastAsia="宋体"/>
                <w:b/>
                <w:bCs/>
                <w:color w:val="auto"/>
                <w:spacing w:val="0"/>
                <w:w w:val="100"/>
                <w:position w:val="0"/>
                <w:sz w:val="21"/>
                <w:szCs w:val="21"/>
                <w:lang w:val="en-US" w:eastAsia="zh-CN" w:bidi="ar"/>
              </w:rPr>
              <w:t>）</w:t>
            </w:r>
          </w:p>
        </w:tc>
        <w:tc>
          <w:tcPr>
            <w:tcW w:w="5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default" w:ascii="Times New Roman" w:hAnsi="Times New Roman" w:eastAsia="宋体"/>
                <w:color w:val="auto"/>
                <w:spacing w:val="0"/>
                <w:w w:val="100"/>
                <w:position w:val="0"/>
                <w:lang w:val="en-US" w:eastAsia="zh-CN"/>
              </w:rPr>
              <w:t>P</w:t>
            </w:r>
            <w:r>
              <w:rPr>
                <w:rFonts w:hint="eastAsia" w:ascii="Times New Roman" w:hAnsi="Times New Roman" w:eastAsia="宋体"/>
                <w:color w:val="auto"/>
                <w:spacing w:val="0"/>
                <w:w w:val="100"/>
                <w:position w:val="0"/>
                <w:lang w:val="en-US" w:eastAsia="zh-CN"/>
              </w:rPr>
              <w:t>1</w:t>
            </w:r>
          </w:p>
        </w:tc>
        <w:tc>
          <w:tcPr>
            <w:tcW w:w="667"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lang w:val="en-US"/>
              </w:rPr>
            </w:pPr>
            <w:r>
              <w:rPr>
                <w:rFonts w:hint="eastAsia" w:ascii="Times New Roman" w:hAnsi="Times New Roman" w:eastAsia="宋体"/>
                <w:color w:val="auto"/>
                <w:spacing w:val="0"/>
                <w:w w:val="100"/>
                <w:position w:val="0"/>
                <w:lang w:val="en-US" w:eastAsia="zh-CN" w:bidi="ar"/>
              </w:rPr>
              <w:t>后整理车</w:t>
            </w:r>
            <w:r>
              <w:rPr>
                <w:rFonts w:ascii="Times New Roman" w:hAnsi="Times New Roman" w:eastAsia="宋体"/>
                <w:color w:val="auto"/>
                <w:spacing w:val="0"/>
                <w:w w:val="100"/>
                <w:position w:val="0"/>
                <w:lang w:val="en-US" w:eastAsia="zh-CN" w:bidi="ar"/>
              </w:rPr>
              <w:t>间（二层）-</w:t>
            </w:r>
            <w:r>
              <w:rPr>
                <w:rFonts w:hint="eastAsia" w:ascii="Times New Roman" w:hAnsi="Times New Roman" w:eastAsia="宋体"/>
                <w:color w:val="auto"/>
                <w:spacing w:val="0"/>
                <w:w w:val="100"/>
                <w:position w:val="0"/>
                <w:lang w:val="en-US" w:eastAsia="zh-CN" w:bidi="ar"/>
              </w:rPr>
              <w:t>1</w:t>
            </w:r>
            <w:r>
              <w:rPr>
                <w:rFonts w:ascii="Times New Roman" w:hAnsi="Times New Roman" w:eastAsia="宋体"/>
                <w:color w:val="auto"/>
                <w:spacing w:val="0"/>
                <w:w w:val="100"/>
                <w:position w:val="0"/>
                <w:lang w:val="en-US" w:eastAsia="zh-CN" w:bidi="ar"/>
              </w:rPr>
              <w:t>台定型机</w:t>
            </w:r>
          </w:p>
        </w:tc>
        <w:tc>
          <w:tcPr>
            <w:tcW w:w="285"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7920</w:t>
            </w:r>
          </w:p>
        </w:tc>
        <w:tc>
          <w:tcPr>
            <w:tcW w:w="299"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rPr>
            </w:pPr>
            <w:r>
              <w:rPr>
                <w:rFonts w:hint="eastAsia" w:ascii="Times New Roman" w:hAnsi="Times New Roman" w:eastAsia="宋体"/>
                <w:color w:val="auto"/>
                <w:spacing w:val="0"/>
                <w:w w:val="100"/>
                <w:position w:val="0"/>
                <w:lang w:val="en-US" w:eastAsia="zh-CN"/>
              </w:rPr>
              <w:t>2</w:t>
            </w:r>
            <w:r>
              <w:rPr>
                <w:rFonts w:hint="default" w:ascii="Times New Roman" w:hAnsi="Times New Roman" w:eastAsia="宋体"/>
                <w:color w:val="auto"/>
                <w:spacing w:val="0"/>
                <w:w w:val="100"/>
                <w:position w:val="0"/>
                <w:lang w:val="en-US" w:eastAsia="zh-CN"/>
              </w:rPr>
              <w:t>0000</w:t>
            </w: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rPr>
            </w:pPr>
            <w:r>
              <w:rPr>
                <w:rFonts w:hint="eastAsia" w:ascii="Times New Roman" w:hAnsi="Times New Roman" w:eastAsia="宋体" w:cs="宋体"/>
                <w:i w:val="0"/>
                <w:color w:val="auto"/>
                <w:spacing w:val="0"/>
                <w:w w:val="100"/>
                <w:kern w:val="0"/>
                <w:position w:val="0"/>
                <w:sz w:val="21"/>
                <w:szCs w:val="21"/>
                <w:u w:val="none"/>
                <w:lang w:val="en-US" w:eastAsia="zh-CN" w:bidi="ar"/>
              </w:rPr>
              <w:t>颗粒物</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10</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0.2</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1.584</w:t>
            </w:r>
          </w:p>
        </w:tc>
        <w:tc>
          <w:tcPr>
            <w:tcW w:w="292" w:type="pct"/>
            <w:gridSpan w:val="3"/>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非甲烷总烃28.124</w:t>
            </w:r>
          </w:p>
        </w:tc>
        <w:tc>
          <w:tcPr>
            <w:tcW w:w="348"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4台热回收+冷却+静电一体化废气处理设备</w:t>
            </w:r>
          </w:p>
        </w:tc>
        <w:tc>
          <w:tcPr>
            <w:tcW w:w="327" w:type="pct"/>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厂房屋顶，</w:t>
            </w:r>
            <w:r>
              <w:rPr>
                <w:rFonts w:ascii="Times New Roman" w:hAnsi="Times New Roman" w:eastAsia="宋体"/>
                <w:color w:val="auto"/>
                <w:spacing w:val="0"/>
                <w:w w:val="100"/>
                <w:position w:val="0"/>
                <w:lang w:val="en-US" w:eastAsia="zh-CN"/>
              </w:rPr>
              <w:t>H</w:t>
            </w:r>
            <w:r>
              <w:rPr>
                <w:rFonts w:hint="eastAsia" w:ascii="Times New Roman" w:hAnsi="Times New Roman" w:eastAsia="宋体"/>
                <w:color w:val="auto"/>
                <w:spacing w:val="0"/>
                <w:w w:val="100"/>
                <w:position w:val="0"/>
                <w:lang w:val="en-US" w:eastAsia="zh-CN"/>
              </w:rPr>
              <w:t>30</w:t>
            </w:r>
            <w:r>
              <w:rPr>
                <w:rFonts w:ascii="Times New Roman" w:hAnsi="Times New Roman" w:eastAsia="宋体"/>
                <w:color w:val="auto"/>
                <w:spacing w:val="0"/>
                <w:w w:val="100"/>
                <w:position w:val="0"/>
                <w:lang w:val="en-US" w:eastAsia="zh-CN"/>
              </w:rPr>
              <w:t>m</w:t>
            </w:r>
            <w:r>
              <w:rPr>
                <w:rFonts w:hint="eastAsia" w:ascii="Times New Roman" w:hAnsi="Times New Roman" w:eastAsia="宋体"/>
                <w:color w:val="auto"/>
                <w:spacing w:val="0"/>
                <w:w w:val="100"/>
                <w:position w:val="0"/>
                <w:lang w:val="en-US" w:eastAsia="zh-CN"/>
              </w:rPr>
              <w:t>，</w:t>
            </w:r>
            <w:r>
              <w:rPr>
                <w:rFonts w:ascii="Times New Roman" w:hAnsi="Times New Roman" w:eastAsia="宋体"/>
                <w:color w:val="auto"/>
                <w:spacing w:val="0"/>
                <w:w w:val="100"/>
                <w:position w:val="0"/>
              </w:rPr>
              <w:t>Φ</w:t>
            </w:r>
            <w:r>
              <w:rPr>
                <w:rFonts w:hint="eastAsia" w:ascii="Times New Roman" w:hAnsi="Times New Roman" w:eastAsia="宋体"/>
                <w:color w:val="auto"/>
                <w:spacing w:val="0"/>
                <w:w w:val="100"/>
                <w:position w:val="0"/>
                <w:lang w:val="en-US" w:eastAsia="zh-CN"/>
              </w:rPr>
              <w:t>1.8</w:t>
            </w:r>
            <w:r>
              <w:rPr>
                <w:rFonts w:ascii="Times New Roman" w:hAnsi="Times New Roman" w:eastAsia="宋体"/>
                <w:color w:val="auto"/>
                <w:spacing w:val="0"/>
                <w:w w:val="100"/>
                <w:position w:val="0"/>
                <w:lang w:val="en-US" w:eastAsia="zh-CN"/>
              </w:rPr>
              <w:t>m</w:t>
            </w: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rPr>
            </w:pPr>
            <w:r>
              <w:rPr>
                <w:rFonts w:hint="default" w:ascii="Times New Roman" w:hAnsi="Times New Roman" w:eastAsia="宋体" w:cs="Times New Roman"/>
                <w:color w:val="auto"/>
                <w:spacing w:val="0"/>
                <w:w w:val="100"/>
                <w:position w:val="0"/>
              </w:rPr>
              <w:t>15</w:t>
            </w:r>
          </w:p>
        </w:tc>
        <w:tc>
          <w:tcPr>
            <w:tcW w:w="52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ascii="Times New Roman" w:hAnsi="Times New Roman" w:eastAsia="宋体"/>
                <w:color w:val="auto"/>
                <w:spacing w:val="0"/>
                <w:w w:val="100"/>
                <w:position w:val="0"/>
              </w:rPr>
              <w:t>《纺织染整工业大气污染物排放标准》</w:t>
            </w:r>
            <w:r>
              <w:rPr>
                <w:rFonts w:hint="eastAsia" w:ascii="Times New Roman" w:hAnsi="Times New Roman" w:eastAsia="宋体"/>
                <w:color w:val="auto"/>
                <w:spacing w:val="0"/>
                <w:w w:val="100"/>
                <w:position w:val="0"/>
              </w:rPr>
              <w:t>（</w:t>
            </w:r>
            <w:r>
              <w:rPr>
                <w:rFonts w:ascii="Times New Roman" w:hAnsi="Times New Roman" w:eastAsia="宋体"/>
                <w:color w:val="auto"/>
                <w:spacing w:val="0"/>
                <w:w w:val="100"/>
                <w:position w:val="0"/>
              </w:rPr>
              <w:t>DB33/962-2015</w:t>
            </w:r>
            <w:r>
              <w:rPr>
                <w:rFonts w:hint="eastAsia" w:ascii="Times New Roman" w:hAnsi="Times New Roman" w:eastAsia="宋体"/>
                <w:color w:val="auto"/>
                <w:spacing w:val="0"/>
                <w:w w:val="100"/>
                <w:position w:val="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s="宋体"/>
                <w:i w:val="0"/>
                <w:color w:val="auto"/>
                <w:spacing w:val="0"/>
                <w:w w:val="100"/>
                <w:kern w:val="0"/>
                <w:position w:val="0"/>
                <w:sz w:val="21"/>
                <w:szCs w:val="21"/>
                <w:u w:val="none"/>
                <w:lang w:val="en-US" w:eastAsia="zh-CN" w:bidi="ar"/>
              </w:rPr>
              <w:t>油烟</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15</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0.3</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2.376</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rPr>
            </w:pPr>
            <w:r>
              <w:rPr>
                <w:rFonts w:hint="default" w:ascii="Times New Roman" w:hAnsi="Times New Roman" w:eastAsia="宋体" w:cs="Times New Roman"/>
                <w:color w:val="auto"/>
                <w:spacing w:val="0"/>
                <w:w w:val="100"/>
                <w:position w:val="0"/>
              </w:rPr>
              <w:t>15</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s="宋体"/>
                <w:i w:val="0"/>
                <w:color w:val="auto"/>
                <w:spacing w:val="0"/>
                <w:w w:val="100"/>
                <w:kern w:val="0"/>
                <w:position w:val="0"/>
                <w:sz w:val="21"/>
                <w:szCs w:val="21"/>
                <w:u w:val="none"/>
                <w:lang w:val="en-US" w:eastAsia="zh-CN" w:bidi="ar"/>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lang w:val="en-US"/>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0.12</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0.950</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rPr>
            </w:pPr>
            <w:r>
              <w:rPr>
                <w:rFonts w:hint="default" w:ascii="Times New Roman" w:hAnsi="Times New Roman" w:eastAsia="宋体" w:cs="Times New Roman"/>
                <w:color w:val="auto"/>
                <w:spacing w:val="0"/>
                <w:w w:val="100"/>
                <w:position w:val="0"/>
              </w:rPr>
              <w:t>40</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bidi="ar"/>
              </w:rPr>
              <w:t>1#</w:t>
            </w:r>
            <w:r>
              <w:rPr>
                <w:rFonts w:ascii="Times New Roman" w:hAnsi="Times New Roman" w:eastAsia="宋体"/>
                <w:color w:val="auto"/>
                <w:spacing w:val="0"/>
                <w:w w:val="100"/>
                <w:position w:val="0"/>
                <w:lang w:val="en-US" w:eastAsia="zh-CN" w:bidi="ar"/>
              </w:rPr>
              <w:t>定型车间（</w:t>
            </w:r>
            <w:r>
              <w:rPr>
                <w:rFonts w:hint="eastAsia" w:ascii="Times New Roman" w:hAnsi="Times New Roman" w:eastAsia="宋体"/>
                <w:color w:val="auto"/>
                <w:spacing w:val="0"/>
                <w:w w:val="100"/>
                <w:position w:val="0"/>
                <w:lang w:val="en-US" w:eastAsia="zh-CN" w:bidi="ar"/>
              </w:rPr>
              <w:t>二</w:t>
            </w:r>
            <w:r>
              <w:rPr>
                <w:rFonts w:ascii="Times New Roman" w:hAnsi="Times New Roman" w:eastAsia="宋体"/>
                <w:color w:val="auto"/>
                <w:spacing w:val="0"/>
                <w:w w:val="100"/>
                <w:position w:val="0"/>
                <w:lang w:val="en-US" w:eastAsia="zh-CN" w:bidi="ar"/>
              </w:rPr>
              <w:t>层）-</w:t>
            </w:r>
            <w:r>
              <w:rPr>
                <w:rFonts w:hint="eastAsia" w:ascii="Times New Roman" w:hAnsi="Times New Roman" w:eastAsia="宋体"/>
                <w:color w:val="auto"/>
                <w:spacing w:val="0"/>
                <w:w w:val="100"/>
                <w:position w:val="0"/>
                <w:lang w:val="en-US" w:eastAsia="zh-CN" w:bidi="ar"/>
              </w:rPr>
              <w:t>7</w:t>
            </w:r>
            <w:r>
              <w:rPr>
                <w:rFonts w:ascii="Times New Roman" w:hAnsi="Times New Roman" w:eastAsia="宋体"/>
                <w:color w:val="auto"/>
                <w:spacing w:val="0"/>
                <w:w w:val="100"/>
                <w:position w:val="0"/>
                <w:lang w:val="en-US" w:eastAsia="zh-CN" w:bidi="ar"/>
              </w:rPr>
              <w:t>台定型机</w:t>
            </w:r>
          </w:p>
        </w:tc>
        <w:tc>
          <w:tcPr>
            <w:tcW w:w="285"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7920</w:t>
            </w:r>
          </w:p>
        </w:tc>
        <w:tc>
          <w:tcPr>
            <w:tcW w:w="299"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140000</w:t>
            </w: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spacing w:val="0"/>
                <w:w w:val="100"/>
                <w:position w:val="0"/>
                <w:szCs w:val="21"/>
              </w:rPr>
              <w:t>颗粒物</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10</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1.4</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11.088</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position w:val="0"/>
                <w:lang w:val="en-US" w:eastAsia="zh-CN"/>
              </w:rPr>
            </w:pPr>
            <w:r>
              <w:rPr>
                <w:rFonts w:hint="default" w:ascii="Times New Roman" w:hAnsi="Times New Roman" w:eastAsia="宋体" w:cs="Times New Roman"/>
                <w:color w:val="auto"/>
                <w:spacing w:val="0"/>
                <w:w w:val="100"/>
                <w:position w:val="0"/>
                <w:lang w:val="en-US" w:eastAsia="zh-CN"/>
              </w:rPr>
              <w:t>15</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spacing w:val="0"/>
                <w:w w:val="100"/>
                <w:position w:val="0"/>
              </w:rPr>
            </w:pPr>
          </w:p>
        </w:tc>
        <w:tc>
          <w:tcPr>
            <w:tcW w:w="667"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spacing w:val="0"/>
                <w:w w:val="100"/>
                <w:position w:val="0"/>
              </w:rPr>
            </w:pPr>
          </w:p>
        </w:tc>
        <w:tc>
          <w:tcPr>
            <w:tcW w:w="285"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spacing w:val="0"/>
                <w:w w:val="100"/>
                <w:position w:val="0"/>
              </w:rPr>
            </w:pPr>
          </w:p>
        </w:tc>
        <w:tc>
          <w:tcPr>
            <w:tcW w:w="299"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ascii="Times New Roman" w:hAnsi="Times New Roman" w:eastAsia="宋体"/>
                <w:spacing w:val="0"/>
                <w:w w:val="100"/>
                <w:position w:val="0"/>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spacing w:val="0"/>
                <w:w w:val="100"/>
                <w:position w:val="0"/>
                <w:szCs w:val="21"/>
              </w:rPr>
              <w:t>油烟</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15</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2.1</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16.632</w:t>
            </w:r>
          </w:p>
        </w:tc>
        <w:tc>
          <w:tcPr>
            <w:tcW w:w="292" w:type="pct"/>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48"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2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4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15</w:t>
            </w:r>
          </w:p>
        </w:tc>
        <w:tc>
          <w:tcPr>
            <w:tcW w:w="5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667"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285"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299"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spacing w:val="0"/>
                <w:w w:val="100"/>
                <w:position w:val="0"/>
                <w:szCs w:val="21"/>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0.84</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6.653</w:t>
            </w:r>
          </w:p>
        </w:tc>
        <w:tc>
          <w:tcPr>
            <w:tcW w:w="292" w:type="pct"/>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48"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2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4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40</w:t>
            </w:r>
          </w:p>
        </w:tc>
        <w:tc>
          <w:tcPr>
            <w:tcW w:w="5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667"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olor w:val="auto"/>
                <w:spacing w:val="0"/>
                <w:w w:val="100"/>
                <w:position w:val="0"/>
                <w:lang w:val="en-US" w:eastAsia="zh-CN" w:bidi="ar"/>
              </w:rPr>
              <w:t>5#</w:t>
            </w:r>
            <w:r>
              <w:rPr>
                <w:rFonts w:ascii="Times New Roman" w:hAnsi="Times New Roman" w:eastAsia="宋体"/>
                <w:color w:val="auto"/>
                <w:spacing w:val="0"/>
                <w:w w:val="100"/>
                <w:position w:val="0"/>
                <w:lang w:val="en-US" w:eastAsia="zh-CN" w:bidi="ar"/>
              </w:rPr>
              <w:t>定型车间（</w:t>
            </w:r>
            <w:r>
              <w:rPr>
                <w:rFonts w:hint="eastAsia" w:ascii="Times New Roman" w:hAnsi="Times New Roman" w:eastAsia="宋体"/>
                <w:color w:val="auto"/>
                <w:spacing w:val="0"/>
                <w:w w:val="100"/>
                <w:position w:val="0"/>
                <w:lang w:val="en-US" w:eastAsia="zh-CN" w:bidi="ar"/>
              </w:rPr>
              <w:t>二</w:t>
            </w:r>
            <w:r>
              <w:rPr>
                <w:rFonts w:ascii="Times New Roman" w:hAnsi="Times New Roman" w:eastAsia="宋体"/>
                <w:color w:val="auto"/>
                <w:spacing w:val="0"/>
                <w:w w:val="100"/>
                <w:position w:val="0"/>
                <w:lang w:val="en-US" w:eastAsia="zh-CN" w:bidi="ar"/>
              </w:rPr>
              <w:t>层）-</w:t>
            </w:r>
            <w:r>
              <w:rPr>
                <w:rFonts w:hint="eastAsia" w:ascii="Times New Roman" w:hAnsi="Times New Roman" w:eastAsia="宋体"/>
                <w:color w:val="auto"/>
                <w:spacing w:val="0"/>
                <w:w w:val="100"/>
                <w:position w:val="0"/>
                <w:lang w:val="en-US" w:eastAsia="zh-CN" w:bidi="ar"/>
              </w:rPr>
              <w:t>7</w:t>
            </w:r>
            <w:r>
              <w:rPr>
                <w:rFonts w:ascii="Times New Roman" w:hAnsi="Times New Roman" w:eastAsia="宋体"/>
                <w:color w:val="auto"/>
                <w:spacing w:val="0"/>
                <w:w w:val="100"/>
                <w:position w:val="0"/>
                <w:lang w:val="en-US" w:eastAsia="zh-CN" w:bidi="ar"/>
              </w:rPr>
              <w:t>台定型机</w:t>
            </w:r>
          </w:p>
        </w:tc>
        <w:tc>
          <w:tcPr>
            <w:tcW w:w="285"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7920</w:t>
            </w:r>
          </w:p>
        </w:tc>
        <w:tc>
          <w:tcPr>
            <w:tcW w:w="299"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140000</w:t>
            </w: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w w:val="100"/>
                <w:position w:val="0"/>
                <w:szCs w:val="21"/>
              </w:rPr>
            </w:pPr>
            <w:r>
              <w:rPr>
                <w:rFonts w:hint="eastAsia" w:ascii="Times New Roman" w:hAnsi="Times New Roman" w:eastAsia="宋体"/>
                <w:spacing w:val="0"/>
                <w:w w:val="100"/>
                <w:position w:val="0"/>
                <w:szCs w:val="21"/>
              </w:rPr>
              <w:t>颗粒物</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10</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1.4</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11.088</w:t>
            </w:r>
          </w:p>
        </w:tc>
        <w:tc>
          <w:tcPr>
            <w:tcW w:w="292" w:type="pct"/>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48"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2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color w:val="auto"/>
                <w:spacing w:val="0"/>
                <w:w w:val="100"/>
                <w:position w:val="0"/>
                <w:lang w:val="en-US" w:eastAsia="zh-CN"/>
              </w:rPr>
              <w:t>15</w:t>
            </w:r>
          </w:p>
        </w:tc>
        <w:tc>
          <w:tcPr>
            <w:tcW w:w="5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667"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285"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299"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w w:val="100"/>
                <w:position w:val="0"/>
                <w:szCs w:val="21"/>
              </w:rPr>
            </w:pPr>
            <w:r>
              <w:rPr>
                <w:rFonts w:hint="eastAsia" w:ascii="Times New Roman" w:hAnsi="Times New Roman" w:eastAsia="宋体"/>
                <w:spacing w:val="0"/>
                <w:w w:val="100"/>
                <w:position w:val="0"/>
                <w:szCs w:val="21"/>
              </w:rPr>
              <w:t>油烟</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15</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2.1</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16.632</w:t>
            </w:r>
          </w:p>
        </w:tc>
        <w:tc>
          <w:tcPr>
            <w:tcW w:w="292" w:type="pct"/>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48"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2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4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15</w:t>
            </w:r>
          </w:p>
        </w:tc>
        <w:tc>
          <w:tcPr>
            <w:tcW w:w="5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667"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285"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299"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w w:val="100"/>
                <w:position w:val="0"/>
                <w:szCs w:val="21"/>
              </w:rPr>
            </w:pPr>
            <w:r>
              <w:rPr>
                <w:rFonts w:hint="eastAsia" w:ascii="Times New Roman" w:hAnsi="Times New Roman" w:eastAsia="宋体"/>
                <w:spacing w:val="0"/>
                <w:w w:val="100"/>
                <w:position w:val="0"/>
                <w:szCs w:val="21"/>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0.84</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6.653</w:t>
            </w:r>
          </w:p>
        </w:tc>
        <w:tc>
          <w:tcPr>
            <w:tcW w:w="292" w:type="pct"/>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48"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2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4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40</w:t>
            </w:r>
          </w:p>
        </w:tc>
        <w:tc>
          <w:tcPr>
            <w:tcW w:w="5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default" w:ascii="Times New Roman" w:hAnsi="Times New Roman" w:eastAsia="宋体"/>
                <w:color w:val="auto"/>
                <w:spacing w:val="0"/>
                <w:w w:val="100"/>
                <w:position w:val="0"/>
                <w:lang w:val="en-US" w:eastAsia="zh-CN"/>
              </w:rPr>
              <w:t>P</w:t>
            </w:r>
            <w:r>
              <w:rPr>
                <w:rFonts w:hint="eastAsia" w:ascii="Times New Roman" w:hAnsi="Times New Roman" w:eastAsia="宋体"/>
                <w:color w:val="auto"/>
                <w:spacing w:val="0"/>
                <w:w w:val="100"/>
                <w:position w:val="0"/>
                <w:lang w:val="en-US" w:eastAsia="zh-CN"/>
              </w:rPr>
              <w:t>2</w:t>
            </w:r>
          </w:p>
        </w:tc>
        <w:tc>
          <w:tcPr>
            <w:tcW w:w="667"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bidi="ar"/>
              </w:rPr>
              <w:t>2#</w:t>
            </w:r>
            <w:r>
              <w:rPr>
                <w:rFonts w:ascii="Times New Roman" w:hAnsi="Times New Roman" w:eastAsia="宋体"/>
                <w:color w:val="auto"/>
                <w:spacing w:val="0"/>
                <w:w w:val="100"/>
                <w:position w:val="0"/>
                <w:lang w:val="en-US" w:eastAsia="zh-CN" w:bidi="ar"/>
              </w:rPr>
              <w:t>定型车间（三层）-</w:t>
            </w:r>
            <w:r>
              <w:rPr>
                <w:rFonts w:hint="eastAsia" w:ascii="Times New Roman" w:hAnsi="Times New Roman" w:eastAsia="宋体"/>
                <w:color w:val="auto"/>
                <w:spacing w:val="0"/>
                <w:w w:val="100"/>
                <w:position w:val="0"/>
                <w:lang w:val="en-US" w:eastAsia="zh-CN" w:bidi="ar"/>
              </w:rPr>
              <w:t>3</w:t>
            </w:r>
            <w:r>
              <w:rPr>
                <w:rFonts w:ascii="Times New Roman" w:hAnsi="Times New Roman" w:eastAsia="宋体"/>
                <w:color w:val="auto"/>
                <w:spacing w:val="0"/>
                <w:w w:val="100"/>
                <w:position w:val="0"/>
                <w:lang w:val="en-US" w:eastAsia="zh-CN" w:bidi="ar"/>
              </w:rPr>
              <w:t>台定型机</w:t>
            </w:r>
          </w:p>
        </w:tc>
        <w:tc>
          <w:tcPr>
            <w:tcW w:w="285"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7920</w:t>
            </w:r>
          </w:p>
        </w:tc>
        <w:tc>
          <w:tcPr>
            <w:tcW w:w="299"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6</w:t>
            </w:r>
            <w:r>
              <w:rPr>
                <w:rFonts w:hint="default" w:ascii="Times New Roman" w:hAnsi="Times New Roman" w:eastAsia="宋体"/>
                <w:color w:val="auto"/>
                <w:spacing w:val="0"/>
                <w:w w:val="100"/>
                <w:position w:val="0"/>
                <w:lang w:val="en-US" w:eastAsia="zh-CN"/>
              </w:rPr>
              <w:t>0000</w:t>
            </w: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rPr>
            </w:pPr>
            <w:r>
              <w:rPr>
                <w:rFonts w:hint="eastAsia" w:ascii="Times New Roman" w:hAnsi="Times New Roman" w:eastAsia="宋体" w:cs="宋体"/>
                <w:i w:val="0"/>
                <w:color w:val="auto"/>
                <w:spacing w:val="0"/>
                <w:w w:val="100"/>
                <w:kern w:val="0"/>
                <w:position w:val="0"/>
                <w:sz w:val="21"/>
                <w:szCs w:val="21"/>
                <w:u w:val="none"/>
                <w:lang w:val="en-US" w:eastAsia="zh-CN" w:bidi="ar"/>
              </w:rPr>
              <w:t>颗粒物</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10</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0.6</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4.752</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348"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4台热回收+冷却+静电一体化废气处理设备</w:t>
            </w:r>
          </w:p>
        </w:tc>
        <w:tc>
          <w:tcPr>
            <w:tcW w:w="327" w:type="pct"/>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厂房屋顶，</w:t>
            </w:r>
            <w:r>
              <w:rPr>
                <w:rFonts w:ascii="Times New Roman" w:hAnsi="Times New Roman" w:eastAsia="宋体"/>
                <w:color w:val="auto"/>
                <w:spacing w:val="0"/>
                <w:w w:val="100"/>
                <w:position w:val="0"/>
                <w:lang w:val="en-US" w:eastAsia="zh-CN"/>
              </w:rPr>
              <w:t>H</w:t>
            </w:r>
            <w:r>
              <w:rPr>
                <w:rFonts w:hint="eastAsia" w:ascii="Times New Roman" w:hAnsi="Times New Roman" w:eastAsia="宋体"/>
                <w:color w:val="auto"/>
                <w:spacing w:val="0"/>
                <w:w w:val="100"/>
                <w:position w:val="0"/>
                <w:lang w:val="en-US" w:eastAsia="zh-CN"/>
              </w:rPr>
              <w:t>30</w:t>
            </w:r>
            <w:r>
              <w:rPr>
                <w:rFonts w:ascii="Times New Roman" w:hAnsi="Times New Roman" w:eastAsia="宋体"/>
                <w:color w:val="auto"/>
                <w:spacing w:val="0"/>
                <w:w w:val="100"/>
                <w:position w:val="0"/>
                <w:lang w:val="en-US" w:eastAsia="zh-CN"/>
              </w:rPr>
              <w:t>m</w:t>
            </w:r>
            <w:r>
              <w:rPr>
                <w:rFonts w:hint="eastAsia" w:ascii="Times New Roman" w:hAnsi="Times New Roman" w:eastAsia="宋体"/>
                <w:color w:val="auto"/>
                <w:spacing w:val="0"/>
                <w:w w:val="100"/>
                <w:position w:val="0"/>
                <w:lang w:val="en-US" w:eastAsia="zh-CN"/>
              </w:rPr>
              <w:t>，</w:t>
            </w:r>
            <w:r>
              <w:rPr>
                <w:rFonts w:ascii="Times New Roman" w:hAnsi="Times New Roman" w:eastAsia="宋体"/>
                <w:color w:val="auto"/>
                <w:spacing w:val="0"/>
                <w:w w:val="100"/>
                <w:position w:val="0"/>
              </w:rPr>
              <w:t>Φ</w:t>
            </w:r>
            <w:r>
              <w:rPr>
                <w:rFonts w:hint="eastAsia" w:ascii="Times New Roman" w:hAnsi="Times New Roman" w:eastAsia="宋体"/>
                <w:color w:val="auto"/>
                <w:spacing w:val="0"/>
                <w:w w:val="100"/>
                <w:position w:val="0"/>
                <w:lang w:val="en-US" w:eastAsia="zh-CN"/>
              </w:rPr>
              <w:t>1.8</w:t>
            </w:r>
            <w:r>
              <w:rPr>
                <w:rFonts w:ascii="Times New Roman" w:hAnsi="Times New Roman" w:eastAsia="宋体"/>
                <w:color w:val="auto"/>
                <w:spacing w:val="0"/>
                <w:w w:val="100"/>
                <w:position w:val="0"/>
                <w:lang w:val="en-US" w:eastAsia="zh-CN"/>
              </w:rPr>
              <w:t>m</w:t>
            </w: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ascii="Times New Roman" w:hAnsi="Times New Roman" w:eastAsia="宋体"/>
                <w:color w:val="auto"/>
                <w:spacing w:val="0"/>
                <w:w w:val="100"/>
                <w:position w:val="0"/>
              </w:rPr>
              <w:t>15</w:t>
            </w:r>
          </w:p>
        </w:tc>
        <w:tc>
          <w:tcPr>
            <w:tcW w:w="5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s="宋体"/>
                <w:i w:val="0"/>
                <w:color w:val="auto"/>
                <w:spacing w:val="0"/>
                <w:w w:val="100"/>
                <w:kern w:val="0"/>
                <w:position w:val="0"/>
                <w:sz w:val="21"/>
                <w:szCs w:val="21"/>
                <w:u w:val="none"/>
                <w:lang w:val="en-US" w:eastAsia="zh-CN" w:bidi="ar"/>
              </w:rPr>
              <w:t>油烟</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15</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0.9</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7.128</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ascii="Times New Roman" w:hAnsi="Times New Roman" w:eastAsia="宋体"/>
                <w:color w:val="auto"/>
                <w:spacing w:val="0"/>
                <w:w w:val="100"/>
                <w:position w:val="0"/>
              </w:rPr>
              <w:t>15</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s="宋体"/>
                <w:i w:val="0"/>
                <w:color w:val="auto"/>
                <w:spacing w:val="0"/>
                <w:w w:val="100"/>
                <w:kern w:val="0"/>
                <w:position w:val="0"/>
                <w:sz w:val="21"/>
                <w:szCs w:val="21"/>
                <w:u w:val="none"/>
                <w:lang w:val="en-US" w:eastAsia="zh-CN" w:bidi="ar"/>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lang w:val="en-US"/>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0.36</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2.851</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ascii="Times New Roman" w:hAnsi="Times New Roman" w:eastAsia="宋体"/>
                <w:color w:val="auto"/>
                <w:spacing w:val="0"/>
                <w:w w:val="100"/>
                <w:position w:val="0"/>
              </w:rPr>
              <w:t>40</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eastAsia="zh-CN"/>
              </w:rPr>
              <w:t>印花车间（三层）</w:t>
            </w:r>
            <w:r>
              <w:rPr>
                <w:rFonts w:hint="eastAsia" w:ascii="Times New Roman" w:hAnsi="Times New Roman" w:eastAsia="宋体"/>
                <w:color w:val="auto"/>
                <w:spacing w:val="0"/>
                <w:w w:val="100"/>
                <w:position w:val="0"/>
                <w:lang w:val="en-US" w:eastAsia="zh-CN"/>
              </w:rPr>
              <w:t>-5台数码印花机</w:t>
            </w:r>
          </w:p>
        </w:tc>
        <w:tc>
          <w:tcPr>
            <w:tcW w:w="285"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7920</w:t>
            </w:r>
          </w:p>
        </w:tc>
        <w:tc>
          <w:tcPr>
            <w:tcW w:w="299"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2000</w:t>
            </w: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1.81</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0.004</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0.029</w:t>
            </w:r>
          </w:p>
        </w:tc>
        <w:tc>
          <w:tcPr>
            <w:tcW w:w="292" w:type="pct"/>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40</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eastAsia="zh-CN"/>
              </w:rPr>
              <w:t>蒸化车间（三层）</w:t>
            </w:r>
            <w:r>
              <w:rPr>
                <w:rFonts w:hint="eastAsia" w:ascii="Times New Roman" w:hAnsi="Times New Roman" w:eastAsia="宋体"/>
                <w:color w:val="auto"/>
                <w:spacing w:val="0"/>
                <w:w w:val="100"/>
                <w:position w:val="0"/>
                <w:lang w:val="en-US" w:eastAsia="zh-CN"/>
              </w:rPr>
              <w:t>-5台圆网印花机、3台蒸化机</w:t>
            </w:r>
          </w:p>
        </w:tc>
        <w:tc>
          <w:tcPr>
            <w:tcW w:w="285"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7920</w:t>
            </w:r>
          </w:p>
        </w:tc>
        <w:tc>
          <w:tcPr>
            <w:tcW w:w="299"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4000</w:t>
            </w:r>
          </w:p>
        </w:tc>
        <w:tc>
          <w:tcPr>
            <w:tcW w:w="5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5.68</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0.023</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0.18</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40</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eastAsia="zh-CN"/>
              </w:rPr>
            </w:pPr>
            <w:r>
              <w:rPr>
                <w:rFonts w:hint="eastAsia" w:ascii="Times New Roman" w:hAnsi="Times New Roman" w:eastAsia="宋体"/>
                <w:color w:val="auto"/>
                <w:spacing w:val="0"/>
                <w:w w:val="100"/>
                <w:position w:val="0"/>
                <w:lang w:val="en-US" w:eastAsia="zh-CN" w:bidi="ar"/>
              </w:rPr>
              <w:t>3#</w:t>
            </w:r>
            <w:r>
              <w:rPr>
                <w:rFonts w:ascii="Times New Roman" w:hAnsi="Times New Roman" w:eastAsia="宋体"/>
                <w:color w:val="auto"/>
                <w:spacing w:val="0"/>
                <w:w w:val="100"/>
                <w:position w:val="0"/>
                <w:lang w:val="en-US" w:eastAsia="zh-CN" w:bidi="ar"/>
              </w:rPr>
              <w:t>定型车间（</w:t>
            </w:r>
            <w:r>
              <w:rPr>
                <w:rFonts w:hint="eastAsia" w:ascii="Times New Roman" w:hAnsi="Times New Roman" w:eastAsia="宋体"/>
                <w:color w:val="auto"/>
                <w:spacing w:val="0"/>
                <w:w w:val="100"/>
                <w:position w:val="0"/>
                <w:lang w:val="en-US" w:eastAsia="zh-CN" w:bidi="ar"/>
              </w:rPr>
              <w:t>四</w:t>
            </w:r>
            <w:r>
              <w:rPr>
                <w:rFonts w:ascii="Times New Roman" w:hAnsi="Times New Roman" w:eastAsia="宋体"/>
                <w:color w:val="auto"/>
                <w:spacing w:val="0"/>
                <w:w w:val="100"/>
                <w:position w:val="0"/>
                <w:lang w:val="en-US" w:eastAsia="zh-CN" w:bidi="ar"/>
              </w:rPr>
              <w:t>层）-</w:t>
            </w:r>
            <w:r>
              <w:rPr>
                <w:rFonts w:hint="eastAsia" w:ascii="Times New Roman" w:hAnsi="Times New Roman" w:eastAsia="宋体"/>
                <w:color w:val="auto"/>
                <w:spacing w:val="0"/>
                <w:w w:val="100"/>
                <w:position w:val="0"/>
                <w:lang w:val="en-US" w:eastAsia="zh-CN" w:bidi="ar"/>
              </w:rPr>
              <w:t>3</w:t>
            </w:r>
            <w:r>
              <w:rPr>
                <w:rFonts w:ascii="Times New Roman" w:hAnsi="Times New Roman" w:eastAsia="宋体"/>
                <w:color w:val="auto"/>
                <w:spacing w:val="0"/>
                <w:w w:val="100"/>
                <w:position w:val="0"/>
                <w:lang w:val="en-US" w:eastAsia="zh-CN" w:bidi="ar"/>
              </w:rPr>
              <w:t>台定型机</w:t>
            </w:r>
          </w:p>
        </w:tc>
        <w:tc>
          <w:tcPr>
            <w:tcW w:w="285"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7920</w:t>
            </w:r>
          </w:p>
        </w:tc>
        <w:tc>
          <w:tcPr>
            <w:tcW w:w="299"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60000</w:t>
            </w: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spacing w:val="0"/>
                <w:w w:val="100"/>
                <w:position w:val="0"/>
                <w:szCs w:val="21"/>
              </w:rPr>
              <w:t>颗粒物</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10</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0.6</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4.752</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ascii="Times New Roman" w:hAnsi="Times New Roman" w:eastAsia="宋体"/>
                <w:color w:val="auto"/>
                <w:spacing w:val="0"/>
                <w:w w:val="100"/>
                <w:position w:val="0"/>
              </w:rPr>
            </w:pPr>
            <w:r>
              <w:rPr>
                <w:rFonts w:ascii="Times New Roman" w:hAnsi="Times New Roman" w:eastAsia="宋体"/>
                <w:color w:val="auto"/>
                <w:spacing w:val="0"/>
                <w:w w:val="100"/>
                <w:position w:val="0"/>
              </w:rPr>
              <w:t>15</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bidi="ar"/>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spacing w:val="0"/>
                <w:w w:val="100"/>
                <w:position w:val="0"/>
                <w:szCs w:val="21"/>
              </w:rPr>
              <w:t>油烟</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15</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0.9</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7.128</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ascii="Times New Roman" w:hAnsi="Times New Roman" w:eastAsia="宋体"/>
                <w:color w:val="auto"/>
                <w:spacing w:val="0"/>
                <w:w w:val="100"/>
                <w:position w:val="0"/>
              </w:rPr>
            </w:pPr>
            <w:r>
              <w:rPr>
                <w:rFonts w:ascii="Times New Roman" w:hAnsi="Times New Roman" w:eastAsia="宋体"/>
                <w:color w:val="auto"/>
                <w:spacing w:val="0"/>
                <w:w w:val="100"/>
                <w:position w:val="0"/>
              </w:rPr>
              <w:t>15</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bidi="ar"/>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spacing w:val="0"/>
                <w:w w:val="100"/>
                <w:position w:val="0"/>
                <w:szCs w:val="21"/>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0.36</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2.851</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ascii="Times New Roman" w:hAnsi="Times New Roman" w:eastAsia="宋体"/>
                <w:color w:val="auto"/>
                <w:spacing w:val="0"/>
                <w:w w:val="100"/>
                <w:position w:val="0"/>
              </w:rPr>
            </w:pPr>
            <w:r>
              <w:rPr>
                <w:rFonts w:ascii="Times New Roman" w:hAnsi="Times New Roman" w:eastAsia="宋体"/>
                <w:color w:val="auto"/>
                <w:spacing w:val="0"/>
                <w:w w:val="100"/>
                <w:position w:val="0"/>
              </w:rPr>
              <w:t>40</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bidi="ar"/>
              </w:rPr>
            </w:pPr>
            <w:r>
              <w:rPr>
                <w:rFonts w:hint="eastAsia" w:ascii="Times New Roman" w:hAnsi="Times New Roman" w:eastAsia="宋体"/>
                <w:color w:val="auto"/>
                <w:spacing w:val="0"/>
                <w:w w:val="100"/>
                <w:position w:val="0"/>
                <w:lang w:val="en-US" w:eastAsia="zh-CN" w:bidi="ar"/>
              </w:rPr>
              <w:t>4#</w:t>
            </w:r>
            <w:r>
              <w:rPr>
                <w:rFonts w:ascii="Times New Roman" w:hAnsi="Times New Roman" w:eastAsia="宋体"/>
                <w:color w:val="auto"/>
                <w:spacing w:val="0"/>
                <w:w w:val="100"/>
                <w:position w:val="0"/>
                <w:lang w:val="en-US" w:eastAsia="zh-CN" w:bidi="ar"/>
              </w:rPr>
              <w:t>定型车间（</w:t>
            </w:r>
            <w:r>
              <w:rPr>
                <w:rFonts w:hint="eastAsia" w:ascii="Times New Roman" w:hAnsi="Times New Roman" w:eastAsia="宋体"/>
                <w:color w:val="auto"/>
                <w:spacing w:val="0"/>
                <w:w w:val="100"/>
                <w:position w:val="0"/>
                <w:lang w:val="en-US" w:eastAsia="zh-CN" w:bidi="ar"/>
              </w:rPr>
              <w:t>四</w:t>
            </w:r>
            <w:r>
              <w:rPr>
                <w:rFonts w:ascii="Times New Roman" w:hAnsi="Times New Roman" w:eastAsia="宋体"/>
                <w:color w:val="auto"/>
                <w:spacing w:val="0"/>
                <w:w w:val="100"/>
                <w:position w:val="0"/>
                <w:lang w:val="en-US" w:eastAsia="zh-CN" w:bidi="ar"/>
              </w:rPr>
              <w:t>层）-</w:t>
            </w:r>
            <w:r>
              <w:rPr>
                <w:rFonts w:hint="eastAsia" w:ascii="Times New Roman" w:hAnsi="Times New Roman" w:eastAsia="宋体"/>
                <w:color w:val="auto"/>
                <w:spacing w:val="0"/>
                <w:w w:val="100"/>
                <w:position w:val="0"/>
                <w:lang w:val="en-US" w:eastAsia="zh-CN" w:bidi="ar"/>
              </w:rPr>
              <w:t>7</w:t>
            </w:r>
            <w:r>
              <w:rPr>
                <w:rFonts w:ascii="Times New Roman" w:hAnsi="Times New Roman" w:eastAsia="宋体"/>
                <w:color w:val="auto"/>
                <w:spacing w:val="0"/>
                <w:w w:val="100"/>
                <w:position w:val="0"/>
                <w:lang w:val="en-US" w:eastAsia="zh-CN" w:bidi="ar"/>
              </w:rPr>
              <w:t>台定型机</w:t>
            </w:r>
          </w:p>
        </w:tc>
        <w:tc>
          <w:tcPr>
            <w:tcW w:w="285"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7920</w:t>
            </w:r>
          </w:p>
        </w:tc>
        <w:tc>
          <w:tcPr>
            <w:tcW w:w="299" w:type="pct"/>
            <w:gridSpan w:val="2"/>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140000</w:t>
            </w: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w w:val="100"/>
                <w:position w:val="0"/>
                <w:szCs w:val="21"/>
              </w:rPr>
            </w:pPr>
            <w:r>
              <w:rPr>
                <w:rFonts w:hint="eastAsia" w:ascii="Times New Roman" w:hAnsi="Times New Roman" w:eastAsia="宋体"/>
                <w:spacing w:val="0"/>
                <w:w w:val="100"/>
                <w:position w:val="0"/>
                <w:szCs w:val="21"/>
              </w:rPr>
              <w:t>颗粒物</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10</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1.4</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11.088</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ascii="Times New Roman" w:hAnsi="Times New Roman" w:eastAsia="宋体"/>
                <w:color w:val="auto"/>
                <w:spacing w:val="0"/>
                <w:w w:val="100"/>
                <w:position w:val="0"/>
              </w:rPr>
            </w:pPr>
            <w:r>
              <w:rPr>
                <w:rFonts w:ascii="Times New Roman" w:hAnsi="Times New Roman" w:eastAsia="宋体"/>
                <w:color w:val="auto"/>
                <w:spacing w:val="0"/>
                <w:w w:val="100"/>
                <w:position w:val="0"/>
              </w:rPr>
              <w:t>15</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bidi="ar"/>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w w:val="100"/>
                <w:position w:val="0"/>
                <w:szCs w:val="21"/>
              </w:rPr>
            </w:pPr>
            <w:r>
              <w:rPr>
                <w:rFonts w:hint="eastAsia" w:ascii="Times New Roman" w:hAnsi="Times New Roman" w:eastAsia="宋体"/>
                <w:spacing w:val="0"/>
                <w:w w:val="100"/>
                <w:position w:val="0"/>
                <w:szCs w:val="21"/>
              </w:rPr>
              <w:t>油烟</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15</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2.1</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16.632</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ascii="Times New Roman" w:hAnsi="Times New Roman" w:eastAsia="宋体"/>
                <w:color w:val="auto"/>
                <w:spacing w:val="0"/>
                <w:w w:val="100"/>
                <w:position w:val="0"/>
              </w:rPr>
            </w:pPr>
            <w:r>
              <w:rPr>
                <w:rFonts w:ascii="Times New Roman" w:hAnsi="Times New Roman" w:eastAsia="宋体"/>
                <w:color w:val="auto"/>
                <w:spacing w:val="0"/>
                <w:w w:val="100"/>
                <w:position w:val="0"/>
              </w:rPr>
              <w:t>15</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667"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bidi="ar"/>
              </w:rPr>
            </w:pPr>
          </w:p>
        </w:tc>
        <w:tc>
          <w:tcPr>
            <w:tcW w:w="285"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299"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w w:val="100"/>
                <w:position w:val="0"/>
                <w:szCs w:val="21"/>
              </w:rPr>
            </w:pPr>
            <w:r>
              <w:rPr>
                <w:rFonts w:hint="eastAsia" w:ascii="Times New Roman" w:hAnsi="Times New Roman" w:eastAsia="宋体"/>
                <w:spacing w:val="0"/>
                <w:w w:val="100"/>
                <w:position w:val="0"/>
                <w:szCs w:val="21"/>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0.84</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default" w:ascii="Times New Roman" w:hAnsi="Times New Roman" w:eastAsia="宋体" w:cs="Times New Roman"/>
                <w:i w:val="0"/>
                <w:iCs w:val="0"/>
                <w:color w:val="000000"/>
                <w:spacing w:val="0"/>
                <w:w w:val="100"/>
                <w:kern w:val="0"/>
                <w:position w:val="0"/>
                <w:sz w:val="21"/>
                <w:szCs w:val="21"/>
                <w:u w:val="none"/>
                <w:lang w:val="en-US" w:eastAsia="zh-CN" w:bidi="ar"/>
              </w:rPr>
              <w:t>6.653</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p>
        </w:tc>
        <w:tc>
          <w:tcPr>
            <w:tcW w:w="327" w:type="pct"/>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ascii="Times New Roman" w:hAnsi="Times New Roman" w:eastAsia="宋体"/>
                <w:color w:val="auto"/>
                <w:spacing w:val="0"/>
                <w:w w:val="100"/>
                <w:position w:val="0"/>
              </w:rPr>
            </w:pPr>
            <w:r>
              <w:rPr>
                <w:rFonts w:ascii="Times New Roman" w:hAnsi="Times New Roman" w:eastAsia="宋体"/>
                <w:color w:val="auto"/>
                <w:spacing w:val="0"/>
                <w:w w:val="100"/>
                <w:position w:val="0"/>
              </w:rPr>
              <w:t>40</w:t>
            </w: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M1</w:t>
            </w:r>
          </w:p>
        </w:tc>
        <w:tc>
          <w:tcPr>
            <w:tcW w:w="667"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bidi="ar"/>
              </w:rPr>
            </w:pPr>
            <w:r>
              <w:rPr>
                <w:rFonts w:hint="eastAsia" w:ascii="Times New Roman" w:hAnsi="Times New Roman" w:eastAsia="宋体"/>
                <w:color w:val="auto"/>
                <w:spacing w:val="0"/>
                <w:w w:val="100"/>
                <w:position w:val="0"/>
                <w:lang w:val="en-US" w:eastAsia="zh-CN" w:bidi="ar"/>
              </w:rPr>
              <w:t>印花及蒸化车间</w:t>
            </w:r>
          </w:p>
        </w:tc>
        <w:tc>
          <w:tcPr>
            <w:tcW w:w="285"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7920</w:t>
            </w:r>
          </w:p>
        </w:tc>
        <w:tc>
          <w:tcPr>
            <w:tcW w:w="299"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w:t>
            </w:r>
          </w:p>
        </w:tc>
        <w:tc>
          <w:tcPr>
            <w:tcW w:w="5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spacing w:val="0"/>
                <w:w w:val="100"/>
                <w:position w:val="0"/>
                <w:szCs w:val="21"/>
                <w:lang w:val="en-US" w:eastAsia="zh-CN"/>
              </w:rPr>
            </w:pPr>
            <w:r>
              <w:rPr>
                <w:rFonts w:hint="eastAsia" w:ascii="Times New Roman" w:hAnsi="Times New Roman" w:eastAsia="宋体"/>
                <w:spacing w:val="0"/>
                <w:w w:val="100"/>
                <w:position w:val="0"/>
                <w:szCs w:val="21"/>
                <w:lang w:val="en-US" w:eastAsia="zh-CN"/>
              </w:rPr>
              <w:t>非甲烷总烃</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eastAsia" w:ascii="Times New Roman" w:hAnsi="Times New Roman" w:eastAsia="宋体" w:cs="Times New Roman"/>
                <w:i w:val="0"/>
                <w:iCs w:val="0"/>
                <w:color w:val="000000"/>
                <w:spacing w:val="0"/>
                <w:w w:val="100"/>
                <w:kern w:val="0"/>
                <w:position w:val="0"/>
                <w:sz w:val="21"/>
                <w:szCs w:val="21"/>
                <w:u w:val="none"/>
                <w:lang w:val="en-US" w:eastAsia="zh-CN" w:bidi="ar"/>
              </w:rPr>
              <w:t>/</w:t>
            </w:r>
          </w:p>
        </w:tc>
        <w:tc>
          <w:tcPr>
            <w:tcW w:w="3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eastAsia" w:ascii="Times New Roman" w:hAnsi="Times New Roman" w:eastAsia="宋体" w:cs="Times New Roman"/>
                <w:i w:val="0"/>
                <w:iCs w:val="0"/>
                <w:color w:val="000000"/>
                <w:spacing w:val="0"/>
                <w:w w:val="100"/>
                <w:kern w:val="0"/>
                <w:position w:val="0"/>
                <w:sz w:val="21"/>
                <w:szCs w:val="21"/>
                <w:u w:val="none"/>
                <w:lang w:val="en-US" w:eastAsia="zh-CN" w:bidi="ar"/>
              </w:rPr>
              <w:t>0.16</w:t>
            </w:r>
          </w:p>
        </w:tc>
        <w:tc>
          <w:tcPr>
            <w:tcW w:w="3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pacing w:val="0"/>
                <w:w w:val="100"/>
                <w:kern w:val="0"/>
                <w:position w:val="0"/>
                <w:sz w:val="21"/>
                <w:szCs w:val="21"/>
                <w:u w:val="none"/>
                <w:lang w:val="en-US" w:eastAsia="zh-CN" w:bidi="ar"/>
              </w:rPr>
            </w:pPr>
            <w:r>
              <w:rPr>
                <w:rFonts w:hint="eastAsia" w:ascii="Times New Roman" w:hAnsi="Times New Roman" w:eastAsia="宋体" w:cs="Times New Roman"/>
                <w:i w:val="0"/>
                <w:iCs w:val="0"/>
                <w:color w:val="000000"/>
                <w:spacing w:val="0"/>
                <w:w w:val="100"/>
                <w:kern w:val="0"/>
                <w:position w:val="0"/>
                <w:sz w:val="21"/>
                <w:szCs w:val="21"/>
                <w:u w:val="none"/>
                <w:lang w:val="en-US" w:eastAsia="zh-CN" w:bidi="ar"/>
              </w:rPr>
              <w:t>1.304</w:t>
            </w:r>
          </w:p>
        </w:tc>
        <w:tc>
          <w:tcPr>
            <w:tcW w:w="29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p>
        </w:tc>
        <w:tc>
          <w:tcPr>
            <w:tcW w:w="348" w:type="pct"/>
            <w:gridSpan w:val="2"/>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w:t>
            </w:r>
          </w:p>
        </w:tc>
        <w:tc>
          <w:tcPr>
            <w:tcW w:w="327"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w:t>
            </w:r>
          </w:p>
        </w:tc>
        <w:tc>
          <w:tcPr>
            <w:tcW w:w="410" w:type="pc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周界外浓度最高点4.0</w:t>
            </w:r>
          </w:p>
        </w:tc>
        <w:tc>
          <w:tcPr>
            <w:tcW w:w="5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position w:val="0"/>
                <w:sz w:val="21"/>
                <w:szCs w:val="21"/>
                <w:u w:val="none"/>
              </w:rPr>
              <w:t>《大气污染物综合排放标准》（GB16297-1996）表2标准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宋体"/>
                <w:b/>
                <w:i w:val="0"/>
                <w:color w:val="auto"/>
                <w:spacing w:val="0"/>
                <w:w w:val="100"/>
                <w:kern w:val="0"/>
                <w:position w:val="0"/>
                <w:sz w:val="21"/>
                <w:szCs w:val="21"/>
                <w:u w:val="none"/>
                <w:lang w:val="en-US" w:eastAsia="zh-CN" w:bidi="ar"/>
              </w:rPr>
            </w:pPr>
            <w:r>
              <w:rPr>
                <w:rFonts w:hint="eastAsia" w:ascii="Times New Roman" w:hAnsi="Times New Roman" w:eastAsia="宋体" w:cs="宋体"/>
                <w:b/>
                <w:i w:val="0"/>
                <w:color w:val="auto"/>
                <w:spacing w:val="0"/>
                <w:w w:val="100"/>
                <w:kern w:val="0"/>
                <w:position w:val="0"/>
                <w:sz w:val="21"/>
                <w:szCs w:val="21"/>
                <w:u w:val="none"/>
                <w:lang w:val="en-US" w:eastAsia="zh-CN" w:bidi="ar"/>
              </w:rPr>
              <w:t>2、废水排放清单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编号</w:t>
            </w:r>
          </w:p>
        </w:tc>
        <w:tc>
          <w:tcPr>
            <w:tcW w:w="42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污染源</w:t>
            </w:r>
          </w:p>
        </w:tc>
        <w:tc>
          <w:tcPr>
            <w:tcW w:w="45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0"/>
                <w:position w:val="0"/>
                <w:sz w:val="21"/>
                <w:szCs w:val="21"/>
                <w:u w:val="none"/>
                <w:lang w:val="en-US" w:eastAsia="zh-CN" w:bidi="ar"/>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废水量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position w:val="0"/>
                <w:sz w:val="21"/>
                <w:szCs w:val="21"/>
                <w:u w:val="none"/>
              </w:rPr>
            </w:pPr>
            <w:r>
              <w:rPr>
                <w:rFonts w:ascii="Times New Roman" w:hAnsi="Times New Roman" w:eastAsia="宋体"/>
                <w:b/>
                <w:bCs w:val="0"/>
                <w:color w:val="auto"/>
                <w:spacing w:val="0"/>
                <w:w w:val="100"/>
                <w:position w:val="0"/>
                <w:sz w:val="21"/>
                <w:szCs w:val="21"/>
                <w:lang w:val="en-US" w:eastAsia="zh-CN" w:bidi="ar"/>
              </w:rPr>
              <w:t>（</w:t>
            </w:r>
            <w:r>
              <w:rPr>
                <w:rFonts w:hint="eastAsia" w:ascii="Times New Roman" w:hAnsi="Times New Roman" w:eastAsia="宋体"/>
                <w:b/>
                <w:bCs w:val="0"/>
                <w:color w:val="auto"/>
                <w:spacing w:val="0"/>
                <w:w w:val="100"/>
                <w:position w:val="0"/>
                <w:sz w:val="21"/>
                <w:szCs w:val="21"/>
                <w:lang w:val="en-US" w:eastAsia="zh-CN" w:bidi="ar"/>
              </w:rPr>
              <w:t>万</w:t>
            </w:r>
            <w:r>
              <w:rPr>
                <w:rFonts w:ascii="Times New Roman" w:hAnsi="Times New Roman" w:eastAsia="宋体"/>
                <w:b/>
                <w:bCs w:val="0"/>
                <w:color w:val="auto"/>
                <w:spacing w:val="0"/>
                <w:w w:val="100"/>
                <w:position w:val="0"/>
                <w:sz w:val="21"/>
                <w:szCs w:val="21"/>
                <w:lang w:val="en-US" w:eastAsia="zh-CN" w:bidi="ar"/>
              </w:rPr>
              <w:t>t/a）</w:t>
            </w: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position w:val="0"/>
                <w:sz w:val="21"/>
                <w:szCs w:val="21"/>
                <w:u w:val="none"/>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污染物</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0"/>
                <w:position w:val="0"/>
                <w:sz w:val="21"/>
                <w:szCs w:val="21"/>
                <w:u w:val="none"/>
                <w:lang w:val="en-US" w:eastAsia="zh-CN" w:bidi="ar"/>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排放浓度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position w:val="0"/>
                <w:sz w:val="21"/>
                <w:szCs w:val="21"/>
                <w:u w:val="none"/>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w:t>
            </w:r>
            <w:r>
              <w:rPr>
                <w:rFonts w:ascii="Times New Roman" w:hAnsi="Times New Roman" w:eastAsia="宋体"/>
                <w:b/>
                <w:bCs w:val="0"/>
                <w:color w:val="auto"/>
                <w:spacing w:val="0"/>
                <w:w w:val="100"/>
                <w:position w:val="0"/>
                <w:sz w:val="21"/>
                <w:szCs w:val="21"/>
                <w:lang w:val="en-US" w:eastAsia="zh-CN" w:bidi="ar"/>
              </w:rPr>
              <w:t>mg/L）</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0"/>
                <w:position w:val="0"/>
                <w:sz w:val="21"/>
                <w:szCs w:val="21"/>
                <w:u w:val="none"/>
                <w:lang w:val="en-US" w:eastAsia="zh-CN" w:bidi="ar"/>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排放量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2"/>
                <w:position w:val="0"/>
                <w:sz w:val="21"/>
                <w:szCs w:val="21"/>
                <w:u w:val="none"/>
                <w:lang w:val="en-US" w:eastAsia="zh-CN" w:bidi="ar-SA"/>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w:t>
            </w:r>
            <w:r>
              <w:rPr>
                <w:rFonts w:ascii="Times New Roman" w:hAnsi="Times New Roman" w:eastAsia="宋体"/>
                <w:b/>
                <w:bCs w:val="0"/>
                <w:color w:val="auto"/>
                <w:spacing w:val="0"/>
                <w:w w:val="100"/>
                <w:position w:val="0"/>
                <w:sz w:val="21"/>
                <w:szCs w:val="21"/>
                <w:lang w:val="en-US" w:eastAsia="zh-CN" w:bidi="ar"/>
              </w:rPr>
              <w:t>t/a）</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0"/>
                <w:position w:val="0"/>
                <w:sz w:val="21"/>
                <w:szCs w:val="21"/>
                <w:u w:val="none"/>
                <w:lang w:val="en-US" w:eastAsia="zh-CN" w:bidi="ar"/>
              </w:rPr>
            </w:pPr>
            <w:r>
              <w:rPr>
                <w:rFonts w:hint="eastAsia" w:ascii="Times New Roman" w:hAnsi="Times New Roman" w:eastAsia="宋体"/>
                <w:b/>
                <w:bCs/>
                <w:color w:val="auto"/>
                <w:spacing w:val="0"/>
                <w:w w:val="100"/>
                <w:position w:val="0"/>
                <w:sz w:val="21"/>
                <w:szCs w:val="21"/>
                <w:lang w:val="en-US" w:eastAsia="zh-CN" w:bidi="ar"/>
              </w:rPr>
              <w:t>总量控制</w:t>
            </w:r>
            <w:r>
              <w:rPr>
                <w:rFonts w:ascii="Times New Roman" w:hAnsi="Times New Roman" w:eastAsia="宋体"/>
                <w:b/>
                <w:bCs/>
                <w:color w:val="auto"/>
                <w:spacing w:val="0"/>
                <w:w w:val="100"/>
                <w:position w:val="0"/>
                <w:sz w:val="21"/>
                <w:szCs w:val="21"/>
                <w:lang w:val="en-US" w:eastAsia="zh-CN" w:bidi="ar"/>
              </w:rPr>
              <w:t>（t/a）</w:t>
            </w:r>
          </w:p>
        </w:tc>
        <w:tc>
          <w:tcPr>
            <w:tcW w:w="456"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2"/>
                <w:position w:val="0"/>
                <w:sz w:val="21"/>
                <w:szCs w:val="21"/>
                <w:u w:val="none"/>
                <w:lang w:val="en-US" w:eastAsia="zh-CN" w:bidi="ar-SA"/>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排放去向</w:t>
            </w: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0"/>
                <w:position w:val="0"/>
                <w:sz w:val="21"/>
                <w:szCs w:val="21"/>
                <w:u w:val="none"/>
                <w:lang w:val="en-US" w:eastAsia="zh-CN" w:bidi="ar"/>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浓度限值</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kern w:val="2"/>
                <w:position w:val="0"/>
                <w:sz w:val="21"/>
                <w:szCs w:val="21"/>
                <w:u w:val="none"/>
                <w:lang w:val="en-US" w:eastAsia="zh-CN" w:bidi="ar-SA"/>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w:t>
            </w:r>
            <w:r>
              <w:rPr>
                <w:rFonts w:ascii="Times New Roman" w:hAnsi="Times New Roman" w:eastAsia="宋体"/>
                <w:b/>
                <w:bCs w:val="0"/>
                <w:color w:val="auto"/>
                <w:spacing w:val="0"/>
                <w:w w:val="100"/>
                <w:position w:val="0"/>
                <w:sz w:val="21"/>
                <w:szCs w:val="21"/>
                <w:lang w:val="en-US" w:eastAsia="zh-CN" w:bidi="ar"/>
              </w:rPr>
              <w:t>mg/m</w:t>
            </w:r>
            <w:r>
              <w:rPr>
                <w:rFonts w:ascii="Times New Roman" w:hAnsi="Times New Roman" w:eastAsia="宋体"/>
                <w:b/>
                <w:bCs w:val="0"/>
                <w:color w:val="auto"/>
                <w:spacing w:val="0"/>
                <w:w w:val="100"/>
                <w:position w:val="0"/>
                <w:sz w:val="21"/>
                <w:szCs w:val="21"/>
                <w:vertAlign w:val="superscript"/>
                <w:lang w:val="en-US" w:eastAsia="zh-CN" w:bidi="ar"/>
              </w:rPr>
              <w:t>3</w:t>
            </w:r>
            <w:r>
              <w:rPr>
                <w:rFonts w:ascii="Times New Roman" w:hAnsi="Times New Roman" w:eastAsia="宋体"/>
                <w:b/>
                <w:bCs w:val="0"/>
                <w:color w:val="auto"/>
                <w:spacing w:val="0"/>
                <w:w w:val="100"/>
                <w:position w:val="0"/>
                <w:sz w:val="21"/>
                <w:szCs w:val="21"/>
                <w:lang w:val="en-US" w:eastAsia="zh-CN" w:bidi="ar"/>
              </w:rPr>
              <w:t>）</w:t>
            </w:r>
          </w:p>
        </w:tc>
        <w:tc>
          <w:tcPr>
            <w:tcW w:w="1387"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执行</w:t>
            </w:r>
            <w:r>
              <w:rPr>
                <w:rFonts w:hint="eastAsia" w:ascii="Times New Roman" w:hAnsi="Times New Roman" w:eastAsia="宋体" w:cs="宋体"/>
                <w:b/>
                <w:bCs w:val="0"/>
                <w:i w:val="0"/>
                <w:color w:val="auto"/>
                <w:spacing w:val="0"/>
                <w:w w:val="100"/>
                <w:kern w:val="0"/>
                <w:position w:val="0"/>
                <w:sz w:val="21"/>
                <w:szCs w:val="21"/>
                <w:u w:val="none"/>
                <w:lang w:val="en-US" w:eastAsia="zh-CN" w:bidi="ar"/>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W1</w:t>
            </w:r>
          </w:p>
        </w:tc>
        <w:tc>
          <w:tcPr>
            <w:tcW w:w="4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position w:val="0"/>
                <w:sz w:val="21"/>
                <w:szCs w:val="21"/>
                <w:u w:val="none"/>
              </w:rPr>
            </w:pPr>
            <w:r>
              <w:rPr>
                <w:rFonts w:hint="eastAsia" w:ascii="Times New Roman" w:hAnsi="Times New Roman" w:eastAsia="宋体" w:cs="宋体"/>
                <w:i w:val="0"/>
                <w:color w:val="auto"/>
                <w:spacing w:val="0"/>
                <w:w w:val="100"/>
                <w:kern w:val="0"/>
                <w:position w:val="0"/>
                <w:sz w:val="21"/>
                <w:szCs w:val="21"/>
                <w:u w:val="none"/>
                <w:lang w:val="en-US" w:eastAsia="zh-CN" w:bidi="ar"/>
              </w:rPr>
              <w:t>高浓度废水</w:t>
            </w:r>
          </w:p>
        </w:tc>
        <w:tc>
          <w:tcPr>
            <w:tcW w:w="459" w:type="pct"/>
            <w:gridSpan w:val="2"/>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83.38</w:t>
            </w: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COD</w:t>
            </w:r>
          </w:p>
        </w:tc>
        <w:tc>
          <w:tcPr>
            <w:tcW w:w="437" w:type="pct"/>
            <w:gridSpan w:val="3"/>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1678.62</w:t>
            </w:r>
          </w:p>
        </w:tc>
        <w:tc>
          <w:tcPr>
            <w:tcW w:w="650" w:type="pct"/>
            <w:gridSpan w:val="3"/>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1399.69</w:t>
            </w:r>
          </w:p>
        </w:tc>
        <w:tc>
          <w:tcPr>
            <w:tcW w:w="327"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w:t>
            </w:r>
          </w:p>
        </w:tc>
        <w:tc>
          <w:tcPr>
            <w:tcW w:w="456"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position w:val="0"/>
                <w:sz w:val="21"/>
                <w:szCs w:val="21"/>
                <w:u w:val="none"/>
              </w:rPr>
            </w:pPr>
            <w:r>
              <w:rPr>
                <w:rFonts w:hint="eastAsia" w:ascii="Times New Roman" w:hAnsi="Times New Roman" w:eastAsia="宋体" w:cs="宋体"/>
                <w:i w:val="0"/>
                <w:color w:val="auto"/>
                <w:spacing w:val="0"/>
                <w:w w:val="100"/>
                <w:kern w:val="0"/>
                <w:position w:val="0"/>
                <w:sz w:val="21"/>
                <w:szCs w:val="21"/>
                <w:u w:val="none"/>
                <w:lang w:val="en-US" w:eastAsia="zh-CN" w:bidi="ar"/>
              </w:rPr>
              <w:t>产业园污水厂高浓度废水处理单元</w:t>
            </w: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lang w:val="en-US" w:eastAsia="zh-CN"/>
              </w:rPr>
              <w:t>20</w:t>
            </w:r>
            <w:r>
              <w:rPr>
                <w:rFonts w:ascii="Times New Roman" w:hAnsi="Times New Roman" w:eastAsia="宋体"/>
                <w:color w:val="auto"/>
                <w:spacing w:val="0"/>
                <w:w w:val="100"/>
                <w:position w:val="0"/>
              </w:rPr>
              <w:t>00</w:t>
            </w:r>
          </w:p>
        </w:tc>
        <w:tc>
          <w:tcPr>
            <w:tcW w:w="1387" w:type="pct"/>
            <w:gridSpan w:val="4"/>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olor w:val="auto"/>
                <w:spacing w:val="0"/>
                <w:w w:val="100"/>
                <w:position w:val="0"/>
              </w:rPr>
              <w:t>可门绿色纺织产业园污水处理厂接管标准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eastAsia="zh-CN"/>
              </w:rPr>
            </w:pPr>
            <w:r>
              <w:rPr>
                <w:rFonts w:hint="eastAsia" w:ascii="Times New Roman" w:hAnsi="Times New Roman" w:eastAsia="宋体" w:cs="Times New Roman"/>
                <w:i w:val="0"/>
                <w:color w:val="auto"/>
                <w:spacing w:val="0"/>
                <w:w w:val="100"/>
                <w:position w:val="0"/>
                <w:sz w:val="21"/>
                <w:szCs w:val="21"/>
                <w:u w:val="none"/>
                <w:lang w:val="en-US" w:eastAsia="zh-CN"/>
              </w:rPr>
              <w:t>BOD</w:t>
            </w:r>
            <w:r>
              <w:rPr>
                <w:rFonts w:hint="eastAsia" w:ascii="Times New Roman" w:hAnsi="Times New Roman" w:eastAsia="宋体" w:cs="Times New Roman"/>
                <w:i w:val="0"/>
                <w:color w:val="auto"/>
                <w:spacing w:val="0"/>
                <w:w w:val="100"/>
                <w:position w:val="0"/>
                <w:sz w:val="21"/>
                <w:szCs w:val="21"/>
                <w:u w:val="none"/>
                <w:vertAlign w:val="subscript"/>
                <w:lang w:val="en-US" w:eastAsia="zh-CN"/>
              </w:rPr>
              <w:t>5</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s="Times New Roman"/>
                <w:i w:val="0"/>
                <w:color w:val="auto"/>
                <w:spacing w:val="0"/>
                <w:w w:val="100"/>
                <w:kern w:val="0"/>
                <w:position w:val="0"/>
                <w:sz w:val="21"/>
                <w:szCs w:val="21"/>
                <w:u w:val="none"/>
                <w:lang w:val="en-US" w:eastAsia="zh-CN" w:bidi="ar"/>
              </w:rPr>
              <w:t>467.86</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390.12</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5</w:t>
            </w:r>
            <w:r>
              <w:rPr>
                <w:rFonts w:ascii="Times New Roman" w:hAnsi="Times New Roman" w:eastAsia="宋体"/>
                <w:color w:val="auto"/>
                <w:spacing w:val="0"/>
                <w:w w:val="100"/>
                <w:position w:val="0"/>
              </w:rPr>
              <w:t>00</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SS</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400.0</w:t>
            </w:r>
            <w:r>
              <w:rPr>
                <w:rFonts w:hint="eastAsia" w:ascii="Times New Roman" w:hAnsi="Times New Roman" w:eastAsia="宋体" w:cs="Times New Roman"/>
                <w:i w:val="0"/>
                <w:color w:val="auto"/>
                <w:spacing w:val="0"/>
                <w:w w:val="100"/>
                <w:kern w:val="0"/>
                <w:position w:val="0"/>
                <w:sz w:val="21"/>
                <w:szCs w:val="21"/>
                <w:u w:val="none"/>
                <w:lang w:val="en-US" w:eastAsia="zh-CN" w:bidi="ar"/>
              </w:rPr>
              <w:t>1</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333.54</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8</w:t>
            </w:r>
            <w:r>
              <w:rPr>
                <w:rFonts w:ascii="Times New Roman" w:hAnsi="Times New Roman" w:eastAsia="宋体"/>
                <w:color w:val="auto"/>
                <w:spacing w:val="0"/>
                <w:w w:val="100"/>
                <w:position w:val="0"/>
              </w:rPr>
              <w:t>00</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氨氮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14.</w:t>
            </w:r>
            <w:r>
              <w:rPr>
                <w:rFonts w:hint="eastAsia" w:ascii="Times New Roman" w:hAnsi="Times New Roman" w:eastAsia="宋体" w:cs="Times New Roman"/>
                <w:i w:val="0"/>
                <w:color w:val="auto"/>
                <w:spacing w:val="0"/>
                <w:w w:val="100"/>
                <w:kern w:val="0"/>
                <w:position w:val="0"/>
                <w:sz w:val="21"/>
                <w:szCs w:val="21"/>
                <w:u w:val="none"/>
                <w:lang w:val="en-US" w:eastAsia="zh-CN" w:bidi="ar"/>
              </w:rPr>
              <w:t>30</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11.92</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50</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总氮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14.</w:t>
            </w:r>
            <w:r>
              <w:rPr>
                <w:rFonts w:hint="eastAsia" w:ascii="Times New Roman" w:hAnsi="Times New Roman" w:eastAsia="宋体" w:cs="Times New Roman"/>
                <w:i w:val="0"/>
                <w:color w:val="auto"/>
                <w:spacing w:val="0"/>
                <w:w w:val="100"/>
                <w:kern w:val="0"/>
                <w:position w:val="0"/>
                <w:sz w:val="21"/>
                <w:szCs w:val="21"/>
                <w:u w:val="none"/>
                <w:lang w:val="en-US" w:eastAsia="zh-CN" w:bidi="ar"/>
              </w:rPr>
              <w:t>30</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11.92</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8</w:t>
            </w:r>
            <w:r>
              <w:rPr>
                <w:rFonts w:ascii="Times New Roman" w:hAnsi="Times New Roman" w:eastAsia="宋体"/>
                <w:color w:val="auto"/>
                <w:spacing w:val="0"/>
                <w:w w:val="100"/>
                <w:position w:val="0"/>
              </w:rPr>
              <w:t>0</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宋体"/>
                <w:i w:val="0"/>
                <w:color w:val="auto"/>
                <w:spacing w:val="0"/>
                <w:w w:val="100"/>
                <w:kern w:val="0"/>
                <w:position w:val="0"/>
                <w:sz w:val="21"/>
                <w:szCs w:val="21"/>
                <w:u w:val="none"/>
                <w:lang w:val="en-US" w:eastAsia="zh-CN" w:bidi="ar"/>
              </w:rPr>
              <w:t>总磷</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2.8</w:t>
            </w:r>
            <w:r>
              <w:rPr>
                <w:rFonts w:hint="eastAsia" w:ascii="Times New Roman" w:hAnsi="Times New Roman" w:eastAsia="宋体" w:cs="Times New Roman"/>
                <w:i w:val="0"/>
                <w:color w:val="auto"/>
                <w:spacing w:val="0"/>
                <w:w w:val="100"/>
                <w:kern w:val="0"/>
                <w:position w:val="0"/>
                <w:sz w:val="21"/>
                <w:szCs w:val="21"/>
                <w:u w:val="none"/>
                <w:lang w:val="en-US" w:eastAsia="zh-CN" w:bidi="ar"/>
              </w:rPr>
              <w:t>7</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2.39</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r>
              <w:rPr>
                <w:rFonts w:hint="eastAsia" w:ascii="Times New Roman" w:hAnsi="Times New Roman" w:eastAsia="宋体"/>
                <w:color w:val="auto"/>
                <w:spacing w:val="0"/>
                <w:w w:val="100"/>
                <w:position w:val="0"/>
              </w:rPr>
              <w:t>4</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position w:val="0"/>
                <w:sz w:val="21"/>
                <w:szCs w:val="21"/>
                <w:u w:val="none"/>
                <w:lang w:eastAsia="zh-CN"/>
              </w:rPr>
            </w:pPr>
            <w:r>
              <w:rPr>
                <w:rFonts w:hint="eastAsia" w:ascii="Times New Roman" w:hAnsi="Times New Roman" w:eastAsia="宋体" w:cs="Times New Roman"/>
                <w:i w:val="0"/>
                <w:color w:val="auto"/>
                <w:spacing w:val="0"/>
                <w:w w:val="100"/>
                <w:position w:val="0"/>
                <w:sz w:val="21"/>
                <w:szCs w:val="21"/>
                <w:u w:val="none"/>
                <w:lang w:eastAsia="zh-CN"/>
              </w:rPr>
              <w:t>硫化物</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0.</w:t>
            </w:r>
            <w:r>
              <w:rPr>
                <w:rFonts w:hint="eastAsia" w:ascii="Times New Roman" w:hAnsi="Times New Roman" w:eastAsia="宋体" w:cs="Times New Roman"/>
                <w:i w:val="0"/>
                <w:color w:val="auto"/>
                <w:spacing w:val="0"/>
                <w:w w:val="100"/>
                <w:kern w:val="0"/>
                <w:position w:val="0"/>
                <w:sz w:val="21"/>
                <w:szCs w:val="21"/>
                <w:u w:val="none"/>
                <w:lang w:val="en-US" w:eastAsia="zh-CN" w:bidi="ar"/>
              </w:rPr>
              <w:t>47</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0.</w:t>
            </w:r>
            <w:r>
              <w:rPr>
                <w:rFonts w:hint="eastAsia" w:ascii="Times New Roman" w:hAnsi="Times New Roman" w:eastAsia="宋体" w:cs="Times New Roman"/>
                <w:i w:val="0"/>
                <w:color w:val="auto"/>
                <w:spacing w:val="0"/>
                <w:w w:val="100"/>
                <w:kern w:val="0"/>
                <w:position w:val="0"/>
                <w:sz w:val="21"/>
                <w:szCs w:val="21"/>
                <w:u w:val="none"/>
                <w:lang w:val="en-US" w:eastAsia="zh-CN" w:bidi="ar"/>
              </w:rPr>
              <w:t>39</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s="Times New Roman"/>
                <w:color w:val="auto"/>
                <w:spacing w:val="0"/>
                <w:w w:val="100"/>
                <w:kern w:val="2"/>
                <w:position w:val="0"/>
                <w:sz w:val="21"/>
                <w:szCs w:val="24"/>
                <w:lang w:val="en-US" w:eastAsia="zh-CN" w:bidi="ar-SA"/>
              </w:rPr>
              <w:t>2</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position w:val="0"/>
                <w:sz w:val="21"/>
                <w:szCs w:val="21"/>
                <w:u w:val="none"/>
                <w:lang w:eastAsia="zh-CN"/>
              </w:rPr>
            </w:pPr>
            <w:r>
              <w:rPr>
                <w:rFonts w:hint="eastAsia" w:ascii="Times New Roman" w:hAnsi="Times New Roman" w:eastAsia="宋体" w:cs="Times New Roman"/>
                <w:i w:val="0"/>
                <w:color w:val="auto"/>
                <w:spacing w:val="0"/>
                <w:w w:val="100"/>
                <w:position w:val="0"/>
                <w:sz w:val="21"/>
                <w:szCs w:val="21"/>
                <w:u w:val="none"/>
                <w:lang w:eastAsia="zh-CN"/>
              </w:rPr>
              <w:t>总锑</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0.13</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0.11</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s="Times New Roman"/>
                <w:color w:val="auto"/>
                <w:spacing w:val="0"/>
                <w:w w:val="100"/>
                <w:kern w:val="2"/>
                <w:position w:val="0"/>
                <w:sz w:val="21"/>
                <w:szCs w:val="24"/>
                <w:lang w:val="en-US" w:eastAsia="zh-CN" w:bidi="ar-SA"/>
              </w:rPr>
              <w:t>0.15</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eastAsia" w:ascii="Times New Roman" w:hAnsi="Times New Roman" w:eastAsia="宋体" w:cs="Times New Roman"/>
                <w:i w:val="0"/>
                <w:color w:val="auto"/>
                <w:spacing w:val="0"/>
                <w:w w:val="100"/>
                <w:kern w:val="0"/>
                <w:position w:val="0"/>
                <w:sz w:val="21"/>
                <w:szCs w:val="21"/>
                <w:u w:val="none"/>
                <w:lang w:val="en-US" w:eastAsia="zh-CN" w:bidi="ar"/>
              </w:rPr>
              <w:t>W</w:t>
            </w:r>
            <w:r>
              <w:rPr>
                <w:rFonts w:hint="default" w:ascii="Times New Roman" w:hAnsi="Times New Roman" w:eastAsia="宋体" w:cs="Times New Roman"/>
                <w:i w:val="0"/>
                <w:color w:val="auto"/>
                <w:spacing w:val="0"/>
                <w:w w:val="100"/>
                <w:kern w:val="0"/>
                <w:position w:val="0"/>
                <w:sz w:val="21"/>
                <w:szCs w:val="21"/>
                <w:u w:val="none"/>
                <w:lang w:val="en-US" w:eastAsia="zh-CN" w:bidi="ar"/>
              </w:rPr>
              <w:t>2</w:t>
            </w:r>
          </w:p>
        </w:tc>
        <w:tc>
          <w:tcPr>
            <w:tcW w:w="4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低浓度废水</w:t>
            </w:r>
          </w:p>
        </w:tc>
        <w:tc>
          <w:tcPr>
            <w:tcW w:w="459" w:type="pct"/>
            <w:gridSpan w:val="2"/>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53.26</w:t>
            </w: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COD</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793.72</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422.78</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456"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产业园污水厂低浓度废水处理单元</w:t>
            </w: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800</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position w:val="0"/>
                <w:sz w:val="21"/>
                <w:szCs w:val="21"/>
                <w:u w:val="none"/>
                <w:lang w:val="en-US" w:eastAsia="zh-CN"/>
              </w:rPr>
              <w:t>BOD</w:t>
            </w:r>
            <w:r>
              <w:rPr>
                <w:rFonts w:hint="eastAsia" w:ascii="Times New Roman" w:hAnsi="Times New Roman" w:eastAsia="宋体" w:cs="Times New Roman"/>
                <w:i w:val="0"/>
                <w:color w:val="auto"/>
                <w:spacing w:val="0"/>
                <w:w w:val="100"/>
                <w:position w:val="0"/>
                <w:sz w:val="21"/>
                <w:szCs w:val="21"/>
                <w:u w:val="none"/>
                <w:vertAlign w:val="subscript"/>
                <w:lang w:val="en-US" w:eastAsia="zh-CN"/>
              </w:rPr>
              <w:t>5</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149.</w:t>
            </w:r>
            <w:r>
              <w:rPr>
                <w:rFonts w:hint="eastAsia" w:ascii="Times New Roman" w:hAnsi="Times New Roman" w:eastAsia="宋体" w:cs="Times New Roman"/>
                <w:i w:val="0"/>
                <w:color w:val="auto"/>
                <w:spacing w:val="0"/>
                <w:w w:val="100"/>
                <w:kern w:val="0"/>
                <w:position w:val="0"/>
                <w:sz w:val="21"/>
                <w:szCs w:val="21"/>
                <w:u w:val="none"/>
                <w:lang w:val="en-US" w:eastAsia="zh-CN" w:bidi="ar"/>
              </w:rPr>
              <w:t>36</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79.56</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456"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Times New Roman" w:hAnsi="Times New Roman" w:eastAsia="宋体" w:cs="宋体"/>
                <w:i w:val="0"/>
                <w:color w:val="auto"/>
                <w:spacing w:val="0"/>
                <w:w w:val="100"/>
                <w:kern w:val="0"/>
                <w:position w:val="0"/>
                <w:sz w:val="21"/>
                <w:szCs w:val="21"/>
                <w:u w:val="none"/>
                <w:lang w:val="en-US" w:eastAsia="zh-CN" w:bidi="ar"/>
              </w:rPr>
            </w:pP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150</w:t>
            </w:r>
          </w:p>
        </w:tc>
        <w:tc>
          <w:tcPr>
            <w:tcW w:w="1387" w:type="pct"/>
            <w:gridSpan w:val="4"/>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Times New Roman" w:hAnsi="Times New Roman" w:eastAsia="宋体" w:cs="宋体"/>
                <w:i w:val="0"/>
                <w:color w:val="auto"/>
                <w:spacing w:val="0"/>
                <w:w w:val="100"/>
                <w:kern w:val="0"/>
                <w:positio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SS</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247.</w:t>
            </w:r>
            <w:r>
              <w:rPr>
                <w:rFonts w:hint="eastAsia" w:ascii="Times New Roman" w:hAnsi="Times New Roman" w:eastAsia="宋体" w:cs="Times New Roman"/>
                <w:i w:val="0"/>
                <w:color w:val="auto"/>
                <w:spacing w:val="0"/>
                <w:w w:val="100"/>
                <w:kern w:val="0"/>
                <w:position w:val="0"/>
                <w:sz w:val="21"/>
                <w:szCs w:val="21"/>
                <w:u w:val="none"/>
                <w:lang w:val="en-US" w:eastAsia="zh-CN" w:bidi="ar"/>
              </w:rPr>
              <w:t>8</w:t>
            </w:r>
            <w:r>
              <w:rPr>
                <w:rFonts w:hint="default" w:ascii="Times New Roman" w:hAnsi="Times New Roman" w:eastAsia="宋体" w:cs="Times New Roman"/>
                <w:i w:val="0"/>
                <w:color w:val="auto"/>
                <w:spacing w:val="0"/>
                <w:w w:val="100"/>
                <w:kern w:val="0"/>
                <w:position w:val="0"/>
                <w:sz w:val="21"/>
                <w:szCs w:val="21"/>
                <w:u w:val="none"/>
                <w:lang w:val="en-US" w:eastAsia="zh-CN" w:bidi="ar"/>
              </w:rPr>
              <w:t>3</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132.01</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300</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氨氮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15.08</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8.03</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15</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总氮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15.17</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8.08</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olor w:val="auto"/>
                <w:spacing w:val="0"/>
                <w:w w:val="100"/>
                <w:position w:val="0"/>
              </w:rPr>
              <w:t>20</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宋体"/>
                <w:i w:val="0"/>
                <w:color w:val="auto"/>
                <w:spacing w:val="0"/>
                <w:w w:val="100"/>
                <w:kern w:val="0"/>
                <w:position w:val="0"/>
                <w:sz w:val="21"/>
                <w:szCs w:val="21"/>
                <w:u w:val="none"/>
                <w:lang w:val="en-US" w:eastAsia="zh-CN" w:bidi="ar"/>
              </w:rPr>
              <w:t>总磷</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2.5</w:t>
            </w:r>
            <w:r>
              <w:rPr>
                <w:rFonts w:hint="eastAsia" w:ascii="Times New Roman" w:hAnsi="Times New Roman" w:eastAsia="宋体" w:cs="Times New Roman"/>
                <w:i w:val="0"/>
                <w:color w:val="auto"/>
                <w:spacing w:val="0"/>
                <w:w w:val="100"/>
                <w:kern w:val="0"/>
                <w:position w:val="0"/>
                <w:sz w:val="21"/>
                <w:szCs w:val="21"/>
                <w:u w:val="none"/>
                <w:lang w:val="en-US" w:eastAsia="zh-CN" w:bidi="ar"/>
              </w:rPr>
              <w:t>2</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1.</w:t>
            </w:r>
            <w:r>
              <w:rPr>
                <w:rFonts w:hint="eastAsia" w:ascii="Times New Roman" w:hAnsi="Times New Roman" w:eastAsia="宋体" w:cs="Times New Roman"/>
                <w:i w:val="0"/>
                <w:color w:val="auto"/>
                <w:spacing w:val="0"/>
                <w:w w:val="100"/>
                <w:kern w:val="0"/>
                <w:position w:val="0"/>
                <w:sz w:val="21"/>
                <w:szCs w:val="21"/>
                <w:u w:val="none"/>
                <w:lang w:val="en-US" w:eastAsia="zh-CN" w:bidi="ar"/>
              </w:rPr>
              <w:t>34</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3</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kern w:val="2"/>
                <w:position w:val="0"/>
                <w:sz w:val="21"/>
                <w:szCs w:val="21"/>
                <w:u w:val="none"/>
                <w:lang w:val="en-US" w:eastAsia="zh-CN" w:bidi="ar-SA"/>
              </w:rPr>
              <w:t>硫化物</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default" w:ascii="Times New Roman" w:hAnsi="Times New Roman" w:eastAsia="宋体" w:cs="Times New Roman"/>
                <w:i w:val="0"/>
                <w:color w:val="auto"/>
                <w:spacing w:val="0"/>
                <w:w w:val="100"/>
                <w:kern w:val="0"/>
                <w:position w:val="0"/>
                <w:sz w:val="21"/>
                <w:szCs w:val="21"/>
                <w:u w:val="none"/>
                <w:lang w:val="en-US" w:eastAsia="zh-CN" w:bidi="ar"/>
              </w:rPr>
              <w:t>0.</w:t>
            </w:r>
            <w:r>
              <w:rPr>
                <w:rFonts w:hint="eastAsia" w:ascii="Times New Roman" w:hAnsi="Times New Roman" w:eastAsia="宋体" w:cs="Times New Roman"/>
                <w:i w:val="0"/>
                <w:color w:val="auto"/>
                <w:spacing w:val="0"/>
                <w:w w:val="100"/>
                <w:kern w:val="0"/>
                <w:position w:val="0"/>
                <w:sz w:val="21"/>
                <w:szCs w:val="21"/>
                <w:u w:val="none"/>
                <w:lang w:val="en-US" w:eastAsia="zh-CN" w:bidi="ar"/>
              </w:rPr>
              <w:t>19</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0.1</w:t>
            </w:r>
            <w:r>
              <w:rPr>
                <w:rFonts w:hint="eastAsia" w:ascii="Times New Roman" w:hAnsi="Times New Roman" w:eastAsia="宋体" w:cs="Times New Roman"/>
                <w:i w:val="0"/>
                <w:color w:val="auto"/>
                <w:spacing w:val="0"/>
                <w:w w:val="100"/>
                <w:kern w:val="0"/>
                <w:position w:val="0"/>
                <w:sz w:val="21"/>
                <w:szCs w:val="21"/>
                <w:u w:val="none"/>
                <w:lang w:val="en-US" w:eastAsia="zh-CN" w:bidi="ar"/>
              </w:rPr>
              <w:t>0</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s="Times New Roman"/>
                <w:color w:val="auto"/>
                <w:spacing w:val="0"/>
                <w:w w:val="100"/>
                <w:kern w:val="2"/>
                <w:position w:val="0"/>
                <w:sz w:val="21"/>
                <w:szCs w:val="24"/>
                <w:lang w:val="en-US" w:eastAsia="zh-CN" w:bidi="ar-SA"/>
              </w:rPr>
              <w:t>1</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position w:val="0"/>
                <w:sz w:val="21"/>
                <w:szCs w:val="21"/>
                <w:u w:val="none"/>
                <w:lang w:eastAsia="zh-CN"/>
              </w:rPr>
              <w:t>总锑</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0.09</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0.05</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w w:val="100"/>
                <w:kern w:val="2"/>
                <w:position w:val="0"/>
                <w:sz w:val="21"/>
                <w:szCs w:val="24"/>
                <w:lang w:val="en-US" w:eastAsia="zh-CN" w:bidi="ar-SA"/>
              </w:rPr>
            </w:pPr>
            <w:r>
              <w:rPr>
                <w:rFonts w:hint="eastAsia" w:ascii="Times New Roman" w:hAnsi="Times New Roman" w:eastAsia="宋体" w:cs="Times New Roman"/>
                <w:color w:val="auto"/>
                <w:spacing w:val="0"/>
                <w:w w:val="100"/>
                <w:kern w:val="2"/>
                <w:position w:val="0"/>
                <w:sz w:val="21"/>
                <w:szCs w:val="24"/>
                <w:lang w:val="en-US" w:eastAsia="zh-CN" w:bidi="ar-SA"/>
              </w:rPr>
              <w:t>0.1</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i w:val="0"/>
                <w:color w:val="auto"/>
                <w:spacing w:val="0"/>
                <w:w w:val="100"/>
                <w:position w:val="0"/>
                <w:sz w:val="21"/>
                <w:szCs w:val="21"/>
                <w:u w:val="none"/>
                <w:lang w:eastAsia="zh-CN"/>
              </w:rPr>
            </w:pPr>
            <w:r>
              <w:rPr>
                <w:rFonts w:hint="eastAsia" w:ascii="Times New Roman" w:hAnsi="Times New Roman" w:eastAsia="宋体" w:cs="Times New Roman"/>
                <w:i w:val="0"/>
                <w:color w:val="auto"/>
                <w:spacing w:val="0"/>
                <w:w w:val="100"/>
                <w:position w:val="0"/>
                <w:sz w:val="21"/>
                <w:szCs w:val="21"/>
                <w:u w:val="none"/>
                <w:lang w:eastAsia="zh-CN"/>
              </w:rPr>
              <w:t>合计</w:t>
            </w:r>
          </w:p>
        </w:tc>
        <w:tc>
          <w:tcPr>
            <w:tcW w:w="42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r>
              <w:rPr>
                <w:rFonts w:hint="eastAsia" w:ascii="Times New Roman" w:hAnsi="Times New Roman" w:eastAsia="宋体"/>
                <w:color w:val="auto"/>
                <w:spacing w:val="0"/>
                <w:w w:val="100"/>
                <w:position w:val="0"/>
                <w:szCs w:val="21"/>
                <w:lang w:bidi="ar"/>
              </w:rPr>
              <w:t>排入园区污水厂废水</w:t>
            </w:r>
          </w:p>
        </w:tc>
        <w:tc>
          <w:tcPr>
            <w:tcW w:w="459" w:type="pct"/>
            <w:gridSpan w:val="2"/>
            <w:vMerge w:val="restar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136.67（</w:t>
            </w:r>
            <w:r>
              <w:rPr>
                <w:rFonts w:hint="eastAsia" w:ascii="Times New Roman" w:hAnsi="Times New Roman" w:eastAsia="宋体"/>
                <w:color w:val="auto"/>
                <w:spacing w:val="0"/>
                <w:w w:val="100"/>
                <w:position w:val="0"/>
              </w:rPr>
              <w:t>排入园区污水厂废水量=</w:t>
            </w:r>
            <w:r>
              <w:rPr>
                <w:rFonts w:hint="eastAsia" w:ascii="Times New Roman" w:hAnsi="Times New Roman" w:eastAsia="宋体"/>
                <w:color w:val="auto"/>
                <w:spacing w:val="0"/>
                <w:w w:val="100"/>
                <w:position w:val="0"/>
                <w:lang w:eastAsia="zh-CN"/>
              </w:rPr>
              <w:t>高浓度</w:t>
            </w:r>
            <w:r>
              <w:rPr>
                <w:rFonts w:hint="eastAsia" w:ascii="Times New Roman" w:hAnsi="Times New Roman" w:eastAsia="宋体"/>
                <w:color w:val="auto"/>
                <w:spacing w:val="0"/>
                <w:w w:val="100"/>
                <w:position w:val="0"/>
              </w:rPr>
              <w:t>废水量</w:t>
            </w:r>
            <w:r>
              <w:rPr>
                <w:rFonts w:hint="eastAsia" w:ascii="Times New Roman" w:hAnsi="Times New Roman" w:eastAsia="宋体"/>
                <w:color w:val="auto"/>
                <w:spacing w:val="0"/>
                <w:w w:val="100"/>
                <w:position w:val="0"/>
                <w:lang w:val="en-US" w:eastAsia="zh-CN"/>
              </w:rPr>
              <w:t>+</w:t>
            </w:r>
            <w:r>
              <w:rPr>
                <w:rFonts w:hint="eastAsia" w:ascii="Times New Roman" w:hAnsi="Times New Roman" w:eastAsia="宋体"/>
                <w:color w:val="auto"/>
                <w:spacing w:val="0"/>
                <w:w w:val="100"/>
                <w:position w:val="0"/>
                <w:lang w:eastAsia="zh-CN"/>
              </w:rPr>
              <w:t>低浓度</w:t>
            </w:r>
            <w:r>
              <w:rPr>
                <w:rFonts w:hint="eastAsia" w:ascii="Times New Roman" w:hAnsi="Times New Roman" w:eastAsia="宋体"/>
                <w:color w:val="auto"/>
                <w:spacing w:val="0"/>
                <w:w w:val="100"/>
                <w:position w:val="0"/>
              </w:rPr>
              <w:t>废水量</w:t>
            </w:r>
            <w:r>
              <w:rPr>
                <w:rFonts w:hint="eastAsia" w:ascii="Times New Roman" w:hAnsi="Times New Roman" w:eastAsia="宋体"/>
                <w:color w:val="auto"/>
                <w:spacing w:val="0"/>
                <w:w w:val="100"/>
                <w:position w:val="0"/>
                <w:lang w:val="en-US" w:eastAsia="zh-CN"/>
              </w:rPr>
              <w:t>）</w:t>
            </w: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COD</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1333.48</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1822.47</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lang w:eastAsia="zh-CN"/>
              </w:rPr>
            </w:pPr>
            <w:r>
              <w:rPr>
                <w:rFonts w:hint="eastAsia" w:ascii="Times New Roman" w:hAnsi="Times New Roman" w:eastAsia="宋体" w:cs="宋体"/>
                <w:i w:val="0"/>
                <w:color w:val="auto"/>
                <w:spacing w:val="0"/>
                <w:w w:val="100"/>
                <w:kern w:val="0"/>
                <w:position w:val="0"/>
                <w:sz w:val="21"/>
                <w:szCs w:val="21"/>
                <w:u w:val="none"/>
                <w:lang w:val="en-US" w:eastAsia="zh-CN" w:bidi="ar"/>
              </w:rPr>
              <w:t>产业园污水厂</w:t>
            </w:r>
          </w:p>
        </w:tc>
        <w:tc>
          <w:tcPr>
            <w:tcW w:w="312" w:type="pct"/>
            <w:gridSpan w:val="3"/>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position w:val="0"/>
                <w:sz w:val="21"/>
                <w:szCs w:val="21"/>
                <w:u w:val="none"/>
                <w:lang w:val="en-US" w:eastAsia="zh-CN"/>
              </w:rPr>
              <w:t>BOD</w:t>
            </w:r>
            <w:r>
              <w:rPr>
                <w:rFonts w:hint="eastAsia" w:ascii="Times New Roman" w:hAnsi="Times New Roman" w:eastAsia="宋体" w:cs="Times New Roman"/>
                <w:i w:val="0"/>
                <w:color w:val="auto"/>
                <w:spacing w:val="0"/>
                <w:w w:val="100"/>
                <w:position w:val="0"/>
                <w:sz w:val="21"/>
                <w:szCs w:val="21"/>
                <w:u w:val="none"/>
                <w:vertAlign w:val="subscript"/>
                <w:lang w:val="en-US" w:eastAsia="zh-CN"/>
              </w:rPr>
              <w:t>5</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343.66</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469.68</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SS</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340.64</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465.55</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氨氮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14.60</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19.95</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总氮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14.63</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20.00</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宋体"/>
                <w:i w:val="0"/>
                <w:color w:val="auto"/>
                <w:spacing w:val="0"/>
                <w:w w:val="100"/>
                <w:kern w:val="0"/>
                <w:position w:val="0"/>
                <w:sz w:val="21"/>
                <w:szCs w:val="21"/>
                <w:u w:val="none"/>
                <w:lang w:val="en-US" w:eastAsia="zh-CN" w:bidi="ar"/>
              </w:rPr>
              <w:t>总磷</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kern w:val="0"/>
                <w:position w:val="0"/>
                <w:sz w:val="21"/>
                <w:szCs w:val="21"/>
                <w:u w:val="none"/>
                <w:lang w:val="en-US" w:eastAsia="zh-CN" w:bidi="ar"/>
              </w:rPr>
              <w:t>2.73</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3.</w:t>
            </w:r>
            <w:r>
              <w:rPr>
                <w:rFonts w:hint="eastAsia" w:ascii="Times New Roman" w:hAnsi="Times New Roman" w:eastAsia="宋体" w:cs="Times New Roman"/>
                <w:i w:val="0"/>
                <w:color w:val="auto"/>
                <w:spacing w:val="0"/>
                <w:w w:val="100"/>
                <w:kern w:val="0"/>
                <w:position w:val="0"/>
                <w:sz w:val="21"/>
                <w:szCs w:val="21"/>
                <w:u w:val="none"/>
                <w:lang w:val="en-US" w:eastAsia="zh-CN" w:bidi="ar"/>
              </w:rPr>
              <w:t>73</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position w:val="0"/>
                <w:sz w:val="21"/>
                <w:szCs w:val="21"/>
                <w:u w:val="none"/>
                <w:lang w:eastAsia="zh-CN"/>
              </w:rPr>
              <w:t>硫化物</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0.3</w:t>
            </w:r>
            <w:r>
              <w:rPr>
                <w:rFonts w:hint="eastAsia" w:ascii="Times New Roman" w:hAnsi="Times New Roman" w:eastAsia="宋体" w:cs="Times New Roman"/>
                <w:i w:val="0"/>
                <w:color w:val="auto"/>
                <w:spacing w:val="0"/>
                <w:w w:val="100"/>
                <w:kern w:val="0"/>
                <w:position w:val="0"/>
                <w:sz w:val="21"/>
                <w:szCs w:val="21"/>
                <w:u w:val="none"/>
                <w:lang w:val="en-US" w:eastAsia="zh-CN" w:bidi="ar"/>
              </w:rPr>
              <w:t>6</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0.</w:t>
            </w:r>
            <w:r>
              <w:rPr>
                <w:rFonts w:hint="eastAsia" w:ascii="Times New Roman" w:hAnsi="Times New Roman" w:eastAsia="宋体" w:cs="Times New Roman"/>
                <w:i w:val="0"/>
                <w:color w:val="auto"/>
                <w:spacing w:val="0"/>
                <w:w w:val="100"/>
                <w:kern w:val="0"/>
                <w:position w:val="0"/>
                <w:sz w:val="21"/>
                <w:szCs w:val="21"/>
                <w:u w:val="none"/>
                <w:lang w:val="en-US" w:eastAsia="zh-CN" w:bidi="ar"/>
              </w:rPr>
              <w:t>4</w:t>
            </w:r>
            <w:r>
              <w:rPr>
                <w:rFonts w:hint="default" w:ascii="Times New Roman" w:hAnsi="Times New Roman" w:eastAsia="宋体" w:cs="Times New Roman"/>
                <w:i w:val="0"/>
                <w:color w:val="auto"/>
                <w:spacing w:val="0"/>
                <w:w w:val="100"/>
                <w:kern w:val="0"/>
                <w:position w:val="0"/>
                <w:sz w:val="21"/>
                <w:szCs w:val="21"/>
                <w:u w:val="none"/>
                <w:lang w:val="en-US" w:eastAsia="zh-CN" w:bidi="ar"/>
              </w:rPr>
              <w:t>9</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position w:val="0"/>
                <w:sz w:val="21"/>
                <w:szCs w:val="21"/>
                <w:u w:val="none"/>
                <w:lang w:eastAsia="zh-CN"/>
              </w:rPr>
            </w:pPr>
            <w:r>
              <w:rPr>
                <w:rFonts w:hint="eastAsia" w:ascii="Times New Roman" w:hAnsi="Times New Roman" w:eastAsia="宋体" w:cs="Times New Roman"/>
                <w:i w:val="0"/>
                <w:color w:val="auto"/>
                <w:spacing w:val="0"/>
                <w:w w:val="100"/>
                <w:position w:val="0"/>
                <w:sz w:val="21"/>
                <w:szCs w:val="21"/>
                <w:u w:val="none"/>
                <w:lang w:eastAsia="zh-CN"/>
              </w:rPr>
              <w:t>总锑</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0.12</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0.16</w:t>
            </w:r>
          </w:p>
        </w:tc>
        <w:tc>
          <w:tcPr>
            <w:tcW w:w="32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r>
              <w:rPr>
                <w:rFonts w:hint="eastAsia" w:ascii="Times New Roman" w:hAnsi="Times New Roman" w:eastAsia="宋体"/>
                <w:color w:val="auto"/>
                <w:spacing w:val="0"/>
                <w:w w:val="100"/>
                <w:position w:val="0"/>
                <w:szCs w:val="21"/>
                <w:lang w:bidi="ar"/>
              </w:rPr>
              <w:t>排入</w:t>
            </w:r>
            <w:r>
              <w:rPr>
                <w:rFonts w:hint="eastAsia" w:ascii="Times New Roman" w:hAnsi="Times New Roman" w:eastAsia="宋体"/>
                <w:color w:val="auto"/>
                <w:spacing w:val="0"/>
                <w:w w:val="100"/>
                <w:position w:val="0"/>
                <w:szCs w:val="21"/>
                <w:lang w:eastAsia="zh-CN" w:bidi="ar"/>
              </w:rPr>
              <w:t>外环境</w:t>
            </w:r>
            <w:r>
              <w:rPr>
                <w:rFonts w:hint="eastAsia" w:ascii="Times New Roman" w:hAnsi="Times New Roman" w:eastAsia="宋体"/>
                <w:color w:val="auto"/>
                <w:spacing w:val="0"/>
                <w:w w:val="100"/>
                <w:position w:val="0"/>
                <w:szCs w:val="21"/>
                <w:lang w:bidi="ar"/>
              </w:rPr>
              <w:t>废水</w:t>
            </w:r>
          </w:p>
        </w:tc>
        <w:tc>
          <w:tcPr>
            <w:tcW w:w="459" w:type="pct"/>
            <w:gridSpan w:val="2"/>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i w:val="0"/>
                <w:color w:val="auto"/>
                <w:spacing w:val="0"/>
                <w:w w:val="100"/>
                <w:position w:val="0"/>
                <w:sz w:val="21"/>
                <w:szCs w:val="21"/>
                <w:u w:val="none"/>
                <w:lang w:val="en-US" w:eastAsia="zh-CN"/>
              </w:rPr>
            </w:pPr>
            <w:r>
              <w:rPr>
                <w:rFonts w:hint="eastAsia" w:ascii="Times New Roman" w:hAnsi="Times New Roman" w:eastAsia="宋体" w:cs="Times New Roman"/>
                <w:i w:val="0"/>
                <w:color w:val="auto"/>
                <w:spacing w:val="0"/>
                <w:w w:val="100"/>
                <w:position w:val="0"/>
                <w:sz w:val="21"/>
                <w:szCs w:val="21"/>
                <w:u w:val="none"/>
                <w:lang w:val="en-US" w:eastAsia="zh-CN"/>
              </w:rPr>
              <w:t>75.17</w:t>
            </w:r>
          </w:p>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r>
              <w:rPr>
                <w:rFonts w:hint="eastAsia" w:ascii="Times New Roman" w:hAnsi="Times New Roman" w:eastAsia="宋体" w:cs="Times New Roman"/>
                <w:i w:val="0"/>
                <w:color w:val="auto"/>
                <w:spacing w:val="0"/>
                <w:w w:val="100"/>
                <w:position w:val="0"/>
                <w:sz w:val="21"/>
                <w:szCs w:val="21"/>
                <w:u w:val="none"/>
                <w:lang w:eastAsia="zh-CN"/>
              </w:rPr>
              <w:t>（</w:t>
            </w:r>
            <w:r>
              <w:rPr>
                <w:rFonts w:hint="eastAsia" w:ascii="Times New Roman" w:hAnsi="Times New Roman" w:eastAsia="宋体"/>
                <w:color w:val="auto"/>
                <w:spacing w:val="0"/>
                <w:w w:val="100"/>
                <w:kern w:val="0"/>
                <w:position w:val="0"/>
                <w:szCs w:val="21"/>
              </w:rPr>
              <w:t>排入环境的废水量=排入园区污水厂废水量-中水回用量</w:t>
            </w:r>
            <w:r>
              <w:rPr>
                <w:rFonts w:hint="eastAsia" w:ascii="Times New Roman" w:hAnsi="Times New Roman" w:eastAsia="宋体" w:cs="Times New Roman"/>
                <w:i w:val="0"/>
                <w:color w:val="auto"/>
                <w:spacing w:val="0"/>
                <w:w w:val="100"/>
                <w:position w:val="0"/>
                <w:sz w:val="21"/>
                <w:szCs w:val="21"/>
                <w:u w:val="none"/>
                <w:lang w:eastAsia="zh-CN"/>
              </w:rPr>
              <w:t>）</w:t>
            </w: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COD</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50</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37.59</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position w:val="0"/>
                <w:sz w:val="21"/>
                <w:szCs w:val="21"/>
                <w:u w:val="none"/>
                <w:lang w:val="en-US"/>
              </w:rPr>
            </w:pPr>
            <w:r>
              <w:rPr>
                <w:rFonts w:hint="eastAsia" w:ascii="Times New Roman" w:hAnsi="Times New Roman" w:eastAsia="宋体" w:cs="Times New Roman"/>
                <w:i w:val="0"/>
                <w:color w:val="auto"/>
                <w:spacing w:val="0"/>
                <w:w w:val="100"/>
                <w:kern w:val="0"/>
                <w:position w:val="0"/>
                <w:sz w:val="21"/>
                <w:szCs w:val="21"/>
                <w:u w:val="none"/>
                <w:lang w:val="en-US" w:eastAsia="zh-CN" w:bidi="ar"/>
              </w:rPr>
              <w:t>37.59</w:t>
            </w:r>
          </w:p>
        </w:tc>
        <w:tc>
          <w:tcPr>
            <w:tcW w:w="456" w:type="pct"/>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r>
              <w:rPr>
                <w:rFonts w:hint="eastAsia" w:ascii="Times New Roman" w:hAnsi="Times New Roman" w:eastAsia="宋体"/>
                <w:color w:val="auto"/>
                <w:spacing w:val="0"/>
                <w:w w:val="100"/>
                <w:kern w:val="0"/>
                <w:position w:val="0"/>
                <w:szCs w:val="21"/>
              </w:rPr>
              <w:t>罗源湾海域</w:t>
            </w: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s="Times New Roman"/>
                <w:i w:val="0"/>
                <w:color w:val="auto"/>
                <w:spacing w:val="0"/>
                <w:w w:val="100"/>
                <w:kern w:val="0"/>
                <w:position w:val="0"/>
                <w:sz w:val="21"/>
                <w:szCs w:val="21"/>
                <w:u w:val="none"/>
                <w:lang w:val="en-US" w:eastAsia="zh-CN" w:bidi="ar"/>
              </w:rPr>
              <w:t>50</w:t>
            </w:r>
          </w:p>
        </w:tc>
        <w:tc>
          <w:tcPr>
            <w:tcW w:w="1387" w:type="pct"/>
            <w:gridSpan w:val="4"/>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r>
              <w:rPr>
                <w:rFonts w:hint="eastAsia" w:ascii="Times New Roman" w:hAnsi="Times New Roman" w:eastAsia="宋体"/>
                <w:color w:val="auto"/>
                <w:spacing w:val="0"/>
                <w:w w:val="100"/>
                <w:position w:val="0"/>
                <w:lang w:eastAsia="zh-CN"/>
              </w:rPr>
              <w:t>从严执行《城镇污水处理厂污染物排放标准》（GB18918-2002）一级A标准和《纺织染整工业水污染物排放标准》（GB4287-2012）表2直接排放限值及其修改单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position w:val="0"/>
                <w:sz w:val="21"/>
                <w:szCs w:val="21"/>
                <w:u w:val="none"/>
                <w:lang w:val="en-US" w:eastAsia="zh-CN"/>
              </w:rPr>
              <w:t>BOD</w:t>
            </w:r>
            <w:r>
              <w:rPr>
                <w:rFonts w:hint="eastAsia" w:ascii="Times New Roman" w:hAnsi="Times New Roman" w:eastAsia="宋体" w:cs="Times New Roman"/>
                <w:i w:val="0"/>
                <w:color w:val="auto"/>
                <w:spacing w:val="0"/>
                <w:w w:val="100"/>
                <w:position w:val="0"/>
                <w:sz w:val="21"/>
                <w:szCs w:val="21"/>
                <w:u w:val="none"/>
                <w:vertAlign w:val="subscript"/>
                <w:lang w:val="en-US" w:eastAsia="zh-CN"/>
              </w:rPr>
              <w:t>5</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10</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7.52</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w:t>
            </w: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s="Times New Roman"/>
                <w:i w:val="0"/>
                <w:color w:val="auto"/>
                <w:spacing w:val="0"/>
                <w:w w:val="100"/>
                <w:kern w:val="0"/>
                <w:position w:val="0"/>
                <w:sz w:val="21"/>
                <w:szCs w:val="21"/>
                <w:u w:val="none"/>
                <w:lang w:val="en-US" w:eastAsia="zh-CN" w:bidi="ar"/>
              </w:rPr>
              <w:t>10</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SS</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10</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7.52</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w:t>
            </w: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s="Times New Roman"/>
                <w:i w:val="0"/>
                <w:color w:val="auto"/>
                <w:spacing w:val="0"/>
                <w:w w:val="100"/>
                <w:kern w:val="0"/>
                <w:position w:val="0"/>
                <w:sz w:val="21"/>
                <w:szCs w:val="21"/>
                <w:u w:val="none"/>
                <w:lang w:val="en-US" w:eastAsia="zh-CN" w:bidi="ar"/>
              </w:rPr>
              <w:t>10</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氨氮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5</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3.</w:t>
            </w:r>
            <w:r>
              <w:rPr>
                <w:rFonts w:hint="eastAsia" w:ascii="Times New Roman" w:hAnsi="Times New Roman" w:eastAsia="宋体" w:cs="Times New Roman"/>
                <w:i w:val="0"/>
                <w:color w:val="auto"/>
                <w:spacing w:val="0"/>
                <w:w w:val="100"/>
                <w:kern w:val="0"/>
                <w:position w:val="0"/>
                <w:sz w:val="21"/>
                <w:szCs w:val="21"/>
                <w:u w:val="none"/>
                <w:lang w:val="en-US" w:eastAsia="zh-CN" w:bidi="ar"/>
              </w:rPr>
              <w:t>76</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position w:val="0"/>
                <w:sz w:val="21"/>
                <w:szCs w:val="21"/>
                <w:u w:val="none"/>
                <w:lang w:val="en-US"/>
              </w:rPr>
            </w:pPr>
            <w:r>
              <w:rPr>
                <w:rFonts w:hint="default" w:ascii="Times New Roman" w:hAnsi="Times New Roman" w:eastAsia="宋体" w:cs="Times New Roman"/>
                <w:i w:val="0"/>
                <w:color w:val="auto"/>
                <w:spacing w:val="0"/>
                <w:w w:val="100"/>
                <w:kern w:val="0"/>
                <w:position w:val="0"/>
                <w:sz w:val="21"/>
                <w:szCs w:val="21"/>
                <w:u w:val="none"/>
                <w:lang w:val="en-US" w:eastAsia="zh-CN" w:bidi="ar"/>
              </w:rPr>
              <w:t>3.</w:t>
            </w:r>
            <w:r>
              <w:rPr>
                <w:rFonts w:hint="eastAsia" w:ascii="Times New Roman" w:hAnsi="Times New Roman" w:eastAsia="宋体" w:cs="Times New Roman"/>
                <w:i w:val="0"/>
                <w:color w:val="auto"/>
                <w:spacing w:val="0"/>
                <w:w w:val="100"/>
                <w:kern w:val="0"/>
                <w:position w:val="0"/>
                <w:sz w:val="21"/>
                <w:szCs w:val="21"/>
                <w:u w:val="none"/>
                <w:lang w:val="en-US" w:eastAsia="zh-CN" w:bidi="ar"/>
              </w:rPr>
              <w:t>76</w:t>
            </w: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5</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ascii="Times New Roman" w:hAnsi="Times New Roman" w:eastAsia="宋体" w:cs="宋体"/>
                <w:i w:val="0"/>
                <w:color w:val="auto"/>
                <w:spacing w:val="0"/>
                <w:w w:val="100"/>
                <w:kern w:val="0"/>
                <w:position w:val="0"/>
                <w:sz w:val="21"/>
                <w:szCs w:val="21"/>
                <w:u w:val="none"/>
                <w:lang w:val="en-US" w:eastAsia="zh-CN" w:bidi="ar"/>
              </w:rPr>
              <w:t>总氮</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15</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11.28</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w:t>
            </w: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15</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宋体"/>
                <w:i w:val="0"/>
                <w:color w:val="auto"/>
                <w:spacing w:val="0"/>
                <w:w w:val="100"/>
                <w:kern w:val="0"/>
                <w:position w:val="0"/>
                <w:sz w:val="21"/>
                <w:szCs w:val="21"/>
                <w:u w:val="none"/>
                <w:lang w:val="en-US" w:eastAsia="zh-CN" w:bidi="ar"/>
              </w:rPr>
              <w:t>总磷</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0.5</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0.3</w:t>
            </w:r>
            <w:r>
              <w:rPr>
                <w:rFonts w:hint="eastAsia" w:ascii="Times New Roman" w:hAnsi="Times New Roman" w:eastAsia="宋体" w:cs="Times New Roman"/>
                <w:i w:val="0"/>
                <w:color w:val="auto"/>
                <w:spacing w:val="0"/>
                <w:w w:val="100"/>
                <w:kern w:val="0"/>
                <w:position w:val="0"/>
                <w:sz w:val="21"/>
                <w:szCs w:val="21"/>
                <w:u w:val="none"/>
                <w:lang w:val="en-US" w:eastAsia="zh-CN" w:bidi="ar"/>
              </w:rPr>
              <w:t>8</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i w:val="0"/>
                <w:color w:val="auto"/>
                <w:spacing w:val="0"/>
                <w:w w:val="100"/>
                <w:kern w:val="2"/>
                <w:position w:val="0"/>
                <w:sz w:val="21"/>
                <w:szCs w:val="21"/>
                <w:u w:val="none"/>
                <w:lang w:val="en-US" w:eastAsia="zh-CN" w:bidi="ar-SA"/>
              </w:rPr>
            </w:pPr>
            <w:r>
              <w:rPr>
                <w:rFonts w:hint="default" w:ascii="Times New Roman" w:hAnsi="Times New Roman" w:eastAsia="宋体" w:cs="Times New Roman"/>
                <w:i w:val="0"/>
                <w:color w:val="auto"/>
                <w:spacing w:val="0"/>
                <w:w w:val="100"/>
                <w:kern w:val="0"/>
                <w:position w:val="0"/>
                <w:sz w:val="21"/>
                <w:szCs w:val="21"/>
                <w:u w:val="none"/>
                <w:lang w:val="en-US" w:eastAsia="zh-CN" w:bidi="ar"/>
              </w:rPr>
              <w:t>/</w:t>
            </w: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0.5</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2"/>
                <w:position w:val="0"/>
                <w:sz w:val="21"/>
                <w:szCs w:val="21"/>
                <w:u w:val="none"/>
                <w:lang w:val="en-US" w:eastAsia="zh-CN" w:bidi="ar-SA"/>
              </w:rPr>
            </w:pPr>
            <w:r>
              <w:rPr>
                <w:rFonts w:hint="eastAsia" w:ascii="Times New Roman" w:hAnsi="Times New Roman" w:eastAsia="宋体" w:cs="Times New Roman"/>
                <w:i w:val="0"/>
                <w:color w:val="auto"/>
                <w:spacing w:val="0"/>
                <w:w w:val="100"/>
                <w:position w:val="0"/>
                <w:sz w:val="21"/>
                <w:szCs w:val="21"/>
                <w:u w:val="none"/>
                <w:lang w:eastAsia="zh-CN"/>
              </w:rPr>
              <w:t>硫化物</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0.5</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0.3</w:t>
            </w:r>
            <w:r>
              <w:rPr>
                <w:rFonts w:hint="eastAsia" w:ascii="Times New Roman" w:hAnsi="Times New Roman" w:eastAsia="宋体" w:cs="Times New Roman"/>
                <w:i w:val="0"/>
                <w:color w:val="auto"/>
                <w:spacing w:val="0"/>
                <w:w w:val="100"/>
                <w:kern w:val="0"/>
                <w:position w:val="0"/>
                <w:sz w:val="21"/>
                <w:szCs w:val="21"/>
                <w:u w:val="none"/>
                <w:lang w:val="en-US" w:eastAsia="zh-CN" w:bidi="ar"/>
              </w:rPr>
              <w:t>8</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w:t>
            </w: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0.5</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4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459" w:type="pct"/>
            <w:gridSpan w:val="2"/>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spacing w:val="0"/>
                <w:w w:val="100"/>
                <w:position w:val="0"/>
                <w:sz w:val="21"/>
                <w:szCs w:val="21"/>
                <w:u w:val="none"/>
              </w:rPr>
            </w:pPr>
          </w:p>
        </w:tc>
        <w:tc>
          <w:tcPr>
            <w:tcW w:w="306"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i w:val="0"/>
                <w:color w:val="auto"/>
                <w:spacing w:val="0"/>
                <w:w w:val="100"/>
                <w:position w:val="0"/>
                <w:sz w:val="21"/>
                <w:szCs w:val="21"/>
                <w:u w:val="none"/>
                <w:lang w:eastAsia="zh-CN"/>
              </w:rPr>
            </w:pPr>
            <w:r>
              <w:rPr>
                <w:rFonts w:hint="eastAsia" w:ascii="Times New Roman" w:hAnsi="Times New Roman" w:eastAsia="宋体" w:cs="Times New Roman"/>
                <w:i w:val="0"/>
                <w:color w:val="auto"/>
                <w:spacing w:val="0"/>
                <w:w w:val="100"/>
                <w:position w:val="0"/>
                <w:sz w:val="21"/>
                <w:szCs w:val="21"/>
                <w:u w:val="none"/>
                <w:lang w:eastAsia="zh-CN"/>
              </w:rPr>
              <w:t>总锑</w:t>
            </w:r>
          </w:p>
        </w:tc>
        <w:tc>
          <w:tcPr>
            <w:tcW w:w="437"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0.1</w:t>
            </w:r>
          </w:p>
        </w:tc>
        <w:tc>
          <w:tcPr>
            <w:tcW w:w="650"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0.08</w:t>
            </w:r>
          </w:p>
        </w:tc>
        <w:tc>
          <w:tcPr>
            <w:tcW w:w="32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w:t>
            </w:r>
          </w:p>
        </w:tc>
        <w:tc>
          <w:tcPr>
            <w:tcW w:w="456"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c>
          <w:tcPr>
            <w:tcW w:w="31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i w:val="0"/>
                <w:color w:val="auto"/>
                <w:spacing w:val="0"/>
                <w:w w:val="100"/>
                <w:kern w:val="0"/>
                <w:position w:val="0"/>
                <w:sz w:val="21"/>
                <w:szCs w:val="21"/>
                <w:u w:val="none"/>
                <w:lang w:val="en-US" w:eastAsia="zh-CN" w:bidi="ar"/>
              </w:rPr>
              <w:t>0.1</w:t>
            </w:r>
          </w:p>
        </w:tc>
        <w:tc>
          <w:tcPr>
            <w:tcW w:w="1387" w:type="pct"/>
            <w:gridSpan w:val="4"/>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宋体"/>
                <w:i w:val="0"/>
                <w:color w:val="auto"/>
                <w:spacing w:val="0"/>
                <w:w w:val="100"/>
                <w:position w:val="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宋体"/>
                <w:b/>
                <w:i w:val="0"/>
                <w:color w:val="auto"/>
                <w:spacing w:val="0"/>
                <w:w w:val="100"/>
                <w:kern w:val="0"/>
                <w:position w:val="0"/>
                <w:sz w:val="21"/>
                <w:szCs w:val="21"/>
                <w:u w:val="none"/>
                <w:lang w:val="en-US" w:eastAsia="zh-CN" w:bidi="ar"/>
              </w:rPr>
            </w:pPr>
            <w:r>
              <w:rPr>
                <w:rFonts w:hint="eastAsia" w:ascii="Times New Roman" w:hAnsi="Times New Roman" w:eastAsia="宋体" w:cs="宋体"/>
                <w:b/>
                <w:i w:val="0"/>
                <w:color w:val="auto"/>
                <w:spacing w:val="0"/>
                <w:w w:val="100"/>
                <w:kern w:val="0"/>
                <w:position w:val="0"/>
                <w:sz w:val="21"/>
                <w:szCs w:val="21"/>
                <w:u w:val="none"/>
                <w:lang w:val="en-US" w:eastAsia="zh-CN" w:bidi="ar"/>
              </w:rPr>
              <w:t>3、固体废物排放清单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编号</w:t>
            </w:r>
          </w:p>
        </w:tc>
        <w:tc>
          <w:tcPr>
            <w:tcW w:w="880" w:type="pct"/>
            <w:gridSpan w:val="3"/>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固体废物</w:t>
            </w:r>
          </w:p>
        </w:tc>
        <w:tc>
          <w:tcPr>
            <w:tcW w:w="744"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产生量（t/a）</w:t>
            </w:r>
          </w:p>
        </w:tc>
        <w:tc>
          <w:tcPr>
            <w:tcW w:w="977"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kern w:val="0"/>
                <w:position w:val="0"/>
                <w:sz w:val="21"/>
                <w:szCs w:val="21"/>
                <w:u w:val="none"/>
                <w:lang w:val="en-US" w:eastAsia="zh-CN" w:bidi="ar"/>
              </w:rPr>
            </w:pPr>
            <w:r>
              <w:rPr>
                <w:rFonts w:hint="eastAsia" w:ascii="Times New Roman" w:hAnsi="Times New Roman" w:eastAsia="宋体" w:cs="宋体"/>
                <w:b/>
                <w:bCs w:val="0"/>
                <w:i w:val="0"/>
                <w:color w:val="auto"/>
                <w:spacing w:val="0"/>
                <w:w w:val="100"/>
                <w:kern w:val="0"/>
                <w:position w:val="0"/>
                <w:sz w:val="21"/>
                <w:szCs w:val="21"/>
                <w:u w:val="none"/>
                <w:lang w:val="en-US" w:eastAsia="zh-CN" w:bidi="ar"/>
              </w:rPr>
              <w:t>排放量（</w:t>
            </w:r>
            <w:r>
              <w:rPr>
                <w:rFonts w:ascii="Times New Roman" w:hAnsi="Times New Roman" w:eastAsia="宋体"/>
                <w:b/>
                <w:bCs w:val="0"/>
                <w:color w:val="auto"/>
                <w:spacing w:val="0"/>
                <w:w w:val="100"/>
                <w:position w:val="0"/>
                <w:sz w:val="21"/>
                <w:szCs w:val="21"/>
                <w:lang w:val="en-US" w:eastAsia="zh-CN" w:bidi="ar"/>
              </w:rPr>
              <w:t>t/a）</w:t>
            </w:r>
          </w:p>
        </w:tc>
        <w:tc>
          <w:tcPr>
            <w:tcW w:w="769"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治理措施</w:t>
            </w:r>
          </w:p>
        </w:tc>
        <w:tc>
          <w:tcPr>
            <w:tcW w:w="1387" w:type="pct"/>
            <w:gridSpan w:val="4"/>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i w:val="0"/>
                <w:color w:val="auto"/>
                <w:spacing w:val="0"/>
                <w:w w:val="100"/>
                <w:position w:val="0"/>
                <w:sz w:val="21"/>
                <w:szCs w:val="21"/>
                <w:u w:val="none"/>
              </w:rPr>
            </w:pPr>
            <w:r>
              <w:rPr>
                <w:rFonts w:hint="eastAsia" w:ascii="Times New Roman" w:hAnsi="Times New Roman" w:eastAsia="宋体" w:cs="宋体"/>
                <w:b/>
                <w:i w:val="0"/>
                <w:color w:val="auto"/>
                <w:spacing w:val="0"/>
                <w:w w:val="100"/>
                <w:kern w:val="0"/>
                <w:position w:val="0"/>
                <w:sz w:val="21"/>
                <w:szCs w:val="21"/>
                <w:u w:val="none"/>
                <w:lang w:val="en-US" w:eastAsia="zh-CN" w:bidi="ar"/>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default" w:ascii="Times New Roman" w:hAnsi="Times New Roman" w:eastAsia="宋体"/>
                <w:color w:val="auto"/>
                <w:spacing w:val="0"/>
                <w:w w:val="100"/>
                <w:position w:val="0"/>
                <w:lang w:val="en-US" w:eastAsia="zh-CN"/>
              </w:rPr>
              <w:t>GF</w:t>
            </w:r>
            <w:r>
              <w:rPr>
                <w:rFonts w:hint="eastAsia" w:ascii="Times New Roman" w:hAnsi="Times New Roman" w:eastAsia="宋体"/>
                <w:color w:val="auto"/>
                <w:spacing w:val="0"/>
                <w:w w:val="100"/>
                <w:position w:val="0"/>
                <w:lang w:val="en-US" w:eastAsia="zh-CN"/>
              </w:rPr>
              <w:t>1</w:t>
            </w:r>
          </w:p>
        </w:tc>
        <w:tc>
          <w:tcPr>
            <w:tcW w:w="880"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废丝、废布头和次品</w:t>
            </w:r>
          </w:p>
        </w:tc>
        <w:tc>
          <w:tcPr>
            <w:tcW w:w="744"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rPr>
            </w:pPr>
            <w:r>
              <w:rPr>
                <w:rFonts w:hint="eastAsia" w:ascii="Times New Roman" w:hAnsi="Times New Roman" w:eastAsia="宋体"/>
                <w:color w:val="auto"/>
                <w:spacing w:val="0"/>
                <w:w w:val="100"/>
                <w:position w:val="0"/>
                <w:lang w:val="en-US" w:eastAsia="zh-CN"/>
              </w:rPr>
              <w:t>633</w:t>
            </w:r>
          </w:p>
        </w:tc>
        <w:tc>
          <w:tcPr>
            <w:tcW w:w="977"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0</w:t>
            </w:r>
          </w:p>
        </w:tc>
        <w:tc>
          <w:tcPr>
            <w:tcW w:w="769" w:type="pct"/>
            <w:gridSpan w:val="5"/>
            <w:vMerge w:val="restar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外售综合利用</w:t>
            </w:r>
          </w:p>
        </w:tc>
        <w:tc>
          <w:tcPr>
            <w:tcW w:w="1387" w:type="pct"/>
            <w:gridSpan w:val="4"/>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r>
              <w:rPr>
                <w:rFonts w:ascii="Times New Roman" w:hAnsi="Times New Roman" w:eastAsia="宋体"/>
                <w:color w:val="auto"/>
                <w:spacing w:val="0"/>
                <w:w w:val="100"/>
                <w:position w:val="0"/>
              </w:rPr>
              <w:t>《</w:t>
            </w:r>
            <w:r>
              <w:rPr>
                <w:rFonts w:hint="eastAsia" w:ascii="Times New Roman" w:hAnsi="Times New Roman" w:eastAsia="宋体"/>
                <w:color w:val="auto"/>
                <w:spacing w:val="0"/>
                <w:w w:val="100"/>
                <w:position w:val="0"/>
              </w:rPr>
              <w:t>一般工业固体废物贮存和填埋污染控制标准</w:t>
            </w:r>
            <w:r>
              <w:rPr>
                <w:rFonts w:ascii="Times New Roman" w:hAnsi="Times New Roman" w:eastAsia="宋体"/>
                <w:color w:val="auto"/>
                <w:spacing w:val="0"/>
                <w:w w:val="100"/>
                <w:position w:val="0"/>
              </w:rPr>
              <w:t>》（GB18599-20</w:t>
            </w:r>
            <w:r>
              <w:rPr>
                <w:rFonts w:hint="eastAsia" w:ascii="Times New Roman" w:hAnsi="Times New Roman" w:eastAsia="宋体"/>
                <w:color w:val="auto"/>
                <w:spacing w:val="0"/>
                <w:w w:val="100"/>
                <w:position w:val="0"/>
                <w:lang w:val="en-US" w:eastAsia="zh-CN"/>
              </w:rPr>
              <w:t>20</w:t>
            </w:r>
            <w:r>
              <w:rPr>
                <w:rFonts w:ascii="Times New Roman" w:hAnsi="Times New Roman" w:eastAsia="宋体"/>
                <w:color w:val="auto"/>
                <w:spacing w:val="0"/>
                <w:w w:val="100"/>
                <w:position w:val="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GF2</w:t>
            </w:r>
          </w:p>
        </w:tc>
        <w:tc>
          <w:tcPr>
            <w:tcW w:w="880"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普通废包装</w:t>
            </w:r>
          </w:p>
        </w:tc>
        <w:tc>
          <w:tcPr>
            <w:tcW w:w="744"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2.0</w:t>
            </w:r>
          </w:p>
        </w:tc>
        <w:tc>
          <w:tcPr>
            <w:tcW w:w="977"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r>
              <w:rPr>
                <w:rFonts w:hint="default" w:ascii="Times New Roman" w:hAnsi="Times New Roman" w:eastAsia="宋体"/>
                <w:color w:val="auto"/>
                <w:spacing w:val="0"/>
                <w:w w:val="100"/>
                <w:position w:val="0"/>
                <w:lang w:val="en-US" w:eastAsia="zh-CN"/>
              </w:rPr>
              <w:t>0</w:t>
            </w:r>
          </w:p>
        </w:tc>
        <w:tc>
          <w:tcPr>
            <w:tcW w:w="769" w:type="pct"/>
            <w:gridSpan w:val="5"/>
            <w:vMerge w:val="continue"/>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p>
        </w:tc>
        <w:tc>
          <w:tcPr>
            <w:tcW w:w="1387" w:type="pct"/>
            <w:gridSpan w:val="4"/>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GF3</w:t>
            </w:r>
          </w:p>
        </w:tc>
        <w:tc>
          <w:tcPr>
            <w:tcW w:w="880"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废弃包装物</w:t>
            </w:r>
          </w:p>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（HW49，</w:t>
            </w:r>
            <w:r>
              <w:rPr>
                <w:rFonts w:hint="eastAsia" w:ascii="Times New Roman" w:hAnsi="Times New Roman" w:eastAsia="宋体"/>
                <w:color w:val="auto"/>
                <w:spacing w:val="0"/>
                <w:w w:val="100"/>
                <w:position w:val="0"/>
              </w:rPr>
              <w:t>900-</w:t>
            </w:r>
            <w:r>
              <w:rPr>
                <w:rFonts w:hint="eastAsia" w:ascii="Times New Roman" w:hAnsi="Times New Roman" w:eastAsia="宋体"/>
                <w:color w:val="auto"/>
                <w:spacing w:val="0"/>
                <w:w w:val="100"/>
                <w:position w:val="0"/>
                <w:lang w:val="en-US" w:eastAsia="zh-CN"/>
              </w:rPr>
              <w:t>041</w:t>
            </w:r>
            <w:r>
              <w:rPr>
                <w:rFonts w:hint="eastAsia" w:ascii="Times New Roman" w:hAnsi="Times New Roman" w:eastAsia="宋体"/>
                <w:color w:val="auto"/>
                <w:spacing w:val="0"/>
                <w:w w:val="100"/>
                <w:position w:val="0"/>
              </w:rPr>
              <w:t>-</w:t>
            </w:r>
            <w:r>
              <w:rPr>
                <w:rFonts w:hint="eastAsia" w:ascii="Times New Roman" w:hAnsi="Times New Roman" w:eastAsia="宋体"/>
                <w:color w:val="auto"/>
                <w:spacing w:val="0"/>
                <w:w w:val="100"/>
                <w:position w:val="0"/>
                <w:lang w:val="en-US" w:eastAsia="zh-CN"/>
              </w:rPr>
              <w:t>49）</w:t>
            </w:r>
          </w:p>
        </w:tc>
        <w:tc>
          <w:tcPr>
            <w:tcW w:w="744"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rPr>
            </w:pPr>
            <w:r>
              <w:rPr>
                <w:rFonts w:hint="eastAsia" w:ascii="Times New Roman" w:hAnsi="Times New Roman" w:eastAsia="宋体"/>
                <w:color w:val="auto"/>
                <w:spacing w:val="0"/>
                <w:w w:val="100"/>
                <w:position w:val="0"/>
                <w:lang w:val="en-US" w:eastAsia="zh-CN"/>
              </w:rPr>
              <w:t>8.1</w:t>
            </w:r>
          </w:p>
        </w:tc>
        <w:tc>
          <w:tcPr>
            <w:tcW w:w="977"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0</w:t>
            </w:r>
          </w:p>
        </w:tc>
        <w:tc>
          <w:tcPr>
            <w:tcW w:w="769" w:type="pct"/>
            <w:gridSpan w:val="5"/>
            <w:vMerge w:val="restar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委托处置</w:t>
            </w:r>
          </w:p>
        </w:tc>
        <w:tc>
          <w:tcPr>
            <w:tcW w:w="1387" w:type="pct"/>
            <w:gridSpan w:val="4"/>
            <w:vMerge w:val="restart"/>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eastAsia="zh-CN"/>
              </w:rPr>
              <w:t>《危险废物贮存污染控制标准》（GB18597-2</w:t>
            </w:r>
            <w:r>
              <w:rPr>
                <w:rFonts w:hint="eastAsia" w:ascii="Times New Roman" w:hAnsi="Times New Roman" w:eastAsia="宋体"/>
                <w:color w:val="auto"/>
                <w:spacing w:val="0"/>
                <w:w w:val="100"/>
                <w:position w:val="0"/>
                <w:lang w:val="en-US" w:eastAsia="zh-CN"/>
              </w:rPr>
              <w:t>023</w:t>
            </w:r>
            <w:r>
              <w:rPr>
                <w:rFonts w:hint="eastAsia" w:ascii="Times New Roman" w:hAnsi="Times New Roman" w:eastAsia="宋体"/>
                <w:color w:val="auto"/>
                <w:spacing w:val="0"/>
                <w:w w:val="100"/>
                <w:position w:val="0"/>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GF4</w:t>
            </w:r>
          </w:p>
        </w:tc>
        <w:tc>
          <w:tcPr>
            <w:tcW w:w="880"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定型废油</w:t>
            </w:r>
          </w:p>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（HW08，900-210-08）</w:t>
            </w:r>
          </w:p>
        </w:tc>
        <w:tc>
          <w:tcPr>
            <w:tcW w:w="744"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598.75</w:t>
            </w:r>
          </w:p>
        </w:tc>
        <w:tc>
          <w:tcPr>
            <w:tcW w:w="977"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0</w:t>
            </w:r>
          </w:p>
        </w:tc>
        <w:tc>
          <w:tcPr>
            <w:tcW w:w="769" w:type="pct"/>
            <w:gridSpan w:val="5"/>
            <w:vMerge w:val="continue"/>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GF5</w:t>
            </w:r>
          </w:p>
        </w:tc>
        <w:tc>
          <w:tcPr>
            <w:tcW w:w="880"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废机油</w:t>
            </w:r>
          </w:p>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（HW08，900-249-08）</w:t>
            </w:r>
          </w:p>
        </w:tc>
        <w:tc>
          <w:tcPr>
            <w:tcW w:w="744"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0.1</w:t>
            </w:r>
          </w:p>
        </w:tc>
        <w:tc>
          <w:tcPr>
            <w:tcW w:w="977"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0</w:t>
            </w:r>
          </w:p>
        </w:tc>
        <w:tc>
          <w:tcPr>
            <w:tcW w:w="769" w:type="pct"/>
            <w:gridSpan w:val="5"/>
            <w:vMerge w:val="continue"/>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GF</w:t>
            </w:r>
            <w:r>
              <w:rPr>
                <w:rFonts w:hint="eastAsia" w:ascii="Times New Roman" w:hAnsi="Times New Roman" w:eastAsia="宋体"/>
                <w:color w:val="auto"/>
                <w:spacing w:val="0"/>
                <w:w w:val="100"/>
                <w:position w:val="0"/>
                <w:lang w:val="en-US" w:eastAsia="zh-CN"/>
              </w:rPr>
              <w:t>6</w:t>
            </w:r>
          </w:p>
        </w:tc>
        <w:tc>
          <w:tcPr>
            <w:tcW w:w="880"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化验室废液</w:t>
            </w:r>
          </w:p>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（HW49，900-047-49）</w:t>
            </w:r>
          </w:p>
        </w:tc>
        <w:tc>
          <w:tcPr>
            <w:tcW w:w="744"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eastAsia" w:ascii="Times New Roman" w:hAnsi="Times New Roman" w:eastAsia="宋体"/>
                <w:color w:val="auto"/>
                <w:spacing w:val="0"/>
                <w:w w:val="100"/>
                <w:position w:val="0"/>
                <w:lang w:val="en-US" w:eastAsia="zh-CN"/>
              </w:rPr>
              <w:t>0.5</w:t>
            </w:r>
          </w:p>
        </w:tc>
        <w:tc>
          <w:tcPr>
            <w:tcW w:w="977"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0</w:t>
            </w:r>
          </w:p>
        </w:tc>
        <w:tc>
          <w:tcPr>
            <w:tcW w:w="769" w:type="pct"/>
            <w:gridSpan w:val="5"/>
            <w:vMerge w:val="continue"/>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c>
          <w:tcPr>
            <w:tcW w:w="1387" w:type="pct"/>
            <w:gridSpan w:val="4"/>
            <w:vMerge w:val="continue"/>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240" w:type="pct"/>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default" w:ascii="Times New Roman" w:hAnsi="Times New Roman" w:eastAsia="宋体"/>
                <w:color w:val="auto"/>
                <w:spacing w:val="0"/>
                <w:w w:val="100"/>
                <w:position w:val="0"/>
                <w:lang w:val="en-US" w:eastAsia="zh-CN"/>
              </w:rPr>
              <w:t>GF</w:t>
            </w:r>
            <w:r>
              <w:rPr>
                <w:rFonts w:hint="eastAsia" w:ascii="Times New Roman" w:hAnsi="Times New Roman" w:eastAsia="宋体"/>
                <w:color w:val="auto"/>
                <w:spacing w:val="0"/>
                <w:w w:val="100"/>
                <w:position w:val="0"/>
                <w:lang w:val="en-US" w:eastAsia="zh-CN"/>
              </w:rPr>
              <w:t>7</w:t>
            </w:r>
          </w:p>
        </w:tc>
        <w:tc>
          <w:tcPr>
            <w:tcW w:w="880" w:type="pct"/>
            <w:gridSpan w:val="3"/>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生活垃圾</w:t>
            </w:r>
          </w:p>
        </w:tc>
        <w:tc>
          <w:tcPr>
            <w:tcW w:w="744" w:type="pct"/>
            <w:gridSpan w:val="5"/>
            <w:tcBorders>
              <w:tl2br w:val="nil"/>
              <w:tr2bl w:val="nil"/>
            </w:tcBorders>
            <w:noWrap w:val="0"/>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lang w:val="en-US"/>
              </w:rPr>
            </w:pPr>
            <w:r>
              <w:rPr>
                <w:rFonts w:hint="eastAsia" w:ascii="Times New Roman" w:hAnsi="Times New Roman" w:eastAsia="宋体"/>
                <w:color w:val="auto"/>
                <w:spacing w:val="0"/>
                <w:w w:val="100"/>
                <w:position w:val="0"/>
                <w:lang w:val="en-US" w:eastAsia="zh-CN"/>
              </w:rPr>
              <w:t>42.74</w:t>
            </w:r>
          </w:p>
        </w:tc>
        <w:tc>
          <w:tcPr>
            <w:tcW w:w="977"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lang w:val="en-US" w:eastAsia="zh-CN"/>
              </w:rPr>
            </w:pPr>
            <w:r>
              <w:rPr>
                <w:rFonts w:hint="default" w:ascii="Times New Roman" w:hAnsi="Times New Roman" w:eastAsia="宋体"/>
                <w:color w:val="auto"/>
                <w:spacing w:val="0"/>
                <w:w w:val="100"/>
                <w:position w:val="0"/>
                <w:lang w:val="en-US" w:eastAsia="zh-CN"/>
              </w:rPr>
              <w:t>0</w:t>
            </w:r>
          </w:p>
        </w:tc>
        <w:tc>
          <w:tcPr>
            <w:tcW w:w="769" w:type="pct"/>
            <w:gridSpan w:val="5"/>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olor w:val="auto"/>
                <w:spacing w:val="0"/>
                <w:w w:val="100"/>
                <w:position w:val="0"/>
              </w:rPr>
            </w:pPr>
            <w:r>
              <w:rPr>
                <w:rFonts w:hint="eastAsia" w:ascii="Times New Roman" w:hAnsi="Times New Roman" w:eastAsia="宋体"/>
                <w:color w:val="auto"/>
                <w:spacing w:val="0"/>
                <w:w w:val="100"/>
                <w:position w:val="0"/>
                <w:lang w:val="en-US" w:eastAsia="zh-CN"/>
              </w:rPr>
              <w:t>环卫部门清运</w:t>
            </w:r>
          </w:p>
        </w:tc>
        <w:tc>
          <w:tcPr>
            <w:tcW w:w="1387" w:type="pct"/>
            <w:gridSpan w:val="4"/>
            <w:tcBorders>
              <w:tl2br w:val="nil"/>
              <w:tr2bl w:val="nil"/>
            </w:tcBorders>
            <w:noWrap/>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olor w:val="auto"/>
                <w:spacing w:val="0"/>
                <w:w w:val="100"/>
                <w:position w:val="0"/>
              </w:rPr>
            </w:pPr>
            <w:r>
              <w:rPr>
                <w:rFonts w:hint="default" w:ascii="Times New Roman" w:hAnsi="Times New Roman" w:eastAsia="宋体"/>
                <w:color w:val="auto"/>
                <w:spacing w:val="0"/>
                <w:w w:val="100"/>
                <w:position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i w:val="0"/>
                <w:color w:val="auto"/>
                <w:spacing w:val="0"/>
                <w:w w:val="100"/>
                <w:kern w:val="0"/>
                <w:position w:val="0"/>
                <w:sz w:val="21"/>
                <w:szCs w:val="21"/>
                <w:u w:val="none"/>
                <w:lang w:val="en-US" w:eastAsia="zh-CN" w:bidi="ar"/>
              </w:rPr>
            </w:pPr>
            <w:r>
              <w:rPr>
                <w:rFonts w:hint="eastAsia" w:ascii="Times New Roman" w:hAnsi="Times New Roman" w:eastAsia="宋体" w:cs="Times New Roman"/>
                <w:b/>
                <w:i w:val="0"/>
                <w:color w:val="auto"/>
                <w:spacing w:val="0"/>
                <w:w w:val="100"/>
                <w:kern w:val="0"/>
                <w:position w:val="0"/>
                <w:sz w:val="21"/>
                <w:szCs w:val="21"/>
                <w:u w:val="none"/>
                <w:lang w:val="en-US" w:eastAsia="zh-CN" w:bidi="ar"/>
              </w:rPr>
              <w:t>4、噪声排放清单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1865"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i w:val="0"/>
                <w:color w:val="auto"/>
                <w:spacing w:val="0"/>
                <w:w w:val="100"/>
                <w:position w:val="0"/>
                <w:sz w:val="21"/>
                <w:szCs w:val="21"/>
                <w:u w:val="none"/>
              </w:rPr>
            </w:pPr>
            <w:r>
              <w:rPr>
                <w:rFonts w:hint="default" w:ascii="Times New Roman" w:hAnsi="Times New Roman" w:eastAsia="宋体" w:cs="Times New Roman"/>
                <w:b/>
                <w:i w:val="0"/>
                <w:color w:val="auto"/>
                <w:spacing w:val="0"/>
                <w:w w:val="100"/>
                <w:kern w:val="0"/>
                <w:position w:val="0"/>
                <w:sz w:val="21"/>
                <w:szCs w:val="21"/>
                <w:u w:val="none"/>
                <w:lang w:val="en-US" w:eastAsia="zh-CN" w:bidi="ar"/>
              </w:rPr>
              <w:t>排放情况</w:t>
            </w:r>
          </w:p>
        </w:tc>
        <w:tc>
          <w:tcPr>
            <w:tcW w:w="977"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i w:val="0"/>
                <w:color w:val="auto"/>
                <w:spacing w:val="0"/>
                <w:w w:val="100"/>
                <w:kern w:val="0"/>
                <w:position w:val="0"/>
                <w:sz w:val="21"/>
                <w:szCs w:val="21"/>
                <w:u w:val="none"/>
                <w:lang w:val="en-US" w:eastAsia="zh-CN" w:bidi="ar"/>
              </w:rPr>
            </w:pPr>
            <w:r>
              <w:rPr>
                <w:rFonts w:hint="default" w:ascii="Times New Roman" w:hAnsi="Times New Roman" w:eastAsia="宋体" w:cs="Times New Roman"/>
                <w:b/>
                <w:i w:val="0"/>
                <w:color w:val="auto"/>
                <w:spacing w:val="0"/>
                <w:w w:val="100"/>
                <w:kern w:val="0"/>
                <w:position w:val="0"/>
                <w:sz w:val="21"/>
                <w:szCs w:val="21"/>
                <w:u w:val="none"/>
                <w:lang w:val="en-US" w:eastAsia="zh-CN" w:bidi="ar"/>
              </w:rPr>
              <w:t>治理措施</w:t>
            </w:r>
          </w:p>
        </w:tc>
        <w:tc>
          <w:tcPr>
            <w:tcW w:w="2156"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i w:val="0"/>
                <w:color w:val="auto"/>
                <w:spacing w:val="0"/>
                <w:w w:val="100"/>
                <w:position w:val="0"/>
                <w:sz w:val="21"/>
                <w:szCs w:val="21"/>
                <w:u w:val="none"/>
              </w:rPr>
            </w:pPr>
            <w:r>
              <w:rPr>
                <w:rFonts w:hint="default" w:ascii="Times New Roman" w:hAnsi="Times New Roman" w:eastAsia="宋体" w:cs="Times New Roman"/>
                <w:b/>
                <w:i w:val="0"/>
                <w:color w:val="auto"/>
                <w:spacing w:val="0"/>
                <w:w w:val="100"/>
                <w:kern w:val="0"/>
                <w:position w:val="0"/>
                <w:sz w:val="21"/>
                <w:szCs w:val="21"/>
                <w:u w:val="none"/>
                <w:lang w:val="en-US" w:eastAsia="zh-CN" w:bidi="ar"/>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1865"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厂界不超过《工业企业厂界环境噪声排放标准》（GB12348-2008）中的3类标准</w:t>
            </w:r>
          </w:p>
        </w:tc>
        <w:tc>
          <w:tcPr>
            <w:tcW w:w="977"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default" w:ascii="Times New Roman" w:hAnsi="Times New Roman" w:eastAsia="宋体" w:cs="Times New Roman"/>
                <w:i w:val="0"/>
                <w:color w:val="auto"/>
                <w:spacing w:val="0"/>
                <w:w w:val="100"/>
                <w:kern w:val="0"/>
                <w:position w:val="0"/>
                <w:sz w:val="21"/>
                <w:szCs w:val="21"/>
                <w:u w:val="none"/>
                <w:lang w:val="en-US" w:eastAsia="zh-CN" w:bidi="ar"/>
              </w:rPr>
              <w:t>吸声、隔声、减震</w:t>
            </w:r>
          </w:p>
        </w:tc>
        <w:tc>
          <w:tcPr>
            <w:tcW w:w="2156"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pacing w:val="0"/>
                <w:w w:val="100"/>
                <w:position w:val="0"/>
                <w:sz w:val="21"/>
                <w:szCs w:val="21"/>
                <w:u w:val="none"/>
              </w:rPr>
            </w:pPr>
            <w:r>
              <w:rPr>
                <w:rFonts w:hint="default" w:ascii="Times New Roman" w:hAnsi="Times New Roman" w:eastAsia="宋体" w:cs="Times New Roman"/>
                <w:i w:val="0"/>
                <w:color w:val="auto"/>
                <w:spacing w:val="0"/>
                <w:w w:val="100"/>
                <w:kern w:val="0"/>
                <w:position w:val="0"/>
                <w:sz w:val="21"/>
                <w:szCs w:val="21"/>
                <w:u w:val="none"/>
                <w:lang w:val="en-US" w:eastAsia="zh-CN" w:bidi="ar"/>
              </w:rPr>
              <w:t>厂界噪声执行《工业企业厂界环境噪声排放标准》（GB12348-2008）中的3类标准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三、风险防范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1598"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风险防范</w:t>
            </w:r>
          </w:p>
        </w:tc>
        <w:tc>
          <w:tcPr>
            <w:tcW w:w="1779"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内容</w:t>
            </w:r>
          </w:p>
        </w:tc>
        <w:tc>
          <w:tcPr>
            <w:tcW w:w="1621" w:type="pct"/>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执行要求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1598"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应急处置措施</w:t>
            </w:r>
          </w:p>
        </w:tc>
        <w:tc>
          <w:tcPr>
            <w:tcW w:w="1779"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设有初期雨水池200m³，设有事故应急池</w:t>
            </w:r>
            <w:r>
              <w:rPr>
                <w:rFonts w:hint="eastAsia" w:cs="Times New Roman"/>
                <w:b w:val="0"/>
                <w:bCs w:val="0"/>
                <w:i w:val="0"/>
                <w:color w:val="auto"/>
                <w:spacing w:val="0"/>
                <w:w w:val="100"/>
                <w:kern w:val="0"/>
                <w:position w:val="0"/>
                <w:sz w:val="21"/>
                <w:szCs w:val="21"/>
                <w:u w:val="none"/>
                <w:lang w:val="en-US" w:eastAsia="zh-CN" w:bidi="ar"/>
              </w:rPr>
              <w:t>840</w:t>
            </w: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m³；制定突发环境事件应急预案并定期演练（每年开展一次演练，并适时修订完善应急预案）。</w:t>
            </w:r>
          </w:p>
        </w:tc>
        <w:tc>
          <w:tcPr>
            <w:tcW w:w="1621" w:type="pct"/>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符合应急管理要求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5000" w:type="pct"/>
            <w:gridSpan w:val="2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四、环境管理与监测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1598"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环境管理与监测</w:t>
            </w:r>
          </w:p>
        </w:tc>
        <w:tc>
          <w:tcPr>
            <w:tcW w:w="1779"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内容</w:t>
            </w:r>
          </w:p>
        </w:tc>
        <w:tc>
          <w:tcPr>
            <w:tcW w:w="1621" w:type="pct"/>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bCs/>
                <w:i w:val="0"/>
                <w:color w:val="auto"/>
                <w:spacing w:val="0"/>
                <w:w w:val="100"/>
                <w:kern w:val="0"/>
                <w:position w:val="0"/>
                <w:sz w:val="21"/>
                <w:szCs w:val="21"/>
                <w:u w:val="none"/>
                <w:lang w:val="en-US" w:eastAsia="zh-CN" w:bidi="ar"/>
              </w:rPr>
            </w:pPr>
            <w:r>
              <w:rPr>
                <w:rFonts w:hint="eastAsia" w:ascii="Times New Roman" w:hAnsi="Times New Roman" w:eastAsia="宋体" w:cs="Times New Roman"/>
                <w:b/>
                <w:bCs/>
                <w:i w:val="0"/>
                <w:color w:val="auto"/>
                <w:spacing w:val="0"/>
                <w:w w:val="100"/>
                <w:kern w:val="0"/>
                <w:position w:val="0"/>
                <w:sz w:val="21"/>
                <w:szCs w:val="21"/>
                <w:u w:val="none"/>
                <w:lang w:val="en-US" w:eastAsia="zh-CN" w:bidi="ar"/>
              </w:rPr>
              <w:t>目的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1598"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环境管理</w:t>
            </w:r>
          </w:p>
        </w:tc>
        <w:tc>
          <w:tcPr>
            <w:tcW w:w="1779"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◆设立专门的安全环保科，配备专职环保工作人员。</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◆建立日常环境管理制度和环境管理工作计划。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◆加强环保设施运行管理维护，建立环保设施运行台账，确保环保设施正常运行及污染</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物稳定达标排放。</w:t>
            </w:r>
          </w:p>
        </w:tc>
        <w:tc>
          <w:tcPr>
            <w:tcW w:w="1621" w:type="pct"/>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避免因管理不善而可能产生的各种环境事故和风险，确保污染源稳定达标排放。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85" w:type="dxa"/>
            <w:bottom w:w="28" w:type="dxa"/>
            <w:right w:w="85" w:type="dxa"/>
          </w:tblCellMar>
        </w:tblPrEx>
        <w:trPr>
          <w:trHeight w:val="23" w:hRule="atLeast"/>
          <w:jc w:val="center"/>
        </w:trPr>
        <w:tc>
          <w:tcPr>
            <w:tcW w:w="1598" w:type="pct"/>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环境监测</w:t>
            </w:r>
          </w:p>
        </w:tc>
        <w:tc>
          <w:tcPr>
            <w:tcW w:w="1779" w:type="pct"/>
            <w:gridSpan w:val="9"/>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污染源监测计划见表9.3-2</w:t>
            </w:r>
          </w:p>
        </w:tc>
        <w:tc>
          <w:tcPr>
            <w:tcW w:w="1621" w:type="pct"/>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◆以便及时发现问题，采取措施。</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pPr>
            <w:r>
              <w:rPr>
                <w:rFonts w:hint="eastAsia" w:ascii="Times New Roman" w:hAnsi="Times New Roman" w:eastAsia="宋体" w:cs="Times New Roman"/>
                <w:b w:val="0"/>
                <w:bCs w:val="0"/>
                <w:i w:val="0"/>
                <w:color w:val="auto"/>
                <w:spacing w:val="0"/>
                <w:w w:val="100"/>
                <w:kern w:val="0"/>
                <w:position w:val="0"/>
                <w:sz w:val="21"/>
                <w:szCs w:val="21"/>
                <w:u w:val="none"/>
                <w:lang w:val="en-US" w:eastAsia="zh-CN" w:bidi="ar"/>
              </w:rPr>
              <w:t>◆环境监测数据应向社会公开。</w:t>
            </w:r>
          </w:p>
        </w:tc>
      </w:tr>
    </w:tbl>
    <w:p>
      <w:pPr>
        <w:pStyle w:val="2"/>
        <w:keepNext w:val="0"/>
        <w:keepLines w:val="0"/>
        <w:pageBreakBefore w:val="0"/>
        <w:widowControl/>
        <w:kinsoku/>
        <w:wordWrap/>
        <w:overflowPunct/>
        <w:topLinePunct w:val="0"/>
        <w:autoSpaceDE/>
        <w:autoSpaceDN/>
        <w:bidi w:val="0"/>
        <w:adjustRightInd w:val="0"/>
        <w:snapToGrid w:val="0"/>
        <w:rPr>
          <w:rFonts w:hint="eastAsia" w:ascii="Times New Roman" w:hAnsi="Times New Roman" w:eastAsia="宋体"/>
          <w:spacing w:val="0"/>
          <w:w w:val="100"/>
          <w:position w:val="0"/>
          <w:lang w:val="en-US" w:eastAsia="zh-CN"/>
        </w:rPr>
        <w:sectPr>
          <w:pgSz w:w="15840" w:h="12240" w:orient="landscape"/>
          <w:pgMar w:top="1247" w:right="1247" w:bottom="1247" w:left="1304" w:header="992" w:footer="992" w:gutter="0"/>
          <w:pgBorders>
            <w:top w:val="none" w:sz="0" w:space="0"/>
            <w:left w:val="none" w:sz="0" w:space="0"/>
            <w:bottom w:val="none" w:sz="0" w:space="0"/>
            <w:right w:val="none" w:sz="0" w:space="0"/>
          </w:pgBorders>
          <w:lnNumType w:countBy="0" w:distance="360"/>
          <w:pgNumType w:fmt="decimal"/>
          <w:cols w:space="720" w:num="1"/>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2"/>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9.2.3信息公开内容</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根据《环境信息公开办法（试行）》、《企业事业单位环境信息公开办法》要求向社会公开相关企业信息，内容如下：</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（一）基础信息，包括单位名称、组织机构代码、法定代表人、生产地址、联系方式，以及生产经营和管理服务的主要内容、产品及规模；</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（二）排污信息，包括主要污染物及特征污染物的名称、排放方式、排放口数量和分布情况、排放浓度和总量、超标情况，以及执行的污染物排放标准、核定的排放总量；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（三）防治污染设施的建设和运行情况；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（四）建设项目环境影响评价及其他环境保护行政许可情况；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（五）突发环境事件应急预案；</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（六）环境自行监测方案。</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公开方式：</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采取以下一种或者几种方式予以公开：</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（一）公告或者公开发行的信息专刊；</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（二）广播、电视等新闻媒体；</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（三）信息公开服务、监督热线电话；</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hint="eastAsia" w:ascii="Times New Roman" w:hAnsi="Times New Roman" w:eastAsia="宋体" w:cs="宋体"/>
          <w:spacing w:val="0"/>
          <w:w w:val="100"/>
          <w:position w:val="0"/>
          <w:sz w:val="24"/>
          <w:szCs w:val="24"/>
          <w:lang w:val="en-US" w:eastAsia="zh-CN"/>
        </w:rPr>
        <w:t>（四）本单位的资料索取点、信息公开栏、信息亭、电子屏幕、电子触摸屏等场所或者设施；</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宋体"/>
          <w:spacing w:val="0"/>
          <w:w w:val="100"/>
          <w:position w:val="0"/>
          <w:sz w:val="24"/>
          <w:szCs w:val="24"/>
          <w:lang w:val="en-US" w:eastAsia="zh-CN"/>
        </w:rPr>
        <w:t>（五）其他便于公众及时、准确获得信息的方式。</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imes New Roman" w:hAnsi="Times New Roman" w:eastAsia="宋体" w:cs="Times New Roman"/>
          <w:b/>
          <w:bCs/>
          <w:spacing w:val="0"/>
          <w:w w:val="100"/>
          <w:kern w:val="2"/>
          <w:position w:val="0"/>
          <w:sz w:val="30"/>
          <w:szCs w:val="30"/>
          <w:lang w:val="en-US" w:eastAsia="zh-CN" w:bidi="ar-SA"/>
        </w:rPr>
      </w:pPr>
      <w:r>
        <w:rPr>
          <w:rFonts w:hint="eastAsia" w:ascii="Times New Roman" w:hAnsi="Times New Roman" w:eastAsia="宋体" w:cs="Times New Roman"/>
          <w:b/>
          <w:bCs/>
          <w:spacing w:val="0"/>
          <w:w w:val="100"/>
          <w:kern w:val="2"/>
          <w:position w:val="0"/>
          <w:sz w:val="30"/>
          <w:szCs w:val="30"/>
          <w:lang w:val="en-US" w:eastAsia="zh-CN" w:bidi="ar-SA"/>
        </w:rPr>
        <w:t>9.3环境监测</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企业内部环境监测是企业环境管理的耳目，主要对企业生产过程中排放的污染物进行定期监测，判断环境质量，评价环保设施及其治理效果。为防治污染提供科学依据。</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9.3.1环境监测机构</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环境监测工作由公司安全环保部负责组织、落实、监督和环境监测结果的评估和处理，具体的监测工作委托有资质的监测单位进行。</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9.3.2环境监测计划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（1）施工期环境监测计划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项目位于连江可门经济开发区绿色纺织产业园区内，本项目施工期污染源主要是场地装置建设产生的施工扬尘、车辆尾气、施工作业噪声、施工人员生活污水、施工废水及施工固体废物等。本项目建设期间环境监测计划如下：</w:t>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表9.3-1施工期污染物监测计划建议一览表</w:t>
      </w:r>
    </w:p>
    <w:tbl>
      <w:tblPr>
        <w:tblStyle w:val="52"/>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42"/>
        <w:gridCol w:w="3113"/>
        <w:gridCol w:w="2599"/>
        <w:gridCol w:w="183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监测对象</w:t>
            </w:r>
          </w:p>
        </w:tc>
        <w:tc>
          <w:tcPr>
            <w:tcW w:w="17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监测点</w:t>
            </w:r>
          </w:p>
        </w:tc>
        <w:tc>
          <w:tcPr>
            <w:tcW w:w="14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监测因子</w:t>
            </w:r>
          </w:p>
        </w:tc>
        <w:tc>
          <w:tcPr>
            <w:tcW w:w="10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监测频率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场界废气</w:t>
            </w:r>
          </w:p>
        </w:tc>
        <w:tc>
          <w:tcPr>
            <w:tcW w:w="17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建筑施工场界</w:t>
            </w:r>
          </w:p>
        </w:tc>
        <w:tc>
          <w:tcPr>
            <w:tcW w:w="14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TSP</w:t>
            </w:r>
          </w:p>
        </w:tc>
        <w:tc>
          <w:tcPr>
            <w:tcW w:w="10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施工期内至少</w:t>
            </w:r>
            <w:r>
              <w:rPr>
                <w:rFonts w:ascii="Times New Roman" w:hAnsi="Times New Roman" w:eastAsia="宋体" w:cs="Times New Roman"/>
                <w:spacing w:val="0"/>
                <w:w w:val="100"/>
                <w:position w:val="0"/>
                <w:sz w:val="21"/>
                <w:szCs w:val="21"/>
              </w:rPr>
              <w:t>2</w:t>
            </w:r>
            <w:r>
              <w:rPr>
                <w:rFonts w:ascii="Times New Roman" w:hAnsi="Times New Roman" w:eastAsia="宋体" w:cs="宋体"/>
                <w:spacing w:val="0"/>
                <w:w w:val="100"/>
                <w:position w:val="0"/>
                <w:sz w:val="21"/>
                <w:szCs w:val="21"/>
              </w:rPr>
              <w:t>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场界噪声</w:t>
            </w:r>
          </w:p>
        </w:tc>
        <w:tc>
          <w:tcPr>
            <w:tcW w:w="17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建筑施工场界外</w:t>
            </w:r>
            <w:r>
              <w:rPr>
                <w:rFonts w:ascii="Times New Roman" w:hAnsi="Times New Roman" w:eastAsia="宋体" w:cs="Times New Roman"/>
                <w:spacing w:val="0"/>
                <w:w w:val="100"/>
                <w:position w:val="0"/>
                <w:sz w:val="21"/>
                <w:szCs w:val="21"/>
              </w:rPr>
              <w:t>1</w:t>
            </w:r>
            <w:r>
              <w:rPr>
                <w:rFonts w:ascii="Times New Roman" w:hAnsi="Times New Roman" w:eastAsia="宋体" w:cs="宋体"/>
                <w:spacing w:val="0"/>
                <w:w w:val="100"/>
                <w:position w:val="0"/>
                <w:sz w:val="21"/>
                <w:szCs w:val="21"/>
              </w:rPr>
              <w:t>米（若干点）</w:t>
            </w:r>
          </w:p>
        </w:tc>
        <w:tc>
          <w:tcPr>
            <w:tcW w:w="14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等效连续</w:t>
            </w:r>
            <w:r>
              <w:rPr>
                <w:rFonts w:ascii="Times New Roman" w:hAnsi="Times New Roman" w:eastAsia="宋体" w:cs="Times New Roman"/>
                <w:spacing w:val="0"/>
                <w:w w:val="100"/>
                <w:position w:val="0"/>
                <w:sz w:val="21"/>
                <w:szCs w:val="21"/>
              </w:rPr>
              <w:t>A</w:t>
            </w:r>
            <w:r>
              <w:rPr>
                <w:rFonts w:ascii="Times New Roman" w:hAnsi="Times New Roman" w:eastAsia="宋体" w:cs="宋体"/>
                <w:spacing w:val="0"/>
                <w:w w:val="100"/>
                <w:position w:val="0"/>
                <w:sz w:val="21"/>
                <w:szCs w:val="21"/>
              </w:rPr>
              <w:t>声级、最大噪声声级</w:t>
            </w:r>
          </w:p>
        </w:tc>
        <w:tc>
          <w:tcPr>
            <w:tcW w:w="10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施工期内至少</w:t>
            </w:r>
            <w:r>
              <w:rPr>
                <w:rFonts w:ascii="Times New Roman" w:hAnsi="Times New Roman" w:eastAsia="宋体" w:cs="Times New Roman"/>
                <w:spacing w:val="0"/>
                <w:w w:val="100"/>
                <w:position w:val="0"/>
                <w:sz w:val="21"/>
                <w:szCs w:val="21"/>
              </w:rPr>
              <w:t>2</w:t>
            </w:r>
            <w:r>
              <w:rPr>
                <w:rFonts w:ascii="Times New Roman" w:hAnsi="Times New Roman" w:eastAsia="宋体" w:cs="宋体"/>
                <w:spacing w:val="0"/>
                <w:w w:val="100"/>
                <w:position w:val="0"/>
                <w:sz w:val="21"/>
                <w:szCs w:val="21"/>
              </w:rPr>
              <w:t>次</w:t>
            </w: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w:t>
      </w:r>
      <w:r>
        <w:rPr>
          <w:rFonts w:ascii="Times New Roman" w:hAnsi="Times New Roman" w:eastAsia="宋体" w:cs="Times New Roman"/>
          <w:spacing w:val="0"/>
          <w:w w:val="100"/>
          <w:position w:val="0"/>
          <w:sz w:val="24"/>
          <w:szCs w:val="24"/>
        </w:rPr>
        <w:t>2</w:t>
      </w:r>
      <w:r>
        <w:rPr>
          <w:rFonts w:ascii="Times New Roman" w:hAnsi="Times New Roman" w:eastAsia="宋体" w:cs="宋体"/>
          <w:spacing w:val="0"/>
          <w:w w:val="100"/>
          <w:position w:val="0"/>
          <w:sz w:val="24"/>
          <w:szCs w:val="24"/>
        </w:rPr>
        <w:t>）营运期的环境监测计划</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企业应按照有关法律和《环境监测管理办法》等规定，建立企业监测制度，制定监测方案，并向当地生态环境部门和行业主管部门本备案。</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项目投入运行后，企业应对本厂污染物排放状况及其对周边环境质量的影响开展自行日常监测，并保存原始监测记录，公布监测结果。监测时，采样期间的工况应与正常运行工况相同，厂内人员和实施监测的人员都不应任意改变运行工况。</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为切实控制本工程治理设施的有效地运行和污染物达标排放，落实排放总量控制制度，根据《建设项目环境保护管理条例》第八条的规定，本评价对本项目营运期提出环境监测计划建议。</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监测依据：《排污单位自行监测技术指南纺织印染工业》（</w:t>
      </w:r>
      <w:r>
        <w:rPr>
          <w:rFonts w:ascii="Times New Roman" w:hAnsi="Times New Roman" w:eastAsia="宋体" w:cs="Times New Roman"/>
          <w:spacing w:val="0"/>
          <w:w w:val="100"/>
          <w:position w:val="0"/>
          <w:sz w:val="24"/>
          <w:szCs w:val="24"/>
        </w:rPr>
        <w:t>HJ879-2017</w:t>
      </w:r>
      <w:r>
        <w:rPr>
          <w:rFonts w:ascii="Times New Roman" w:hAnsi="Times New Roman" w:eastAsia="宋体" w:cs="宋体"/>
          <w:spacing w:val="0"/>
          <w:w w:val="100"/>
          <w:position w:val="0"/>
          <w:sz w:val="24"/>
          <w:szCs w:val="24"/>
        </w:rPr>
        <w:t>）、《排污许可证申请与核发技术规范纺织印染工业》（</w:t>
      </w:r>
      <w:r>
        <w:rPr>
          <w:rFonts w:ascii="Times New Roman" w:hAnsi="Times New Roman" w:eastAsia="宋体" w:cs="Times New Roman"/>
          <w:spacing w:val="0"/>
          <w:w w:val="100"/>
          <w:position w:val="0"/>
          <w:sz w:val="24"/>
          <w:szCs w:val="24"/>
        </w:rPr>
        <w:t>HJ861-2017</w:t>
      </w:r>
      <w:r>
        <w:rPr>
          <w:rFonts w:ascii="Times New Roman" w:hAnsi="Times New Roman" w:eastAsia="宋体" w:cs="宋体"/>
          <w:spacing w:val="0"/>
          <w:w w:val="100"/>
          <w:position w:val="0"/>
          <w:sz w:val="24"/>
          <w:szCs w:val="24"/>
        </w:rPr>
        <w:t>）和《环境影响评价技术导则 土壤环境（试行）》（</w:t>
      </w:r>
      <w:r>
        <w:rPr>
          <w:rFonts w:ascii="Times New Roman" w:hAnsi="Times New Roman" w:eastAsia="宋体" w:cs="Times New Roman"/>
          <w:spacing w:val="0"/>
          <w:w w:val="100"/>
          <w:position w:val="0"/>
          <w:sz w:val="24"/>
          <w:szCs w:val="24"/>
        </w:rPr>
        <w:t>HJ964-2018</w:t>
      </w:r>
      <w:r>
        <w:rPr>
          <w:rFonts w:ascii="Times New Roman" w:hAnsi="Times New Roman" w:eastAsia="宋体" w:cs="宋体"/>
          <w:spacing w:val="0"/>
          <w:w w:val="100"/>
          <w:position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监测方法：排放源按《建设项目环保设施竣工验收监测技术要求》实施。</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本项目使用的原辅材料、生产工艺及同类企业污水排放情况，本项目废水污染物源强核算因子未考虑六价铬、苯胺、二氧化氯、AOX，但为了更清楚了解企业实际排水情况，通过筛选，将六价铬、苯胺作为监督性监测因子纳入自行监测和验收监测（无氯漂工艺故不考虑二氧化氯和AOX）。本项目废气污染物源强核算因子未考虑氨和硫化氢，但为了更清楚了解企业实际废气排放情况，将臭气浓度、氨、硫化氢作为监督性监测因子纳入自行监测中。最终确定本项目运营期环境监测计划见表9.3-2。</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ascii="Times New Roman" w:hAnsi="Times New Roman" w:eastAsia="宋体" w:cs="Times New Roman"/>
          <w:spacing w:val="0"/>
          <w:w w:val="100"/>
          <w:positio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spacing w:val="0"/>
          <w:w w:val="100"/>
          <w:position w:val="0"/>
        </w:rPr>
      </w:pPr>
      <w:r>
        <w:rPr>
          <w:rFonts w:hint="default" w:ascii="Times New Roman" w:hAnsi="Times New Roman" w:eastAsia="宋体" w:cs="Times New Roman"/>
          <w:b/>
          <w:bCs/>
          <w:spacing w:val="0"/>
          <w:w w:val="100"/>
          <w:position w:val="0"/>
          <w:sz w:val="24"/>
          <w:szCs w:val="24"/>
        </w:rPr>
        <w:t>表9.3-2本项目</w:t>
      </w:r>
      <w:r>
        <w:rPr>
          <w:rFonts w:hint="eastAsia" w:cs="Times New Roman"/>
          <w:b/>
          <w:bCs/>
          <w:spacing w:val="0"/>
          <w:w w:val="100"/>
          <w:position w:val="0"/>
          <w:sz w:val="24"/>
          <w:szCs w:val="24"/>
          <w:lang w:val="en-US" w:eastAsia="zh-CN"/>
        </w:rPr>
        <w:t>运营</w:t>
      </w:r>
      <w:r>
        <w:rPr>
          <w:rFonts w:hint="default" w:ascii="Times New Roman" w:hAnsi="Times New Roman" w:eastAsia="宋体" w:cs="Times New Roman"/>
          <w:b/>
          <w:bCs/>
          <w:spacing w:val="0"/>
          <w:w w:val="100"/>
          <w:position w:val="0"/>
          <w:sz w:val="24"/>
          <w:szCs w:val="24"/>
        </w:rPr>
        <w:t>期环境监测计划</w:t>
      </w:r>
    </w:p>
    <w:tbl>
      <w:tblPr>
        <w:tblStyle w:val="52"/>
        <w:tblW w:w="9160" w:type="dxa"/>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746"/>
        <w:gridCol w:w="702"/>
        <w:gridCol w:w="2267"/>
        <w:gridCol w:w="3513"/>
        <w:gridCol w:w="19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监测对象</w:t>
            </w:r>
          </w:p>
        </w:tc>
        <w:tc>
          <w:tcPr>
            <w:tcW w:w="2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监测点</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监测因子</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pacing w:val="0"/>
                <w:w w:val="100"/>
                <w:position w:val="0"/>
                <w:sz w:val="21"/>
                <w:szCs w:val="21"/>
              </w:rPr>
            </w:pPr>
            <w:r>
              <w:rPr>
                <w:rFonts w:hint="default" w:ascii="Times New Roman" w:hAnsi="Times New Roman" w:eastAsia="宋体" w:cs="Times New Roman"/>
                <w:b/>
                <w:bCs/>
                <w:spacing w:val="0"/>
                <w:w w:val="100"/>
                <w:position w:val="0"/>
                <w:sz w:val="21"/>
                <w:szCs w:val="21"/>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74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废气</w:t>
            </w:r>
          </w:p>
        </w:tc>
        <w:tc>
          <w:tcPr>
            <w:tcW w:w="70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有组</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织</w:t>
            </w:r>
          </w:p>
        </w:tc>
        <w:tc>
          <w:tcPr>
            <w:tcW w:w="226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定型机废气排气筒</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P1</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气量、颗粒物</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1次/半年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74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70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气量、非甲烷总烃</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在线监测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74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70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lang w:eastAsia="zh-CN"/>
              </w:rPr>
              <w:t>定型机、印花机、蒸化机废气排气筒</w:t>
            </w:r>
            <w:r>
              <w:rPr>
                <w:rFonts w:hint="default" w:ascii="Times New Roman" w:hAnsi="Times New Roman" w:eastAsia="宋体" w:cs="Times New Roman"/>
                <w:spacing w:val="0"/>
                <w:w w:val="100"/>
                <w:position w:val="0"/>
                <w:sz w:val="21"/>
                <w:szCs w:val="21"/>
              </w:rPr>
              <w:t>P2</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气量、颗粒物</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1次/半年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74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70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lang w:eastAsia="zh-CN"/>
              </w:rPr>
            </w:pP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气量、非甲烷总烃</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在线监测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74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70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无组</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织</w:t>
            </w:r>
          </w:p>
        </w:tc>
        <w:tc>
          <w:tcPr>
            <w:tcW w:w="2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厂界无组织（上风向1个，下风向3个）</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颗粒物、非甲烷总烃、臭气浓度、氨、硫化氢</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1次/半年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74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70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厂区内无组织监控点</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非甲烷总烃</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废水</w:t>
            </w:r>
          </w:p>
        </w:tc>
        <w:tc>
          <w:tcPr>
            <w:tcW w:w="226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高、低浓度废水排放口</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流量、pH、COD、氨氮</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在线监测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悬浮物、色度</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五日生化需氧量、总磷、总氮</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苯胺类、硫化物、总锑</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226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六价铬（车间或生产设施排放口）</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雨水</w:t>
            </w:r>
          </w:p>
        </w:tc>
        <w:tc>
          <w:tcPr>
            <w:tcW w:w="2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雨水排放口</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化学需氧量、悬浮物</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排放期间按日监测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地下水</w:t>
            </w:r>
          </w:p>
        </w:tc>
        <w:tc>
          <w:tcPr>
            <w:tcW w:w="2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生产厂房附近区域设置1个</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pH、溶解性总固体、铁、锰、铜、锌、挥发性酚类、阴离子表面活性剂、耗氧量、氨氮、亚硝酸盐、硝酸盐、</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汞、砷、镉、铬（六价）、铅</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1次/季度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噪声</w:t>
            </w:r>
          </w:p>
        </w:tc>
        <w:tc>
          <w:tcPr>
            <w:tcW w:w="2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厂界（四周厂界共4个）</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昼、夜噪声</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1次/季度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3" w:hRule="atLeast"/>
        </w:trPr>
        <w:tc>
          <w:tcPr>
            <w:tcW w:w="144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土壤</w:t>
            </w:r>
          </w:p>
        </w:tc>
        <w:tc>
          <w:tcPr>
            <w:tcW w:w="22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生产厂房、危化品库附近区域各一个</w:t>
            </w:r>
          </w:p>
        </w:tc>
        <w:tc>
          <w:tcPr>
            <w:tcW w:w="35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pH、</w:t>
            </w:r>
            <w:r>
              <w:rPr>
                <w:rFonts w:hint="default" w:ascii="Times New Roman" w:hAnsi="Times New Roman" w:eastAsia="宋体" w:cs="Times New Roman"/>
                <w:spacing w:val="0"/>
                <w:w w:val="100"/>
                <w:position w:val="0"/>
                <w:sz w:val="21"/>
                <w:szCs w:val="21"/>
                <w:lang w:eastAsia="zh-CN"/>
              </w:rPr>
              <w:t>土壤</w:t>
            </w:r>
            <w:r>
              <w:rPr>
                <w:rFonts w:hint="default" w:ascii="Times New Roman" w:hAnsi="Times New Roman" w:eastAsia="宋体" w:cs="Times New Roman"/>
                <w:spacing w:val="0"/>
                <w:w w:val="100"/>
                <w:position w:val="0"/>
                <w:sz w:val="21"/>
                <w:szCs w:val="21"/>
                <w:lang w:val="en-US" w:eastAsia="zh-CN"/>
              </w:rPr>
              <w:t>45项</w:t>
            </w:r>
            <w:r>
              <w:rPr>
                <w:rFonts w:hint="default" w:ascii="Times New Roman" w:hAnsi="Times New Roman" w:eastAsia="宋体" w:cs="Times New Roman"/>
                <w:spacing w:val="0"/>
                <w:w w:val="100"/>
                <w:position w:val="0"/>
                <w:sz w:val="21"/>
                <w:szCs w:val="21"/>
              </w:rPr>
              <w:t>、石油烃等</w:t>
            </w:r>
          </w:p>
        </w:tc>
        <w:tc>
          <w:tcPr>
            <w:tcW w:w="19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1次/年</w:t>
            </w:r>
          </w:p>
        </w:tc>
      </w:tr>
    </w:tbl>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（3）事故应急监测</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事故预案中应包括应急监测程序，运行过程中一旦发生事故，应立即启动应急监测程序，并跟踪监测污染物的迁移情况，直至事故影响根本消除。事故应急监测方案应与所在地附近环境监测部门共同制订和实施，根据事故发生源，污染物泄漏种类的分析成果，监测事故的特征因子。</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9.3.3监测实施和成果的管理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本项目投运后，应委托有资质的监测机构进行一次污染源的全面监测，并对污染防治设施进行一次全面的验收。主要验证污染物排放是否达到排放标准和总量控制标准的规定，以确定有无达到报告书的要求，并将结果上报当地生态环境主管部门。</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工程验收合格后，当地环境监测站可进行定期或不定期的监测，监测数据应在监测结束后一个月内上报当地生态环境主管部门。</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eastAsia="宋体" w:cs="宋体"/>
          <w:spacing w:val="0"/>
          <w:w w:val="100"/>
          <w:position w:val="0"/>
          <w:sz w:val="24"/>
          <w:szCs w:val="24"/>
        </w:rPr>
      </w:pPr>
      <w:r>
        <w:rPr>
          <w:rFonts w:ascii="Times New Roman" w:hAnsi="Times New Roman" w:eastAsia="宋体" w:cs="宋体"/>
          <w:spacing w:val="0"/>
          <w:w w:val="100"/>
          <w:position w:val="0"/>
          <w:sz w:val="24"/>
          <w:szCs w:val="24"/>
        </w:rPr>
        <w:t>监测数据应由本公司和当地环境监测站建立数据库统一存档，作为编制环境质量报告书和监测年鉴的原始材料。监测数据应长期保存。</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kern w:val="2"/>
          <w:position w:val="0"/>
          <w:sz w:val="30"/>
          <w:szCs w:val="30"/>
          <w:lang w:val="en-US" w:eastAsia="zh-CN" w:bidi="ar-SA"/>
        </w:rPr>
        <w:t>9.4排污口规范化设置</w:t>
      </w:r>
    </w:p>
    <w:p>
      <w:pPr>
        <w:keepNext w:val="0"/>
        <w:keepLines w:val="0"/>
        <w:pageBreakBefore w:val="0"/>
        <w:widowControl/>
        <w:kinsoku/>
        <w:wordWrap/>
        <w:overflowPunct/>
        <w:topLinePunct w:val="0"/>
        <w:autoSpaceDE/>
        <w:autoSpaceDN/>
        <w:bidi w:val="0"/>
        <w:adjustRightInd w:val="0"/>
        <w:snapToGrid w:val="0"/>
        <w:spacing w:line="360" w:lineRule="auto"/>
        <w:outlineLvl w:val="2"/>
        <w:rPr>
          <w:rFonts w:hint="eastAsia" w:ascii="Times New Roman" w:hAnsi="Times New Roman" w:eastAsia="宋体" w:cs="Times New Roman"/>
          <w:b/>
          <w:bCs/>
          <w:spacing w:val="0"/>
          <w:w w:val="100"/>
          <w:position w:val="0"/>
          <w:sz w:val="28"/>
          <w:szCs w:val="28"/>
          <w:lang w:val="en-US" w:eastAsia="zh-CN" w:bidi="ar-SA"/>
        </w:rPr>
      </w:pPr>
      <w:r>
        <w:rPr>
          <w:rFonts w:hint="eastAsia" w:ascii="Times New Roman" w:hAnsi="Times New Roman" w:eastAsia="宋体" w:cs="Times New Roman"/>
          <w:b/>
          <w:bCs/>
          <w:spacing w:val="0"/>
          <w:w w:val="100"/>
          <w:position w:val="0"/>
          <w:sz w:val="28"/>
          <w:szCs w:val="28"/>
          <w:lang w:val="en-US" w:eastAsia="zh-CN" w:bidi="ar-SA"/>
        </w:rPr>
        <w:t>9.4.1排污口规范化要求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根据《关于开展排污口规范化整治工作的通知》(国家环境保护总局环发〔1999〕24号)，</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一切新建、扩建、改建和限期治理的排污单位，必须在建设污染治理设施的同时建设规范化排放口，并作为落实环境保护</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三同时</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制度的必要组成部分和项目验收的内容之一</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。因此，建设单位必须把各类排污口规范化工作全部纳入“三同时”进行实施，规范化工作应与污染治理同步实施，即治理设施完工时，规范化工作必须同时完成，并列入项目环保验收内容。</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both"/>
        <w:textAlignment w:val="auto"/>
        <w:outlineLvl w:val="3"/>
        <w:rPr>
          <w:rFonts w:hint="default" w:ascii="Times New Roman" w:hAnsi="Times New Roman" w:eastAsia="宋体" w:cs="Times New Roman"/>
          <w:b/>
          <w:bCs/>
          <w:spacing w:val="0"/>
          <w:w w:val="100"/>
          <w:position w:val="0"/>
          <w:sz w:val="24"/>
          <w:szCs w:val="24"/>
        </w:rPr>
      </w:pPr>
      <w:r>
        <w:rPr>
          <w:rFonts w:hint="eastAsia" w:ascii="Times New Roman" w:hAnsi="Times New Roman" w:eastAsia="宋体" w:cs="Times New Roman"/>
          <w:b/>
          <w:bCs/>
          <w:spacing w:val="0"/>
          <w:w w:val="100"/>
          <w:position w:val="0"/>
          <w:sz w:val="24"/>
          <w:szCs w:val="24"/>
          <w:lang w:val="en-US" w:eastAsia="zh-CN"/>
        </w:rPr>
        <w:t>9.4</w:t>
      </w:r>
      <w:r>
        <w:rPr>
          <w:rFonts w:hint="default" w:ascii="Times New Roman" w:hAnsi="Times New Roman" w:eastAsia="宋体" w:cs="Times New Roman"/>
          <w:b/>
          <w:bCs/>
          <w:spacing w:val="0"/>
          <w:w w:val="100"/>
          <w:position w:val="0"/>
          <w:sz w:val="24"/>
          <w:szCs w:val="24"/>
          <w:lang w:val="en-US" w:eastAsia="zh-CN"/>
        </w:rPr>
        <w:t>.1.1排污口规范化要求的依据</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（1）《关于开展排污口规范化整治工作的通知》国家环境保护总局环发[1999]24号；</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（2）《排污口规范化整治技术》国家环境保护总局环发[1999]24号附件二；</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（3）</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关于转发《关于开展排污口规范化整治工作的通知》的通知</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福建省环境保护局闽环保[1999]理3号；</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（4）</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关于印发《福建省污染物排放口规范化整治补充技术要求》的通知</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福建省环境保护局闽环保[1999]理8号；</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（5）</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关于印发《福建省工业污染源排放口管理办法》的通知</w:t>
      </w:r>
      <w:r>
        <w:rPr>
          <w:rFonts w:hint="eastAsia"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福建省环境保护局闽环保[1999]理9号。</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both"/>
        <w:textAlignment w:val="auto"/>
        <w:outlineLvl w:val="3"/>
        <w:rPr>
          <w:rFonts w:hint="default" w:ascii="Times New Roman" w:hAnsi="Times New Roman" w:eastAsia="宋体" w:cs="Times New Roman"/>
          <w:b/>
          <w:bCs/>
          <w:spacing w:val="0"/>
          <w:w w:val="100"/>
          <w:position w:val="0"/>
          <w:sz w:val="24"/>
          <w:szCs w:val="24"/>
          <w:lang w:val="en-US" w:eastAsia="zh-CN"/>
        </w:rPr>
      </w:pPr>
      <w:r>
        <w:rPr>
          <w:rFonts w:hint="eastAsia" w:ascii="Times New Roman" w:hAnsi="Times New Roman" w:eastAsia="宋体" w:cs="Times New Roman"/>
          <w:b/>
          <w:bCs/>
          <w:spacing w:val="0"/>
          <w:w w:val="100"/>
          <w:position w:val="0"/>
          <w:sz w:val="24"/>
          <w:szCs w:val="24"/>
          <w:lang w:val="en-US" w:eastAsia="zh-CN"/>
        </w:rPr>
        <w:t>9.4</w:t>
      </w:r>
      <w:r>
        <w:rPr>
          <w:rFonts w:hint="default" w:ascii="Times New Roman" w:hAnsi="Times New Roman" w:eastAsia="宋体" w:cs="Times New Roman"/>
          <w:b/>
          <w:bCs/>
          <w:spacing w:val="0"/>
          <w:w w:val="100"/>
          <w:position w:val="0"/>
          <w:sz w:val="24"/>
          <w:szCs w:val="24"/>
          <w:lang w:val="en-US" w:eastAsia="zh-CN"/>
        </w:rPr>
        <w:t>.1.2排污口规范化与在线监测</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1）废水排放口：本项目废水统一由产业园污水处理厂集中处理，项目设置高浓度和低浓度废水收集池及“两管”输送系统，项目需将废水监控位置设置“两管”输送管道上，管道设置在线监测系统，对流量进行实施监控，并与生态环境部门联网。</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（2）废气排放口：拟建项目设置的排气筒应在其排放口和预留监测口设立明显标志，废气采样口设置符合《污染源监测技术规范》规定的高度和要求，便于采样、监测的要求。</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（3）固体废物：对各种固体废物进行分类收集暂存，设置的暂存点有防扬尘、防流失、防腐防渗等措施，暂存场应设置规范化标志牌。</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（4）固定噪声排放源</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按规定对固定噪声源进行治理，并在边界噪声敏感点、且对外界影响最大处设置标志牌。</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5</w:t>
      </w:r>
      <w:r>
        <w:rPr>
          <w:rFonts w:hint="eastAsia" w:ascii="Times New Roman" w:hAnsi="Times New Roman" w:eastAsia="宋体" w:cs="Times New Roman"/>
          <w:spacing w:val="0"/>
          <w:w w:val="100"/>
          <w:position w:val="0"/>
          <w:sz w:val="24"/>
          <w:szCs w:val="24"/>
          <w:lang w:val="en-US" w:eastAsia="zh-CN"/>
        </w:rPr>
        <w:t>）雨水排放口</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项目全厂设置一个标准化雨水口，设立排放标志牌，设置采样井；同时安装可控阀门，用于事故工况下的紧急切断。</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0" w:firstLineChars="0"/>
        <w:jc w:val="both"/>
        <w:textAlignment w:val="auto"/>
        <w:outlineLvl w:val="3"/>
        <w:rPr>
          <w:rFonts w:hint="default" w:ascii="Times New Roman" w:hAnsi="Times New Roman" w:eastAsia="宋体" w:cs="Times New Roman"/>
          <w:b/>
          <w:bCs/>
          <w:spacing w:val="0"/>
          <w:w w:val="100"/>
          <w:position w:val="0"/>
          <w:sz w:val="24"/>
          <w:szCs w:val="24"/>
          <w:lang w:val="en-US" w:eastAsia="zh-CN"/>
        </w:rPr>
      </w:pPr>
      <w:r>
        <w:rPr>
          <w:rFonts w:hint="eastAsia" w:ascii="Times New Roman" w:hAnsi="Times New Roman" w:eastAsia="宋体" w:cs="Times New Roman"/>
          <w:b/>
          <w:bCs/>
          <w:spacing w:val="0"/>
          <w:w w:val="100"/>
          <w:position w:val="0"/>
          <w:sz w:val="24"/>
          <w:szCs w:val="24"/>
          <w:lang w:val="en-US" w:eastAsia="zh-CN"/>
        </w:rPr>
        <w:t>9.4</w:t>
      </w:r>
      <w:r>
        <w:rPr>
          <w:rFonts w:hint="default" w:ascii="Times New Roman" w:hAnsi="Times New Roman" w:eastAsia="宋体" w:cs="Times New Roman"/>
          <w:b/>
          <w:bCs/>
          <w:spacing w:val="0"/>
          <w:w w:val="100"/>
          <w:position w:val="0"/>
          <w:sz w:val="24"/>
          <w:szCs w:val="24"/>
          <w:lang w:val="en-US" w:eastAsia="zh-CN"/>
        </w:rPr>
        <w:t>.1.3</w:t>
      </w:r>
      <w:r>
        <w:rPr>
          <w:rFonts w:hint="eastAsia" w:ascii="Times New Roman" w:hAnsi="Times New Roman" w:eastAsia="宋体" w:cs="Times New Roman"/>
          <w:b/>
          <w:bCs/>
          <w:spacing w:val="0"/>
          <w:w w:val="100"/>
          <w:position w:val="0"/>
          <w:sz w:val="24"/>
          <w:szCs w:val="24"/>
          <w:lang w:val="en-US" w:eastAsia="zh-CN"/>
        </w:rPr>
        <w:t>排污口的管理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要求建设单位按照《关于开展排放口规范化整治工作的通知》（环发〔</w:t>
      </w:r>
      <w:r>
        <w:rPr>
          <w:rFonts w:hint="default" w:ascii="Times New Roman" w:hAnsi="Times New Roman" w:eastAsia="宋体" w:cs="Times New Roman"/>
          <w:spacing w:val="0"/>
          <w:w w:val="100"/>
          <w:position w:val="0"/>
          <w:sz w:val="24"/>
          <w:szCs w:val="24"/>
          <w:lang w:val="en-US" w:eastAsia="zh-CN"/>
        </w:rPr>
        <w:t>1999</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24</w:t>
      </w:r>
      <w:r>
        <w:rPr>
          <w:rFonts w:hint="eastAsia" w:ascii="Times New Roman" w:hAnsi="Times New Roman" w:eastAsia="宋体" w:cs="Times New Roman"/>
          <w:spacing w:val="0"/>
          <w:w w:val="100"/>
          <w:position w:val="0"/>
          <w:sz w:val="24"/>
          <w:szCs w:val="24"/>
          <w:lang w:val="en-US" w:eastAsia="zh-CN"/>
        </w:rPr>
        <w:t>号）和《排污口规范化整治技术要求（试行）》（环监〔</w:t>
      </w:r>
      <w:r>
        <w:rPr>
          <w:rFonts w:hint="default" w:ascii="Times New Roman" w:hAnsi="Times New Roman" w:eastAsia="宋体" w:cs="Times New Roman"/>
          <w:spacing w:val="0"/>
          <w:w w:val="100"/>
          <w:position w:val="0"/>
          <w:sz w:val="24"/>
          <w:szCs w:val="24"/>
          <w:lang w:val="en-US" w:eastAsia="zh-CN"/>
        </w:rPr>
        <w:t>1996</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470</w:t>
      </w:r>
      <w:r>
        <w:rPr>
          <w:rFonts w:hint="eastAsia" w:ascii="Times New Roman" w:hAnsi="Times New Roman" w:eastAsia="宋体" w:cs="Times New Roman"/>
          <w:spacing w:val="0"/>
          <w:w w:val="100"/>
          <w:position w:val="0"/>
          <w:sz w:val="24"/>
          <w:szCs w:val="24"/>
          <w:lang w:val="en-US" w:eastAsia="zh-CN"/>
        </w:rPr>
        <w:t>号）等文件要求，进行排污口规范化设置工作。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结合现有工程现场情况，建设单位在本项目验收前，应做好以下工作：</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1</w:t>
      </w:r>
      <w:r>
        <w:rPr>
          <w:rFonts w:hint="eastAsia" w:ascii="Times New Roman" w:hAnsi="Times New Roman" w:eastAsia="宋体" w:cs="Times New Roman"/>
          <w:spacing w:val="0"/>
          <w:w w:val="100"/>
          <w:position w:val="0"/>
          <w:sz w:val="24"/>
          <w:szCs w:val="24"/>
          <w:lang w:val="en-US" w:eastAsia="zh-CN"/>
        </w:rPr>
        <w:t>）在废气各排污口处设立较明显的排污口标志牌，其上应注明主要排放污染物的名称；规范排污口标识。</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2</w:t>
      </w:r>
      <w:r>
        <w:rPr>
          <w:rFonts w:hint="eastAsia" w:ascii="Times New Roman" w:hAnsi="Times New Roman" w:eastAsia="宋体" w:cs="Times New Roman"/>
          <w:spacing w:val="0"/>
          <w:w w:val="100"/>
          <w:position w:val="0"/>
          <w:sz w:val="24"/>
          <w:szCs w:val="24"/>
          <w:lang w:val="en-US" w:eastAsia="zh-CN"/>
        </w:rPr>
        <w:t>）如实填写《中华人民共和国规范化排污口标志登记证》的有关内容，由环保主管部门签发登记证。</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3</w:t>
      </w:r>
      <w:r>
        <w:rPr>
          <w:rFonts w:hint="eastAsia" w:ascii="Times New Roman" w:hAnsi="Times New Roman" w:eastAsia="宋体" w:cs="Times New Roman"/>
          <w:spacing w:val="0"/>
          <w:w w:val="100"/>
          <w:position w:val="0"/>
          <w:sz w:val="24"/>
          <w:szCs w:val="24"/>
          <w:lang w:val="en-US" w:eastAsia="zh-CN"/>
        </w:rPr>
        <w:t>）将有关排污口的情况如：排污口的性质、编号、排污口的位置；主要排放的污染物种类、数量、浓度、排放规律、排放去向；污染治理设施的运行情况等进行建档管理，并报送生态环境主管部门备案。</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4</w:t>
      </w:r>
      <w:r>
        <w:rPr>
          <w:rFonts w:hint="eastAsia" w:ascii="Times New Roman" w:hAnsi="Times New Roman" w:eastAsia="宋体" w:cs="Times New Roman"/>
          <w:spacing w:val="0"/>
          <w:w w:val="100"/>
          <w:position w:val="0"/>
          <w:sz w:val="24"/>
          <w:szCs w:val="24"/>
          <w:lang w:val="en-US" w:eastAsia="zh-CN"/>
        </w:rPr>
        <w:t>）按照排污口规范管理及排放口环境保护图形标志管理有关规定，在排污口附近设置环境保护图形标志牌，根据《环境保护图形标志》实施细则，填写本项目的主要污染物；标志牌必须保持清晰、完整，发现形象损坏、颜色污染或有变化、退色等不符合图形标志标准的情况，应及时修复或更换，检查时间至少每年一次。</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lang w:val="en-US" w:eastAsia="zh-CN"/>
        </w:rPr>
        <w:t>5</w:t>
      </w:r>
      <w:r>
        <w:rPr>
          <w:rFonts w:hint="eastAsia" w:ascii="Times New Roman" w:hAnsi="Times New Roman" w:eastAsia="宋体" w:cs="Times New Roman"/>
          <w:spacing w:val="0"/>
          <w:w w:val="100"/>
          <w:position w:val="0"/>
          <w:sz w:val="24"/>
          <w:szCs w:val="24"/>
          <w:lang w:val="en-US" w:eastAsia="zh-CN"/>
        </w:rPr>
        <w:t>）环境保护图形标志牌设置位置应距污染物排放口及固体废物堆放场或采样点较近且醒目处，设置高度一般为标志牌上缘距离地面约</w:t>
      </w:r>
      <w:r>
        <w:rPr>
          <w:rFonts w:hint="default" w:ascii="Times New Roman" w:hAnsi="Times New Roman" w:eastAsia="宋体" w:cs="Times New Roman"/>
          <w:spacing w:val="0"/>
          <w:w w:val="100"/>
          <w:position w:val="0"/>
          <w:sz w:val="24"/>
          <w:szCs w:val="24"/>
          <w:lang w:val="en-US" w:eastAsia="zh-CN"/>
        </w:rPr>
        <w:t>2m</w:t>
      </w:r>
      <w:r>
        <w:rPr>
          <w:rFonts w:hint="eastAsia" w:ascii="Times New Roman" w:hAnsi="Times New Roman" w:eastAsia="宋体" w:cs="Times New Roman"/>
          <w:spacing w:val="0"/>
          <w:w w:val="100"/>
          <w:position w:val="0"/>
          <w:sz w:val="24"/>
          <w:szCs w:val="24"/>
          <w:lang w:val="en-US" w:eastAsia="zh-CN"/>
        </w:rPr>
        <w:t>。</w:t>
      </w:r>
    </w:p>
    <w:p>
      <w:pPr>
        <w:rPr>
          <w:rFonts w:hint="eastAsia"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br w:type="page"/>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表</w:t>
      </w:r>
      <w:r>
        <w:rPr>
          <w:rFonts w:hint="eastAsia" w:ascii="Times New Roman" w:hAnsi="Times New Roman" w:eastAsia="宋体" w:cs="Times New Roman"/>
          <w:b/>
          <w:bCs/>
          <w:spacing w:val="0"/>
          <w:w w:val="100"/>
          <w:position w:val="0"/>
          <w:sz w:val="24"/>
          <w:szCs w:val="24"/>
          <w:lang w:val="en-US" w:eastAsia="zh-CN"/>
        </w:rPr>
        <w:t>9.3</w:t>
      </w:r>
      <w:r>
        <w:rPr>
          <w:rFonts w:hint="default" w:ascii="Times New Roman" w:hAnsi="Times New Roman" w:eastAsia="宋体" w:cs="Times New Roman"/>
          <w:b/>
          <w:bCs/>
          <w:spacing w:val="0"/>
          <w:w w:val="100"/>
          <w:position w:val="0"/>
          <w:sz w:val="24"/>
          <w:szCs w:val="24"/>
        </w:rPr>
        <w:t>-1环境保护图形标志表</w:t>
      </w:r>
    </w:p>
    <w:tbl>
      <w:tblPr>
        <w:tblStyle w:val="5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18"/>
        <w:gridCol w:w="2355"/>
        <w:gridCol w:w="2355"/>
        <w:gridCol w:w="2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1" w:type="pct"/>
            <w:tcBorders>
              <w:top w:val="single" w:color="000000" w:sz="10" w:space="0"/>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名称</w:t>
            </w:r>
          </w:p>
        </w:tc>
        <w:tc>
          <w:tcPr>
            <w:tcW w:w="1355" w:type="pct"/>
            <w:tcBorders>
              <w:top w:val="single" w:color="000000" w:sz="10"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提示图形符号</w:t>
            </w:r>
          </w:p>
        </w:tc>
        <w:tc>
          <w:tcPr>
            <w:tcW w:w="1355" w:type="pct"/>
            <w:tcBorders>
              <w:top w:val="single" w:color="000000" w:sz="10"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警告图形符号</w:t>
            </w:r>
          </w:p>
        </w:tc>
        <w:tc>
          <w:tcPr>
            <w:tcW w:w="1357" w:type="pct"/>
            <w:tcBorders>
              <w:top w:val="single" w:color="000000" w:sz="10"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b/>
                <w:bCs/>
                <w:spacing w:val="0"/>
                <w:w w:val="100"/>
                <w:position w:val="0"/>
                <w:sz w:val="21"/>
                <w:szCs w:val="21"/>
              </w:rPr>
            </w:pPr>
            <w:r>
              <w:rPr>
                <w:rFonts w:ascii="Times New Roman" w:hAnsi="Times New Roman" w:eastAsia="宋体" w:cs="宋体"/>
                <w:b/>
                <w:bCs/>
                <w:spacing w:val="0"/>
                <w:w w:val="100"/>
                <w:position w:val="0"/>
                <w:sz w:val="21"/>
                <w:szCs w:val="21"/>
              </w:rPr>
              <w:t>设立位置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931"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废气排放口</w:t>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1007110" cy="1021080"/>
                  <wp:effectExtent l="0" t="0" r="2540" b="7620"/>
                  <wp:docPr id="135" name="图片 14"/>
                  <wp:cNvGraphicFramePr/>
                  <a:graphic xmlns:a="http://schemas.openxmlformats.org/drawingml/2006/main">
                    <a:graphicData uri="http://schemas.openxmlformats.org/drawingml/2006/picture">
                      <pic:pic xmlns:pic="http://schemas.openxmlformats.org/drawingml/2006/picture">
                        <pic:nvPicPr>
                          <pic:cNvPr id="135" name="图片 14"/>
                          <pic:cNvPicPr/>
                        </pic:nvPicPr>
                        <pic:blipFill>
                          <a:blip r:embed="rId25"/>
                          <a:stretch>
                            <a:fillRect/>
                          </a:stretch>
                        </pic:blipFill>
                        <pic:spPr>
                          <a:xfrm>
                            <a:off x="0" y="0"/>
                            <a:ext cx="1007110" cy="1021080"/>
                          </a:xfrm>
                          <a:prstGeom prst="rect">
                            <a:avLst/>
                          </a:prstGeom>
                          <a:noFill/>
                          <a:ln>
                            <a:noFill/>
                          </a:ln>
                        </pic:spPr>
                      </pic:pic>
                    </a:graphicData>
                  </a:graphic>
                </wp:inline>
              </w:drawing>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942975" cy="942975"/>
                  <wp:effectExtent l="0" t="0" r="9525" b="9525"/>
                  <wp:docPr id="127" name="图片 15"/>
                  <wp:cNvGraphicFramePr/>
                  <a:graphic xmlns:a="http://schemas.openxmlformats.org/drawingml/2006/main">
                    <a:graphicData uri="http://schemas.openxmlformats.org/drawingml/2006/picture">
                      <pic:pic xmlns:pic="http://schemas.openxmlformats.org/drawingml/2006/picture">
                        <pic:nvPicPr>
                          <pic:cNvPr id="127" name="图片 15"/>
                          <pic:cNvPicPr/>
                        </pic:nvPicPr>
                        <pic:blipFill>
                          <a:blip r:embed="rId26"/>
                          <a:stretch>
                            <a:fillRect/>
                          </a:stretch>
                        </pic:blipFill>
                        <pic:spPr>
                          <a:xfrm>
                            <a:off x="0" y="0"/>
                            <a:ext cx="942975" cy="942975"/>
                          </a:xfrm>
                          <a:prstGeom prst="rect">
                            <a:avLst/>
                          </a:prstGeom>
                          <a:noFill/>
                          <a:ln>
                            <a:noFill/>
                          </a:ln>
                        </pic:spPr>
                      </pic:pic>
                    </a:graphicData>
                  </a:graphic>
                </wp:inline>
              </w:drawing>
            </w:r>
          </w:p>
        </w:tc>
        <w:tc>
          <w:tcPr>
            <w:tcW w:w="1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废气排放口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931"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废水排放口</w:t>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1028700" cy="1036955"/>
                  <wp:effectExtent l="0" t="0" r="0" b="10795"/>
                  <wp:docPr id="134" name="图片 16"/>
                  <wp:cNvGraphicFramePr/>
                  <a:graphic xmlns:a="http://schemas.openxmlformats.org/drawingml/2006/main">
                    <a:graphicData uri="http://schemas.openxmlformats.org/drawingml/2006/picture">
                      <pic:pic xmlns:pic="http://schemas.openxmlformats.org/drawingml/2006/picture">
                        <pic:nvPicPr>
                          <pic:cNvPr id="134" name="图片 16"/>
                          <pic:cNvPicPr/>
                        </pic:nvPicPr>
                        <pic:blipFill>
                          <a:blip r:embed="rId27"/>
                          <a:stretch>
                            <a:fillRect/>
                          </a:stretch>
                        </pic:blipFill>
                        <pic:spPr>
                          <a:xfrm>
                            <a:off x="0" y="0"/>
                            <a:ext cx="1028700" cy="1036955"/>
                          </a:xfrm>
                          <a:prstGeom prst="rect">
                            <a:avLst/>
                          </a:prstGeom>
                          <a:noFill/>
                          <a:ln>
                            <a:noFill/>
                          </a:ln>
                        </pic:spPr>
                      </pic:pic>
                    </a:graphicData>
                  </a:graphic>
                </wp:inline>
              </w:drawing>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w:t>
            </w:r>
          </w:p>
        </w:tc>
        <w:tc>
          <w:tcPr>
            <w:tcW w:w="1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废水排放口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931"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噪声排放源</w:t>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1007110" cy="995680"/>
                  <wp:effectExtent l="0" t="0" r="2540" b="13970"/>
                  <wp:docPr id="129" name="图片 17"/>
                  <wp:cNvGraphicFramePr/>
                  <a:graphic xmlns:a="http://schemas.openxmlformats.org/drawingml/2006/main">
                    <a:graphicData uri="http://schemas.openxmlformats.org/drawingml/2006/picture">
                      <pic:pic xmlns:pic="http://schemas.openxmlformats.org/drawingml/2006/picture">
                        <pic:nvPicPr>
                          <pic:cNvPr id="129" name="图片 17"/>
                          <pic:cNvPicPr/>
                        </pic:nvPicPr>
                        <pic:blipFill>
                          <a:blip r:embed="rId28"/>
                          <a:stretch>
                            <a:fillRect/>
                          </a:stretch>
                        </pic:blipFill>
                        <pic:spPr>
                          <a:xfrm>
                            <a:off x="0" y="0"/>
                            <a:ext cx="1007110" cy="995680"/>
                          </a:xfrm>
                          <a:prstGeom prst="rect">
                            <a:avLst/>
                          </a:prstGeom>
                          <a:noFill/>
                          <a:ln>
                            <a:noFill/>
                          </a:ln>
                        </pic:spPr>
                      </pic:pic>
                    </a:graphicData>
                  </a:graphic>
                </wp:inline>
              </w:drawing>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942975" cy="842645"/>
                  <wp:effectExtent l="0" t="0" r="9525" b="14605"/>
                  <wp:docPr id="133" name="图片 18"/>
                  <wp:cNvGraphicFramePr/>
                  <a:graphic xmlns:a="http://schemas.openxmlformats.org/drawingml/2006/main">
                    <a:graphicData uri="http://schemas.openxmlformats.org/drawingml/2006/picture">
                      <pic:pic xmlns:pic="http://schemas.openxmlformats.org/drawingml/2006/picture">
                        <pic:nvPicPr>
                          <pic:cNvPr id="133" name="图片 18"/>
                          <pic:cNvPicPr/>
                        </pic:nvPicPr>
                        <pic:blipFill>
                          <a:blip r:embed="rId29"/>
                          <a:stretch>
                            <a:fillRect/>
                          </a:stretch>
                        </pic:blipFill>
                        <pic:spPr>
                          <a:xfrm>
                            <a:off x="0" y="0"/>
                            <a:ext cx="942975" cy="842645"/>
                          </a:xfrm>
                          <a:prstGeom prst="rect">
                            <a:avLst/>
                          </a:prstGeom>
                          <a:noFill/>
                          <a:ln>
                            <a:noFill/>
                          </a:ln>
                        </pic:spPr>
                      </pic:pic>
                    </a:graphicData>
                  </a:graphic>
                </wp:inline>
              </w:drawing>
            </w:r>
          </w:p>
        </w:tc>
        <w:tc>
          <w:tcPr>
            <w:tcW w:w="1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噪声排放源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931"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一般固体废物</w:t>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1007110" cy="1012190"/>
                  <wp:effectExtent l="0" t="0" r="2540" b="16510"/>
                  <wp:docPr id="128" name="图片 19"/>
                  <wp:cNvGraphicFramePr/>
                  <a:graphic xmlns:a="http://schemas.openxmlformats.org/drawingml/2006/main">
                    <a:graphicData uri="http://schemas.openxmlformats.org/drawingml/2006/picture">
                      <pic:pic xmlns:pic="http://schemas.openxmlformats.org/drawingml/2006/picture">
                        <pic:nvPicPr>
                          <pic:cNvPr id="128" name="图片 19"/>
                          <pic:cNvPicPr/>
                        </pic:nvPicPr>
                        <pic:blipFill>
                          <a:blip r:embed="rId30"/>
                          <a:stretch>
                            <a:fillRect/>
                          </a:stretch>
                        </pic:blipFill>
                        <pic:spPr>
                          <a:xfrm>
                            <a:off x="0" y="0"/>
                            <a:ext cx="1007110" cy="1012190"/>
                          </a:xfrm>
                          <a:prstGeom prst="rect">
                            <a:avLst/>
                          </a:prstGeom>
                          <a:noFill/>
                          <a:ln>
                            <a:noFill/>
                          </a:ln>
                        </pic:spPr>
                      </pic:pic>
                    </a:graphicData>
                  </a:graphic>
                </wp:inline>
              </w:drawing>
            </w:r>
          </w:p>
        </w:tc>
        <w:tc>
          <w:tcPr>
            <w:tcW w:w="13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942975" cy="897255"/>
                  <wp:effectExtent l="0" t="0" r="9525" b="17145"/>
                  <wp:docPr id="130" name="图片 20"/>
                  <wp:cNvGraphicFramePr/>
                  <a:graphic xmlns:a="http://schemas.openxmlformats.org/drawingml/2006/main">
                    <a:graphicData uri="http://schemas.openxmlformats.org/drawingml/2006/picture">
                      <pic:pic xmlns:pic="http://schemas.openxmlformats.org/drawingml/2006/picture">
                        <pic:nvPicPr>
                          <pic:cNvPr id="130" name="图片 20"/>
                          <pic:cNvPicPr/>
                        </pic:nvPicPr>
                        <pic:blipFill>
                          <a:blip r:embed="rId31"/>
                          <a:stretch>
                            <a:fillRect/>
                          </a:stretch>
                        </pic:blipFill>
                        <pic:spPr>
                          <a:xfrm>
                            <a:off x="0" y="0"/>
                            <a:ext cx="942975" cy="897255"/>
                          </a:xfrm>
                          <a:prstGeom prst="rect">
                            <a:avLst/>
                          </a:prstGeom>
                          <a:noFill/>
                          <a:ln>
                            <a:noFill/>
                          </a:ln>
                        </pic:spPr>
                      </pic:pic>
                    </a:graphicData>
                  </a:graphic>
                </wp:inline>
              </w:drawing>
            </w:r>
          </w:p>
        </w:tc>
        <w:tc>
          <w:tcPr>
            <w:tcW w:w="1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一般工业固体废物暂存区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4" w:hRule="atLeast"/>
        </w:trPr>
        <w:tc>
          <w:tcPr>
            <w:tcW w:w="931" w:type="pct"/>
            <w:tcBorders>
              <w:left w:val="nil"/>
              <w:bottom w:val="single" w:color="000000" w:sz="10"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危险废物</w:t>
            </w:r>
          </w:p>
        </w:tc>
        <w:tc>
          <w:tcPr>
            <w:tcW w:w="1355" w:type="pct"/>
            <w:tcBorders>
              <w:bottom w:val="single" w:color="000000" w:sz="10"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spacing w:val="0"/>
                <w:w w:val="100"/>
                <w:position w:val="0"/>
                <w:sz w:val="21"/>
                <w:szCs w:val="21"/>
              </w:rPr>
            </w:pPr>
            <w:r>
              <w:rPr>
                <w:rFonts w:ascii="Times New Roman" w:hAnsi="Times New Roman" w:eastAsia="宋体" w:cs="Times New Roman"/>
                <w:spacing w:val="0"/>
                <w:w w:val="100"/>
                <w:position w:val="0"/>
                <w:sz w:val="21"/>
                <w:szCs w:val="21"/>
              </w:rPr>
              <w:t>/</w:t>
            </w:r>
          </w:p>
        </w:tc>
        <w:tc>
          <w:tcPr>
            <w:tcW w:w="1355" w:type="pct"/>
            <w:tcBorders>
              <w:bottom w:val="single" w:color="000000" w:sz="10"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spacing w:val="0"/>
                <w:w w:val="100"/>
                <w:position w:val="0"/>
                <w:sz w:val="21"/>
                <w:szCs w:val="21"/>
              </w:rPr>
            </w:pPr>
            <w:r>
              <w:rPr>
                <w:rFonts w:ascii="Times New Roman" w:hAnsi="Times New Roman" w:eastAsia="宋体"/>
                <w:spacing w:val="0"/>
                <w:w w:val="100"/>
                <w:position w:val="0"/>
                <w:sz w:val="21"/>
                <w:szCs w:val="21"/>
              </w:rPr>
              <w:drawing>
                <wp:inline distT="0" distB="0" distL="114300" distR="114300">
                  <wp:extent cx="1000760" cy="922020"/>
                  <wp:effectExtent l="0" t="0" r="8890" b="11430"/>
                  <wp:docPr id="131" name="图片 21"/>
                  <wp:cNvGraphicFramePr/>
                  <a:graphic xmlns:a="http://schemas.openxmlformats.org/drawingml/2006/main">
                    <a:graphicData uri="http://schemas.openxmlformats.org/drawingml/2006/picture">
                      <pic:pic xmlns:pic="http://schemas.openxmlformats.org/drawingml/2006/picture">
                        <pic:nvPicPr>
                          <pic:cNvPr id="131" name="图片 21"/>
                          <pic:cNvPicPr/>
                        </pic:nvPicPr>
                        <pic:blipFill>
                          <a:blip r:embed="rId32"/>
                          <a:stretch>
                            <a:fillRect/>
                          </a:stretch>
                        </pic:blipFill>
                        <pic:spPr>
                          <a:xfrm>
                            <a:off x="0" y="0"/>
                            <a:ext cx="1000760" cy="922020"/>
                          </a:xfrm>
                          <a:prstGeom prst="rect">
                            <a:avLst/>
                          </a:prstGeom>
                          <a:noFill/>
                          <a:ln>
                            <a:noFill/>
                          </a:ln>
                        </pic:spPr>
                      </pic:pic>
                    </a:graphicData>
                  </a:graphic>
                </wp:inline>
              </w:drawing>
            </w:r>
          </w:p>
        </w:tc>
        <w:tc>
          <w:tcPr>
            <w:tcW w:w="1357" w:type="pct"/>
            <w:tcBorders>
              <w:bottom w:val="single" w:color="000000" w:sz="10"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宋体"/>
                <w:spacing w:val="0"/>
                <w:w w:val="100"/>
                <w:position w:val="0"/>
                <w:sz w:val="21"/>
                <w:szCs w:val="21"/>
              </w:rPr>
            </w:pPr>
            <w:r>
              <w:rPr>
                <w:rFonts w:ascii="Times New Roman" w:hAnsi="Times New Roman" w:eastAsia="宋体" w:cs="宋体"/>
                <w:spacing w:val="0"/>
                <w:w w:val="100"/>
                <w:position w:val="0"/>
                <w:sz w:val="21"/>
                <w:szCs w:val="21"/>
              </w:rPr>
              <w:t>危险废物暂存区</w:t>
            </w:r>
          </w:p>
        </w:tc>
      </w:tr>
    </w:tbl>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9"/>
        <w:rPr>
          <w:rFonts w:hint="eastAsia"/>
          <w:b w:val="0"/>
          <w:bCs w:val="0"/>
          <w:spacing w:val="0"/>
          <w:positio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b/>
          <w:bCs/>
          <w:spacing w:val="0"/>
          <w:position w:val="0"/>
          <w:sz w:val="36"/>
          <w:szCs w:val="36"/>
        </w:rPr>
      </w:pPr>
      <w:r>
        <w:rPr>
          <w:rFonts w:hint="eastAsia"/>
          <w:b/>
          <w:bCs/>
          <w:spacing w:val="0"/>
          <w:position w:val="0"/>
          <w:sz w:val="36"/>
          <w:szCs w:val="36"/>
        </w:rPr>
        <w:br w:type="page"/>
      </w:r>
      <w:r>
        <w:rPr>
          <w:rFonts w:hint="eastAsia"/>
          <w:b/>
          <w:bCs/>
          <w:spacing w:val="0"/>
          <w:position w:val="0"/>
          <w:sz w:val="36"/>
          <w:szCs w:val="36"/>
        </w:rPr>
        <w:t>10 环境评价结论</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10.1工程概况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福建悦聚科技有限公司智能化高档纺织面料生产项目位于连江可门绿色纺织产业园（一期），</w:t>
      </w:r>
      <w:r>
        <w:rPr>
          <w:rFonts w:hint="eastAsia"/>
          <w:spacing w:val="0"/>
          <w:position w:val="0"/>
          <w:sz w:val="24"/>
          <w:szCs w:val="24"/>
        </w:rPr>
        <w:t>用地总用地面积40000m</w:t>
      </w:r>
      <w:r>
        <w:rPr>
          <w:rFonts w:hint="eastAsia"/>
          <w:spacing w:val="0"/>
          <w:position w:val="0"/>
          <w:sz w:val="24"/>
          <w:szCs w:val="24"/>
          <w:vertAlign w:val="superscript"/>
        </w:rPr>
        <w:t>2</w:t>
      </w:r>
      <w:r>
        <w:rPr>
          <w:rFonts w:hint="eastAsia"/>
          <w:spacing w:val="0"/>
          <w:position w:val="0"/>
          <w:sz w:val="24"/>
          <w:szCs w:val="24"/>
        </w:rPr>
        <w:t>（共计60.00亩），总建筑面积109449.43m</w:t>
      </w:r>
      <w:r>
        <w:rPr>
          <w:rFonts w:hint="eastAsia"/>
          <w:spacing w:val="0"/>
          <w:position w:val="0"/>
          <w:sz w:val="24"/>
          <w:szCs w:val="24"/>
          <w:vertAlign w:val="superscript"/>
        </w:rPr>
        <w:t>2</w:t>
      </w:r>
      <w:r>
        <w:rPr>
          <w:rFonts w:hint="eastAsia"/>
          <w:spacing w:val="0"/>
          <w:position w:val="0"/>
          <w:sz w:val="24"/>
          <w:szCs w:val="24"/>
          <w:lang w:val="en-US" w:eastAsia="zh-CN"/>
        </w:rPr>
        <w:t>，建设生产车间、办公楼，配套道路、绿化、停车场、围墙、供配电、给排水、消防等公用工程。建成后形成年织造1.95万吨针织坯布（原料中的锦纶、氨纶、FDY涤纶长丝均外购）、年染整1.95万吨针织坯布（全部为本项目织造的坯布）、年加工处理4500吨印花面料（全部为本项目织造的坯布）的生产能力。</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10.2环境质量现状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（1）环境空气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根据2021年福州市连江县逐日常规监测数据，连江县6项基本污染物全部达标，连江县属于环境空气质量达标区域。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评价区环境空气质量监测点位处非甲烷总烃符合《大气污染物综合排放标准详解》。总体来说评价区环境空气质量较好。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（2）地表水环境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评价引用福建创投环境检测有限公司于2021年4月12日~4月13日开展的海水水质监测、福建省正基检测技术有限公司于2021年7月17日开展的海水水质监测以及厦门谱尼测试有限公司于2020年9月14日在罗源湾海域布置的5个监测站位监测数据，结果表明，除无机氮和活性磷酸盐两项指标超标外，调查期间海域水质其他指标达到标准要求。根据近年来福建省海洋环境状况公报，东南沿海主要海湾及主要江河入海口海域无机氮和活性磷酸盐含量偏高是近岸海域一直存在的较为突出的问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（3）地下水环境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pacing w:val="0"/>
          <w:position w:val="0"/>
          <w:sz w:val="24"/>
          <w:szCs w:val="24"/>
          <w:lang w:val="en-US" w:eastAsia="zh-CN"/>
        </w:rPr>
      </w:pPr>
      <w:r>
        <w:rPr>
          <w:rFonts w:hint="default" w:ascii="Times New Roman" w:hAnsi="Times New Roman" w:cs="Times New Roman"/>
          <w:spacing w:val="0"/>
          <w:position w:val="0"/>
          <w:sz w:val="24"/>
          <w:szCs w:val="24"/>
          <w:lang w:val="en-US" w:eastAsia="zh-CN"/>
        </w:rPr>
        <w:t>评价引用《连江可门绿色纺织产业园规划(一期)环境影响报告书》对产业园及周边区域地下水现状调查和评价结论，项目所在区域地下水监测点位各指标大部分满足《地下水环境质量标准》（GB/T14848-2017）Ⅲ类及以上水质标准，但氨氮、总硬度、溶解性总固体、钠、氯化物的部分指标则仅可满足Ⅳ、V类水质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（4）声环境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根据福建九五检测技术服务有限公司于2023年09月08日在项目四周厂界布点进行的噪声监测结果，项目厂区边界昼间、夜间噪声监测值均满足《声环境质量标准》（GB3096-2008）3类标准要求。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（5）土壤环境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根据福建九五检测技术服务有限公司于2023年09月08日对项目厂区内土壤环境质量现状进行的取样检测结果，项目厂区内各点位土壤监测因子均符合《土壤环境质量建设用地土壤污染风险管控标准（试行）》GB36600-2018第二类用地筛选值标准；综上，项目厂区及周边土壤环境质量现状较好。</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10.3主要环境影响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（1）大气环境影响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估算结果表明，近期实施项目排放的各废气污染源中，筛选计算各污染源中占标率最大源为后整理车间无组织排放的PM</w:t>
      </w:r>
      <w:r>
        <w:rPr>
          <w:rFonts w:hint="eastAsia"/>
          <w:spacing w:val="0"/>
          <w:position w:val="0"/>
          <w:sz w:val="24"/>
          <w:szCs w:val="24"/>
          <w:vertAlign w:val="subscript"/>
          <w:lang w:val="en-US" w:eastAsia="zh-CN"/>
        </w:rPr>
        <w:t>10</w:t>
      </w:r>
      <w:r>
        <w:rPr>
          <w:rFonts w:hint="eastAsia"/>
          <w:spacing w:val="0"/>
          <w:position w:val="0"/>
          <w:sz w:val="24"/>
          <w:szCs w:val="24"/>
          <w:lang w:val="en-US" w:eastAsia="zh-CN"/>
        </w:rPr>
        <w:t>，其对应1%＜Pmax=5.41%＜10%，由此判定评价等级为二级。因此项目运营对环境空气的影响很小。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大气环境防护距离：本项目位于连江可门绿色纺织产业园，评价等级为二级，项目运营对环境空气的影响很小，不需要设置大气环境防护距离。</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卫生防护距离：现状用地无居住区、医院、学校、食品加工等环境敏感目标，今后也不会规划建设上述大气环境敏感目标，因此不考虑《大气有害物质无组织排放卫生防护距离推导技术导则》（GB/T39499-2020）推荐设置的卫生防护距离。</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综上所述，项目产生的污染物在采取合理的大气污染防治措施后，对周围大气环境影响很小，不设置环境防护距离。</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（2）地表水环境影响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本项目产生的高、低浓度废水分别通过高、低浓度污水管道进入园区污水处理厂高、低浓度污水处理系统集中处理。低浓度废水经过处理后回用于各企业，高浓度废水处理后引至可门湾外排污口排放。根据《环罗源湾地区工业产业布局规划（2020-2025年）环境影响报告书》及《连江可门绿色纺织产业园污水处理厂环境影响报告书》（报批稿）的预测结果，污水厂正常排放时对海域水质影响轻微；尾水事故排放情况下，对排污口附近水质影响较大，应在日常运行管理中加强对污水处理系统的维护，杜绝事故排放的发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（3）声环境影响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根据噪声预测结果，项目运行后四周厂界的噪声贡献值均小于55dB，昼、夜间噪声均满足《工业企业厂界环境噪声排放标准》（GB12348-2008）中3 类标准限值要求。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（4）地下水环境影响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本项目易发生地下水污染的生产单位按要求采取了防渗、防腐等措施，正常状况下不会出现污染物泄漏进入地下水的情况，本次评价仅对非正常状况情景进行预测。在本次预测设定的事故情景下，</w:t>
      </w:r>
      <w:r>
        <w:rPr>
          <w:rFonts w:hint="default" w:ascii="Times New Roman" w:hAnsi="Times New Roman" w:eastAsia="宋体" w:cs="Times New Roman"/>
          <w:b w:val="0"/>
          <w:bCs w:val="0"/>
          <w:spacing w:val="0"/>
          <w:kern w:val="2"/>
          <w:position w:val="0"/>
          <w:sz w:val="24"/>
          <w:szCs w:val="24"/>
          <w:lang w:val="en-US" w:eastAsia="zh-CN" w:bidi="ar-SA"/>
        </w:rPr>
        <w:t>高浓度废水池防渗层破裂导致废水发生渗漏100d、1000d、3650d的COD超标范围不断扩大，分别为</w:t>
      </w:r>
      <w:r>
        <w:rPr>
          <w:rFonts w:hint="eastAsia" w:cs="Times New Roman"/>
          <w:b w:val="0"/>
          <w:bCs w:val="0"/>
          <w:spacing w:val="0"/>
          <w:kern w:val="2"/>
          <w:position w:val="0"/>
          <w:sz w:val="24"/>
          <w:szCs w:val="24"/>
          <w:lang w:val="en-US" w:eastAsia="zh-CN" w:bidi="ar-SA"/>
        </w:rPr>
        <w:t>678.83</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4281.69</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和</w:t>
      </w:r>
      <w:r>
        <w:rPr>
          <w:rFonts w:hint="eastAsia" w:cs="Times New Roman"/>
          <w:b w:val="0"/>
          <w:bCs w:val="0"/>
          <w:spacing w:val="0"/>
          <w:kern w:val="2"/>
          <w:position w:val="0"/>
          <w:sz w:val="24"/>
          <w:szCs w:val="24"/>
          <w:lang w:val="en-US" w:eastAsia="zh-CN" w:bidi="ar-SA"/>
        </w:rPr>
        <w:t>10484.88</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；发生渗漏</w:t>
      </w:r>
      <w:r>
        <w:rPr>
          <w:rFonts w:hint="eastAsia" w:cs="Times New Roman"/>
          <w:b w:val="0"/>
          <w:bCs w:val="0"/>
          <w:spacing w:val="0"/>
          <w:kern w:val="2"/>
          <w:position w:val="0"/>
          <w:sz w:val="24"/>
          <w:szCs w:val="24"/>
          <w:lang w:val="en-US" w:eastAsia="zh-CN" w:bidi="ar-SA"/>
        </w:rPr>
        <w:t>后</w:t>
      </w:r>
      <w:r>
        <w:rPr>
          <w:rFonts w:hint="default" w:ascii="Times New Roman" w:hAnsi="Times New Roman" w:eastAsia="宋体" w:cs="Times New Roman"/>
          <w:b w:val="0"/>
          <w:bCs w:val="0"/>
          <w:spacing w:val="0"/>
          <w:kern w:val="2"/>
          <w:position w:val="0"/>
          <w:sz w:val="24"/>
          <w:szCs w:val="24"/>
          <w:lang w:val="en-US" w:eastAsia="zh-CN" w:bidi="ar-SA"/>
        </w:rPr>
        <w:t>100d、1000d的氨氮超标范围为</w:t>
      </w:r>
      <w:r>
        <w:rPr>
          <w:rFonts w:hint="eastAsia" w:cs="Times New Roman"/>
          <w:b w:val="0"/>
          <w:bCs w:val="0"/>
          <w:spacing w:val="0"/>
          <w:kern w:val="2"/>
          <w:position w:val="0"/>
          <w:sz w:val="24"/>
          <w:szCs w:val="24"/>
          <w:lang w:val="en-US" w:eastAsia="zh-CN" w:bidi="ar-SA"/>
        </w:rPr>
        <w:t>354.61</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1064.12</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，3650d后无氨氮超标范围</w:t>
      </w:r>
      <w:r>
        <w:rPr>
          <w:rFonts w:hint="eastAsia" w:cs="Times New Roman"/>
          <w:b w:val="0"/>
          <w:bCs w:val="0"/>
          <w:spacing w:val="0"/>
          <w:kern w:val="2"/>
          <w:position w:val="0"/>
          <w:sz w:val="24"/>
          <w:szCs w:val="24"/>
          <w:lang w:val="en-US" w:eastAsia="zh-CN" w:bidi="ar-SA"/>
        </w:rPr>
        <w:t>；</w:t>
      </w:r>
      <w:r>
        <w:rPr>
          <w:rFonts w:hint="default" w:ascii="Times New Roman" w:hAnsi="Times New Roman" w:eastAsia="宋体" w:cs="Times New Roman"/>
          <w:b w:val="0"/>
          <w:bCs w:val="0"/>
          <w:spacing w:val="0"/>
          <w:kern w:val="2"/>
          <w:position w:val="0"/>
          <w:sz w:val="24"/>
          <w:szCs w:val="24"/>
          <w:lang w:val="en-US" w:eastAsia="zh-CN" w:bidi="ar-SA"/>
        </w:rPr>
        <w:t>发生渗漏</w:t>
      </w:r>
      <w:r>
        <w:rPr>
          <w:rFonts w:hint="eastAsia" w:cs="Times New Roman"/>
          <w:b w:val="0"/>
          <w:bCs w:val="0"/>
          <w:spacing w:val="0"/>
          <w:kern w:val="2"/>
          <w:position w:val="0"/>
          <w:sz w:val="24"/>
          <w:szCs w:val="24"/>
          <w:lang w:val="en-US" w:eastAsia="zh-CN" w:bidi="ar-SA"/>
        </w:rPr>
        <w:t>后</w:t>
      </w:r>
      <w:r>
        <w:rPr>
          <w:rFonts w:hint="default" w:ascii="Times New Roman" w:hAnsi="Times New Roman" w:eastAsia="宋体" w:cs="Times New Roman"/>
          <w:b w:val="0"/>
          <w:bCs w:val="0"/>
          <w:spacing w:val="0"/>
          <w:kern w:val="2"/>
          <w:position w:val="0"/>
          <w:sz w:val="24"/>
          <w:szCs w:val="24"/>
          <w:lang w:val="en-US" w:eastAsia="zh-CN" w:bidi="ar-SA"/>
        </w:rPr>
        <w:t>100d、1000d的</w:t>
      </w:r>
      <w:r>
        <w:rPr>
          <w:rFonts w:hint="eastAsia" w:cs="Times New Roman"/>
          <w:b w:val="0"/>
          <w:bCs w:val="0"/>
          <w:spacing w:val="0"/>
          <w:kern w:val="2"/>
          <w:position w:val="0"/>
          <w:sz w:val="24"/>
          <w:szCs w:val="24"/>
          <w:lang w:val="en-US" w:eastAsia="zh-CN" w:bidi="ar-SA"/>
        </w:rPr>
        <w:t>总锑</w:t>
      </w:r>
      <w:r>
        <w:rPr>
          <w:rFonts w:hint="default" w:ascii="Times New Roman" w:hAnsi="Times New Roman" w:eastAsia="宋体" w:cs="Times New Roman"/>
          <w:b w:val="0"/>
          <w:bCs w:val="0"/>
          <w:spacing w:val="0"/>
          <w:kern w:val="2"/>
          <w:position w:val="0"/>
          <w:sz w:val="24"/>
          <w:szCs w:val="24"/>
          <w:lang w:val="en-US" w:eastAsia="zh-CN" w:bidi="ar-SA"/>
        </w:rPr>
        <w:t>超标范围为</w:t>
      </w:r>
      <w:r>
        <w:rPr>
          <w:rFonts w:hint="eastAsia" w:cs="Times New Roman"/>
          <w:b w:val="0"/>
          <w:bCs w:val="0"/>
          <w:spacing w:val="0"/>
          <w:kern w:val="2"/>
          <w:position w:val="0"/>
          <w:sz w:val="24"/>
          <w:szCs w:val="24"/>
          <w:lang w:val="en-US" w:eastAsia="zh-CN" w:bidi="ar-SA"/>
        </w:rPr>
        <w:t>343.14</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w:t>
      </w:r>
      <w:r>
        <w:rPr>
          <w:rFonts w:hint="eastAsia" w:cs="Times New Roman"/>
          <w:b w:val="0"/>
          <w:bCs w:val="0"/>
          <w:spacing w:val="0"/>
          <w:kern w:val="2"/>
          <w:position w:val="0"/>
          <w:sz w:val="24"/>
          <w:szCs w:val="24"/>
          <w:lang w:val="en-US" w:eastAsia="zh-CN" w:bidi="ar-SA"/>
        </w:rPr>
        <w:t>928.67</w:t>
      </w:r>
      <w:r>
        <w:rPr>
          <w:rFonts w:hint="default" w:ascii="Times New Roman" w:hAnsi="Times New Roman" w:eastAsia="宋体" w:cs="Times New Roman"/>
          <w:b w:val="0"/>
          <w:bCs w:val="0"/>
          <w:spacing w:val="0"/>
          <w:kern w:val="2"/>
          <w:position w:val="0"/>
          <w:sz w:val="24"/>
          <w:szCs w:val="24"/>
          <w:lang w:val="en-US" w:eastAsia="zh-CN" w:bidi="ar-SA"/>
        </w:rPr>
        <w:t>m</w:t>
      </w:r>
      <w:r>
        <w:rPr>
          <w:rFonts w:hint="default" w:ascii="Times New Roman" w:hAnsi="Times New Roman" w:eastAsia="宋体" w:cs="Times New Roman"/>
          <w:b w:val="0"/>
          <w:bCs w:val="0"/>
          <w:spacing w:val="0"/>
          <w:kern w:val="2"/>
          <w:position w:val="0"/>
          <w:sz w:val="24"/>
          <w:szCs w:val="24"/>
          <w:vertAlign w:val="superscript"/>
          <w:lang w:val="en-US" w:eastAsia="zh-CN" w:bidi="ar-SA"/>
        </w:rPr>
        <w:t>2</w:t>
      </w:r>
      <w:r>
        <w:rPr>
          <w:rFonts w:hint="default" w:ascii="Times New Roman" w:hAnsi="Times New Roman" w:eastAsia="宋体" w:cs="Times New Roman"/>
          <w:b w:val="0"/>
          <w:bCs w:val="0"/>
          <w:spacing w:val="0"/>
          <w:kern w:val="2"/>
          <w:position w:val="0"/>
          <w:sz w:val="24"/>
          <w:szCs w:val="24"/>
          <w:lang w:val="en-US" w:eastAsia="zh-CN" w:bidi="ar-SA"/>
        </w:rPr>
        <w:t>，3650d后无</w:t>
      </w:r>
      <w:r>
        <w:rPr>
          <w:rFonts w:hint="eastAsia" w:cs="Times New Roman"/>
          <w:b w:val="0"/>
          <w:bCs w:val="0"/>
          <w:spacing w:val="0"/>
          <w:kern w:val="2"/>
          <w:position w:val="0"/>
          <w:sz w:val="24"/>
          <w:szCs w:val="24"/>
          <w:lang w:val="en-US" w:eastAsia="zh-CN" w:bidi="ar-SA"/>
        </w:rPr>
        <w:t>总锑</w:t>
      </w:r>
      <w:r>
        <w:rPr>
          <w:rFonts w:hint="default" w:ascii="Times New Roman" w:hAnsi="Times New Roman" w:eastAsia="宋体" w:cs="Times New Roman"/>
          <w:b w:val="0"/>
          <w:bCs w:val="0"/>
          <w:spacing w:val="0"/>
          <w:kern w:val="2"/>
          <w:position w:val="0"/>
          <w:sz w:val="24"/>
          <w:szCs w:val="24"/>
          <w:lang w:val="en-US" w:eastAsia="zh-CN" w:bidi="ar-SA"/>
        </w:rPr>
        <w:t>超标范围</w:t>
      </w:r>
      <w:r>
        <w:rPr>
          <w:rFonts w:hint="eastAsia" w:cs="Times New Roman"/>
          <w:b w:val="0"/>
          <w:bCs w:val="0"/>
          <w:spacing w:val="0"/>
          <w:kern w:val="2"/>
          <w:positio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地下水污染具有隐蔽性和难以逆转性，一旦受污染，治理及恢复的成本很高，难度很大。因此建设单位要按照“源头控制、分区防控、污染监控、应急响应”的原则，严格落实本次评价提出的地下水污染防治措施。项目生产装置区、废水调节池、仓库、固废暂存库、污水管道、事故应急池等要严格按照《环境影响评价技术导则地下水环境》（HJ610-2016）的相关要求设置防渗层，采用防水、防腐、防冲击、耐磨的面层材料，杜绝地下水污染事故的发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ascii="宋体" w:hAnsi="宋体" w:eastAsia="宋体"/>
          <w:sz w:val="24"/>
          <w:szCs w:val="24"/>
        </w:rPr>
        <w:t>（</w:t>
      </w:r>
      <w:r>
        <w:rPr>
          <w:rFonts w:hint="eastAsia" w:ascii="TimesNewRomanPSMT" w:hAnsi="TimesNewRomanPSMT" w:eastAsia="TimesNewRomanPSMT"/>
          <w:sz w:val="24"/>
          <w:szCs w:val="24"/>
        </w:rPr>
        <w:t>5</w:t>
      </w:r>
      <w:r>
        <w:rPr>
          <w:rFonts w:hint="eastAsia" w:ascii="宋体" w:hAnsi="宋体" w:eastAsia="宋体"/>
          <w:sz w:val="24"/>
          <w:szCs w:val="24"/>
        </w:rPr>
        <w:t>）土壤环境影响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项目可能污染土壤的途径主要为地面漫流和垂直入渗。项目通过采取分区防渗措施，正常情况下不会通过地面漫流、垂直入渗等形式对厂区内及周边土壤造成影响。但如发生防渗地面开裂、废水泄漏等事故，相关污染物将进入土壤中，对土壤环境造成污染，并随着持续泄漏，进而影响地下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因此企业应落实分区防渗措施，加强日常环境管理和对环保设施以及防渗系统的维护，设置地下水监测井进行跟踪监测，一旦发现污染物泄漏和水质异常，应及时采取应对措施。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（6）环境风险影响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根据本工程的特点，本项目涉及的危险化学品及环境风险物质主要是保险粉连二亚硫酸钠、冰醋酸、片碱（氢氧化钠）、硫酸铵、以及火灾爆炸伴生/次生物二氧化硫。根据重大危险源识别结果，本项目的最大可信事故为保险粉自燃风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spacing w:val="0"/>
          <w:position w:val="0"/>
          <w:sz w:val="24"/>
          <w:szCs w:val="24"/>
          <w:lang w:val="en-US" w:eastAsia="zh-CN"/>
        </w:rPr>
        <w:t>发生保险粉（连二亚硫酸钠）燃烧事故时，产生的SO</w:t>
      </w:r>
      <w:r>
        <w:rPr>
          <w:rFonts w:hint="eastAsia"/>
          <w:spacing w:val="0"/>
          <w:position w:val="0"/>
          <w:sz w:val="24"/>
          <w:szCs w:val="24"/>
          <w:vertAlign w:val="subscript"/>
          <w:lang w:val="en-US" w:eastAsia="zh-CN"/>
        </w:rPr>
        <w:t>2</w:t>
      </w:r>
      <w:r>
        <w:rPr>
          <w:rFonts w:hint="eastAsia"/>
          <w:spacing w:val="0"/>
          <w:position w:val="0"/>
          <w:sz w:val="24"/>
          <w:szCs w:val="24"/>
          <w:lang w:val="en-US" w:eastAsia="zh-CN"/>
        </w:rPr>
        <w:t>进入大气环境，相比火灾事故本身的影响范围，燃烧而造成的SO</w:t>
      </w:r>
      <w:r>
        <w:rPr>
          <w:rFonts w:hint="eastAsia"/>
          <w:spacing w:val="0"/>
          <w:position w:val="0"/>
          <w:sz w:val="24"/>
          <w:szCs w:val="24"/>
          <w:vertAlign w:val="subscript"/>
          <w:lang w:val="en-US" w:eastAsia="zh-CN"/>
        </w:rPr>
        <w:t>2</w:t>
      </w:r>
      <w:r>
        <w:rPr>
          <w:rFonts w:hint="eastAsia"/>
          <w:spacing w:val="0"/>
          <w:position w:val="0"/>
          <w:sz w:val="24"/>
          <w:szCs w:val="24"/>
          <w:lang w:val="en-US" w:eastAsia="zh-CN"/>
        </w:rPr>
        <w:t>污染范围大得多。SO</w:t>
      </w:r>
      <w:r>
        <w:rPr>
          <w:rFonts w:hint="eastAsia"/>
          <w:spacing w:val="0"/>
          <w:position w:val="0"/>
          <w:sz w:val="24"/>
          <w:szCs w:val="24"/>
          <w:vertAlign w:val="subscript"/>
          <w:lang w:val="en-US" w:eastAsia="zh-CN"/>
        </w:rPr>
        <w:t>2</w:t>
      </w:r>
      <w:r>
        <w:rPr>
          <w:rFonts w:hint="eastAsia"/>
          <w:spacing w:val="0"/>
          <w:position w:val="0"/>
          <w:sz w:val="24"/>
          <w:szCs w:val="24"/>
          <w:lang w:val="en-US" w:eastAsia="zh-CN"/>
        </w:rPr>
        <w:t>进入环境空气会刺激人们的呼吸道，诱发呼吸道的各种炎症，危害人体健康；危害动植物；腐蚀金属表面；损害纸制品、纺织品、皮革制品等；可能形成酸雨，从而给生态系统以及农业、森林、水产资源等带来严重危害。</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10.4环境保护措施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（1）废气治理措施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①定型废气：定型机尾气共计配备8套废气净化装置，其中4套废气净化装置一拖四台定型机，4套废气净化装置一拖三台定型机，采用“热能回收+冷却+静电”处理工艺，共设置2根30m高的排气筒。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b w:val="0"/>
          <w:bCs w:val="0"/>
          <w:spacing w:val="0"/>
          <w:position w:val="0"/>
          <w:sz w:val="24"/>
          <w:szCs w:val="24"/>
          <w:vertAlign w:val="baseline"/>
          <w:lang w:val="en-US" w:eastAsia="zh-CN"/>
        </w:rPr>
      </w:pPr>
      <w:r>
        <w:rPr>
          <w:rFonts w:hint="eastAsia"/>
          <w:spacing w:val="0"/>
          <w:position w:val="0"/>
          <w:sz w:val="24"/>
          <w:szCs w:val="24"/>
          <w:lang w:val="en-US" w:eastAsia="zh-CN"/>
        </w:rPr>
        <w:t>②</w:t>
      </w:r>
      <w:r>
        <w:rPr>
          <w:rFonts w:hint="eastAsia"/>
          <w:b w:val="0"/>
          <w:bCs w:val="0"/>
          <w:spacing w:val="0"/>
          <w:position w:val="0"/>
          <w:sz w:val="24"/>
          <w:szCs w:val="24"/>
          <w:vertAlign w:val="baseline"/>
          <w:lang w:val="en-US" w:eastAsia="zh-CN"/>
        </w:rPr>
        <w:t>印花废气+蒸化废气：采用集气罩收集，利用引风机接入废气净化装置一并处理。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b w:val="0"/>
          <w:bCs w:val="0"/>
          <w:spacing w:val="0"/>
          <w:position w:val="0"/>
          <w:sz w:val="24"/>
          <w:szCs w:val="24"/>
          <w:vertAlign w:val="baseline"/>
          <w:lang w:val="en-US" w:eastAsia="zh-CN"/>
        </w:rPr>
        <w:t>③磨毛废气：采用布袋除尘器进行处理，生产时车间密闭，处理后于车间内排放。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spacing w:val="0"/>
          <w:position w:val="0"/>
          <w:sz w:val="24"/>
          <w:szCs w:val="24"/>
          <w:lang w:val="en-US" w:eastAsia="zh-CN"/>
        </w:rPr>
      </w:pPr>
      <w:r>
        <w:rPr>
          <w:rFonts w:hint="eastAsia"/>
          <w:spacing w:val="0"/>
          <w:position w:val="0"/>
          <w:sz w:val="24"/>
          <w:szCs w:val="24"/>
          <w:lang w:val="en-US" w:eastAsia="zh-CN"/>
        </w:rPr>
        <w:t>④高、低浓度废水收集池恶臭：废水收集池设置在地下一层，且采取加盖封闭处理，减轻废气扩散。</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spacing w:val="0"/>
          <w:position w:val="0"/>
          <w:sz w:val="24"/>
          <w:szCs w:val="24"/>
          <w:lang w:val="en-US" w:eastAsia="zh-CN"/>
        </w:rPr>
      </w:pPr>
      <w:r>
        <w:rPr>
          <w:rFonts w:hint="eastAsia" w:ascii="Times New Roman" w:hAnsi="Times New Roman" w:eastAsia="宋体" w:cs="Times New Roman"/>
          <w:spacing w:val="0"/>
          <w:kern w:val="2"/>
          <w:position w:val="0"/>
          <w:sz w:val="24"/>
          <w:szCs w:val="24"/>
          <w:lang w:val="en-US" w:eastAsia="zh-CN" w:bidi="ar-SA"/>
        </w:rPr>
        <w:t>（2）</w:t>
      </w:r>
      <w:r>
        <w:rPr>
          <w:rFonts w:hint="eastAsia"/>
          <w:spacing w:val="0"/>
          <w:position w:val="0"/>
          <w:sz w:val="24"/>
          <w:szCs w:val="24"/>
          <w:lang w:val="en-US" w:eastAsia="zh-CN"/>
        </w:rPr>
        <w:t>废水治理措施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①项目污水治理实行“雨污分流、清污分流、污污分流”，排水系统划分为高浓度废水和低浓度废水排水系统、事故污水排水系统、生活污水排水系统，建设</w:t>
      </w:r>
      <w:r>
        <w:rPr>
          <w:rFonts w:hint="eastAsia"/>
          <w:b w:val="0"/>
          <w:bCs w:val="0"/>
          <w:spacing w:val="0"/>
          <w:position w:val="0"/>
          <w:sz w:val="24"/>
          <w:szCs w:val="24"/>
          <w:vertAlign w:val="baseline"/>
          <w:lang w:val="en-US" w:eastAsia="zh-CN"/>
        </w:rPr>
        <w:t>1300</w:t>
      </w:r>
      <w:r>
        <w:rPr>
          <w:rFonts w:hint="default"/>
          <w:b w:val="0"/>
          <w:bCs w:val="0"/>
          <w:spacing w:val="0"/>
          <w:position w:val="0"/>
          <w:sz w:val="24"/>
          <w:szCs w:val="24"/>
          <w:vertAlign w:val="baseline"/>
          <w:lang w:val="en-US" w:eastAsia="zh-CN"/>
        </w:rPr>
        <w:t>m</w:t>
      </w:r>
      <w:r>
        <w:rPr>
          <w:rFonts w:hint="default"/>
          <w:b w:val="0"/>
          <w:bCs w:val="0"/>
          <w:spacing w:val="0"/>
          <w:position w:val="0"/>
          <w:sz w:val="24"/>
          <w:szCs w:val="24"/>
          <w:vertAlign w:val="superscript"/>
          <w:lang w:val="en-US" w:eastAsia="zh-CN"/>
        </w:rPr>
        <w:t>3</w:t>
      </w:r>
      <w:r>
        <w:rPr>
          <w:rFonts w:hint="default"/>
          <w:b w:val="0"/>
          <w:bCs w:val="0"/>
          <w:spacing w:val="0"/>
          <w:position w:val="0"/>
          <w:sz w:val="24"/>
          <w:szCs w:val="24"/>
          <w:vertAlign w:val="baseline"/>
          <w:lang w:val="en-US" w:eastAsia="zh-CN"/>
        </w:rPr>
        <w:t>高浓度废水</w:t>
      </w:r>
      <w:r>
        <w:rPr>
          <w:rFonts w:hint="eastAsia"/>
          <w:b w:val="0"/>
          <w:bCs w:val="0"/>
          <w:spacing w:val="0"/>
          <w:position w:val="0"/>
          <w:sz w:val="24"/>
          <w:szCs w:val="24"/>
          <w:vertAlign w:val="baseline"/>
          <w:lang w:val="en-US" w:eastAsia="zh-CN"/>
        </w:rPr>
        <w:t>收集</w:t>
      </w:r>
      <w:r>
        <w:rPr>
          <w:rFonts w:hint="default"/>
          <w:b w:val="0"/>
          <w:bCs w:val="0"/>
          <w:spacing w:val="0"/>
          <w:position w:val="0"/>
          <w:sz w:val="24"/>
          <w:szCs w:val="24"/>
          <w:vertAlign w:val="baseline"/>
          <w:lang w:val="en-US" w:eastAsia="zh-CN"/>
        </w:rPr>
        <w:t>池、</w:t>
      </w:r>
      <w:r>
        <w:rPr>
          <w:rFonts w:hint="eastAsia"/>
          <w:b w:val="0"/>
          <w:bCs w:val="0"/>
          <w:spacing w:val="0"/>
          <w:position w:val="0"/>
          <w:sz w:val="24"/>
          <w:szCs w:val="24"/>
          <w:vertAlign w:val="baseline"/>
          <w:lang w:val="en-US" w:eastAsia="zh-CN"/>
        </w:rPr>
        <w:t>1800</w:t>
      </w:r>
      <w:r>
        <w:rPr>
          <w:rFonts w:hint="default"/>
          <w:b w:val="0"/>
          <w:bCs w:val="0"/>
          <w:spacing w:val="0"/>
          <w:position w:val="0"/>
          <w:sz w:val="24"/>
          <w:szCs w:val="24"/>
          <w:vertAlign w:val="baseline"/>
          <w:lang w:val="en-US" w:eastAsia="zh-CN"/>
        </w:rPr>
        <w:t>m</w:t>
      </w:r>
      <w:r>
        <w:rPr>
          <w:rFonts w:hint="default"/>
          <w:b w:val="0"/>
          <w:bCs w:val="0"/>
          <w:spacing w:val="0"/>
          <w:position w:val="0"/>
          <w:sz w:val="24"/>
          <w:szCs w:val="24"/>
          <w:vertAlign w:val="superscript"/>
          <w:lang w:val="en-US" w:eastAsia="zh-CN"/>
        </w:rPr>
        <w:t>3</w:t>
      </w:r>
      <w:r>
        <w:rPr>
          <w:rFonts w:hint="default"/>
          <w:b w:val="0"/>
          <w:bCs w:val="0"/>
          <w:spacing w:val="0"/>
          <w:position w:val="0"/>
          <w:sz w:val="24"/>
          <w:szCs w:val="24"/>
          <w:vertAlign w:val="baseline"/>
          <w:lang w:val="en-US" w:eastAsia="zh-CN"/>
        </w:rPr>
        <w:t>低浓度废水</w:t>
      </w:r>
      <w:r>
        <w:rPr>
          <w:rFonts w:hint="eastAsia"/>
          <w:b w:val="0"/>
          <w:bCs w:val="0"/>
          <w:spacing w:val="0"/>
          <w:position w:val="0"/>
          <w:sz w:val="24"/>
          <w:szCs w:val="24"/>
          <w:vertAlign w:val="baseline"/>
          <w:lang w:val="en-US" w:eastAsia="zh-CN"/>
        </w:rPr>
        <w:t>收集</w:t>
      </w:r>
      <w:r>
        <w:rPr>
          <w:rFonts w:hint="default"/>
          <w:b w:val="0"/>
          <w:bCs w:val="0"/>
          <w:spacing w:val="0"/>
          <w:position w:val="0"/>
          <w:sz w:val="24"/>
          <w:szCs w:val="24"/>
          <w:vertAlign w:val="baseline"/>
          <w:lang w:val="en-US" w:eastAsia="zh-CN"/>
        </w:rPr>
        <w:t>池、</w:t>
      </w:r>
      <w:r>
        <w:rPr>
          <w:rFonts w:hint="eastAsia"/>
          <w:b w:val="0"/>
          <w:bCs w:val="0"/>
          <w:spacing w:val="0"/>
          <w:position w:val="0"/>
          <w:sz w:val="24"/>
          <w:szCs w:val="24"/>
          <w:vertAlign w:val="baseline"/>
          <w:lang w:val="en-US" w:eastAsia="zh-CN"/>
        </w:rPr>
        <w:t>2300</w:t>
      </w:r>
      <w:r>
        <w:rPr>
          <w:rFonts w:hint="default"/>
          <w:b w:val="0"/>
          <w:bCs w:val="0"/>
          <w:spacing w:val="0"/>
          <w:position w:val="0"/>
          <w:sz w:val="24"/>
          <w:szCs w:val="24"/>
          <w:vertAlign w:val="baseline"/>
          <w:lang w:val="en-US" w:eastAsia="zh-CN"/>
        </w:rPr>
        <w:t>m</w:t>
      </w:r>
      <w:r>
        <w:rPr>
          <w:rFonts w:hint="default"/>
          <w:b w:val="0"/>
          <w:bCs w:val="0"/>
          <w:spacing w:val="0"/>
          <w:position w:val="0"/>
          <w:sz w:val="24"/>
          <w:szCs w:val="24"/>
          <w:vertAlign w:val="superscript"/>
          <w:lang w:val="en-US" w:eastAsia="zh-CN"/>
        </w:rPr>
        <w:t>3</w:t>
      </w:r>
      <w:r>
        <w:rPr>
          <w:rFonts w:hint="eastAsia"/>
          <w:b w:val="0"/>
          <w:bCs w:val="0"/>
          <w:spacing w:val="0"/>
          <w:position w:val="0"/>
          <w:sz w:val="24"/>
          <w:szCs w:val="24"/>
          <w:vertAlign w:val="baseline"/>
          <w:lang w:val="en-US" w:eastAsia="zh-CN"/>
        </w:rPr>
        <w:t>中水</w:t>
      </w:r>
      <w:r>
        <w:rPr>
          <w:rFonts w:hint="default"/>
          <w:b w:val="0"/>
          <w:bCs w:val="0"/>
          <w:spacing w:val="0"/>
          <w:position w:val="0"/>
          <w:sz w:val="24"/>
          <w:szCs w:val="24"/>
          <w:vertAlign w:val="baseline"/>
          <w:lang w:val="en-US" w:eastAsia="zh-CN"/>
        </w:rPr>
        <w:t>回用池、352m</w:t>
      </w:r>
      <w:r>
        <w:rPr>
          <w:rFonts w:hint="default"/>
          <w:b w:val="0"/>
          <w:bCs w:val="0"/>
          <w:spacing w:val="0"/>
          <w:position w:val="0"/>
          <w:sz w:val="24"/>
          <w:szCs w:val="24"/>
          <w:vertAlign w:val="superscript"/>
          <w:lang w:val="en-US" w:eastAsia="zh-CN"/>
        </w:rPr>
        <w:t>3</w:t>
      </w:r>
      <w:r>
        <w:rPr>
          <w:rFonts w:hint="default"/>
          <w:b w:val="0"/>
          <w:bCs w:val="0"/>
          <w:spacing w:val="0"/>
          <w:position w:val="0"/>
          <w:sz w:val="24"/>
          <w:szCs w:val="24"/>
          <w:vertAlign w:val="baseline"/>
          <w:lang w:val="en-US" w:eastAsia="zh-CN"/>
        </w:rPr>
        <w:t>初期雨水池</w:t>
      </w:r>
      <w:r>
        <w:rPr>
          <w:rFonts w:hint="eastAsia" w:cs="Times New Roman"/>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②企业内部建设高、低浓度废水收集管道，污水分质分流收集后分别通过园区高、低浓度废污水管道进入园区污水处理厂高、低浓度污水处理系统集中处理。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③高、低浓度废水外排口安装流量、pH、COD、氨氮、SS、总氮、总磷、总锑等在线监测装置。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（3）噪声治理措施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①设备选型：在设计中，应要求设计部门按照《工业企业噪声控制设计规范》规范要求，尽量选用技术先进、性能质量良好、同类成品中声级较低的设备，从源头上控制噪声源。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②合理布局：在平面布局时，应尽量将噪声源设备集中布置在离厂界距离较远的位置，同时将声级高的设备安置在厂房内地面，避免露天或者高空安置，以降低噪声对厂界的影响。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③尽量利用厂房隔声：应将声级高的设备如风机等，安置在厂房内，变室外噪声源为室内噪声源，利用厂房进行隔声，避免露天安置，以降低噪声对厂界的影响。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④防振减振措施：所有电动设备的基座应安装防振、减振垫片，与动力设备连接的管道应安装软性接头，并对管道进行固定加固处理，防止因设备、管道振动引起的噪声。</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⑤吸声消声措施：厂房设计时充分考虑墙体吸声效果，内侧墙面尽量采用吸声较好的材料，各类泵及高声级设备应安装消声器。</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（4）固体废物处置措施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本项目固体废物分为一般工业固体废物和危险废物。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一般工业固体废物主要主要包括普通废包装、废丝、废布及次品。废丝、废布及次可外售其他企业综合利用；废包装袋可外售回收企业。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危险废物主要为危化品废包装、废气处理废油、废机油、化验室废液，委托有资质单位进行处置。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（5）地下水污染防治措施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①源头控制：主要包括在工艺、管道、设备、污水储存及处理构筑物采取相应措施，防止和降低污染物跑、冒、滴、漏，将污染物泄漏事故降到最低程度。</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②分区防控：按照《环境影响评价技术导则地下水环境》（HJ610-2016）的要求，将场地区域划分为重点防渗区、一般防渗区、简单防渗区，并落实不同防渗分区的防渗技术要求。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③污染监控：项目位于可门绿色纺织产业园，根据《连江可门绿色纺织产业园规划(一期)环境影响报告书》中对于地下水监控井设置要求：在产业园上游设置1个背景观测点，产业园园内及其下游影响区的地下水设置不少于2个观测点。本项目厂区内设置1个监控井，其余利用产业园区监控井点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④应急响应：建立事故污染应急预案，一旦发生事故应立即停止作业，查找污染源，及时处理，将污染控制在最低的限度。</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（6）环境风险防治措施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项目危化品库地面应设有防渗漏设施、事故泄漏液收集管沟及收集槽。同时，本项目设置容积</w:t>
      </w:r>
      <w:r>
        <w:rPr>
          <w:rFonts w:hint="eastAsia" w:cs="Times New Roman"/>
          <w:spacing w:val="0"/>
          <w:kern w:val="2"/>
          <w:position w:val="0"/>
          <w:sz w:val="24"/>
          <w:szCs w:val="24"/>
          <w:lang w:val="en-US" w:eastAsia="zh-CN" w:bidi="ar-SA"/>
        </w:rPr>
        <w:t>840</w:t>
      </w:r>
      <w:r>
        <w:rPr>
          <w:rFonts w:hint="default" w:ascii="Times New Roman" w:hAnsi="Times New Roman" w:eastAsia="宋体" w:cs="Times New Roman"/>
          <w:spacing w:val="0"/>
          <w:kern w:val="2"/>
          <w:position w:val="0"/>
          <w:sz w:val="24"/>
          <w:szCs w:val="24"/>
          <w:lang w:val="en-US" w:eastAsia="zh-CN" w:bidi="ar-SA"/>
        </w:rPr>
        <w:t>m</w:t>
      </w:r>
      <w:r>
        <w:rPr>
          <w:rFonts w:hint="default" w:ascii="Times New Roman" w:hAnsi="Times New Roman" w:eastAsia="宋体" w:cs="Times New Roman"/>
          <w:spacing w:val="0"/>
          <w:kern w:val="2"/>
          <w:position w:val="0"/>
          <w:sz w:val="24"/>
          <w:szCs w:val="24"/>
          <w:vertAlign w:val="superscript"/>
          <w:lang w:val="en-US" w:eastAsia="zh-CN" w:bidi="ar-SA"/>
        </w:rPr>
        <w:t>3</w:t>
      </w:r>
      <w:r>
        <w:rPr>
          <w:rFonts w:hint="default" w:ascii="Times New Roman" w:hAnsi="Times New Roman" w:eastAsia="宋体" w:cs="Times New Roman"/>
          <w:spacing w:val="0"/>
          <w:kern w:val="2"/>
          <w:position w:val="0"/>
          <w:sz w:val="24"/>
          <w:szCs w:val="24"/>
          <w:lang w:val="en-US" w:eastAsia="zh-CN" w:bidi="ar-SA"/>
        </w:rPr>
        <w:t>的事故应急池，并设置</w:t>
      </w:r>
      <w:r>
        <w:rPr>
          <w:rFonts w:hint="eastAsia" w:cs="Times New Roman"/>
          <w:spacing w:val="0"/>
          <w:kern w:val="2"/>
          <w:position w:val="0"/>
          <w:sz w:val="24"/>
          <w:szCs w:val="24"/>
          <w:lang w:val="en-US" w:eastAsia="zh-CN" w:bidi="ar-SA"/>
        </w:rPr>
        <w:t>“</w:t>
      </w:r>
      <w:r>
        <w:rPr>
          <w:rFonts w:hint="default" w:ascii="Times New Roman" w:hAnsi="Times New Roman" w:eastAsia="宋体" w:cs="Times New Roman"/>
          <w:spacing w:val="0"/>
          <w:kern w:val="2"/>
          <w:position w:val="0"/>
          <w:sz w:val="24"/>
          <w:szCs w:val="24"/>
          <w:lang w:val="en-US" w:eastAsia="zh-CN" w:bidi="ar-SA"/>
        </w:rPr>
        <w:t>三级防控措施</w:t>
      </w:r>
      <w:r>
        <w:rPr>
          <w:rFonts w:hint="eastAsia" w:cs="Times New Roman"/>
          <w:spacing w:val="0"/>
          <w:kern w:val="2"/>
          <w:position w:val="0"/>
          <w:sz w:val="24"/>
          <w:szCs w:val="24"/>
          <w:lang w:val="en-US" w:eastAsia="zh-CN" w:bidi="ar-SA"/>
        </w:rPr>
        <w:t>”</w:t>
      </w:r>
      <w:r>
        <w:rPr>
          <w:rFonts w:hint="default" w:ascii="Times New Roman" w:hAnsi="Times New Roman" w:eastAsia="宋体" w:cs="Times New Roman"/>
          <w:spacing w:val="0"/>
          <w:kern w:val="2"/>
          <w:position w:val="0"/>
          <w:sz w:val="24"/>
          <w:szCs w:val="24"/>
          <w:lang w:val="en-US" w:eastAsia="zh-CN" w:bidi="ar-SA"/>
        </w:rPr>
        <w:t>防范事故泄漏液和消防污水进入外环境和海域水环境。</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10.5项目建设的可行性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（1）与规划及规划环评符合性分析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本项目位于连江县可门经济开发区，经分析，本项目在土地利用规划、产业发展定位、产业发展布局、入园准入条件等方面均符合《环罗源湾地区工业产业布局规划(2020-2025年)修编》、《福州台商投资区扩区总体规划(2012-2020)》、《连江可门经济开发区总体规划(2012-2030)》、《连江可门绿色纺织产业园规划（一期）》及规划环评和环评审查意见的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w:t>
      </w:r>
      <w:r>
        <w:rPr>
          <w:rFonts w:hint="eastAsia" w:cs="Times New Roman"/>
          <w:spacing w:val="0"/>
          <w:kern w:val="2"/>
          <w:position w:val="0"/>
          <w:sz w:val="24"/>
          <w:szCs w:val="24"/>
          <w:lang w:val="en-US" w:eastAsia="zh-CN" w:bidi="ar-SA"/>
        </w:rPr>
        <w:t>2</w:t>
      </w:r>
      <w:r>
        <w:rPr>
          <w:rFonts w:hint="default" w:ascii="Times New Roman" w:hAnsi="Times New Roman" w:eastAsia="宋体" w:cs="Times New Roman"/>
          <w:spacing w:val="0"/>
          <w:kern w:val="2"/>
          <w:position w:val="0"/>
          <w:sz w:val="24"/>
          <w:szCs w:val="24"/>
          <w:lang w:val="en-US" w:eastAsia="zh-CN" w:bidi="ar-SA"/>
        </w:rPr>
        <w:t>）与</w:t>
      </w:r>
      <w:r>
        <w:rPr>
          <w:rFonts w:hint="eastAsia" w:cs="Times New Roman"/>
          <w:spacing w:val="0"/>
          <w:kern w:val="2"/>
          <w:position w:val="0"/>
          <w:sz w:val="24"/>
          <w:szCs w:val="24"/>
          <w:lang w:val="en-US" w:eastAsia="zh-CN" w:bidi="ar-SA"/>
        </w:rPr>
        <w:t>产业</w:t>
      </w:r>
      <w:r>
        <w:rPr>
          <w:rFonts w:hint="default" w:ascii="Times New Roman" w:hAnsi="Times New Roman" w:eastAsia="宋体" w:cs="Times New Roman"/>
          <w:spacing w:val="0"/>
          <w:kern w:val="2"/>
          <w:position w:val="0"/>
          <w:sz w:val="24"/>
          <w:szCs w:val="24"/>
          <w:lang w:val="en-US" w:eastAsia="zh-CN" w:bidi="ar-SA"/>
        </w:rPr>
        <w:t>政策的符合性</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拟建项目主要建设内容为智能化高档纺织面料的织造和染整，采用先进的清洁生产工艺技术，使用污染强度小、节能环保的数字智能化设备，对照《产业结构调整指导目录（2019年本）》，项目属于鼓励类</w:t>
      </w:r>
      <w:r>
        <w:rPr>
          <w:rFonts w:hint="eastAsia" w:cs="Times New Roman"/>
          <w:spacing w:val="0"/>
          <w:kern w:val="2"/>
          <w:position w:val="0"/>
          <w:sz w:val="24"/>
          <w:szCs w:val="24"/>
          <w:lang w:val="en-US" w:eastAsia="zh-CN" w:bidi="ar-SA"/>
        </w:rPr>
        <w:t>“</w:t>
      </w:r>
      <w:r>
        <w:rPr>
          <w:rFonts w:hint="default" w:ascii="Times New Roman" w:hAnsi="Times New Roman" w:eastAsia="宋体" w:cs="Times New Roman"/>
          <w:spacing w:val="0"/>
          <w:kern w:val="2"/>
          <w:position w:val="0"/>
          <w:sz w:val="24"/>
          <w:szCs w:val="24"/>
          <w:lang w:val="en-US" w:eastAsia="zh-CN" w:bidi="ar-SA"/>
        </w:rPr>
        <w:t>二十、纺织 7、采用数字化智能化印染技术装备、染整清洁生产技术条款</w:t>
      </w:r>
      <w:r>
        <w:rPr>
          <w:rFonts w:hint="eastAsia" w:cs="Times New Roman"/>
          <w:spacing w:val="0"/>
          <w:kern w:val="2"/>
          <w:position w:val="0"/>
          <w:sz w:val="24"/>
          <w:szCs w:val="24"/>
          <w:lang w:val="en-US" w:eastAsia="zh-CN" w:bidi="ar-SA"/>
        </w:rPr>
        <w:t>”</w:t>
      </w:r>
      <w:r>
        <w:rPr>
          <w:rFonts w:hint="default" w:ascii="Times New Roman" w:hAnsi="Times New Roman" w:eastAsia="宋体" w:cs="Times New Roman"/>
          <w:spacing w:val="0"/>
          <w:kern w:val="2"/>
          <w:position w:val="0"/>
          <w:sz w:val="24"/>
          <w:szCs w:val="24"/>
          <w:lang w:val="en-US" w:eastAsia="zh-CN" w:bidi="ar-SA"/>
        </w:rPr>
        <w:t>，因此，拟建项目建设符合当前国家产业政策要求。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本</w:t>
      </w:r>
      <w:r>
        <w:rPr>
          <w:rFonts w:hint="default" w:ascii="Times New Roman" w:hAnsi="Times New Roman" w:eastAsia="宋体" w:cs="Times New Roman"/>
          <w:spacing w:val="0"/>
          <w:kern w:val="2"/>
          <w:position w:val="0"/>
          <w:sz w:val="24"/>
          <w:szCs w:val="24"/>
          <w:lang w:val="en-US" w:eastAsia="zh-CN" w:bidi="ar-SA"/>
        </w:rPr>
        <w:t>项目采用清洁生产、污染减排染整技术，符合《产业转移指导目录（2018年本）》中福建省优先承接发展的产业要求</w:t>
      </w:r>
      <w:r>
        <w:rPr>
          <w:rFonts w:hint="eastAsia" w:cs="Times New Roman"/>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pacing w:val="0"/>
          <w:kern w:val="2"/>
          <w:position w:val="0"/>
          <w:sz w:val="24"/>
          <w:szCs w:val="24"/>
          <w:lang w:val="en-US" w:eastAsia="zh-CN" w:bidi="ar-SA"/>
        </w:rPr>
      </w:pPr>
      <w:r>
        <w:rPr>
          <w:rFonts w:hint="eastAsia" w:cs="Times New Roman"/>
          <w:spacing w:val="0"/>
          <w:kern w:val="2"/>
          <w:position w:val="0"/>
          <w:sz w:val="24"/>
          <w:szCs w:val="24"/>
          <w:lang w:val="en-US" w:eastAsia="zh-CN" w:bidi="ar-SA"/>
        </w:rPr>
        <w:t>本项目主要从事针织布料印染加工，经分析属于国家当前产业政策鼓励类项目，采用的生产工艺和设备较先进，通过完善环保设施，符合《印染行业规范条件（2017版》的要求。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本项目主要从事高档针织面料的印染加工，采取的前处理和后整理技术、节能减排染色、污染物处理与资源综合利用均涉及到指南中的适宜推广应用的技术，有利于印染行业向绿色方向发展，符合《印染行业绿色发展技术指南》（2019版）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项目工业用水重复利用率高于55%，满足《印染行业规范条件》（2017年版）中工业用水重复利用率40%的要求，也符合《连江可门绿色纺织产业园规划(一期)环境影响报告书》中要求印染企业水重复利用率不低于55%的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（3）清洁生产水平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拟建项目采用较先进的工艺技术、节能降耗措施、污染控制手段，以及严格的环境管理制度，体现了清洁生产的要求，通过分析，企业的生产工艺与装备技术、资源能源消耗、污染物排放、产品、废物回收利用指标、环境管理等指标可以达到国内清洁生产水平。</w:t>
      </w:r>
      <w:r>
        <w:rPr>
          <w:rFonts w:hint="eastAsia" w:cs="Times New Roman"/>
          <w:spacing w:val="0"/>
          <w:kern w:val="2"/>
          <w:position w:val="0"/>
          <w:sz w:val="24"/>
          <w:szCs w:val="24"/>
          <w:lang w:val="en-US" w:eastAsia="zh-CN" w:bidi="ar-SA"/>
        </w:rPr>
        <w:t>但</w:t>
      </w:r>
      <w:r>
        <w:rPr>
          <w:rFonts w:hint="default" w:ascii="Times New Roman" w:hAnsi="Times New Roman" w:eastAsia="宋体" w:cs="Times New Roman"/>
          <w:spacing w:val="0"/>
          <w:kern w:val="2"/>
          <w:position w:val="0"/>
          <w:sz w:val="24"/>
          <w:szCs w:val="24"/>
          <w:lang w:val="en-US" w:eastAsia="zh-CN" w:bidi="ar-SA"/>
        </w:rPr>
        <w:t>由于本评价所用数据主要来自企业提供资料及其它类比资料，因此本次的清洁生产评价仅</w:t>
      </w:r>
      <w:r>
        <w:rPr>
          <w:rFonts w:hint="eastAsia" w:cs="Times New Roman"/>
          <w:spacing w:val="0"/>
          <w:kern w:val="2"/>
          <w:position w:val="0"/>
          <w:sz w:val="24"/>
          <w:szCs w:val="24"/>
          <w:lang w:val="en-US" w:eastAsia="zh-CN" w:bidi="ar-SA"/>
        </w:rPr>
        <w:t>为</w:t>
      </w:r>
      <w:r>
        <w:rPr>
          <w:rFonts w:hint="default" w:ascii="Times New Roman" w:hAnsi="Times New Roman" w:eastAsia="宋体" w:cs="Times New Roman"/>
          <w:spacing w:val="0"/>
          <w:kern w:val="2"/>
          <w:position w:val="0"/>
          <w:sz w:val="24"/>
          <w:szCs w:val="24"/>
          <w:lang w:val="en-US" w:eastAsia="zh-CN" w:bidi="ar-SA"/>
        </w:rPr>
        <w:t>预评估，建议项目竣工验收并稳定运行一定时期后，根据实际生产情况开展清洁生产审核，则可以发掘更多清洁生产的潜力，进一步提高企业清洁生产水平。</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10.6公众参与开展情况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本次评价过程中，建设单位福建</w:t>
      </w:r>
      <w:r>
        <w:rPr>
          <w:rFonts w:hint="eastAsia" w:cs="Times New Roman"/>
          <w:spacing w:val="0"/>
          <w:kern w:val="2"/>
          <w:position w:val="0"/>
          <w:sz w:val="24"/>
          <w:szCs w:val="24"/>
          <w:lang w:val="en-US" w:eastAsia="zh-CN" w:bidi="ar-SA"/>
        </w:rPr>
        <w:t>悦聚科技</w:t>
      </w:r>
      <w:r>
        <w:rPr>
          <w:rFonts w:hint="default" w:ascii="Times New Roman" w:hAnsi="Times New Roman" w:eastAsia="宋体" w:cs="Times New Roman"/>
          <w:spacing w:val="0"/>
          <w:kern w:val="2"/>
          <w:position w:val="0"/>
          <w:sz w:val="24"/>
          <w:szCs w:val="24"/>
          <w:lang w:val="en-US" w:eastAsia="zh-CN" w:bidi="ar-SA"/>
        </w:rPr>
        <w:t>有限公司根据《环境影响评价公众参与办法》(生态环境部令第4号)的有关规定，发布了项目环评信息，广泛征询本项目环境影响评价范围内的群众对本项目环境保护工作的意见或建议，主要通过网上信息公示、登报公示、张贴公告及发布调查表的方式开展。</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10.7总量控制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根据国家对主要污染物排放总量控制要求，本项目废气污染物VOCs排放量</w:t>
      </w:r>
      <w:r>
        <w:rPr>
          <w:rFonts w:hint="eastAsia" w:cs="Times New Roman"/>
          <w:spacing w:val="0"/>
          <w:kern w:val="2"/>
          <w:position w:val="0"/>
          <w:sz w:val="24"/>
          <w:szCs w:val="24"/>
          <w:lang w:val="en-US" w:eastAsia="zh-CN" w:bidi="ar-SA"/>
        </w:rPr>
        <w:t>27.081</w:t>
      </w:r>
      <w:r>
        <w:rPr>
          <w:rFonts w:hint="default" w:ascii="Times New Roman" w:hAnsi="Times New Roman" w:eastAsia="宋体" w:cs="Times New Roman"/>
          <w:spacing w:val="0"/>
          <w:kern w:val="2"/>
          <w:position w:val="0"/>
          <w:sz w:val="24"/>
          <w:szCs w:val="24"/>
          <w:lang w:val="en-US" w:eastAsia="zh-CN" w:bidi="ar-SA"/>
        </w:rPr>
        <w:t>/a，废水污染物排放总量为COD</w:t>
      </w:r>
      <w:r>
        <w:rPr>
          <w:rFonts w:hint="eastAsia" w:cs="Times New Roman"/>
          <w:spacing w:val="0"/>
          <w:kern w:val="2"/>
          <w:position w:val="0"/>
          <w:sz w:val="24"/>
          <w:szCs w:val="24"/>
          <w:lang w:val="en-US" w:eastAsia="zh-CN" w:bidi="ar-SA"/>
        </w:rPr>
        <w:t xml:space="preserve"> 37.59</w:t>
      </w:r>
      <w:r>
        <w:rPr>
          <w:rFonts w:hint="default" w:ascii="Times New Roman" w:hAnsi="Times New Roman" w:eastAsia="宋体" w:cs="Times New Roman"/>
          <w:spacing w:val="0"/>
          <w:kern w:val="2"/>
          <w:position w:val="0"/>
          <w:sz w:val="24"/>
          <w:szCs w:val="24"/>
          <w:lang w:val="en-US" w:eastAsia="zh-CN" w:bidi="ar-SA"/>
        </w:rPr>
        <w:t>t/a、NH</w:t>
      </w:r>
      <w:r>
        <w:rPr>
          <w:rFonts w:hint="default" w:ascii="Times New Roman" w:hAnsi="Times New Roman" w:eastAsia="宋体" w:cs="Times New Roman"/>
          <w:spacing w:val="0"/>
          <w:kern w:val="2"/>
          <w:position w:val="0"/>
          <w:sz w:val="24"/>
          <w:szCs w:val="24"/>
          <w:vertAlign w:val="subscript"/>
          <w:lang w:val="en-US" w:eastAsia="zh-CN" w:bidi="ar-SA"/>
        </w:rPr>
        <w:t>3</w:t>
      </w:r>
      <w:r>
        <w:rPr>
          <w:rFonts w:hint="default" w:ascii="Times New Roman" w:hAnsi="Times New Roman" w:eastAsia="宋体" w:cs="Times New Roman"/>
          <w:spacing w:val="0"/>
          <w:kern w:val="2"/>
          <w:position w:val="0"/>
          <w:sz w:val="24"/>
          <w:szCs w:val="24"/>
          <w:lang w:val="en-US" w:eastAsia="zh-CN" w:bidi="ar-SA"/>
        </w:rPr>
        <w:t xml:space="preserve">-N </w:t>
      </w:r>
      <w:r>
        <w:rPr>
          <w:rFonts w:hint="eastAsia" w:cs="Times New Roman"/>
          <w:spacing w:val="0"/>
          <w:kern w:val="2"/>
          <w:position w:val="0"/>
          <w:sz w:val="24"/>
          <w:szCs w:val="24"/>
          <w:lang w:val="en-US" w:eastAsia="zh-CN" w:bidi="ar-SA"/>
        </w:rPr>
        <w:t>3.76</w:t>
      </w:r>
      <w:r>
        <w:rPr>
          <w:rFonts w:hint="default" w:ascii="Times New Roman" w:hAnsi="Times New Roman" w:eastAsia="宋体" w:cs="Times New Roman"/>
          <w:spacing w:val="0"/>
          <w:kern w:val="2"/>
          <w:position w:val="0"/>
          <w:sz w:val="24"/>
          <w:szCs w:val="24"/>
          <w:lang w:val="en-US" w:eastAsia="zh-CN" w:bidi="ar-SA"/>
        </w:rPr>
        <w:t>t/a。</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10.8企业自主验收要求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根据《建设项目环境保护管理条例》（国务院令第682号）和《建设项目竣工环境保护验收暂行办法》（国环规环评[2017]4号），强化建设单位环境保护主体责任，落实建设项目环境保护“三同时”制度，规范建设项目竣工后建设单位自主开展环境保护验收的程序和标准。建设单位是建设项目竣工环境保护验收的责任主体。本项目竣工后，建设单位应当依照国家有关法律法规、建设项目竣工环境保护验收技术规范、建设项目环境影响报告书和审批决定等要求，如实查验、监测、记载建设项目环境保护设施的建设和调试情况，同时还应如实记载其他环境保护对策措施“三同时”落实情况，编制验收监测（调查）报告。验收报告编制人员对其编制的验收报告结论终身负责，不得弄虚</w:t>
      </w:r>
      <w:r>
        <w:rPr>
          <w:rFonts w:hint="eastAsia" w:cs="Times New Roman"/>
          <w:spacing w:val="0"/>
          <w:kern w:val="2"/>
          <w:positio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pacing w:val="0"/>
          <w:kern w:val="2"/>
          <w:position w:val="0"/>
          <w:sz w:val="24"/>
          <w:szCs w:val="24"/>
          <w:lang w:val="en-US" w:eastAsia="zh-CN" w:bidi="ar-SA"/>
        </w:rPr>
      </w:pPr>
      <w:r>
        <w:rPr>
          <w:rFonts w:hint="default" w:ascii="Times New Roman" w:hAnsi="Times New Roman" w:eastAsia="宋体" w:cs="Times New Roman"/>
          <w:spacing w:val="0"/>
          <w:kern w:val="2"/>
          <w:position w:val="0"/>
          <w:sz w:val="24"/>
          <w:szCs w:val="24"/>
          <w:lang w:val="en-US" w:eastAsia="zh-CN" w:bidi="ar-SA"/>
        </w:rPr>
        <w:t>本项目建成后需落实的环保措施及验收要求详见表10.8-1所示</w:t>
      </w:r>
      <w:r>
        <w:rPr>
          <w:rFonts w:hint="eastAsia" w:cs="Times New Roman"/>
          <w:spacing w:val="0"/>
          <w:kern w:val="2"/>
          <w:positio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1"/>
        <w:rPr>
          <w:rFonts w:hint="default"/>
          <w:b/>
          <w:bCs/>
          <w:spacing w:val="0"/>
          <w:position w:val="0"/>
          <w:sz w:val="30"/>
          <w:szCs w:val="30"/>
          <w:lang w:val="en-US" w:eastAsia="zh-CN"/>
        </w:rPr>
      </w:pPr>
      <w:r>
        <w:rPr>
          <w:rFonts w:hint="eastAsia"/>
          <w:b/>
          <w:bCs/>
          <w:spacing w:val="0"/>
          <w:position w:val="0"/>
          <w:sz w:val="30"/>
          <w:szCs w:val="30"/>
          <w:lang w:val="en-US" w:eastAsia="zh-CN"/>
        </w:rPr>
        <w:t>10.9评价总结论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kern w:val="2"/>
          <w:position w:val="0"/>
          <w:sz w:val="24"/>
          <w:szCs w:val="24"/>
          <w:lang w:val="en-US" w:eastAsia="zh-CN" w:bidi="ar-SA"/>
        </w:rPr>
        <w:sectPr>
          <w:pgSz w:w="11906" w:h="16838"/>
          <w:pgMar w:top="1417" w:right="1417" w:bottom="1417" w:left="1800" w:header="992"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spacing w:val="0"/>
          <w:kern w:val="2"/>
          <w:position w:val="0"/>
          <w:sz w:val="24"/>
          <w:szCs w:val="24"/>
          <w:lang w:val="en-US" w:eastAsia="zh-CN" w:bidi="ar-SA"/>
        </w:rPr>
        <w:t>福建悦聚科技有限公司智能化高档纺织面料生产项目选址于连江可门绿色纺织产业园，项目建设符合国家产业政策、园区规划及其规划环评的要求。项目拟采用的各项环保措施可实现污染物达标排放，项目所在地环境质量可达到相应环境功能区要求，项目建成后的环境影响可接受，环境风险总体可控。在严格执行环保</w:t>
      </w:r>
      <w:r>
        <w:rPr>
          <w:rFonts w:hint="eastAsia" w:cs="Times New Roman"/>
          <w:spacing w:val="0"/>
          <w:kern w:val="2"/>
          <w:position w:val="0"/>
          <w:sz w:val="24"/>
          <w:szCs w:val="24"/>
          <w:lang w:val="en-US" w:eastAsia="zh-CN" w:bidi="ar-SA"/>
        </w:rPr>
        <w:t>“</w:t>
      </w:r>
      <w:r>
        <w:rPr>
          <w:rFonts w:hint="default" w:ascii="Times New Roman" w:hAnsi="Times New Roman" w:eastAsia="宋体" w:cs="Times New Roman"/>
          <w:spacing w:val="0"/>
          <w:kern w:val="2"/>
          <w:position w:val="0"/>
          <w:sz w:val="24"/>
          <w:szCs w:val="24"/>
          <w:lang w:val="en-US" w:eastAsia="zh-CN" w:bidi="ar-SA"/>
        </w:rPr>
        <w:t>三同时</w:t>
      </w:r>
      <w:r>
        <w:rPr>
          <w:rFonts w:hint="eastAsia" w:cs="Times New Roman"/>
          <w:spacing w:val="0"/>
          <w:kern w:val="2"/>
          <w:position w:val="0"/>
          <w:sz w:val="24"/>
          <w:szCs w:val="24"/>
          <w:lang w:val="en-US" w:eastAsia="zh-CN" w:bidi="ar-SA"/>
        </w:rPr>
        <w:t>”</w:t>
      </w:r>
      <w:r>
        <w:rPr>
          <w:rFonts w:hint="default" w:ascii="Times New Roman" w:hAnsi="Times New Roman" w:eastAsia="宋体" w:cs="Times New Roman"/>
          <w:spacing w:val="0"/>
          <w:kern w:val="2"/>
          <w:position w:val="0"/>
          <w:sz w:val="24"/>
          <w:szCs w:val="24"/>
          <w:lang w:val="en-US" w:eastAsia="zh-CN" w:bidi="ar-SA"/>
        </w:rPr>
        <w:t>制度，认真落实本报告书提出的各项环保措施、环境风险防范与应急措施，实施清洁生产，加强环境管理的前提下，从环境影响角度分析，本项目的建设是可行的。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pacing w:val="0"/>
          <w:kern w:val="2"/>
          <w:position w:val="0"/>
          <w:sz w:val="24"/>
          <w:szCs w:val="24"/>
          <w:vertAlign w:val="baseline"/>
          <w:lang w:val="en-US" w:eastAsia="zh-CN" w:bidi="ar-SA"/>
        </w:rPr>
      </w:pPr>
      <w:r>
        <w:rPr>
          <w:rFonts w:hint="default" w:ascii="Times New Roman" w:hAnsi="Times New Roman" w:eastAsia="宋体" w:cs="Times New Roman"/>
          <w:b/>
          <w:bCs/>
          <w:spacing w:val="0"/>
          <w:kern w:val="2"/>
          <w:position w:val="0"/>
          <w:sz w:val="24"/>
          <w:szCs w:val="24"/>
          <w:lang w:val="en-US" w:eastAsia="zh-CN" w:bidi="ar-SA"/>
        </w:rPr>
        <w:t>表10.8-1本项目竣工环保验收措施一览表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956"/>
        <w:gridCol w:w="1888"/>
        <w:gridCol w:w="5119"/>
        <w:gridCol w:w="4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blHeader/>
        </w:trPr>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序号</w:t>
            </w:r>
          </w:p>
        </w:tc>
        <w:tc>
          <w:tcPr>
            <w:tcW w:w="195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污染源</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污染因子</w:t>
            </w:r>
          </w:p>
        </w:tc>
        <w:tc>
          <w:tcPr>
            <w:tcW w:w="511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污染防治措施</w:t>
            </w:r>
          </w:p>
        </w:tc>
        <w:tc>
          <w:tcPr>
            <w:tcW w:w="45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竣工环境保护验收要求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一</w:t>
            </w:r>
          </w:p>
        </w:tc>
        <w:tc>
          <w:tcPr>
            <w:tcW w:w="13544"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废气治理措施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w:t>
            </w:r>
          </w:p>
        </w:tc>
        <w:tc>
          <w:tcPr>
            <w:tcW w:w="195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后整理车间（二层）-1台定型机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油烟、颗粒物、</w:t>
            </w: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w:t>
            </w:r>
          </w:p>
        </w:tc>
        <w:tc>
          <w:tcPr>
            <w:tcW w:w="51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共计15台定型机配套4台“热回收+冷却+静电”一体化废气处理设备（其中3套一拖四，1套一拖三），并配备1根内径1.8m、30m高的DA001排气筒（4台废气处理设备共用一根排气筒）</w:t>
            </w:r>
          </w:p>
        </w:tc>
        <w:tc>
          <w:tcPr>
            <w:tcW w:w="45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参照执行浙江省地标《纺织染整工业大气污染物排放标准》（DB33/962-2015）表1新建企业排放限值：非甲烷总烃</w:t>
            </w: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default" w:ascii="Times New Roman" w:hAnsi="Times New Roman" w:eastAsia="宋体" w:cs="Times New Roman"/>
                <w:b w:val="0"/>
                <w:bCs w:val="0"/>
                <w:spacing w:val="0"/>
                <w:kern w:val="2"/>
                <w:position w:val="0"/>
                <w:sz w:val="21"/>
                <w:szCs w:val="21"/>
                <w:vertAlign w:val="baseline"/>
                <w:lang w:val="en-US" w:eastAsia="zh-CN" w:bidi="ar-SA"/>
              </w:rPr>
              <w:t>40mg/m</w:t>
            </w:r>
            <w:r>
              <w:rPr>
                <w:rFonts w:hint="default" w:ascii="Times New Roman" w:hAnsi="Times New Roman" w:eastAsia="宋体" w:cs="Times New Roman"/>
                <w:b w:val="0"/>
                <w:bCs w:val="0"/>
                <w:spacing w:val="0"/>
                <w:kern w:val="2"/>
                <w:position w:val="0"/>
                <w:sz w:val="21"/>
                <w:szCs w:val="21"/>
                <w:vertAlign w:val="superscript"/>
                <w:lang w:val="en-US" w:eastAsia="zh-CN" w:bidi="ar-SA"/>
              </w:rPr>
              <w:t>3</w:t>
            </w:r>
            <w:r>
              <w:rPr>
                <w:rFonts w:hint="default" w:ascii="Times New Roman" w:hAnsi="Times New Roman" w:eastAsia="宋体" w:cs="Times New Roman"/>
                <w:b w:val="0"/>
                <w:bCs w:val="0"/>
                <w:spacing w:val="0"/>
                <w:kern w:val="2"/>
                <w:position w:val="0"/>
                <w:sz w:val="21"/>
                <w:szCs w:val="21"/>
                <w:vertAlign w:val="baseline"/>
                <w:lang w:val="en-US" w:eastAsia="zh-CN" w:bidi="ar-SA"/>
              </w:rPr>
              <w:t>，颗粒物</w:t>
            </w: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default" w:ascii="Times New Roman" w:hAnsi="Times New Roman" w:eastAsia="宋体" w:cs="Times New Roman"/>
                <w:b w:val="0"/>
                <w:bCs w:val="0"/>
                <w:spacing w:val="0"/>
                <w:kern w:val="2"/>
                <w:position w:val="0"/>
                <w:sz w:val="21"/>
                <w:szCs w:val="21"/>
                <w:vertAlign w:val="baseline"/>
                <w:lang w:val="en-US" w:eastAsia="zh-CN" w:bidi="ar-SA"/>
              </w:rPr>
              <w:t>15mg/m</w:t>
            </w:r>
            <w:r>
              <w:rPr>
                <w:rFonts w:hint="default" w:ascii="Times New Roman" w:hAnsi="Times New Roman" w:eastAsia="宋体" w:cs="Times New Roman"/>
                <w:b w:val="0"/>
                <w:bCs w:val="0"/>
                <w:spacing w:val="0"/>
                <w:kern w:val="2"/>
                <w:position w:val="0"/>
                <w:sz w:val="21"/>
                <w:szCs w:val="21"/>
                <w:vertAlign w:val="superscript"/>
                <w:lang w:val="en-US" w:eastAsia="zh-CN" w:bidi="ar-SA"/>
              </w:rPr>
              <w:t>3</w:t>
            </w:r>
            <w:r>
              <w:rPr>
                <w:rFonts w:hint="default" w:ascii="Times New Roman" w:hAnsi="Times New Roman" w:eastAsia="宋体" w:cs="Times New Roman"/>
                <w:b w:val="0"/>
                <w:bCs w:val="0"/>
                <w:spacing w:val="0"/>
                <w:kern w:val="2"/>
                <w:position w:val="0"/>
                <w:sz w:val="21"/>
                <w:szCs w:val="21"/>
                <w:vertAlign w:val="baseline"/>
                <w:lang w:val="en-US" w:eastAsia="zh-CN" w:bidi="ar-SA"/>
              </w:rPr>
              <w:t>，油烟</w:t>
            </w: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default" w:ascii="Times New Roman" w:hAnsi="Times New Roman" w:eastAsia="宋体" w:cs="Times New Roman"/>
                <w:b w:val="0"/>
                <w:bCs w:val="0"/>
                <w:spacing w:val="0"/>
                <w:kern w:val="2"/>
                <w:position w:val="0"/>
                <w:sz w:val="21"/>
                <w:szCs w:val="21"/>
                <w:vertAlign w:val="baseline"/>
                <w:lang w:val="en-US" w:eastAsia="zh-CN" w:bidi="ar-SA"/>
              </w:rPr>
              <w:t>15mg/m</w:t>
            </w:r>
            <w:r>
              <w:rPr>
                <w:rFonts w:hint="default" w:ascii="Times New Roman" w:hAnsi="Times New Roman" w:eastAsia="宋体" w:cs="Times New Roman"/>
                <w:b w:val="0"/>
                <w:bCs w:val="0"/>
                <w:spacing w:val="0"/>
                <w:kern w:val="2"/>
                <w:position w:val="0"/>
                <w:sz w:val="21"/>
                <w:szCs w:val="21"/>
                <w:vertAlign w:val="superscript"/>
                <w:lang w:val="en-US" w:eastAsia="zh-CN" w:bidi="ar-SA"/>
              </w:rPr>
              <w:t>3</w:t>
            </w:r>
            <w:r>
              <w:rPr>
                <w:rFonts w:hint="default" w:ascii="Times New Roman" w:hAnsi="Times New Roman" w:eastAsia="宋体" w:cs="Times New Roman"/>
                <w:b w:val="0"/>
                <w:bCs w:val="0"/>
                <w:spacing w:val="0"/>
                <w:kern w:val="2"/>
                <w:position w:val="0"/>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2</w:t>
            </w:r>
          </w:p>
        </w:tc>
        <w:tc>
          <w:tcPr>
            <w:tcW w:w="195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1#定型车间（二层）-7台定型机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油烟、颗粒物、</w:t>
            </w: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w:t>
            </w:r>
          </w:p>
        </w:tc>
        <w:tc>
          <w:tcPr>
            <w:tcW w:w="51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45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w:t>
            </w:r>
          </w:p>
        </w:tc>
        <w:tc>
          <w:tcPr>
            <w:tcW w:w="195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5#定型车间（二层）-7台定型机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油烟、颗粒物、</w:t>
            </w: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w:t>
            </w:r>
          </w:p>
        </w:tc>
        <w:tc>
          <w:tcPr>
            <w:tcW w:w="51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45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4</w:t>
            </w:r>
          </w:p>
        </w:tc>
        <w:tc>
          <w:tcPr>
            <w:tcW w:w="195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2#定型车间（三层）-3台定型机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油烟、颗粒物、</w:t>
            </w: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w:t>
            </w:r>
          </w:p>
        </w:tc>
        <w:tc>
          <w:tcPr>
            <w:tcW w:w="51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共计13台定型机配套4台“热回收+冷却+静电”一体化废气处理设备（其中3套一拖三，1套一拖四），并配备1根内径1.8m、30m高的DA002排气筒（4台废气处理设备共用一根排气筒）</w:t>
            </w:r>
          </w:p>
        </w:tc>
        <w:tc>
          <w:tcPr>
            <w:tcW w:w="45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5</w:t>
            </w:r>
          </w:p>
        </w:tc>
        <w:tc>
          <w:tcPr>
            <w:tcW w:w="195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3#定型车间（四层）-3台定型机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油烟、颗粒物、</w:t>
            </w: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w:t>
            </w:r>
          </w:p>
        </w:tc>
        <w:tc>
          <w:tcPr>
            <w:tcW w:w="51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45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6</w:t>
            </w:r>
          </w:p>
        </w:tc>
        <w:tc>
          <w:tcPr>
            <w:tcW w:w="195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4#定型车间（四层）-7台定型机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default" w:ascii="Times New Roman" w:hAnsi="Times New Roman" w:eastAsia="宋体" w:cs="Times New Roman"/>
                <w:b w:val="0"/>
                <w:bCs w:val="0"/>
                <w:spacing w:val="0"/>
                <w:kern w:val="2"/>
                <w:position w:val="0"/>
                <w:sz w:val="21"/>
                <w:szCs w:val="21"/>
                <w:vertAlign w:val="baseline"/>
                <w:lang w:val="en-US" w:eastAsia="zh-CN" w:bidi="ar-SA"/>
              </w:rPr>
              <w:t>油烟、颗粒物、</w:t>
            </w: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w:t>
            </w:r>
          </w:p>
        </w:tc>
        <w:tc>
          <w:tcPr>
            <w:tcW w:w="51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45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7</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olor w:val="auto"/>
                <w:spacing w:val="0"/>
                <w:w w:val="100"/>
                <w:position w:val="0"/>
                <w:lang w:eastAsia="zh-CN"/>
              </w:rPr>
              <w:t>印花车间（三层）</w:t>
            </w:r>
            <w:r>
              <w:rPr>
                <w:rFonts w:hint="eastAsia" w:ascii="Times New Roman" w:hAnsi="Times New Roman" w:eastAsia="宋体"/>
                <w:color w:val="auto"/>
                <w:spacing w:val="0"/>
                <w:w w:val="100"/>
                <w:position w:val="0"/>
                <w:lang w:val="en-US" w:eastAsia="zh-CN"/>
              </w:rPr>
              <w:t>-5台数码印花机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宋体"/>
                <w:i w:val="0"/>
                <w:color w:val="auto"/>
                <w:spacing w:val="0"/>
                <w:w w:val="100"/>
                <w:kern w:val="0"/>
                <w:position w:val="0"/>
                <w:sz w:val="21"/>
                <w:szCs w:val="21"/>
                <w:u w:val="none"/>
                <w:lang w:val="en-US" w:eastAsia="zh-CN" w:bidi="ar"/>
              </w:rPr>
              <w:t>非甲烷总烃</w:t>
            </w:r>
          </w:p>
        </w:tc>
        <w:tc>
          <w:tcPr>
            <w:tcW w:w="5119"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采用集气罩收集，利用引风机接入“热回收+冷却+静电”一体化废气处理设备进行处理，通过DA002排气筒排放</w:t>
            </w:r>
          </w:p>
        </w:tc>
        <w:tc>
          <w:tcPr>
            <w:tcW w:w="45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cs="Times New Roman"/>
                <w:b w:val="0"/>
                <w:bCs w:val="0"/>
                <w:spacing w:val="0"/>
                <w:kern w:val="2"/>
                <w:position w:val="0"/>
                <w:sz w:val="21"/>
                <w:szCs w:val="21"/>
                <w:vertAlign w:val="baseline"/>
                <w:lang w:val="en-US" w:eastAsia="zh-CN" w:bidi="ar-SA"/>
              </w:rPr>
              <w:t>无组织</w:t>
            </w: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非甲烷总烃执行</w:t>
            </w:r>
            <w:r>
              <w:rPr>
                <w:rFonts w:hint="default" w:ascii="Times New Roman" w:hAnsi="Times New Roman" w:eastAsia="宋体" w:cs="Times New Roman"/>
                <w:b w:val="0"/>
                <w:bCs w:val="0"/>
                <w:spacing w:val="0"/>
                <w:kern w:val="2"/>
                <w:position w:val="0"/>
                <w:sz w:val="21"/>
                <w:szCs w:val="21"/>
                <w:vertAlign w:val="baseline"/>
                <w:lang w:val="en-US" w:eastAsia="zh-CN" w:bidi="ar-SA"/>
              </w:rPr>
              <w:t>《挥发性有机物无组织排放控制标准》（GB37822-2019）</w:t>
            </w:r>
            <w:r>
              <w:rPr>
                <w:rFonts w:hint="eastAsia" w:ascii="Times New Roman" w:hAnsi="Times New Roman" w:eastAsia="宋体" w:cs="Times New Roman"/>
                <w:b w:val="0"/>
                <w:bCs w:val="0"/>
                <w:spacing w:val="0"/>
                <w:kern w:val="2"/>
                <w:position w:val="0"/>
                <w:sz w:val="21"/>
                <w:szCs w:val="21"/>
                <w:vertAlign w:val="baseline"/>
                <w:lang w:val="en-US" w:eastAsia="zh-CN" w:bidi="ar-SA"/>
              </w:rPr>
              <w:t>：厂区内监控点处1小时平均浓度值≤10mg/m</w:t>
            </w:r>
            <w:r>
              <w:rPr>
                <w:rFonts w:hint="eastAsia" w:ascii="Times New Roman" w:hAnsi="Times New Roman" w:eastAsia="宋体" w:cs="Times New Roman"/>
                <w:b w:val="0"/>
                <w:bCs w:val="0"/>
                <w:spacing w:val="0"/>
                <w:kern w:val="2"/>
                <w:position w:val="0"/>
                <w:sz w:val="21"/>
                <w:szCs w:val="21"/>
                <w:vertAlign w:val="superscript"/>
                <w:lang w:val="en-US" w:eastAsia="zh-CN" w:bidi="ar-SA"/>
              </w:rPr>
              <w:t>3</w:t>
            </w:r>
            <w:r>
              <w:rPr>
                <w:rFonts w:hint="eastAsia" w:ascii="Times New Roman" w:hAnsi="Times New Roman" w:eastAsia="宋体" w:cs="Times New Roman"/>
                <w:b w:val="0"/>
                <w:bCs w:val="0"/>
                <w:spacing w:val="0"/>
                <w:kern w:val="2"/>
                <w:position w:val="0"/>
                <w:sz w:val="21"/>
                <w:szCs w:val="21"/>
                <w:vertAlign w:val="baseline"/>
                <w:lang w:val="en-US" w:eastAsia="zh-CN" w:bidi="ar-SA"/>
              </w:rPr>
              <w:t>、厂区内监控点处任意一次浓度值≤30mg/m</w:t>
            </w:r>
            <w:r>
              <w:rPr>
                <w:rFonts w:hint="eastAsia" w:ascii="Times New Roman" w:hAnsi="Times New Roman" w:eastAsia="宋体" w:cs="Times New Roman"/>
                <w:b w:val="0"/>
                <w:bCs w:val="0"/>
                <w:spacing w:val="0"/>
                <w:kern w:val="2"/>
                <w:position w:val="0"/>
                <w:sz w:val="21"/>
                <w:szCs w:val="21"/>
                <w:vertAlign w:val="superscript"/>
                <w:lang w:val="en-US" w:eastAsia="zh-CN" w:bidi="ar-SA"/>
              </w:rPr>
              <w:t>3</w:t>
            </w:r>
            <w:r>
              <w:rPr>
                <w:rFonts w:hint="eastAsia" w:ascii="Times New Roman" w:hAnsi="Times New Roman" w:eastAsia="宋体" w:cs="Times New Roman"/>
                <w:b w:val="0"/>
                <w:bCs w:val="0"/>
                <w:spacing w:val="0"/>
                <w:kern w:val="2"/>
                <w:position w:val="0"/>
                <w:sz w:val="21"/>
                <w:szCs w:val="21"/>
                <w:vertAlign w:val="baseli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非甲烷总烃厂界浓度执行《大气污染物综合排放标准》（GB16297-1996）表2标准：颗粒物非甲烷总烃≤4.0mg/m</w:t>
            </w:r>
            <w:r>
              <w:rPr>
                <w:rFonts w:hint="eastAsia" w:ascii="Times New Roman" w:hAnsi="Times New Roman" w:eastAsia="宋体" w:cs="Times New Roman"/>
                <w:b w:val="0"/>
                <w:bCs w:val="0"/>
                <w:spacing w:val="0"/>
                <w:kern w:val="2"/>
                <w:position w:val="0"/>
                <w:sz w:val="21"/>
                <w:szCs w:val="21"/>
                <w:vertAlign w:val="superscript"/>
                <w:lang w:val="en-US" w:eastAsia="zh-CN" w:bidi="ar-SA"/>
              </w:rPr>
              <w:t>3</w:t>
            </w:r>
            <w:r>
              <w:rPr>
                <w:rFonts w:hint="eastAsia" w:ascii="Times New Roman" w:hAnsi="Times New Roman" w:eastAsia="宋体" w:cs="Times New Roman"/>
                <w:b w:val="0"/>
                <w:bCs w:val="0"/>
                <w:spacing w:val="0"/>
                <w:kern w:val="2"/>
                <w:position w:val="0"/>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8</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color w:val="auto"/>
                <w:spacing w:val="0"/>
                <w:w w:val="100"/>
                <w:position w:val="0"/>
                <w:lang w:val="en-US" w:eastAsia="zh-CN"/>
              </w:rPr>
              <w:t>印花及</w:t>
            </w:r>
            <w:r>
              <w:rPr>
                <w:rFonts w:hint="eastAsia" w:ascii="Times New Roman" w:hAnsi="Times New Roman" w:eastAsia="宋体"/>
                <w:color w:val="auto"/>
                <w:spacing w:val="0"/>
                <w:w w:val="100"/>
                <w:position w:val="0"/>
                <w:lang w:eastAsia="zh-CN"/>
              </w:rPr>
              <w:t>蒸化车间（三层）</w:t>
            </w:r>
            <w:r>
              <w:rPr>
                <w:rFonts w:hint="eastAsia" w:ascii="Times New Roman" w:hAnsi="Times New Roman" w:eastAsia="宋体"/>
                <w:color w:val="auto"/>
                <w:spacing w:val="0"/>
                <w:w w:val="100"/>
                <w:position w:val="0"/>
                <w:lang w:val="en-US" w:eastAsia="zh-CN"/>
              </w:rPr>
              <w:t>-5台圆网印花机、</w:t>
            </w:r>
            <w:r>
              <w:rPr>
                <w:rFonts w:hint="eastAsia"/>
                <w:color w:val="auto"/>
                <w:spacing w:val="0"/>
                <w:w w:val="100"/>
                <w:position w:val="0"/>
                <w:lang w:val="en-US" w:eastAsia="zh-CN"/>
              </w:rPr>
              <w:t>6</w:t>
            </w:r>
            <w:r>
              <w:rPr>
                <w:rFonts w:hint="eastAsia" w:ascii="Times New Roman" w:hAnsi="Times New Roman" w:eastAsia="宋体"/>
                <w:color w:val="auto"/>
                <w:spacing w:val="0"/>
                <w:w w:val="100"/>
                <w:position w:val="0"/>
                <w:lang w:val="en-US" w:eastAsia="zh-CN"/>
              </w:rPr>
              <w:t>台蒸化机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宋体"/>
                <w:i w:val="0"/>
                <w:color w:val="auto"/>
                <w:spacing w:val="0"/>
                <w:w w:val="100"/>
                <w:kern w:val="0"/>
                <w:position w:val="0"/>
                <w:sz w:val="21"/>
                <w:szCs w:val="21"/>
                <w:u w:val="none"/>
                <w:lang w:val="en-US" w:eastAsia="zh-CN" w:bidi="ar"/>
              </w:rPr>
              <w:t>非甲烷总烃</w:t>
            </w:r>
          </w:p>
        </w:tc>
        <w:tc>
          <w:tcPr>
            <w:tcW w:w="5119"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c>
          <w:tcPr>
            <w:tcW w:w="45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9</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后整理车间（二层）-剪毛机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i w:val="0"/>
                <w:color w:val="auto"/>
                <w:spacing w:val="0"/>
                <w:w w:val="100"/>
                <w:kern w:val="0"/>
                <w:position w:val="0"/>
                <w:sz w:val="21"/>
                <w:szCs w:val="21"/>
                <w:u w:val="none"/>
                <w:lang w:val="en-US" w:eastAsia="zh-CN" w:bidi="ar"/>
              </w:rPr>
            </w:pPr>
            <w:r>
              <w:rPr>
                <w:rFonts w:hint="eastAsia" w:cs="宋体"/>
                <w:i w:val="0"/>
                <w:color w:val="auto"/>
                <w:spacing w:val="0"/>
                <w:w w:val="100"/>
                <w:kern w:val="0"/>
                <w:position w:val="0"/>
                <w:sz w:val="21"/>
                <w:szCs w:val="21"/>
                <w:u w:val="none"/>
                <w:lang w:val="en-US" w:eastAsia="zh-CN" w:bidi="ar"/>
              </w:rPr>
              <w:t>颗粒物</w:t>
            </w:r>
          </w:p>
        </w:tc>
        <w:tc>
          <w:tcPr>
            <w:tcW w:w="511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共计8台剪毛机配备8台布袋除尘器，</w:t>
            </w:r>
            <w:r>
              <w:rPr>
                <w:rFonts w:hint="default" w:ascii="Times New Roman" w:hAnsi="Times New Roman" w:eastAsia="宋体" w:cs="Times New Roman"/>
                <w:b w:val="0"/>
                <w:bCs w:val="0"/>
                <w:spacing w:val="0"/>
                <w:kern w:val="2"/>
                <w:position w:val="0"/>
                <w:sz w:val="21"/>
                <w:szCs w:val="21"/>
                <w:vertAlign w:val="baseline"/>
                <w:lang w:val="en-US" w:eastAsia="zh-CN" w:bidi="ar-SA"/>
              </w:rPr>
              <w:t>采用布袋除尘器</w:t>
            </w:r>
            <w:r>
              <w:rPr>
                <w:rFonts w:hint="eastAsia" w:ascii="Times New Roman" w:hAnsi="Times New Roman" w:eastAsia="宋体" w:cs="Times New Roman"/>
                <w:b w:val="0"/>
                <w:bCs w:val="0"/>
                <w:spacing w:val="0"/>
                <w:kern w:val="2"/>
                <w:position w:val="0"/>
                <w:sz w:val="21"/>
                <w:szCs w:val="21"/>
                <w:vertAlign w:val="baseline"/>
                <w:lang w:val="en-US" w:eastAsia="zh-CN" w:bidi="ar-SA"/>
              </w:rPr>
              <w:t>对颗粒物</w:t>
            </w:r>
            <w:r>
              <w:rPr>
                <w:rFonts w:hint="default" w:ascii="Times New Roman" w:hAnsi="Times New Roman" w:eastAsia="宋体" w:cs="Times New Roman"/>
                <w:b w:val="0"/>
                <w:bCs w:val="0"/>
                <w:spacing w:val="0"/>
                <w:kern w:val="2"/>
                <w:position w:val="0"/>
                <w:sz w:val="21"/>
                <w:szCs w:val="21"/>
                <w:vertAlign w:val="baseline"/>
                <w:lang w:val="en-US" w:eastAsia="zh-CN" w:bidi="ar-SA"/>
              </w:rPr>
              <w:t>进行处理，生产时车间密闭，处理后于车间内排放</w:t>
            </w:r>
          </w:p>
        </w:tc>
        <w:tc>
          <w:tcPr>
            <w:tcW w:w="4581"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执行</w:t>
            </w:r>
            <w:r>
              <w:rPr>
                <w:rFonts w:hint="default" w:ascii="Times New Roman" w:hAnsi="Times New Roman" w:eastAsia="宋体" w:cs="Times New Roman"/>
                <w:b w:val="0"/>
                <w:bCs w:val="0"/>
                <w:spacing w:val="0"/>
                <w:kern w:val="2"/>
                <w:position w:val="0"/>
                <w:sz w:val="21"/>
                <w:szCs w:val="21"/>
                <w:vertAlign w:val="baseline"/>
                <w:lang w:val="en-US" w:eastAsia="zh-CN" w:bidi="ar-SA"/>
              </w:rPr>
              <w:t>《大气污染物综合排放标准》（GB16297-1996）表2标准</w:t>
            </w:r>
            <w:r>
              <w:rPr>
                <w:rFonts w:hint="eastAsia" w:ascii="Times New Roman" w:hAnsi="Times New Roman" w:eastAsia="宋体" w:cs="Times New Roman"/>
                <w:b w:val="0"/>
                <w:bCs w:val="0"/>
                <w:spacing w:val="0"/>
                <w:kern w:val="2"/>
                <w:position w:val="0"/>
                <w:sz w:val="21"/>
                <w:szCs w:val="21"/>
                <w:vertAlign w:val="baseline"/>
                <w:lang w:val="en-US" w:eastAsia="zh-CN" w:bidi="ar-SA"/>
              </w:rPr>
              <w:t>：周界外浓度最高点≤1.0mg/m</w:t>
            </w:r>
            <w:r>
              <w:rPr>
                <w:rFonts w:hint="eastAsia" w:ascii="Times New Roman" w:hAnsi="Times New Roman" w:eastAsia="宋体" w:cs="Times New Roman"/>
                <w:b w:val="0"/>
                <w:bCs w:val="0"/>
                <w:spacing w:val="0"/>
                <w:kern w:val="2"/>
                <w:position w:val="0"/>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10</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后整理车间（二层）-拉毛机</w:t>
            </w:r>
          </w:p>
        </w:tc>
        <w:tc>
          <w:tcPr>
            <w:tcW w:w="188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i w:val="0"/>
                <w:color w:val="auto"/>
                <w:spacing w:val="0"/>
                <w:w w:val="100"/>
                <w:kern w:val="0"/>
                <w:position w:val="0"/>
                <w:sz w:val="21"/>
                <w:szCs w:val="21"/>
                <w:u w:val="none"/>
                <w:lang w:val="en-US" w:eastAsia="zh-CN" w:bidi="ar"/>
              </w:rPr>
            </w:pPr>
            <w:r>
              <w:rPr>
                <w:rFonts w:hint="eastAsia" w:cs="宋体"/>
                <w:i w:val="0"/>
                <w:color w:val="auto"/>
                <w:spacing w:val="0"/>
                <w:w w:val="100"/>
                <w:kern w:val="0"/>
                <w:position w:val="0"/>
                <w:sz w:val="21"/>
                <w:szCs w:val="21"/>
                <w:u w:val="none"/>
                <w:lang w:val="en-US" w:eastAsia="zh-CN" w:bidi="ar"/>
              </w:rPr>
              <w:t>颗粒物</w:t>
            </w:r>
          </w:p>
        </w:tc>
        <w:tc>
          <w:tcPr>
            <w:tcW w:w="5119"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共计</w:t>
            </w:r>
            <w:r>
              <w:rPr>
                <w:rFonts w:hint="default" w:ascii="Times New Roman" w:hAnsi="Times New Roman" w:eastAsia="宋体" w:cs="Times New Roman"/>
                <w:b w:val="0"/>
                <w:bCs w:val="0"/>
                <w:spacing w:val="0"/>
                <w:kern w:val="2"/>
                <w:position w:val="0"/>
                <w:sz w:val="21"/>
                <w:szCs w:val="21"/>
                <w:vertAlign w:val="baseline"/>
                <w:lang w:val="en-US" w:eastAsia="zh-CN" w:bidi="ar-SA"/>
              </w:rPr>
              <w:t>32</w:t>
            </w:r>
            <w:r>
              <w:rPr>
                <w:rFonts w:hint="eastAsia" w:ascii="Times New Roman" w:hAnsi="Times New Roman" w:eastAsia="宋体" w:cs="Times New Roman"/>
                <w:b w:val="0"/>
                <w:bCs w:val="0"/>
                <w:spacing w:val="0"/>
                <w:kern w:val="2"/>
                <w:position w:val="0"/>
                <w:sz w:val="21"/>
                <w:szCs w:val="21"/>
                <w:vertAlign w:val="baseline"/>
                <w:lang w:val="en-US" w:eastAsia="zh-CN" w:bidi="ar-SA"/>
              </w:rPr>
              <w:t>台拉毛机配备2台布袋除尘器（SYZH-Z-41-</w:t>
            </w:r>
            <w:r>
              <w:rPr>
                <w:rFonts w:hint="default" w:ascii="Times New Roman" w:hAnsi="Times New Roman" w:eastAsia="宋体" w:cs="Times New Roman"/>
                <w:b w:val="0"/>
                <w:bCs w:val="0"/>
                <w:spacing w:val="0"/>
                <w:kern w:val="2"/>
                <w:position w:val="0"/>
                <w:sz w:val="21"/>
                <w:szCs w:val="21"/>
                <w:vertAlign w:val="baseline"/>
                <w:lang w:val="en-US" w:eastAsia="zh-CN" w:bidi="ar-SA"/>
              </w:rPr>
              <w:t>Ⅲ</w:t>
            </w:r>
            <w:r>
              <w:rPr>
                <w:rFonts w:hint="eastAsia" w:ascii="Times New Roman" w:hAnsi="Times New Roman" w:eastAsia="宋体" w:cs="Times New Roman"/>
                <w:b w:val="0"/>
                <w:bCs w:val="0"/>
                <w:spacing w:val="0"/>
                <w:kern w:val="2"/>
                <w:position w:val="0"/>
                <w:sz w:val="21"/>
                <w:szCs w:val="21"/>
                <w:vertAlign w:val="baseline"/>
                <w:lang w:val="en-US" w:eastAsia="zh-CN" w:bidi="ar-SA"/>
              </w:rPr>
              <w:t>），</w:t>
            </w:r>
            <w:r>
              <w:rPr>
                <w:rFonts w:hint="default" w:ascii="Times New Roman" w:hAnsi="Times New Roman" w:eastAsia="宋体" w:cs="Times New Roman"/>
                <w:b w:val="0"/>
                <w:bCs w:val="0"/>
                <w:spacing w:val="0"/>
                <w:kern w:val="2"/>
                <w:position w:val="0"/>
                <w:sz w:val="21"/>
                <w:szCs w:val="21"/>
                <w:vertAlign w:val="baseline"/>
                <w:lang w:val="en-US" w:eastAsia="zh-CN" w:bidi="ar-SA"/>
              </w:rPr>
              <w:t>采用布袋除尘器</w:t>
            </w:r>
            <w:r>
              <w:rPr>
                <w:rFonts w:hint="eastAsia" w:ascii="Times New Roman" w:hAnsi="Times New Roman" w:eastAsia="宋体" w:cs="Times New Roman"/>
                <w:b w:val="0"/>
                <w:bCs w:val="0"/>
                <w:spacing w:val="0"/>
                <w:kern w:val="2"/>
                <w:position w:val="0"/>
                <w:sz w:val="21"/>
                <w:szCs w:val="21"/>
                <w:vertAlign w:val="baseline"/>
                <w:lang w:val="en-US" w:eastAsia="zh-CN" w:bidi="ar-SA"/>
              </w:rPr>
              <w:t>对颗粒物</w:t>
            </w:r>
            <w:r>
              <w:rPr>
                <w:rFonts w:hint="default" w:ascii="Times New Roman" w:hAnsi="Times New Roman" w:eastAsia="宋体" w:cs="Times New Roman"/>
                <w:b w:val="0"/>
                <w:bCs w:val="0"/>
                <w:spacing w:val="0"/>
                <w:kern w:val="2"/>
                <w:position w:val="0"/>
                <w:sz w:val="21"/>
                <w:szCs w:val="21"/>
                <w:vertAlign w:val="baseline"/>
                <w:lang w:val="en-US" w:eastAsia="zh-CN" w:bidi="ar-SA"/>
              </w:rPr>
              <w:t>进行处理，生产时车间密闭，处理后于车间内排放</w:t>
            </w:r>
          </w:p>
        </w:tc>
        <w:tc>
          <w:tcPr>
            <w:tcW w:w="4581"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11</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无组织排放控制措施</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①对于生产工艺装置废气等，应避免无组织排放，采用集中收集净化后转有组织高空排放。</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②染料配料采用自动配料系统，自动配料区密闭，染料、助剂储存桶密闭加盖储存。</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③加强管理，如设备定期检修、维护，建立巡视制度等。加强操作人员的岗位操作技能培训，提高操作人员的操作技能，避免因人为操作失误引起的废气泄漏、逃逸事故。</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④废水收集池设置在地下层，且加盖封闭。</w:t>
            </w:r>
          </w:p>
        </w:tc>
        <w:tc>
          <w:tcPr>
            <w:tcW w:w="45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12</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监测要求</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规范建设废气排放口，设置永久采样孔，并设置采样监测平台；定型机废气排气筒安装非甲烷总烃在线监测装置。</w:t>
            </w:r>
          </w:p>
        </w:tc>
        <w:tc>
          <w:tcPr>
            <w:tcW w:w="45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验收</w:t>
            </w:r>
            <w:r>
              <w:rPr>
                <w:rFonts w:hint="eastAsia" w:cs="Times New Roman"/>
                <w:b w:val="0"/>
                <w:bCs w:val="0"/>
                <w:spacing w:val="0"/>
                <w:kern w:val="2"/>
                <w:position w:val="0"/>
                <w:sz w:val="21"/>
                <w:szCs w:val="21"/>
                <w:vertAlign w:val="baseline"/>
                <w:lang w:val="en-US" w:eastAsia="zh-CN" w:bidi="ar-SA"/>
              </w:rPr>
              <w:t>措施</w:t>
            </w:r>
            <w:r>
              <w:rPr>
                <w:rFonts w:hint="eastAsia" w:ascii="Times New Roman" w:hAnsi="Times New Roman" w:eastAsia="宋体" w:cs="Times New Roman"/>
                <w:b w:val="0"/>
                <w:bCs w:val="0"/>
                <w:spacing w:val="0"/>
                <w:kern w:val="2"/>
                <w:position w:val="0"/>
                <w:sz w:val="21"/>
                <w:szCs w:val="21"/>
                <w:vertAlign w:val="baseline"/>
                <w:lang w:val="en-US" w:eastAsia="zh-CN" w:bidi="ar-SA"/>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二</w:t>
            </w:r>
          </w:p>
        </w:tc>
        <w:tc>
          <w:tcPr>
            <w:tcW w:w="13544" w:type="dxa"/>
            <w:gridSpan w:val="4"/>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cs="Times New Roman"/>
                <w:b/>
                <w:bCs/>
                <w:spacing w:val="0"/>
                <w:kern w:val="2"/>
                <w:position w:val="0"/>
                <w:sz w:val="21"/>
                <w:szCs w:val="21"/>
                <w:vertAlign w:val="baseline"/>
                <w:lang w:val="en-US" w:eastAsia="zh-CN" w:bidi="ar-SA"/>
              </w:rPr>
              <w:t>废水治理措施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“雨污分流、清污分流、分质处理”</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企业实施清污分流、雨污分流、污污分流、分质回用，建设分流管道和回用管道。</w:t>
            </w:r>
            <w:r>
              <w:rPr>
                <w:rFonts w:hint="default"/>
                <w:b w:val="0"/>
                <w:bCs w:val="0"/>
                <w:spacing w:val="0"/>
                <w:position w:val="0"/>
                <w:sz w:val="21"/>
                <w:szCs w:val="21"/>
                <w:vertAlign w:val="baseline"/>
                <w:lang w:val="en-US" w:eastAsia="zh-CN"/>
              </w:rPr>
              <w:t>建设</w:t>
            </w:r>
            <w:r>
              <w:rPr>
                <w:rFonts w:hint="eastAsia"/>
                <w:b w:val="0"/>
                <w:bCs w:val="0"/>
                <w:spacing w:val="0"/>
                <w:position w:val="0"/>
                <w:sz w:val="21"/>
                <w:szCs w:val="21"/>
                <w:vertAlign w:val="baseline"/>
                <w:lang w:val="en-US" w:eastAsia="zh-CN"/>
              </w:rPr>
              <w:t>1300</w:t>
            </w:r>
            <w:r>
              <w:rPr>
                <w:rFonts w:hint="default"/>
                <w:b w:val="0"/>
                <w:bCs w:val="0"/>
                <w:spacing w:val="0"/>
                <w:position w:val="0"/>
                <w:sz w:val="21"/>
                <w:szCs w:val="21"/>
                <w:vertAlign w:val="baseline"/>
                <w:lang w:val="en-US" w:eastAsia="zh-CN"/>
              </w:rPr>
              <w:t>m</w:t>
            </w:r>
            <w:r>
              <w:rPr>
                <w:rFonts w:hint="default"/>
                <w:b w:val="0"/>
                <w:bCs w:val="0"/>
                <w:spacing w:val="0"/>
                <w:position w:val="0"/>
                <w:sz w:val="21"/>
                <w:szCs w:val="21"/>
                <w:vertAlign w:val="superscript"/>
                <w:lang w:val="en-US" w:eastAsia="zh-CN"/>
              </w:rPr>
              <w:t>3</w:t>
            </w:r>
            <w:r>
              <w:rPr>
                <w:rFonts w:hint="default"/>
                <w:b w:val="0"/>
                <w:bCs w:val="0"/>
                <w:spacing w:val="0"/>
                <w:position w:val="0"/>
                <w:sz w:val="21"/>
                <w:szCs w:val="21"/>
                <w:vertAlign w:val="baseline"/>
                <w:lang w:val="en-US" w:eastAsia="zh-CN"/>
              </w:rPr>
              <w:t>高浓度废水</w:t>
            </w:r>
            <w:r>
              <w:rPr>
                <w:rFonts w:hint="eastAsia"/>
                <w:b w:val="0"/>
                <w:bCs w:val="0"/>
                <w:spacing w:val="0"/>
                <w:position w:val="0"/>
                <w:sz w:val="21"/>
                <w:szCs w:val="21"/>
                <w:vertAlign w:val="baseline"/>
                <w:lang w:val="en-US" w:eastAsia="zh-CN"/>
              </w:rPr>
              <w:t>收集</w:t>
            </w:r>
            <w:r>
              <w:rPr>
                <w:rFonts w:hint="default"/>
                <w:b w:val="0"/>
                <w:bCs w:val="0"/>
                <w:spacing w:val="0"/>
                <w:position w:val="0"/>
                <w:sz w:val="21"/>
                <w:szCs w:val="21"/>
                <w:vertAlign w:val="baseline"/>
                <w:lang w:val="en-US" w:eastAsia="zh-CN"/>
              </w:rPr>
              <w:t>池、</w:t>
            </w:r>
            <w:r>
              <w:rPr>
                <w:rFonts w:hint="eastAsia"/>
                <w:b w:val="0"/>
                <w:bCs w:val="0"/>
                <w:spacing w:val="0"/>
                <w:position w:val="0"/>
                <w:sz w:val="21"/>
                <w:szCs w:val="21"/>
                <w:vertAlign w:val="baseline"/>
                <w:lang w:val="en-US" w:eastAsia="zh-CN"/>
              </w:rPr>
              <w:t>1800</w:t>
            </w:r>
            <w:r>
              <w:rPr>
                <w:rFonts w:hint="default"/>
                <w:b w:val="0"/>
                <w:bCs w:val="0"/>
                <w:spacing w:val="0"/>
                <w:position w:val="0"/>
                <w:sz w:val="21"/>
                <w:szCs w:val="21"/>
                <w:vertAlign w:val="baseline"/>
                <w:lang w:val="en-US" w:eastAsia="zh-CN"/>
              </w:rPr>
              <w:t>m</w:t>
            </w:r>
            <w:r>
              <w:rPr>
                <w:rFonts w:hint="default"/>
                <w:b w:val="0"/>
                <w:bCs w:val="0"/>
                <w:spacing w:val="0"/>
                <w:position w:val="0"/>
                <w:sz w:val="21"/>
                <w:szCs w:val="21"/>
                <w:vertAlign w:val="superscript"/>
                <w:lang w:val="en-US" w:eastAsia="zh-CN"/>
              </w:rPr>
              <w:t>3</w:t>
            </w:r>
            <w:r>
              <w:rPr>
                <w:rFonts w:hint="default"/>
                <w:b w:val="0"/>
                <w:bCs w:val="0"/>
                <w:spacing w:val="0"/>
                <w:position w:val="0"/>
                <w:sz w:val="21"/>
                <w:szCs w:val="21"/>
                <w:vertAlign w:val="baseline"/>
                <w:lang w:val="en-US" w:eastAsia="zh-CN"/>
              </w:rPr>
              <w:t>低浓度废水</w:t>
            </w:r>
            <w:r>
              <w:rPr>
                <w:rFonts w:hint="eastAsia"/>
                <w:b w:val="0"/>
                <w:bCs w:val="0"/>
                <w:spacing w:val="0"/>
                <w:position w:val="0"/>
                <w:sz w:val="21"/>
                <w:szCs w:val="21"/>
                <w:vertAlign w:val="baseline"/>
                <w:lang w:val="en-US" w:eastAsia="zh-CN"/>
              </w:rPr>
              <w:t>收集</w:t>
            </w:r>
            <w:r>
              <w:rPr>
                <w:rFonts w:hint="default"/>
                <w:b w:val="0"/>
                <w:bCs w:val="0"/>
                <w:spacing w:val="0"/>
                <w:position w:val="0"/>
                <w:sz w:val="21"/>
                <w:szCs w:val="21"/>
                <w:vertAlign w:val="baseline"/>
                <w:lang w:val="en-US" w:eastAsia="zh-CN"/>
              </w:rPr>
              <w:t>池、</w:t>
            </w:r>
            <w:r>
              <w:rPr>
                <w:rFonts w:hint="eastAsia"/>
                <w:b w:val="0"/>
                <w:bCs w:val="0"/>
                <w:spacing w:val="0"/>
                <w:position w:val="0"/>
                <w:sz w:val="21"/>
                <w:szCs w:val="21"/>
                <w:vertAlign w:val="baseline"/>
                <w:lang w:val="en-US" w:eastAsia="zh-CN"/>
              </w:rPr>
              <w:t>2300</w:t>
            </w:r>
            <w:r>
              <w:rPr>
                <w:rFonts w:hint="default"/>
                <w:b w:val="0"/>
                <w:bCs w:val="0"/>
                <w:spacing w:val="0"/>
                <w:position w:val="0"/>
                <w:sz w:val="21"/>
                <w:szCs w:val="21"/>
                <w:vertAlign w:val="baseline"/>
                <w:lang w:val="en-US" w:eastAsia="zh-CN"/>
              </w:rPr>
              <w:t>m</w:t>
            </w:r>
            <w:r>
              <w:rPr>
                <w:rFonts w:hint="default"/>
                <w:b w:val="0"/>
                <w:bCs w:val="0"/>
                <w:spacing w:val="0"/>
                <w:position w:val="0"/>
                <w:sz w:val="21"/>
                <w:szCs w:val="21"/>
                <w:vertAlign w:val="superscript"/>
                <w:lang w:val="en-US" w:eastAsia="zh-CN"/>
              </w:rPr>
              <w:t>3</w:t>
            </w:r>
            <w:r>
              <w:rPr>
                <w:rFonts w:hint="eastAsia"/>
                <w:b w:val="0"/>
                <w:bCs w:val="0"/>
                <w:spacing w:val="0"/>
                <w:position w:val="0"/>
                <w:sz w:val="21"/>
                <w:szCs w:val="21"/>
                <w:vertAlign w:val="baseline"/>
                <w:lang w:val="en-US" w:eastAsia="zh-CN"/>
              </w:rPr>
              <w:t>中水</w:t>
            </w:r>
            <w:r>
              <w:rPr>
                <w:rFonts w:hint="default"/>
                <w:b w:val="0"/>
                <w:bCs w:val="0"/>
                <w:spacing w:val="0"/>
                <w:position w:val="0"/>
                <w:sz w:val="21"/>
                <w:szCs w:val="21"/>
                <w:vertAlign w:val="baseline"/>
                <w:lang w:val="en-US" w:eastAsia="zh-CN"/>
              </w:rPr>
              <w:t>回用池、352m</w:t>
            </w:r>
            <w:r>
              <w:rPr>
                <w:rFonts w:hint="default"/>
                <w:b w:val="0"/>
                <w:bCs w:val="0"/>
                <w:spacing w:val="0"/>
                <w:position w:val="0"/>
                <w:sz w:val="21"/>
                <w:szCs w:val="21"/>
                <w:vertAlign w:val="superscript"/>
                <w:lang w:val="en-US" w:eastAsia="zh-CN"/>
              </w:rPr>
              <w:t>3</w:t>
            </w:r>
            <w:r>
              <w:rPr>
                <w:rFonts w:hint="default"/>
                <w:b w:val="0"/>
                <w:bCs w:val="0"/>
                <w:spacing w:val="0"/>
                <w:position w:val="0"/>
                <w:sz w:val="21"/>
                <w:szCs w:val="21"/>
                <w:vertAlign w:val="baseline"/>
                <w:lang w:val="en-US" w:eastAsia="zh-CN"/>
              </w:rPr>
              <w:t>初期雨水池</w:t>
            </w:r>
            <w:r>
              <w:rPr>
                <w:rFonts w:hint="eastAsia" w:ascii="Times New Roman" w:hAnsi="Times New Roman" w:eastAsia="宋体" w:cs="Times New Roman"/>
                <w:b w:val="0"/>
                <w:bCs w:val="0"/>
                <w:spacing w:val="0"/>
                <w:kern w:val="2"/>
                <w:position w:val="0"/>
                <w:sz w:val="21"/>
                <w:szCs w:val="21"/>
                <w:vertAlign w:val="baseline"/>
                <w:lang w:val="en-US" w:eastAsia="zh-CN" w:bidi="ar-SA"/>
              </w:rPr>
              <w:t>。</w:t>
            </w:r>
          </w:p>
        </w:tc>
        <w:tc>
          <w:tcPr>
            <w:tcW w:w="45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2</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高浓度废水</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包括染整工艺、印花工艺高浓度废水和软水站再生废水。厂区建设高浓度废水收集系统，高浓度废水收集后通过园区高浓度废水管网进入园区污水厂高浓度处理系统集中处理后排放。</w:t>
            </w:r>
          </w:p>
        </w:tc>
        <w:tc>
          <w:tcPr>
            <w:tcW w:w="45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执行园区污水厂</w:t>
            </w:r>
            <w:r>
              <w:rPr>
                <w:rFonts w:hint="eastAsia" w:cs="Times New Roman"/>
                <w:b w:val="0"/>
                <w:bCs w:val="0"/>
                <w:spacing w:val="0"/>
                <w:kern w:val="2"/>
                <w:position w:val="0"/>
                <w:sz w:val="21"/>
                <w:szCs w:val="21"/>
                <w:vertAlign w:val="baseline"/>
                <w:lang w:val="en-US" w:eastAsia="zh-CN" w:bidi="ar-SA"/>
              </w:rPr>
              <w:t>高浓度废水</w:t>
            </w:r>
            <w:r>
              <w:rPr>
                <w:rFonts w:hint="eastAsia" w:ascii="Times New Roman" w:hAnsi="Times New Roman" w:eastAsia="宋体" w:cs="Times New Roman"/>
                <w:b w:val="0"/>
                <w:bCs w:val="0"/>
                <w:spacing w:val="0"/>
                <w:kern w:val="2"/>
                <w:position w:val="0"/>
                <w:sz w:val="21"/>
                <w:szCs w:val="21"/>
                <w:vertAlign w:val="baseline"/>
                <w:lang w:val="en-US" w:eastAsia="zh-CN" w:bidi="ar-SA"/>
              </w:rPr>
              <w:t>接管要求：</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pH：6-11</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COD≤2000mg/L</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BOD</w:t>
            </w:r>
            <w:r>
              <w:rPr>
                <w:rFonts w:hint="eastAsia" w:ascii="Times New Roman" w:hAnsi="Times New Roman" w:eastAsia="宋体" w:cs="Times New Roman"/>
                <w:b w:val="0"/>
                <w:bCs w:val="0"/>
                <w:spacing w:val="0"/>
                <w:kern w:val="2"/>
                <w:position w:val="0"/>
                <w:sz w:val="21"/>
                <w:szCs w:val="21"/>
                <w:vertAlign w:val="subscript"/>
                <w:lang w:val="en-US" w:eastAsia="zh-CN" w:bidi="ar-SA"/>
              </w:rPr>
              <w:t>5</w:t>
            </w:r>
            <w:r>
              <w:rPr>
                <w:rFonts w:hint="eastAsia" w:ascii="Times New Roman" w:hAnsi="Times New Roman" w:eastAsia="宋体" w:cs="Times New Roman"/>
                <w:b w:val="0"/>
                <w:bCs w:val="0"/>
                <w:spacing w:val="0"/>
                <w:kern w:val="2"/>
                <w:position w:val="0"/>
                <w:sz w:val="21"/>
                <w:szCs w:val="21"/>
                <w:vertAlign w:val="baseline"/>
                <w:lang w:val="en-US" w:eastAsia="zh-CN" w:bidi="ar-SA"/>
              </w:rPr>
              <w:t>≤500mg/L</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SS≤800mg/L</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氨氮≤50mg/L</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总氮≤80mg/L</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总磷≤4mg/L</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总锑≤0.15mg/L</w:t>
            </w:r>
            <w:r>
              <w:rPr>
                <w:rFonts w:hint="eastAsia" w:cs="Times New Roman"/>
                <w:b w:val="0"/>
                <w:bCs w:val="0"/>
                <w:spacing w:val="0"/>
                <w:kern w:val="2"/>
                <w:position w:val="0"/>
                <w:sz w:val="21"/>
                <w:szCs w:val="21"/>
                <w:vertAlign w:val="baseline"/>
                <w:lang w:val="en-US" w:eastAsia="zh-CN" w:bidi="ar-SA"/>
              </w:rPr>
              <w:t>、</w:t>
            </w:r>
            <w:r>
              <w:rPr>
                <w:rFonts w:hint="eastAsia" w:ascii="Times New Roman" w:hAnsi="Times New Roman" w:eastAsia="宋体" w:cs="Times New Roman"/>
                <w:b w:val="0"/>
                <w:bCs w:val="0"/>
                <w:spacing w:val="0"/>
                <w:kern w:val="2"/>
                <w:position w:val="0"/>
                <w:sz w:val="21"/>
                <w:szCs w:val="21"/>
                <w:vertAlign w:val="baseline"/>
                <w:lang w:val="en-US" w:eastAsia="zh-CN" w:bidi="ar-SA"/>
              </w:rPr>
              <w:t>硫化物≤2mg/L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低浓度废水</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包括染整工艺低浓度废水、印花工艺低浓度废水、循环冷却排水、车间冲洗水和生活污水，其中生活污水需经化粪池预处理。厂区建设低浓度废水收集系统，废水收集后通过园区低浓度废水管网进入园区污水厂低浓度处理系统集中处理后优先回用，超过回用需求的水量与处理达标后的高浓度废水一并排放。初期雨水通过低浓度污水管道排入园区污水处理厂低浓度污水系统集中处理。</w:t>
            </w:r>
          </w:p>
        </w:tc>
        <w:tc>
          <w:tcPr>
            <w:tcW w:w="458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执行园区污水厂</w:t>
            </w:r>
            <w:r>
              <w:rPr>
                <w:rFonts w:hint="eastAsia" w:cs="Times New Roman"/>
                <w:b w:val="0"/>
                <w:bCs w:val="0"/>
                <w:spacing w:val="0"/>
                <w:kern w:val="2"/>
                <w:position w:val="0"/>
                <w:sz w:val="21"/>
                <w:szCs w:val="21"/>
                <w:vertAlign w:val="baseline"/>
                <w:lang w:val="en-US" w:eastAsia="zh-CN" w:bidi="ar-SA"/>
              </w:rPr>
              <w:t>低浓度</w:t>
            </w:r>
            <w:r>
              <w:rPr>
                <w:rFonts w:hint="eastAsia" w:ascii="Times New Roman" w:hAnsi="Times New Roman" w:eastAsia="宋体" w:cs="Times New Roman"/>
                <w:b w:val="0"/>
                <w:bCs w:val="0"/>
                <w:spacing w:val="0"/>
                <w:kern w:val="2"/>
                <w:position w:val="0"/>
                <w:sz w:val="21"/>
                <w:szCs w:val="21"/>
                <w:vertAlign w:val="baseline"/>
                <w:lang w:val="en-US" w:eastAsia="zh-CN" w:bidi="ar-SA"/>
              </w:rPr>
              <w:t>接管要求：</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spacing w:val="0"/>
                <w:position w:val="0"/>
                <w:sz w:val="21"/>
                <w:szCs w:val="21"/>
                <w:vertAlign w:val="baseline"/>
                <w:lang w:val="en-US" w:eastAsia="zh-CN"/>
              </w:rPr>
              <w:t>pH：6-11、COD≤800mg/L、BOD</w:t>
            </w:r>
            <w:r>
              <w:rPr>
                <w:rFonts w:hint="eastAsia"/>
                <w:spacing w:val="0"/>
                <w:position w:val="0"/>
                <w:sz w:val="21"/>
                <w:szCs w:val="21"/>
                <w:vertAlign w:val="subscript"/>
                <w:lang w:val="en-US" w:eastAsia="zh-CN"/>
              </w:rPr>
              <w:t>5</w:t>
            </w:r>
            <w:r>
              <w:rPr>
                <w:rFonts w:hint="eastAsia"/>
                <w:spacing w:val="0"/>
                <w:position w:val="0"/>
                <w:sz w:val="21"/>
                <w:szCs w:val="21"/>
                <w:vertAlign w:val="baseline"/>
                <w:lang w:val="en-US" w:eastAsia="zh-CN"/>
              </w:rPr>
              <w:t>≤150mg/L、SS≤300mg/L、氨氮≤15mg/L、总氮≤20mg/L、总磷≤3mg/L、总锑≤0.1mg/L、硫化物≤1.0mg/L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4</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污水回用</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园区污水厂的中水按回用率不低于45%回用于企业，回用水安装回用水水质、水量监测系统，企业工业水重复利用率不低于55%。</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5</w:t>
            </w:r>
          </w:p>
        </w:tc>
        <w:tc>
          <w:tcPr>
            <w:tcW w:w="1956" w:type="dxa"/>
            <w:vMerge w:val="restart"/>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监测要求</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设置规范化排污口，安装流量、pH、COD、氨氮在线监测，并与福州市连江生态环境局污染源监控系统联网，SS、色度、BOD</w:t>
            </w:r>
            <w:r>
              <w:rPr>
                <w:rFonts w:hint="eastAsia" w:ascii="Times New Roman" w:hAnsi="Times New Roman" w:eastAsia="宋体" w:cs="Times New Roman"/>
                <w:b w:val="0"/>
                <w:bCs w:val="0"/>
                <w:spacing w:val="0"/>
                <w:kern w:val="2"/>
                <w:position w:val="0"/>
                <w:sz w:val="21"/>
                <w:szCs w:val="21"/>
                <w:vertAlign w:val="subscript"/>
                <w:lang w:val="en-US" w:eastAsia="zh-CN" w:bidi="ar-SA"/>
              </w:rPr>
              <w:t>5</w:t>
            </w:r>
            <w:r>
              <w:rPr>
                <w:rFonts w:hint="eastAsia" w:ascii="Times New Roman" w:hAnsi="Times New Roman" w:eastAsia="宋体" w:cs="Times New Roman"/>
                <w:b w:val="0"/>
                <w:bCs w:val="0"/>
                <w:spacing w:val="0"/>
                <w:kern w:val="2"/>
                <w:position w:val="0"/>
                <w:sz w:val="21"/>
                <w:szCs w:val="21"/>
                <w:vertAlign w:val="baseline"/>
                <w:lang w:val="en-US" w:eastAsia="zh-CN" w:bidi="ar-SA"/>
              </w:rPr>
              <w:t>、总氮、总磷、苯胺类、硫化物、总锑、六价铬定期监测。</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p>
        </w:tc>
        <w:tc>
          <w:tcPr>
            <w:tcW w:w="1956" w:type="dxa"/>
            <w:vMerge w:val="continue"/>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雨水总排放口设置监控，定期监测COD、SS。</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三</w:t>
            </w:r>
          </w:p>
        </w:tc>
        <w:tc>
          <w:tcPr>
            <w:tcW w:w="13544"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噪声控制措施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主要设备噪声</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配置低噪声设备，主要噪声源采取隔声、消声、吸声、减振等措施。</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执行《工业企业厂界环境噪声排放标准》（GB12348-2008）3类标准：昼间≤65dB(A)，夜间≤55dB(A)。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四</w:t>
            </w:r>
          </w:p>
        </w:tc>
        <w:tc>
          <w:tcPr>
            <w:tcW w:w="13544"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固体废物暂存及处置措施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2</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一般工业固体废物临时堆场与处置措施</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设置规范化一般固废仓库。废丝、废布及次品外售综合利用；一般化学品包装外售回收公司。</w:t>
            </w:r>
          </w:p>
        </w:tc>
        <w:tc>
          <w:tcPr>
            <w:tcW w:w="45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3</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危险废物临时堆场与处置措施</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设置规范化危险废物临时储存间，危险废物委托有资质单位进行处置。</w:t>
            </w:r>
          </w:p>
        </w:tc>
        <w:tc>
          <w:tcPr>
            <w:tcW w:w="4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4</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生活垃圾收集与处置措施</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设置生活垃圾垃圾桶，垃圾分类收集，由园区环卫统一收集和处理。</w:t>
            </w:r>
          </w:p>
        </w:tc>
        <w:tc>
          <w:tcPr>
            <w:tcW w:w="4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五</w:t>
            </w:r>
          </w:p>
        </w:tc>
        <w:tc>
          <w:tcPr>
            <w:tcW w:w="13544"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地下水污染防治措施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防渗措施</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将场地区域划分为重点防渗区、一般防渗区、简单防渗区。重点防渗区包括危化品库、染料库、危废暂存间、各类水池等，其防渗性能不应低于6.0m厚，渗透系数为1×10</w:t>
            </w:r>
            <w:r>
              <w:rPr>
                <w:rFonts w:hint="eastAsia" w:ascii="Times New Roman" w:hAnsi="Times New Roman" w:eastAsia="宋体" w:cs="Times New Roman"/>
                <w:b w:val="0"/>
                <w:bCs w:val="0"/>
                <w:spacing w:val="0"/>
                <w:kern w:val="2"/>
                <w:position w:val="0"/>
                <w:sz w:val="21"/>
                <w:szCs w:val="21"/>
                <w:vertAlign w:val="superscript"/>
                <w:lang w:val="en-US" w:eastAsia="zh-CN" w:bidi="ar-SA"/>
              </w:rPr>
              <w:t>-7</w:t>
            </w:r>
            <w:r>
              <w:rPr>
                <w:rFonts w:hint="eastAsia" w:ascii="Times New Roman" w:hAnsi="Times New Roman" w:eastAsia="宋体" w:cs="Times New Roman"/>
                <w:b w:val="0"/>
                <w:bCs w:val="0"/>
                <w:spacing w:val="0"/>
                <w:kern w:val="2"/>
                <w:position w:val="0"/>
                <w:sz w:val="21"/>
                <w:szCs w:val="21"/>
                <w:vertAlign w:val="baseline"/>
                <w:lang w:val="en-US" w:eastAsia="zh-CN" w:bidi="ar-SA"/>
              </w:rPr>
              <w:t>cm/s的黏土层的防渗性能。一般防渗区为生产车间地面，其防渗性能不应低于1.5m厚，渗透系数为1×10</w:t>
            </w:r>
            <w:r>
              <w:rPr>
                <w:rFonts w:hint="eastAsia" w:ascii="Times New Roman" w:hAnsi="Times New Roman" w:eastAsia="宋体" w:cs="Times New Roman"/>
                <w:b w:val="0"/>
                <w:bCs w:val="0"/>
                <w:spacing w:val="0"/>
                <w:kern w:val="2"/>
                <w:position w:val="0"/>
                <w:sz w:val="21"/>
                <w:szCs w:val="21"/>
                <w:vertAlign w:val="superscript"/>
                <w:lang w:val="en-US" w:eastAsia="zh-CN" w:bidi="ar-SA"/>
              </w:rPr>
              <w:t>-7</w:t>
            </w:r>
            <w:r>
              <w:rPr>
                <w:rFonts w:hint="eastAsia" w:ascii="Times New Roman" w:hAnsi="Times New Roman" w:eastAsia="宋体" w:cs="Times New Roman"/>
                <w:b w:val="0"/>
                <w:bCs w:val="0"/>
                <w:spacing w:val="0"/>
                <w:kern w:val="2"/>
                <w:position w:val="0"/>
                <w:sz w:val="21"/>
                <w:szCs w:val="21"/>
                <w:vertAlign w:val="baseline"/>
                <w:lang w:val="en-US" w:eastAsia="zh-CN" w:bidi="ar-SA"/>
              </w:rPr>
              <w:t>cm/s的黏土层的防渗性能。</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2</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监控井</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厂区内设置1个地下水监控井，其余利用染整产业园监控井。</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六</w:t>
            </w:r>
          </w:p>
        </w:tc>
        <w:tc>
          <w:tcPr>
            <w:tcW w:w="13544"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环境风险防范及应急措施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事故防范、预警、应急设施及装备</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①项目危化品库地面应设有防渗漏设施、事故泄漏液收集管沟及收集槽。</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②设容积840m</w:t>
            </w:r>
            <w:r>
              <w:rPr>
                <w:rFonts w:hint="eastAsia" w:ascii="Times New Roman" w:hAnsi="Times New Roman" w:eastAsia="宋体" w:cs="Times New Roman"/>
                <w:b w:val="0"/>
                <w:bCs w:val="0"/>
                <w:spacing w:val="0"/>
                <w:kern w:val="2"/>
                <w:position w:val="0"/>
                <w:sz w:val="21"/>
                <w:szCs w:val="21"/>
                <w:vertAlign w:val="superscript"/>
                <w:lang w:val="en-US" w:eastAsia="zh-CN" w:bidi="ar-SA"/>
              </w:rPr>
              <w:t>3</w:t>
            </w:r>
            <w:r>
              <w:rPr>
                <w:rFonts w:hint="eastAsia" w:ascii="Times New Roman" w:hAnsi="Times New Roman" w:eastAsia="宋体" w:cs="Times New Roman"/>
                <w:b w:val="0"/>
                <w:bCs w:val="0"/>
                <w:spacing w:val="0"/>
                <w:kern w:val="2"/>
                <w:position w:val="0"/>
                <w:sz w:val="21"/>
                <w:szCs w:val="21"/>
                <w:vertAlign w:val="baseline"/>
                <w:lang w:val="en-US" w:eastAsia="zh-CN" w:bidi="ar-SA"/>
              </w:rPr>
              <w:t>的事故应急池，规范建设应急事故池和相应的导流设施和阀门。</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③设置“三级防控措施”防范事故泄漏液和消防污水进入外环境和海域水环境</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④设多个防火分区并针对性部署防防措施并配备消防设施。</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2</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pacing w:val="0"/>
                <w:w w:val="100"/>
                <w:position w:val="0"/>
                <w:lang w:val="en-US" w:eastAsia="zh-CN"/>
              </w:rPr>
            </w:pPr>
            <w:r>
              <w:rPr>
                <w:rFonts w:hint="eastAsia"/>
                <w:color w:val="auto"/>
                <w:spacing w:val="0"/>
                <w:w w:val="100"/>
                <w:position w:val="0"/>
                <w:lang w:val="en-US" w:eastAsia="zh-CN"/>
              </w:rPr>
              <w:t>建立环境风险应急预案</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制定环境风险应急预案并与绿色纺织产业园、可门经济开发区、地方政府应急联动，细化应急疏散内容，定期开展事故环境风险应急演练。</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七</w:t>
            </w:r>
          </w:p>
        </w:tc>
        <w:tc>
          <w:tcPr>
            <w:tcW w:w="13544"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bCs/>
                <w:spacing w:val="0"/>
                <w:position w:val="0"/>
                <w:sz w:val="21"/>
                <w:szCs w:val="21"/>
                <w:vertAlign w:val="baseline"/>
                <w:lang w:val="en-US" w:eastAsia="zh-CN"/>
              </w:rPr>
            </w:pPr>
            <w:r>
              <w:rPr>
                <w:rFonts w:hint="eastAsia"/>
                <w:b/>
                <w:bCs/>
                <w:spacing w:val="0"/>
                <w:position w:val="0"/>
                <w:sz w:val="21"/>
                <w:szCs w:val="21"/>
                <w:vertAlign w:val="baseline"/>
                <w:lang w:val="en-US" w:eastAsia="zh-CN"/>
              </w:rPr>
              <w:t>环境管理及监测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环境管理机构</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建立满足项目需要的环境管理及监测机构，记录台账、数据保存不低于3年。</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2</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环境监测</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配备监测仪器、按监测计划开展监测。</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spacing w:val="0"/>
                <w:position w:val="0"/>
                <w:sz w:val="21"/>
                <w:szCs w:val="21"/>
                <w:vertAlign w:val="baseline"/>
                <w:lang w:val="en-US" w:eastAsia="zh-CN"/>
              </w:rPr>
            </w:pPr>
            <w:r>
              <w:rPr>
                <w:rFonts w:hint="eastAsia"/>
                <w:spacing w:val="0"/>
                <w:position w:val="0"/>
                <w:sz w:val="21"/>
                <w:szCs w:val="21"/>
                <w:vertAlign w:val="baseline"/>
                <w:lang w:val="en-US" w:eastAsia="zh-CN"/>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pacing w:val="0"/>
                <w:kern w:val="2"/>
                <w:position w:val="0"/>
                <w:sz w:val="21"/>
                <w:szCs w:val="21"/>
                <w:vertAlign w:val="baseline"/>
                <w:lang w:val="en-US" w:eastAsia="zh-CN" w:bidi="ar-SA"/>
              </w:rPr>
            </w:pPr>
            <w:r>
              <w:rPr>
                <w:rFonts w:hint="eastAsia" w:ascii="Times New Roman" w:hAnsi="Times New Roman" w:eastAsia="宋体" w:cs="Times New Roman"/>
                <w:b/>
                <w:bCs/>
                <w:spacing w:val="0"/>
                <w:kern w:val="2"/>
                <w:position w:val="0"/>
                <w:sz w:val="21"/>
                <w:szCs w:val="21"/>
                <w:vertAlign w:val="baseline"/>
                <w:lang w:val="en-US" w:eastAsia="zh-CN" w:bidi="ar-SA"/>
              </w:rPr>
              <w:t>八</w:t>
            </w:r>
          </w:p>
        </w:tc>
        <w:tc>
          <w:tcPr>
            <w:tcW w:w="13544"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spacing w:val="0"/>
                <w:position w:val="0"/>
                <w:sz w:val="21"/>
                <w:szCs w:val="21"/>
                <w:vertAlign w:val="baseline"/>
                <w:lang w:val="en-US" w:eastAsia="zh-CN"/>
              </w:rPr>
            </w:pPr>
            <w:r>
              <w:rPr>
                <w:rFonts w:hint="eastAsia"/>
                <w:b/>
                <w:bCs/>
                <w:color w:val="auto"/>
                <w:spacing w:val="0"/>
                <w:w w:val="100"/>
                <w:position w:val="0"/>
                <w:lang w:val="en-US" w:eastAsia="zh-CN"/>
              </w:rPr>
              <w:t>其它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1</w:t>
            </w:r>
          </w:p>
        </w:tc>
        <w:tc>
          <w:tcPr>
            <w:tcW w:w="1956" w:type="dxa"/>
            <w:tcBorders>
              <w:tl2br w:val="nil"/>
              <w:tr2bl w:val="nil"/>
            </w:tcBorders>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jc w:val="center"/>
              <w:rPr>
                <w:rFonts w:hint="default"/>
                <w:color w:val="auto"/>
                <w:spacing w:val="0"/>
                <w:w w:val="100"/>
                <w:position w:val="0"/>
                <w:lang w:val="en-US" w:eastAsia="zh-CN"/>
              </w:rPr>
            </w:pPr>
            <w:r>
              <w:rPr>
                <w:rFonts w:hint="eastAsia"/>
                <w:color w:val="auto"/>
                <w:spacing w:val="0"/>
                <w:w w:val="100"/>
                <w:position w:val="0"/>
                <w:lang w:val="en-US" w:eastAsia="zh-CN"/>
              </w:rPr>
              <w:t>其它</w:t>
            </w:r>
          </w:p>
        </w:tc>
        <w:tc>
          <w:tcPr>
            <w:tcW w:w="7007" w:type="dxa"/>
            <w:gridSpan w:val="2"/>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spacing w:val="0"/>
                <w:kern w:val="2"/>
                <w:position w:val="0"/>
                <w:sz w:val="21"/>
                <w:szCs w:val="21"/>
                <w:vertAlign w:val="baseline"/>
                <w:lang w:val="en-US" w:eastAsia="zh-CN" w:bidi="ar-SA"/>
              </w:rPr>
            </w:pPr>
            <w:r>
              <w:rPr>
                <w:rFonts w:hint="eastAsia" w:ascii="Times New Roman" w:hAnsi="Times New Roman" w:eastAsia="宋体" w:cs="Times New Roman"/>
                <w:b w:val="0"/>
                <w:bCs w:val="0"/>
                <w:spacing w:val="0"/>
                <w:kern w:val="2"/>
                <w:position w:val="0"/>
                <w:sz w:val="21"/>
                <w:szCs w:val="21"/>
                <w:vertAlign w:val="baseline"/>
                <w:lang w:val="en-US" w:eastAsia="zh-CN" w:bidi="ar-SA"/>
              </w:rPr>
              <w:t>厂区绿化等</w:t>
            </w:r>
          </w:p>
        </w:tc>
        <w:tc>
          <w:tcPr>
            <w:tcW w:w="45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0"/>
                <w:kern w:val="2"/>
                <w:position w:val="0"/>
                <w:sz w:val="21"/>
                <w:szCs w:val="21"/>
                <w:vertAlign w:val="baseline"/>
                <w:lang w:val="en-US" w:eastAsia="zh-CN" w:bidi="ar-SA"/>
              </w:rPr>
            </w:pPr>
            <w:r>
              <w:rPr>
                <w:rFonts w:hint="eastAsia"/>
                <w:spacing w:val="0"/>
                <w:position w:val="0"/>
                <w:sz w:val="21"/>
                <w:szCs w:val="21"/>
                <w:vertAlign w:val="baseline"/>
                <w:lang w:val="en-US" w:eastAsia="zh-CN"/>
              </w:rPr>
              <w:t>验收措施落实情况</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val="0"/>
          <w:spacing w:val="0"/>
          <w:kern w:val="2"/>
          <w:position w:val="0"/>
          <w:sz w:val="28"/>
          <w:szCs w:val="28"/>
          <w:lang w:val="en-US" w:eastAsia="zh-CN" w:bidi="ar-SA"/>
        </w:rPr>
      </w:pPr>
    </w:p>
    <w:sectPr>
      <w:pgSz w:w="16838" w:h="11906" w:orient="landscape"/>
      <w:pgMar w:top="1800" w:right="1417" w:bottom="1417" w:left="1417" w:header="992"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51">
      <wne:fci wne:fciName="FontColorPicker"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小标宋简体">
    <w:altName w:val="方正舒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imesNewRomanPS-ItalicMT">
    <w:altName w:val="宋体"/>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left w:val="none" w:color="auto" w:sz="0" w:space="4"/>
        <w:bottom w:val="none" w:color="auto" w:sz="0" w:space="1"/>
        <w:right w:val="none" w:color="auto" w:sz="0" w:space="4"/>
      </w:pBdr>
    </w:pPr>
    <w:r>
      <w:rPr>
        <w:rFonts w:hint="eastAsia"/>
      </w:rPr>
      <w:t>福建新时代环保科技有限公司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left w:val="none" w:color="auto" w:sz="0" w:space="4"/>
        <w:bottom w:val="none" w:color="auto" w:sz="0" w:space="1"/>
        <w:right w:val="none" w:color="auto" w:sz="0" w:space="4"/>
      </w:pBd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26</w:t>
                    </w:r>
                    <w:r>
                      <w:fldChar w:fldCharType="end"/>
                    </w:r>
                  </w:p>
                </w:txbxContent>
              </v:textbox>
            </v:shape>
          </w:pict>
        </mc:Fallback>
      </mc:AlternateContent>
    </w:r>
    <w:r>
      <w:rPr>
        <w:rFonts w:hint="eastAsia"/>
      </w:rPr>
      <w:t>福建新时代环保科技有限公司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left w:val="none" w:color="auto" w:sz="0" w:space="4"/>
        <w:bottom w:val="none" w:color="auto" w:sz="0" w:space="1"/>
        <w:right w:val="none" w:color="auto" w:sz="0" w:space="4"/>
      </w:pBd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福建新时代环保科技有限公司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left w:val="none" w:color="auto" w:sz="0" w:space="4"/>
        <w:bottom w:val="none" w:color="auto" w:sz="0" w:space="1"/>
        <w:right w:val="none" w:color="auto" w:sz="0" w:space="4"/>
        <w:between w:val="none" w:color="auto" w:sz="0" w:space="0"/>
      </w:pBdr>
      <w:snapToGrid w:val="0"/>
      <w:jc w:val="left"/>
      <w:rPr>
        <w:rFonts w:hint="eastAsia" w:eastAsia="宋体"/>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r>
      <w:rPr>
        <w:rFonts w:hint="eastAsia"/>
        <w:lang w:eastAsia="zh-CN"/>
      </w:rPr>
      <w:t>福建新时代环保科技有限公司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center"/>
      <w:rPr>
        <w:color w:val="auto"/>
      </w:rPr>
    </w:pPr>
    <w:r>
      <w:rPr>
        <w:rFonts w:hint="eastAsia"/>
        <w:color w:val="auto"/>
      </w:rPr>
      <w:t>福建悦聚科技有限公司智能化高档纺织面料生产项目环境影响报告书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32CC35"/>
    <w:multiLevelType w:val="singleLevel"/>
    <w:tmpl w:val="E432CC35"/>
    <w:lvl w:ilvl="0" w:tentative="0">
      <w:start w:val="1"/>
      <w:numFmt w:val="chineseCounting"/>
      <w:pStyle w:val="23"/>
      <w:suff w:val="nothing"/>
      <w:lvlText w:val="%1、"/>
      <w:lvlJc w:val="left"/>
      <w:rPr>
        <w:rFonts w:hint="eastAsia"/>
      </w:rPr>
    </w:lvl>
  </w:abstractNum>
  <w:abstractNum w:abstractNumId="1">
    <w:nsid w:val="0259040C"/>
    <w:multiLevelType w:val="singleLevel"/>
    <w:tmpl w:val="0259040C"/>
    <w:lvl w:ilvl="0" w:tentative="0">
      <w:start w:val="1"/>
      <w:numFmt w:val="decimal"/>
      <w:pStyle w:val="43"/>
      <w:suff w:val="nothing"/>
      <w:lvlText w:val="表4.2-%1  "/>
      <w:lvlJc w:val="left"/>
      <w:pPr>
        <w:tabs>
          <w:tab w:val="left" w:pos="0"/>
        </w:tabs>
      </w:pPr>
      <w:rPr>
        <w:rFonts w:hint="default" w:ascii="宋体" w:hAnsi="宋体" w:eastAsia="宋体" w:cs="宋体"/>
      </w:rPr>
    </w:lvl>
  </w:abstractNum>
  <w:abstractNum w:abstractNumId="2">
    <w:nsid w:val="5EBC178B"/>
    <w:multiLevelType w:val="multilevel"/>
    <w:tmpl w:val="5EBC178B"/>
    <w:lvl w:ilvl="0" w:tentative="0">
      <w:start w:val="1"/>
      <w:numFmt w:val="chineseCountingThousand"/>
      <w:suff w:val="nothing"/>
      <w:lvlText w:val="%1、"/>
      <w:lvlJc w:val="left"/>
      <w:pPr>
        <w:ind w:left="3828"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rPr>
        <w:rFonts w:hint="eastAsia"/>
        <w:color w:val="auto"/>
        <w:lang w:val="en-US"/>
      </w:rPr>
    </w:lvl>
    <w:lvl w:ilvl="5" w:tentative="0">
      <w:start w:val="1"/>
      <w:numFmt w:val="decimal"/>
      <w:lvlRestart w:val="2"/>
      <w:pStyle w:val="56"/>
      <w:isLgl/>
      <w:suff w:val="space"/>
      <w:lvlText w:val="图%1.%2-%6"/>
      <w:lvlJc w:val="left"/>
      <w:pPr>
        <w:ind w:left="0" w:firstLine="0"/>
      </w:p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wOTNiOTgzZDhkN2NhNWIzYWI0ZGEwOWE5ZTZjMDkifQ=="/>
  </w:docVars>
  <w:rsids>
    <w:rsidRoot w:val="00172A27"/>
    <w:rsid w:val="000F5645"/>
    <w:rsid w:val="00172A27"/>
    <w:rsid w:val="002B11E8"/>
    <w:rsid w:val="002E6200"/>
    <w:rsid w:val="003E45EE"/>
    <w:rsid w:val="003F7B7D"/>
    <w:rsid w:val="004F4B39"/>
    <w:rsid w:val="00522185"/>
    <w:rsid w:val="005B6D6C"/>
    <w:rsid w:val="00641C06"/>
    <w:rsid w:val="006D0AFE"/>
    <w:rsid w:val="0071203B"/>
    <w:rsid w:val="00844169"/>
    <w:rsid w:val="00A065D3"/>
    <w:rsid w:val="00AB1BE7"/>
    <w:rsid w:val="00C45E94"/>
    <w:rsid w:val="00C63D21"/>
    <w:rsid w:val="00C67975"/>
    <w:rsid w:val="00CB05E1"/>
    <w:rsid w:val="00DC6FF0"/>
    <w:rsid w:val="00E2283A"/>
    <w:rsid w:val="00E34BBE"/>
    <w:rsid w:val="00EF4F9C"/>
    <w:rsid w:val="00F513DF"/>
    <w:rsid w:val="00F95E0B"/>
    <w:rsid w:val="00FC15FE"/>
    <w:rsid w:val="01127AB7"/>
    <w:rsid w:val="013B2B96"/>
    <w:rsid w:val="01461713"/>
    <w:rsid w:val="016C71F3"/>
    <w:rsid w:val="01747D6F"/>
    <w:rsid w:val="01A81D9E"/>
    <w:rsid w:val="01F1594A"/>
    <w:rsid w:val="02261FFB"/>
    <w:rsid w:val="02510EA1"/>
    <w:rsid w:val="0256496B"/>
    <w:rsid w:val="025F0477"/>
    <w:rsid w:val="029366B8"/>
    <w:rsid w:val="02A57CFD"/>
    <w:rsid w:val="02CC4656"/>
    <w:rsid w:val="02DE7C7D"/>
    <w:rsid w:val="02F34435"/>
    <w:rsid w:val="03096D0F"/>
    <w:rsid w:val="030F42DA"/>
    <w:rsid w:val="03142D19"/>
    <w:rsid w:val="031D0E75"/>
    <w:rsid w:val="032F07A2"/>
    <w:rsid w:val="033A0C2B"/>
    <w:rsid w:val="035B751F"/>
    <w:rsid w:val="03663FB0"/>
    <w:rsid w:val="03A85859"/>
    <w:rsid w:val="03AF33C7"/>
    <w:rsid w:val="03B4688D"/>
    <w:rsid w:val="040652EE"/>
    <w:rsid w:val="04390EE3"/>
    <w:rsid w:val="04467201"/>
    <w:rsid w:val="046B6E1E"/>
    <w:rsid w:val="04706D24"/>
    <w:rsid w:val="048E3B45"/>
    <w:rsid w:val="049727D9"/>
    <w:rsid w:val="049A3989"/>
    <w:rsid w:val="04C904B8"/>
    <w:rsid w:val="05401F8A"/>
    <w:rsid w:val="055111DF"/>
    <w:rsid w:val="05625459"/>
    <w:rsid w:val="057B5469"/>
    <w:rsid w:val="059E1945"/>
    <w:rsid w:val="05F3515E"/>
    <w:rsid w:val="05F83D0E"/>
    <w:rsid w:val="05F91323"/>
    <w:rsid w:val="060A79FA"/>
    <w:rsid w:val="060F2843"/>
    <w:rsid w:val="062E5138"/>
    <w:rsid w:val="0639166E"/>
    <w:rsid w:val="068C7553"/>
    <w:rsid w:val="06B71BA9"/>
    <w:rsid w:val="06C744B8"/>
    <w:rsid w:val="06DC5D25"/>
    <w:rsid w:val="06DD04E8"/>
    <w:rsid w:val="07213011"/>
    <w:rsid w:val="074107DA"/>
    <w:rsid w:val="075229E7"/>
    <w:rsid w:val="07530C96"/>
    <w:rsid w:val="075E0427"/>
    <w:rsid w:val="07C815C0"/>
    <w:rsid w:val="07DC6719"/>
    <w:rsid w:val="07E6399F"/>
    <w:rsid w:val="0808579C"/>
    <w:rsid w:val="08162EE8"/>
    <w:rsid w:val="0865578D"/>
    <w:rsid w:val="088F10C1"/>
    <w:rsid w:val="09173EE8"/>
    <w:rsid w:val="091E31B1"/>
    <w:rsid w:val="09403A6F"/>
    <w:rsid w:val="094E633F"/>
    <w:rsid w:val="095A603D"/>
    <w:rsid w:val="095F4AC7"/>
    <w:rsid w:val="096B1B3E"/>
    <w:rsid w:val="097F762B"/>
    <w:rsid w:val="09BA41F7"/>
    <w:rsid w:val="09D84143"/>
    <w:rsid w:val="0A077618"/>
    <w:rsid w:val="0A2E2EBC"/>
    <w:rsid w:val="0A39654D"/>
    <w:rsid w:val="0A6208DC"/>
    <w:rsid w:val="0A7A7529"/>
    <w:rsid w:val="0ABF7C61"/>
    <w:rsid w:val="0B4D3BF1"/>
    <w:rsid w:val="0B593B26"/>
    <w:rsid w:val="0B761AB1"/>
    <w:rsid w:val="0B882E7B"/>
    <w:rsid w:val="0B9510F4"/>
    <w:rsid w:val="0B9D3250"/>
    <w:rsid w:val="0BA34197"/>
    <w:rsid w:val="0BAC1D1A"/>
    <w:rsid w:val="0BC315D7"/>
    <w:rsid w:val="0BC41477"/>
    <w:rsid w:val="0BED0EFB"/>
    <w:rsid w:val="0C324289"/>
    <w:rsid w:val="0C3B1C9C"/>
    <w:rsid w:val="0C43006F"/>
    <w:rsid w:val="0C5E7B6D"/>
    <w:rsid w:val="0C937E19"/>
    <w:rsid w:val="0CC62F53"/>
    <w:rsid w:val="0CDD66EE"/>
    <w:rsid w:val="0D171BE2"/>
    <w:rsid w:val="0D42705A"/>
    <w:rsid w:val="0D4F1913"/>
    <w:rsid w:val="0D5F4417"/>
    <w:rsid w:val="0D6F0040"/>
    <w:rsid w:val="0D782A7C"/>
    <w:rsid w:val="0DB354D9"/>
    <w:rsid w:val="0DBA20BB"/>
    <w:rsid w:val="0DDE3227"/>
    <w:rsid w:val="0DDF6F9F"/>
    <w:rsid w:val="0E0013EF"/>
    <w:rsid w:val="0E100F06"/>
    <w:rsid w:val="0E222229"/>
    <w:rsid w:val="0E646338"/>
    <w:rsid w:val="0E6E2BB1"/>
    <w:rsid w:val="0E770F85"/>
    <w:rsid w:val="0E9D2094"/>
    <w:rsid w:val="0EAB6C23"/>
    <w:rsid w:val="0EE71C9F"/>
    <w:rsid w:val="0EF70839"/>
    <w:rsid w:val="0F092F8A"/>
    <w:rsid w:val="0F4E3266"/>
    <w:rsid w:val="0F6F794E"/>
    <w:rsid w:val="0F842EA3"/>
    <w:rsid w:val="0F88240A"/>
    <w:rsid w:val="0F934355"/>
    <w:rsid w:val="0FAD50FF"/>
    <w:rsid w:val="0FC342A9"/>
    <w:rsid w:val="0FC376EC"/>
    <w:rsid w:val="0FED3390"/>
    <w:rsid w:val="0FFC6B6C"/>
    <w:rsid w:val="102A27C9"/>
    <w:rsid w:val="10515101"/>
    <w:rsid w:val="10B87C77"/>
    <w:rsid w:val="10ED3781"/>
    <w:rsid w:val="10F070CC"/>
    <w:rsid w:val="111A2BC4"/>
    <w:rsid w:val="1122342A"/>
    <w:rsid w:val="114C7209"/>
    <w:rsid w:val="116F5BA4"/>
    <w:rsid w:val="11761899"/>
    <w:rsid w:val="118B1EF8"/>
    <w:rsid w:val="118C4D48"/>
    <w:rsid w:val="119C2CF6"/>
    <w:rsid w:val="11BB46CD"/>
    <w:rsid w:val="11C40978"/>
    <w:rsid w:val="11C66AF2"/>
    <w:rsid w:val="11D96CD1"/>
    <w:rsid w:val="11DF5F99"/>
    <w:rsid w:val="11E0431F"/>
    <w:rsid w:val="11E82246"/>
    <w:rsid w:val="11EF4C5A"/>
    <w:rsid w:val="11F66855"/>
    <w:rsid w:val="122867E2"/>
    <w:rsid w:val="122910EC"/>
    <w:rsid w:val="125C39F8"/>
    <w:rsid w:val="125F0C13"/>
    <w:rsid w:val="128E0C13"/>
    <w:rsid w:val="128E5278"/>
    <w:rsid w:val="129A3494"/>
    <w:rsid w:val="129E11D6"/>
    <w:rsid w:val="12C35E26"/>
    <w:rsid w:val="132D6BAA"/>
    <w:rsid w:val="133E29E6"/>
    <w:rsid w:val="13697A3C"/>
    <w:rsid w:val="139A3DFC"/>
    <w:rsid w:val="13B06910"/>
    <w:rsid w:val="13C11F00"/>
    <w:rsid w:val="13CC1BC6"/>
    <w:rsid w:val="13D03611"/>
    <w:rsid w:val="14034654"/>
    <w:rsid w:val="145333FD"/>
    <w:rsid w:val="146D339C"/>
    <w:rsid w:val="148B307B"/>
    <w:rsid w:val="1494463F"/>
    <w:rsid w:val="149D0F34"/>
    <w:rsid w:val="14D56A06"/>
    <w:rsid w:val="14F9086D"/>
    <w:rsid w:val="15150DB0"/>
    <w:rsid w:val="15602773"/>
    <w:rsid w:val="15AF3ADC"/>
    <w:rsid w:val="15C26A26"/>
    <w:rsid w:val="15C6423D"/>
    <w:rsid w:val="15CF0E64"/>
    <w:rsid w:val="16311102"/>
    <w:rsid w:val="164D0777"/>
    <w:rsid w:val="1658540F"/>
    <w:rsid w:val="1677097E"/>
    <w:rsid w:val="16991090"/>
    <w:rsid w:val="16F670A5"/>
    <w:rsid w:val="175B40AA"/>
    <w:rsid w:val="1760579D"/>
    <w:rsid w:val="17755468"/>
    <w:rsid w:val="17B2563C"/>
    <w:rsid w:val="17F13B56"/>
    <w:rsid w:val="17F60227"/>
    <w:rsid w:val="17FC5FFB"/>
    <w:rsid w:val="182E1C74"/>
    <w:rsid w:val="183871A3"/>
    <w:rsid w:val="18784278"/>
    <w:rsid w:val="18787E06"/>
    <w:rsid w:val="189D1F08"/>
    <w:rsid w:val="18B3705E"/>
    <w:rsid w:val="18DD40DB"/>
    <w:rsid w:val="18F17835"/>
    <w:rsid w:val="19266AB6"/>
    <w:rsid w:val="192B12EA"/>
    <w:rsid w:val="19471B5D"/>
    <w:rsid w:val="195D77F9"/>
    <w:rsid w:val="19987CA5"/>
    <w:rsid w:val="199E7D0E"/>
    <w:rsid w:val="19B80F45"/>
    <w:rsid w:val="19CA7A26"/>
    <w:rsid w:val="19E550E3"/>
    <w:rsid w:val="19F15CBB"/>
    <w:rsid w:val="19F618F8"/>
    <w:rsid w:val="19F636A6"/>
    <w:rsid w:val="1A361CF4"/>
    <w:rsid w:val="1A3B34B7"/>
    <w:rsid w:val="1A530AF8"/>
    <w:rsid w:val="1A554870"/>
    <w:rsid w:val="1A9D7FC6"/>
    <w:rsid w:val="1AEC0D6E"/>
    <w:rsid w:val="1B3C701D"/>
    <w:rsid w:val="1B4A38E8"/>
    <w:rsid w:val="1B5633B7"/>
    <w:rsid w:val="1B5C0D85"/>
    <w:rsid w:val="1BB52029"/>
    <w:rsid w:val="1BF078D2"/>
    <w:rsid w:val="1C063D93"/>
    <w:rsid w:val="1C2962A8"/>
    <w:rsid w:val="1C3F7586"/>
    <w:rsid w:val="1C4A412D"/>
    <w:rsid w:val="1C7E47A3"/>
    <w:rsid w:val="1CC7132A"/>
    <w:rsid w:val="1CFD0498"/>
    <w:rsid w:val="1D1207F7"/>
    <w:rsid w:val="1D344093"/>
    <w:rsid w:val="1D4D186C"/>
    <w:rsid w:val="1D5030CD"/>
    <w:rsid w:val="1D5413C7"/>
    <w:rsid w:val="1D83629B"/>
    <w:rsid w:val="1D8C2BA2"/>
    <w:rsid w:val="1DA67191"/>
    <w:rsid w:val="1DB12973"/>
    <w:rsid w:val="1DB444D0"/>
    <w:rsid w:val="1DCB3F1A"/>
    <w:rsid w:val="1DD957B9"/>
    <w:rsid w:val="1E1B192D"/>
    <w:rsid w:val="1E3E63DF"/>
    <w:rsid w:val="1E5722F6"/>
    <w:rsid w:val="1E5730FC"/>
    <w:rsid w:val="1E6949E2"/>
    <w:rsid w:val="1E7F5C92"/>
    <w:rsid w:val="1EF15918"/>
    <w:rsid w:val="1F0A7886"/>
    <w:rsid w:val="1F4869DC"/>
    <w:rsid w:val="1F7A4B88"/>
    <w:rsid w:val="1FBD3727"/>
    <w:rsid w:val="202A6557"/>
    <w:rsid w:val="20344F28"/>
    <w:rsid w:val="203B1E13"/>
    <w:rsid w:val="206B55FB"/>
    <w:rsid w:val="207E5FC2"/>
    <w:rsid w:val="20840D3C"/>
    <w:rsid w:val="208C52D0"/>
    <w:rsid w:val="20937653"/>
    <w:rsid w:val="20961596"/>
    <w:rsid w:val="20A07148"/>
    <w:rsid w:val="20BC7B42"/>
    <w:rsid w:val="20C21478"/>
    <w:rsid w:val="20F00339"/>
    <w:rsid w:val="20F85464"/>
    <w:rsid w:val="21026F3C"/>
    <w:rsid w:val="21555156"/>
    <w:rsid w:val="21584C46"/>
    <w:rsid w:val="21797FE0"/>
    <w:rsid w:val="21A42742"/>
    <w:rsid w:val="21AD4F92"/>
    <w:rsid w:val="21C1245D"/>
    <w:rsid w:val="21C319CB"/>
    <w:rsid w:val="21EF683D"/>
    <w:rsid w:val="21F401CC"/>
    <w:rsid w:val="220E51D3"/>
    <w:rsid w:val="22190CDB"/>
    <w:rsid w:val="223E3CFE"/>
    <w:rsid w:val="22535AE7"/>
    <w:rsid w:val="226E2973"/>
    <w:rsid w:val="22761872"/>
    <w:rsid w:val="22A9408B"/>
    <w:rsid w:val="22B353D0"/>
    <w:rsid w:val="22BD40F6"/>
    <w:rsid w:val="22C423FF"/>
    <w:rsid w:val="22CC58EC"/>
    <w:rsid w:val="22CE384A"/>
    <w:rsid w:val="22FC5EB0"/>
    <w:rsid w:val="230927B9"/>
    <w:rsid w:val="230A795F"/>
    <w:rsid w:val="232E186A"/>
    <w:rsid w:val="235A4CA6"/>
    <w:rsid w:val="237B4D93"/>
    <w:rsid w:val="238268C2"/>
    <w:rsid w:val="238725E9"/>
    <w:rsid w:val="23A17FAF"/>
    <w:rsid w:val="23A26F85"/>
    <w:rsid w:val="23A32C52"/>
    <w:rsid w:val="23B045A6"/>
    <w:rsid w:val="23B76CB9"/>
    <w:rsid w:val="23D520BC"/>
    <w:rsid w:val="23D5513C"/>
    <w:rsid w:val="23DC4E4F"/>
    <w:rsid w:val="23DE07DF"/>
    <w:rsid w:val="23F61699"/>
    <w:rsid w:val="2417657E"/>
    <w:rsid w:val="246572CD"/>
    <w:rsid w:val="24710A1A"/>
    <w:rsid w:val="24755A98"/>
    <w:rsid w:val="24763D61"/>
    <w:rsid w:val="24844972"/>
    <w:rsid w:val="24AD7057"/>
    <w:rsid w:val="24C34C47"/>
    <w:rsid w:val="24F00A6E"/>
    <w:rsid w:val="25056E93"/>
    <w:rsid w:val="252401CC"/>
    <w:rsid w:val="2524556B"/>
    <w:rsid w:val="25336B76"/>
    <w:rsid w:val="25347FF8"/>
    <w:rsid w:val="253D662D"/>
    <w:rsid w:val="254368AA"/>
    <w:rsid w:val="25530418"/>
    <w:rsid w:val="25897FF7"/>
    <w:rsid w:val="261F5D33"/>
    <w:rsid w:val="26376E0F"/>
    <w:rsid w:val="263F4518"/>
    <w:rsid w:val="266100B5"/>
    <w:rsid w:val="26636FEC"/>
    <w:rsid w:val="267A209E"/>
    <w:rsid w:val="26A12175"/>
    <w:rsid w:val="26B24DF9"/>
    <w:rsid w:val="271B474C"/>
    <w:rsid w:val="274E2D73"/>
    <w:rsid w:val="275B6273"/>
    <w:rsid w:val="277125BE"/>
    <w:rsid w:val="27E54B3B"/>
    <w:rsid w:val="28034597"/>
    <w:rsid w:val="282C063D"/>
    <w:rsid w:val="282C6802"/>
    <w:rsid w:val="285443B9"/>
    <w:rsid w:val="286345FC"/>
    <w:rsid w:val="287F5127"/>
    <w:rsid w:val="28AC7BC6"/>
    <w:rsid w:val="28FD2C0E"/>
    <w:rsid w:val="2921636A"/>
    <w:rsid w:val="292673D8"/>
    <w:rsid w:val="29714AF7"/>
    <w:rsid w:val="297A634C"/>
    <w:rsid w:val="297C1587"/>
    <w:rsid w:val="29982961"/>
    <w:rsid w:val="2A3B183E"/>
    <w:rsid w:val="2A5A6FCA"/>
    <w:rsid w:val="2A5E151F"/>
    <w:rsid w:val="2A892860"/>
    <w:rsid w:val="2AAB5DE7"/>
    <w:rsid w:val="2ABC70CB"/>
    <w:rsid w:val="2AD34EAC"/>
    <w:rsid w:val="2B137F45"/>
    <w:rsid w:val="2B243070"/>
    <w:rsid w:val="2B4B0963"/>
    <w:rsid w:val="2B561807"/>
    <w:rsid w:val="2B886128"/>
    <w:rsid w:val="2BB4516F"/>
    <w:rsid w:val="2BBA4914"/>
    <w:rsid w:val="2BF35D93"/>
    <w:rsid w:val="2C1C6592"/>
    <w:rsid w:val="2C3A38C6"/>
    <w:rsid w:val="2C687C92"/>
    <w:rsid w:val="2C7C3EDF"/>
    <w:rsid w:val="2C8417A1"/>
    <w:rsid w:val="2C866B0B"/>
    <w:rsid w:val="2C93522B"/>
    <w:rsid w:val="2CAA608D"/>
    <w:rsid w:val="2D2B4E6E"/>
    <w:rsid w:val="2D3C391E"/>
    <w:rsid w:val="2D60735C"/>
    <w:rsid w:val="2D9C722F"/>
    <w:rsid w:val="2DB77BDA"/>
    <w:rsid w:val="2DD83397"/>
    <w:rsid w:val="2DDF7DE3"/>
    <w:rsid w:val="2E736A2A"/>
    <w:rsid w:val="2E8621E7"/>
    <w:rsid w:val="2E972205"/>
    <w:rsid w:val="2EB37960"/>
    <w:rsid w:val="2EEE0998"/>
    <w:rsid w:val="2EEE3B4B"/>
    <w:rsid w:val="2F102635"/>
    <w:rsid w:val="2F1E38B7"/>
    <w:rsid w:val="2F6806E4"/>
    <w:rsid w:val="2F697D82"/>
    <w:rsid w:val="2F7D2448"/>
    <w:rsid w:val="2F7F5B8C"/>
    <w:rsid w:val="2FCD4E23"/>
    <w:rsid w:val="30075017"/>
    <w:rsid w:val="301461DC"/>
    <w:rsid w:val="3030597E"/>
    <w:rsid w:val="303E1027"/>
    <w:rsid w:val="306B6744"/>
    <w:rsid w:val="307D0C1A"/>
    <w:rsid w:val="30935850"/>
    <w:rsid w:val="309648B6"/>
    <w:rsid w:val="30A12843"/>
    <w:rsid w:val="31041FD3"/>
    <w:rsid w:val="31104DE3"/>
    <w:rsid w:val="31234621"/>
    <w:rsid w:val="31472781"/>
    <w:rsid w:val="317E7C24"/>
    <w:rsid w:val="31C105F3"/>
    <w:rsid w:val="31D2685A"/>
    <w:rsid w:val="31DA74B3"/>
    <w:rsid w:val="321572A0"/>
    <w:rsid w:val="32384F94"/>
    <w:rsid w:val="32501E61"/>
    <w:rsid w:val="3251196A"/>
    <w:rsid w:val="32851777"/>
    <w:rsid w:val="329365B2"/>
    <w:rsid w:val="32981347"/>
    <w:rsid w:val="32BE2789"/>
    <w:rsid w:val="32CE4C2D"/>
    <w:rsid w:val="32EC02DD"/>
    <w:rsid w:val="331A1D5C"/>
    <w:rsid w:val="33246948"/>
    <w:rsid w:val="33280C74"/>
    <w:rsid w:val="33367327"/>
    <w:rsid w:val="33896EE1"/>
    <w:rsid w:val="339C09C3"/>
    <w:rsid w:val="33B15D6C"/>
    <w:rsid w:val="33BB506F"/>
    <w:rsid w:val="33C04ECF"/>
    <w:rsid w:val="33C212A3"/>
    <w:rsid w:val="33F85154"/>
    <w:rsid w:val="33FB4E5D"/>
    <w:rsid w:val="34093853"/>
    <w:rsid w:val="346670F7"/>
    <w:rsid w:val="348537F5"/>
    <w:rsid w:val="34A915E9"/>
    <w:rsid w:val="34C72CA9"/>
    <w:rsid w:val="34E70363"/>
    <w:rsid w:val="34F33470"/>
    <w:rsid w:val="35957DBF"/>
    <w:rsid w:val="35B71AE4"/>
    <w:rsid w:val="35B879B7"/>
    <w:rsid w:val="35CD5351"/>
    <w:rsid w:val="35EB5C31"/>
    <w:rsid w:val="36366350"/>
    <w:rsid w:val="365075ED"/>
    <w:rsid w:val="36536F68"/>
    <w:rsid w:val="3659165B"/>
    <w:rsid w:val="36782E22"/>
    <w:rsid w:val="367A3339"/>
    <w:rsid w:val="36A146C1"/>
    <w:rsid w:val="36B81FB7"/>
    <w:rsid w:val="36C75C92"/>
    <w:rsid w:val="371F5276"/>
    <w:rsid w:val="374201BB"/>
    <w:rsid w:val="374A6DC6"/>
    <w:rsid w:val="374B4BD9"/>
    <w:rsid w:val="374F2020"/>
    <w:rsid w:val="375A5356"/>
    <w:rsid w:val="37793E64"/>
    <w:rsid w:val="37831245"/>
    <w:rsid w:val="378E1FD3"/>
    <w:rsid w:val="379936A8"/>
    <w:rsid w:val="37A107DE"/>
    <w:rsid w:val="37BC6D4E"/>
    <w:rsid w:val="37DD7646"/>
    <w:rsid w:val="37E031B5"/>
    <w:rsid w:val="37EA34C5"/>
    <w:rsid w:val="38057629"/>
    <w:rsid w:val="380B25BB"/>
    <w:rsid w:val="38160FF5"/>
    <w:rsid w:val="38434F14"/>
    <w:rsid w:val="38445F77"/>
    <w:rsid w:val="38455AEA"/>
    <w:rsid w:val="38A071A7"/>
    <w:rsid w:val="38E10229"/>
    <w:rsid w:val="38E20418"/>
    <w:rsid w:val="38E77ABC"/>
    <w:rsid w:val="38EB3252"/>
    <w:rsid w:val="38F8387B"/>
    <w:rsid w:val="38FE7A29"/>
    <w:rsid w:val="39073C7C"/>
    <w:rsid w:val="392915F4"/>
    <w:rsid w:val="3929791A"/>
    <w:rsid w:val="39641F82"/>
    <w:rsid w:val="39661726"/>
    <w:rsid w:val="39C16AC0"/>
    <w:rsid w:val="39C80763"/>
    <w:rsid w:val="39CE2A62"/>
    <w:rsid w:val="3A045513"/>
    <w:rsid w:val="3A1237CD"/>
    <w:rsid w:val="3A7461F5"/>
    <w:rsid w:val="3A824985"/>
    <w:rsid w:val="3AB02FA5"/>
    <w:rsid w:val="3ABC2AAD"/>
    <w:rsid w:val="3ACE3114"/>
    <w:rsid w:val="3AD84DFD"/>
    <w:rsid w:val="3B08098E"/>
    <w:rsid w:val="3B295232"/>
    <w:rsid w:val="3B6400EF"/>
    <w:rsid w:val="3B7625D0"/>
    <w:rsid w:val="3B783E17"/>
    <w:rsid w:val="3B7B609B"/>
    <w:rsid w:val="3B880B56"/>
    <w:rsid w:val="3BA719BA"/>
    <w:rsid w:val="3BD3393C"/>
    <w:rsid w:val="3BE473AB"/>
    <w:rsid w:val="3BF772E8"/>
    <w:rsid w:val="3C025A83"/>
    <w:rsid w:val="3C174309"/>
    <w:rsid w:val="3C211F67"/>
    <w:rsid w:val="3C266C56"/>
    <w:rsid w:val="3C4B567C"/>
    <w:rsid w:val="3C863A86"/>
    <w:rsid w:val="3CBE6DBA"/>
    <w:rsid w:val="3CD14CB5"/>
    <w:rsid w:val="3CD9271D"/>
    <w:rsid w:val="3CDB46FB"/>
    <w:rsid w:val="3CDC0F86"/>
    <w:rsid w:val="3D346110"/>
    <w:rsid w:val="3D3D38A9"/>
    <w:rsid w:val="3D3F2152"/>
    <w:rsid w:val="3D522DF4"/>
    <w:rsid w:val="3D7E0C18"/>
    <w:rsid w:val="3D7E4729"/>
    <w:rsid w:val="3D932E36"/>
    <w:rsid w:val="3DE05FE2"/>
    <w:rsid w:val="3DF06335"/>
    <w:rsid w:val="3E1026D9"/>
    <w:rsid w:val="3E1201FF"/>
    <w:rsid w:val="3E231E91"/>
    <w:rsid w:val="3E2F5544"/>
    <w:rsid w:val="3E30750E"/>
    <w:rsid w:val="3E42660A"/>
    <w:rsid w:val="3E69432C"/>
    <w:rsid w:val="3E6B1F14"/>
    <w:rsid w:val="3E820754"/>
    <w:rsid w:val="3E8C37C7"/>
    <w:rsid w:val="3EAB0ABA"/>
    <w:rsid w:val="3EAC257E"/>
    <w:rsid w:val="3EB13154"/>
    <w:rsid w:val="3EC46769"/>
    <w:rsid w:val="3EE1333F"/>
    <w:rsid w:val="3F1D7C44"/>
    <w:rsid w:val="3F312907"/>
    <w:rsid w:val="3F4343E8"/>
    <w:rsid w:val="3F790D39"/>
    <w:rsid w:val="3FA70E1B"/>
    <w:rsid w:val="4000052B"/>
    <w:rsid w:val="40025D9D"/>
    <w:rsid w:val="400A290B"/>
    <w:rsid w:val="401E4ED8"/>
    <w:rsid w:val="403B5BB6"/>
    <w:rsid w:val="403C55CC"/>
    <w:rsid w:val="403D0838"/>
    <w:rsid w:val="40442898"/>
    <w:rsid w:val="404C539D"/>
    <w:rsid w:val="404E1BDF"/>
    <w:rsid w:val="4055628F"/>
    <w:rsid w:val="406960D0"/>
    <w:rsid w:val="40970E8F"/>
    <w:rsid w:val="40D617E7"/>
    <w:rsid w:val="40D677AF"/>
    <w:rsid w:val="40DD01D1"/>
    <w:rsid w:val="40EE361F"/>
    <w:rsid w:val="41180EB3"/>
    <w:rsid w:val="411E541D"/>
    <w:rsid w:val="412635EC"/>
    <w:rsid w:val="412C782A"/>
    <w:rsid w:val="41527287"/>
    <w:rsid w:val="41577625"/>
    <w:rsid w:val="417E7512"/>
    <w:rsid w:val="41AA3FBE"/>
    <w:rsid w:val="41B27991"/>
    <w:rsid w:val="41DD1FDB"/>
    <w:rsid w:val="42042555"/>
    <w:rsid w:val="420E6F2F"/>
    <w:rsid w:val="4224148B"/>
    <w:rsid w:val="42430FD4"/>
    <w:rsid w:val="42503EF4"/>
    <w:rsid w:val="425828A0"/>
    <w:rsid w:val="426D634C"/>
    <w:rsid w:val="427712E5"/>
    <w:rsid w:val="42D33CD5"/>
    <w:rsid w:val="430D368B"/>
    <w:rsid w:val="434626F9"/>
    <w:rsid w:val="43DD5834"/>
    <w:rsid w:val="43F1554F"/>
    <w:rsid w:val="440451B3"/>
    <w:rsid w:val="440920A4"/>
    <w:rsid w:val="44251B63"/>
    <w:rsid w:val="443B7D84"/>
    <w:rsid w:val="44C3676C"/>
    <w:rsid w:val="44D472D9"/>
    <w:rsid w:val="44DD0E3B"/>
    <w:rsid w:val="44DD5769"/>
    <w:rsid w:val="44F82483"/>
    <w:rsid w:val="453E0C0C"/>
    <w:rsid w:val="453E7B2C"/>
    <w:rsid w:val="45700264"/>
    <w:rsid w:val="45BD3146"/>
    <w:rsid w:val="45CE076B"/>
    <w:rsid w:val="45D62F58"/>
    <w:rsid w:val="45E71F71"/>
    <w:rsid w:val="45F20460"/>
    <w:rsid w:val="469A733B"/>
    <w:rsid w:val="46A10CE8"/>
    <w:rsid w:val="46A14816"/>
    <w:rsid w:val="46F34C47"/>
    <w:rsid w:val="47230515"/>
    <w:rsid w:val="47405788"/>
    <w:rsid w:val="47843E8A"/>
    <w:rsid w:val="479B691A"/>
    <w:rsid w:val="47D02B6C"/>
    <w:rsid w:val="48041D1F"/>
    <w:rsid w:val="480C3F44"/>
    <w:rsid w:val="482B17DB"/>
    <w:rsid w:val="4856637F"/>
    <w:rsid w:val="48727C54"/>
    <w:rsid w:val="48861F15"/>
    <w:rsid w:val="48A2093B"/>
    <w:rsid w:val="48A3276A"/>
    <w:rsid w:val="48C372B1"/>
    <w:rsid w:val="48EB1D78"/>
    <w:rsid w:val="48F6071D"/>
    <w:rsid w:val="48F806CC"/>
    <w:rsid w:val="48F96A41"/>
    <w:rsid w:val="490C1CEF"/>
    <w:rsid w:val="49115557"/>
    <w:rsid w:val="492B0ED2"/>
    <w:rsid w:val="495A5131"/>
    <w:rsid w:val="496B2EB9"/>
    <w:rsid w:val="49746630"/>
    <w:rsid w:val="497628B2"/>
    <w:rsid w:val="498D4FA2"/>
    <w:rsid w:val="49BA1853"/>
    <w:rsid w:val="49C66341"/>
    <w:rsid w:val="49FC3B12"/>
    <w:rsid w:val="4A400A3B"/>
    <w:rsid w:val="4A506E95"/>
    <w:rsid w:val="4A8F1FBE"/>
    <w:rsid w:val="4AC27439"/>
    <w:rsid w:val="4ACC3E2B"/>
    <w:rsid w:val="4B075C29"/>
    <w:rsid w:val="4B0D06CC"/>
    <w:rsid w:val="4B1650A7"/>
    <w:rsid w:val="4B452A82"/>
    <w:rsid w:val="4B5546DA"/>
    <w:rsid w:val="4B5A4F93"/>
    <w:rsid w:val="4B5D6832"/>
    <w:rsid w:val="4B6A14D6"/>
    <w:rsid w:val="4B8E2BDF"/>
    <w:rsid w:val="4B900BE3"/>
    <w:rsid w:val="4BC32B39"/>
    <w:rsid w:val="4BEE16D1"/>
    <w:rsid w:val="4C0A4C0B"/>
    <w:rsid w:val="4C133CD2"/>
    <w:rsid w:val="4C321E33"/>
    <w:rsid w:val="4C581C06"/>
    <w:rsid w:val="4C9359CC"/>
    <w:rsid w:val="4C9461E1"/>
    <w:rsid w:val="4CA04DDB"/>
    <w:rsid w:val="4CAA6A9E"/>
    <w:rsid w:val="4CBE1A82"/>
    <w:rsid w:val="4CC02C8E"/>
    <w:rsid w:val="4CDB65A8"/>
    <w:rsid w:val="4CE736D4"/>
    <w:rsid w:val="4D01527F"/>
    <w:rsid w:val="4D0868DD"/>
    <w:rsid w:val="4D26037E"/>
    <w:rsid w:val="4D2D0C13"/>
    <w:rsid w:val="4D41465D"/>
    <w:rsid w:val="4D4C1910"/>
    <w:rsid w:val="4D654BD1"/>
    <w:rsid w:val="4D903A6C"/>
    <w:rsid w:val="4D95559D"/>
    <w:rsid w:val="4DA4699A"/>
    <w:rsid w:val="4DCC5402"/>
    <w:rsid w:val="4DD21F95"/>
    <w:rsid w:val="4DE31A22"/>
    <w:rsid w:val="4DED1978"/>
    <w:rsid w:val="4DEF40B9"/>
    <w:rsid w:val="4E0A0488"/>
    <w:rsid w:val="4E361CE8"/>
    <w:rsid w:val="4E3D6993"/>
    <w:rsid w:val="4E4878C9"/>
    <w:rsid w:val="4E6027EB"/>
    <w:rsid w:val="4E6632F3"/>
    <w:rsid w:val="4E685C19"/>
    <w:rsid w:val="4E920988"/>
    <w:rsid w:val="4E9574EC"/>
    <w:rsid w:val="4EB42325"/>
    <w:rsid w:val="4EB726FD"/>
    <w:rsid w:val="4ED379D5"/>
    <w:rsid w:val="4F4E4AEF"/>
    <w:rsid w:val="4F55619D"/>
    <w:rsid w:val="4F5A6A5D"/>
    <w:rsid w:val="4F624D5E"/>
    <w:rsid w:val="4F6D447A"/>
    <w:rsid w:val="4F951986"/>
    <w:rsid w:val="4F9E2270"/>
    <w:rsid w:val="4FB56C3C"/>
    <w:rsid w:val="4FD54C62"/>
    <w:rsid w:val="4FD83119"/>
    <w:rsid w:val="4FD96448"/>
    <w:rsid w:val="500260AA"/>
    <w:rsid w:val="5035213F"/>
    <w:rsid w:val="507C3BFE"/>
    <w:rsid w:val="508C2093"/>
    <w:rsid w:val="508F1819"/>
    <w:rsid w:val="50B45146"/>
    <w:rsid w:val="50C555A5"/>
    <w:rsid w:val="50FF76B9"/>
    <w:rsid w:val="51063212"/>
    <w:rsid w:val="514A7858"/>
    <w:rsid w:val="51586419"/>
    <w:rsid w:val="5183799A"/>
    <w:rsid w:val="5187463F"/>
    <w:rsid w:val="518841DB"/>
    <w:rsid w:val="51B756E0"/>
    <w:rsid w:val="51DC755B"/>
    <w:rsid w:val="5200380D"/>
    <w:rsid w:val="520763A7"/>
    <w:rsid w:val="52081BED"/>
    <w:rsid w:val="521E25E6"/>
    <w:rsid w:val="52472E7F"/>
    <w:rsid w:val="524B7FAC"/>
    <w:rsid w:val="52620E3E"/>
    <w:rsid w:val="52934B86"/>
    <w:rsid w:val="52CF3353"/>
    <w:rsid w:val="52F520DA"/>
    <w:rsid w:val="530A7ABB"/>
    <w:rsid w:val="5338074B"/>
    <w:rsid w:val="533F14BF"/>
    <w:rsid w:val="535837C3"/>
    <w:rsid w:val="535A0650"/>
    <w:rsid w:val="536A3C6A"/>
    <w:rsid w:val="53F1220D"/>
    <w:rsid w:val="542E6144"/>
    <w:rsid w:val="543A1709"/>
    <w:rsid w:val="546B1FBF"/>
    <w:rsid w:val="548D5831"/>
    <w:rsid w:val="54FE1085"/>
    <w:rsid w:val="551B5793"/>
    <w:rsid w:val="554A7DEE"/>
    <w:rsid w:val="55767EF4"/>
    <w:rsid w:val="557C1FAA"/>
    <w:rsid w:val="55917EE5"/>
    <w:rsid w:val="5595227E"/>
    <w:rsid w:val="55A96818"/>
    <w:rsid w:val="55C94A55"/>
    <w:rsid w:val="55CE0A58"/>
    <w:rsid w:val="55F54236"/>
    <w:rsid w:val="56095F34"/>
    <w:rsid w:val="561B3EE4"/>
    <w:rsid w:val="562A1B91"/>
    <w:rsid w:val="56717635"/>
    <w:rsid w:val="567535C9"/>
    <w:rsid w:val="56CF2CD9"/>
    <w:rsid w:val="56DD39B2"/>
    <w:rsid w:val="56FB0201"/>
    <w:rsid w:val="570B49C7"/>
    <w:rsid w:val="57236B81"/>
    <w:rsid w:val="573A0E33"/>
    <w:rsid w:val="57506CEA"/>
    <w:rsid w:val="57E8668B"/>
    <w:rsid w:val="5803001C"/>
    <w:rsid w:val="583265D2"/>
    <w:rsid w:val="5850568B"/>
    <w:rsid w:val="58535244"/>
    <w:rsid w:val="587A0A23"/>
    <w:rsid w:val="58CA767E"/>
    <w:rsid w:val="58D2056D"/>
    <w:rsid w:val="58D579C3"/>
    <w:rsid w:val="58D8361D"/>
    <w:rsid w:val="58DF1EFB"/>
    <w:rsid w:val="58EC019D"/>
    <w:rsid w:val="58F40CFE"/>
    <w:rsid w:val="5907359A"/>
    <w:rsid w:val="591E7FF9"/>
    <w:rsid w:val="59407EBE"/>
    <w:rsid w:val="595A3223"/>
    <w:rsid w:val="59636255"/>
    <w:rsid w:val="59703522"/>
    <w:rsid w:val="598103F1"/>
    <w:rsid w:val="59B241EC"/>
    <w:rsid w:val="59B73558"/>
    <w:rsid w:val="59B85CA7"/>
    <w:rsid w:val="59C81BB2"/>
    <w:rsid w:val="59C92FDA"/>
    <w:rsid w:val="59F40C9E"/>
    <w:rsid w:val="5A194AA6"/>
    <w:rsid w:val="5A2C3F9F"/>
    <w:rsid w:val="5A3262DB"/>
    <w:rsid w:val="5A3317D1"/>
    <w:rsid w:val="5A3E33CC"/>
    <w:rsid w:val="5A8B5169"/>
    <w:rsid w:val="5AEA2B03"/>
    <w:rsid w:val="5AEF641B"/>
    <w:rsid w:val="5AF300C2"/>
    <w:rsid w:val="5B035B2A"/>
    <w:rsid w:val="5B2D7FCE"/>
    <w:rsid w:val="5B2E4D5B"/>
    <w:rsid w:val="5B307306"/>
    <w:rsid w:val="5B322F27"/>
    <w:rsid w:val="5B38250B"/>
    <w:rsid w:val="5B4E6197"/>
    <w:rsid w:val="5B5C286F"/>
    <w:rsid w:val="5B8D3163"/>
    <w:rsid w:val="5BAC28E5"/>
    <w:rsid w:val="5BAF0BD6"/>
    <w:rsid w:val="5BC53F6F"/>
    <w:rsid w:val="5BD76381"/>
    <w:rsid w:val="5BEA0E73"/>
    <w:rsid w:val="5BEA4111"/>
    <w:rsid w:val="5C036F81"/>
    <w:rsid w:val="5C115245"/>
    <w:rsid w:val="5C271C08"/>
    <w:rsid w:val="5C3830CF"/>
    <w:rsid w:val="5C45759A"/>
    <w:rsid w:val="5C471564"/>
    <w:rsid w:val="5C4D2A64"/>
    <w:rsid w:val="5C7D4C3B"/>
    <w:rsid w:val="5C7F2B2C"/>
    <w:rsid w:val="5C846314"/>
    <w:rsid w:val="5C8A2C05"/>
    <w:rsid w:val="5CAD58EB"/>
    <w:rsid w:val="5CBD2518"/>
    <w:rsid w:val="5CD06273"/>
    <w:rsid w:val="5D804D2D"/>
    <w:rsid w:val="5D8165A3"/>
    <w:rsid w:val="5D83037A"/>
    <w:rsid w:val="5D8F31C2"/>
    <w:rsid w:val="5D911D76"/>
    <w:rsid w:val="5D962A9B"/>
    <w:rsid w:val="5DCD3660"/>
    <w:rsid w:val="5DD315E0"/>
    <w:rsid w:val="5DE23467"/>
    <w:rsid w:val="5E0F4699"/>
    <w:rsid w:val="5E1D26F2"/>
    <w:rsid w:val="5E231B5D"/>
    <w:rsid w:val="5E465887"/>
    <w:rsid w:val="5E4C4C10"/>
    <w:rsid w:val="5E6A7C04"/>
    <w:rsid w:val="5EB629D1"/>
    <w:rsid w:val="5EC4727E"/>
    <w:rsid w:val="5EDF1704"/>
    <w:rsid w:val="5F530EBF"/>
    <w:rsid w:val="5F5C4CB0"/>
    <w:rsid w:val="5F5C5326"/>
    <w:rsid w:val="5FD61739"/>
    <w:rsid w:val="5FF67529"/>
    <w:rsid w:val="60236523"/>
    <w:rsid w:val="604D1DE8"/>
    <w:rsid w:val="6065307F"/>
    <w:rsid w:val="60A725D1"/>
    <w:rsid w:val="61132083"/>
    <w:rsid w:val="61173B9B"/>
    <w:rsid w:val="611B4D6D"/>
    <w:rsid w:val="614B38A4"/>
    <w:rsid w:val="61C24B2E"/>
    <w:rsid w:val="61C775DF"/>
    <w:rsid w:val="61CB24BE"/>
    <w:rsid w:val="61CD4255"/>
    <w:rsid w:val="62225C2A"/>
    <w:rsid w:val="624961BF"/>
    <w:rsid w:val="624B6468"/>
    <w:rsid w:val="625D6D0A"/>
    <w:rsid w:val="6265150F"/>
    <w:rsid w:val="626E3F5C"/>
    <w:rsid w:val="62804CAC"/>
    <w:rsid w:val="63610CD4"/>
    <w:rsid w:val="63716EC6"/>
    <w:rsid w:val="639D28FF"/>
    <w:rsid w:val="63FE6114"/>
    <w:rsid w:val="64027860"/>
    <w:rsid w:val="64296D8E"/>
    <w:rsid w:val="642F2FDE"/>
    <w:rsid w:val="643B6113"/>
    <w:rsid w:val="64405857"/>
    <w:rsid w:val="64440F94"/>
    <w:rsid w:val="64517D75"/>
    <w:rsid w:val="645D231D"/>
    <w:rsid w:val="64636AF7"/>
    <w:rsid w:val="646A4041"/>
    <w:rsid w:val="64BD1B0D"/>
    <w:rsid w:val="64D24668"/>
    <w:rsid w:val="64DA5BBF"/>
    <w:rsid w:val="64DB5EA7"/>
    <w:rsid w:val="64DD4813"/>
    <w:rsid w:val="64DE6065"/>
    <w:rsid w:val="64F25DE5"/>
    <w:rsid w:val="65036CDA"/>
    <w:rsid w:val="650F6997"/>
    <w:rsid w:val="65385C45"/>
    <w:rsid w:val="6554269C"/>
    <w:rsid w:val="65646CE3"/>
    <w:rsid w:val="656839B7"/>
    <w:rsid w:val="6577276D"/>
    <w:rsid w:val="657B681A"/>
    <w:rsid w:val="657E3614"/>
    <w:rsid w:val="658610B2"/>
    <w:rsid w:val="65914502"/>
    <w:rsid w:val="65B6516D"/>
    <w:rsid w:val="65DC5124"/>
    <w:rsid w:val="660D1128"/>
    <w:rsid w:val="660E5E05"/>
    <w:rsid w:val="663F5825"/>
    <w:rsid w:val="6685798F"/>
    <w:rsid w:val="66963085"/>
    <w:rsid w:val="66A15A5F"/>
    <w:rsid w:val="671C2E2E"/>
    <w:rsid w:val="671C7E56"/>
    <w:rsid w:val="674255DD"/>
    <w:rsid w:val="675F2FE9"/>
    <w:rsid w:val="676B6A56"/>
    <w:rsid w:val="677772D0"/>
    <w:rsid w:val="67887F81"/>
    <w:rsid w:val="67C95196"/>
    <w:rsid w:val="67F85C34"/>
    <w:rsid w:val="68745C0C"/>
    <w:rsid w:val="68784853"/>
    <w:rsid w:val="68786042"/>
    <w:rsid w:val="68790962"/>
    <w:rsid w:val="697B64F1"/>
    <w:rsid w:val="69A1657C"/>
    <w:rsid w:val="69DB32EB"/>
    <w:rsid w:val="69F60D3D"/>
    <w:rsid w:val="6A064A64"/>
    <w:rsid w:val="6A1E3266"/>
    <w:rsid w:val="6A436476"/>
    <w:rsid w:val="6A552E93"/>
    <w:rsid w:val="6A5A3C3D"/>
    <w:rsid w:val="6A76032B"/>
    <w:rsid w:val="6A9E3ED2"/>
    <w:rsid w:val="6ABC528D"/>
    <w:rsid w:val="6ABE7BE0"/>
    <w:rsid w:val="6ACA7EE2"/>
    <w:rsid w:val="6B0F149F"/>
    <w:rsid w:val="6B1F5142"/>
    <w:rsid w:val="6B2E02FC"/>
    <w:rsid w:val="6B4C3700"/>
    <w:rsid w:val="6B6417B7"/>
    <w:rsid w:val="6B650C2F"/>
    <w:rsid w:val="6B6F018F"/>
    <w:rsid w:val="6B8930F1"/>
    <w:rsid w:val="6B8F70A0"/>
    <w:rsid w:val="6B911940"/>
    <w:rsid w:val="6BC30444"/>
    <w:rsid w:val="6BD9192D"/>
    <w:rsid w:val="6BEC5795"/>
    <w:rsid w:val="6C0A5C12"/>
    <w:rsid w:val="6C3105A3"/>
    <w:rsid w:val="6C316E04"/>
    <w:rsid w:val="6C8112B5"/>
    <w:rsid w:val="6C8C10E3"/>
    <w:rsid w:val="6C8D6F24"/>
    <w:rsid w:val="6CC33166"/>
    <w:rsid w:val="6CC62031"/>
    <w:rsid w:val="6D190549"/>
    <w:rsid w:val="6D3E42BD"/>
    <w:rsid w:val="6D3F4977"/>
    <w:rsid w:val="6D55276C"/>
    <w:rsid w:val="6D6C5E86"/>
    <w:rsid w:val="6D711B6D"/>
    <w:rsid w:val="6D7F280E"/>
    <w:rsid w:val="6D9C5158"/>
    <w:rsid w:val="6DDB6404"/>
    <w:rsid w:val="6E1B3248"/>
    <w:rsid w:val="6E287196"/>
    <w:rsid w:val="6E3556F3"/>
    <w:rsid w:val="6E384733"/>
    <w:rsid w:val="6E510020"/>
    <w:rsid w:val="6E771F94"/>
    <w:rsid w:val="6EB00CB6"/>
    <w:rsid w:val="6EC41959"/>
    <w:rsid w:val="6F0423F8"/>
    <w:rsid w:val="6F1D10D4"/>
    <w:rsid w:val="6F23376B"/>
    <w:rsid w:val="6F310A3F"/>
    <w:rsid w:val="6FA86999"/>
    <w:rsid w:val="6FAA1203"/>
    <w:rsid w:val="6FB73A1A"/>
    <w:rsid w:val="6FC0545D"/>
    <w:rsid w:val="6FC50694"/>
    <w:rsid w:val="706E0FBD"/>
    <w:rsid w:val="707E7966"/>
    <w:rsid w:val="70817FC6"/>
    <w:rsid w:val="70967F6C"/>
    <w:rsid w:val="70A94320"/>
    <w:rsid w:val="70B65C17"/>
    <w:rsid w:val="70B71B5A"/>
    <w:rsid w:val="70D0428E"/>
    <w:rsid w:val="71122145"/>
    <w:rsid w:val="713A7AC9"/>
    <w:rsid w:val="714329A8"/>
    <w:rsid w:val="7148696E"/>
    <w:rsid w:val="718F04B8"/>
    <w:rsid w:val="71905021"/>
    <w:rsid w:val="71A23E96"/>
    <w:rsid w:val="71C01161"/>
    <w:rsid w:val="71DD0448"/>
    <w:rsid w:val="71EF2577"/>
    <w:rsid w:val="724B39D4"/>
    <w:rsid w:val="724D0AFE"/>
    <w:rsid w:val="726056E6"/>
    <w:rsid w:val="726154A4"/>
    <w:rsid w:val="72CB5037"/>
    <w:rsid w:val="72CC236B"/>
    <w:rsid w:val="73610E3A"/>
    <w:rsid w:val="736716D0"/>
    <w:rsid w:val="736A6CF5"/>
    <w:rsid w:val="737603F7"/>
    <w:rsid w:val="737B4DC5"/>
    <w:rsid w:val="73DC1B41"/>
    <w:rsid w:val="7418622C"/>
    <w:rsid w:val="741F2E92"/>
    <w:rsid w:val="744B6108"/>
    <w:rsid w:val="74680ED0"/>
    <w:rsid w:val="747355C8"/>
    <w:rsid w:val="74DE3FE1"/>
    <w:rsid w:val="75112E2B"/>
    <w:rsid w:val="751B4EE4"/>
    <w:rsid w:val="751C0A23"/>
    <w:rsid w:val="753366D1"/>
    <w:rsid w:val="754C4F04"/>
    <w:rsid w:val="756E7040"/>
    <w:rsid w:val="75897B79"/>
    <w:rsid w:val="758B4D14"/>
    <w:rsid w:val="759929D8"/>
    <w:rsid w:val="75DC45F5"/>
    <w:rsid w:val="75E136F5"/>
    <w:rsid w:val="75E96D9A"/>
    <w:rsid w:val="75F145C2"/>
    <w:rsid w:val="76020944"/>
    <w:rsid w:val="76257A94"/>
    <w:rsid w:val="76345020"/>
    <w:rsid w:val="76353AE4"/>
    <w:rsid w:val="764052D8"/>
    <w:rsid w:val="76421183"/>
    <w:rsid w:val="765D5473"/>
    <w:rsid w:val="767368FD"/>
    <w:rsid w:val="76783410"/>
    <w:rsid w:val="767D5CD1"/>
    <w:rsid w:val="76897ADF"/>
    <w:rsid w:val="76D637B8"/>
    <w:rsid w:val="76EF28E4"/>
    <w:rsid w:val="76FF2D0F"/>
    <w:rsid w:val="77187BC5"/>
    <w:rsid w:val="77242776"/>
    <w:rsid w:val="77286F9E"/>
    <w:rsid w:val="773875A2"/>
    <w:rsid w:val="77843214"/>
    <w:rsid w:val="77900902"/>
    <w:rsid w:val="77E50844"/>
    <w:rsid w:val="781A14B0"/>
    <w:rsid w:val="781F60D2"/>
    <w:rsid w:val="7831514A"/>
    <w:rsid w:val="78372989"/>
    <w:rsid w:val="78483DDA"/>
    <w:rsid w:val="78600A69"/>
    <w:rsid w:val="78670B6C"/>
    <w:rsid w:val="78804BB1"/>
    <w:rsid w:val="788D0D17"/>
    <w:rsid w:val="789E1115"/>
    <w:rsid w:val="78F9378E"/>
    <w:rsid w:val="78FB12B4"/>
    <w:rsid w:val="79104B30"/>
    <w:rsid w:val="79154BFA"/>
    <w:rsid w:val="794C7D62"/>
    <w:rsid w:val="797D0E7C"/>
    <w:rsid w:val="798071AD"/>
    <w:rsid w:val="79A731EA"/>
    <w:rsid w:val="79E302C7"/>
    <w:rsid w:val="79FA50A4"/>
    <w:rsid w:val="7A224F34"/>
    <w:rsid w:val="7A3B0172"/>
    <w:rsid w:val="7A550329"/>
    <w:rsid w:val="7A6509A4"/>
    <w:rsid w:val="7A9751FA"/>
    <w:rsid w:val="7A992776"/>
    <w:rsid w:val="7A995229"/>
    <w:rsid w:val="7AA76304"/>
    <w:rsid w:val="7AAB138A"/>
    <w:rsid w:val="7AFF6892"/>
    <w:rsid w:val="7B161304"/>
    <w:rsid w:val="7B212FF2"/>
    <w:rsid w:val="7B2323D0"/>
    <w:rsid w:val="7B241E85"/>
    <w:rsid w:val="7B437F8C"/>
    <w:rsid w:val="7B5A7B6A"/>
    <w:rsid w:val="7B707D38"/>
    <w:rsid w:val="7B817053"/>
    <w:rsid w:val="7B902188"/>
    <w:rsid w:val="7BAE6AB2"/>
    <w:rsid w:val="7BDD2EF3"/>
    <w:rsid w:val="7BE820AF"/>
    <w:rsid w:val="7BF42363"/>
    <w:rsid w:val="7C0F7407"/>
    <w:rsid w:val="7C1A0906"/>
    <w:rsid w:val="7C264B61"/>
    <w:rsid w:val="7C277F07"/>
    <w:rsid w:val="7C411EF2"/>
    <w:rsid w:val="7C8F6DA1"/>
    <w:rsid w:val="7CA771C1"/>
    <w:rsid w:val="7CF759ED"/>
    <w:rsid w:val="7D172FED"/>
    <w:rsid w:val="7D1B3071"/>
    <w:rsid w:val="7D2D492B"/>
    <w:rsid w:val="7D464F5E"/>
    <w:rsid w:val="7D692C90"/>
    <w:rsid w:val="7D7515C6"/>
    <w:rsid w:val="7D76081B"/>
    <w:rsid w:val="7D7F360E"/>
    <w:rsid w:val="7E2D0162"/>
    <w:rsid w:val="7E3647B6"/>
    <w:rsid w:val="7E407618"/>
    <w:rsid w:val="7E410AAE"/>
    <w:rsid w:val="7E4D05A2"/>
    <w:rsid w:val="7E604F51"/>
    <w:rsid w:val="7E7C4C45"/>
    <w:rsid w:val="7E8152D2"/>
    <w:rsid w:val="7ECB178A"/>
    <w:rsid w:val="7ECB7AAE"/>
    <w:rsid w:val="7ECC4224"/>
    <w:rsid w:val="7ECE35CD"/>
    <w:rsid w:val="7ED06D3F"/>
    <w:rsid w:val="7EDC0305"/>
    <w:rsid w:val="7F104888"/>
    <w:rsid w:val="7F64263C"/>
    <w:rsid w:val="7FBC5C32"/>
    <w:rsid w:val="7FF832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spacing w:line="360" w:lineRule="auto"/>
      <w:outlineLvl w:val="0"/>
    </w:pPr>
    <w:rPr>
      <w:rFonts w:ascii="宋体" w:hAnsi="宋体" w:cs="宋体"/>
      <w:b/>
      <w:bCs/>
      <w:sz w:val="32"/>
      <w:szCs w:val="32"/>
      <w:lang w:eastAsia="en-US"/>
    </w:rPr>
  </w:style>
  <w:style w:type="paragraph" w:styleId="3">
    <w:name w:val="heading 2"/>
    <w:basedOn w:val="1"/>
    <w:next w:val="1"/>
    <w:link w:val="20"/>
    <w:unhideWhenUsed/>
    <w:qFormat/>
    <w:uiPriority w:val="0"/>
    <w:pPr>
      <w:keepNext/>
      <w:keepLines/>
      <w:tabs>
        <w:tab w:val="left" w:pos="425"/>
      </w:tabs>
      <w:spacing w:before="30" w:beforeLines="30" w:after="30" w:afterLines="30" w:line="360" w:lineRule="auto"/>
      <w:ind w:left="573" w:hanging="573"/>
      <w:outlineLvl w:val="1"/>
    </w:pPr>
    <w:rPr>
      <w:b/>
      <w:kern w:val="0"/>
      <w:sz w:val="32"/>
    </w:rPr>
  </w:style>
  <w:style w:type="paragraph" w:styleId="4">
    <w:name w:val="heading 3"/>
    <w:basedOn w:val="1"/>
    <w:next w:val="1"/>
    <w:link w:val="35"/>
    <w:unhideWhenUsed/>
    <w:qFormat/>
    <w:uiPriority w:val="0"/>
    <w:pPr>
      <w:keepNext/>
      <w:keepLines/>
      <w:spacing w:before="30" w:beforeLines="30" w:after="30" w:afterLines="30" w:line="360" w:lineRule="auto"/>
      <w:jc w:val="left"/>
      <w:outlineLvl w:val="2"/>
    </w:pPr>
    <w:rPr>
      <w:b/>
      <w:kern w:val="0"/>
      <w:sz w:val="30"/>
    </w:rPr>
  </w:style>
  <w:style w:type="paragraph" w:styleId="5">
    <w:name w:val="heading 4"/>
    <w:basedOn w:val="1"/>
    <w:next w:val="1"/>
    <w:unhideWhenUsed/>
    <w:qFormat/>
    <w:uiPriority w:val="0"/>
    <w:pPr>
      <w:keepNext/>
      <w:keepLines/>
      <w:spacing w:line="360" w:lineRule="auto"/>
      <w:jc w:val="left"/>
      <w:outlineLvl w:val="3"/>
    </w:pPr>
    <w:rPr>
      <w:rFonts w:ascii="Arial" w:hAnsi="Arial"/>
      <w:b/>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unhideWhenUsed/>
    <w:qFormat/>
    <w:uiPriority w:val="99"/>
    <w:pPr>
      <w:ind w:firstLine="420" w:firstLineChars="200"/>
    </w:pPr>
    <w:rPr>
      <w:rFonts w:ascii="Calibri" w:eastAsia="宋体"/>
      <w:sz w:val="21"/>
      <w:szCs w:val="22"/>
    </w:rPr>
  </w:style>
  <w:style w:type="paragraph" w:styleId="8">
    <w:name w:val="annotation text"/>
    <w:basedOn w:val="1"/>
    <w:link w:val="46"/>
    <w:qFormat/>
    <w:uiPriority w:val="0"/>
    <w:pPr>
      <w:jc w:val="left"/>
    </w:pPr>
  </w:style>
  <w:style w:type="paragraph" w:styleId="9">
    <w:name w:val="Body Text"/>
    <w:basedOn w:val="1"/>
    <w:qFormat/>
    <w:uiPriority w:val="0"/>
    <w:pPr>
      <w:spacing w:after="120"/>
    </w:pPr>
  </w:style>
  <w:style w:type="paragraph" w:styleId="10">
    <w:name w:val="Body Text Indent"/>
    <w:basedOn w:val="1"/>
    <w:qFormat/>
    <w:uiPriority w:val="0"/>
    <w:pPr>
      <w:spacing w:line="360" w:lineRule="auto"/>
      <w:ind w:firstLine="420"/>
    </w:pPr>
    <w:rPr>
      <w:rFonts w:ascii="宋体" w:hAnsi="宋体"/>
      <w:sz w:val="24"/>
    </w:rPr>
  </w:style>
  <w:style w:type="paragraph" w:styleId="11">
    <w:name w:val="Balloon Text"/>
    <w:basedOn w:val="1"/>
    <w:link w:val="48"/>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itle"/>
    <w:basedOn w:val="1"/>
    <w:next w:val="1"/>
    <w:qFormat/>
    <w:uiPriority w:val="0"/>
    <w:pPr>
      <w:spacing w:before="240" w:after="60"/>
      <w:jc w:val="center"/>
      <w:outlineLvl w:val="0"/>
    </w:pPr>
    <w:rPr>
      <w:rFonts w:ascii="Cambria" w:hAnsi="Cambria" w:eastAsia="方正小标宋简体"/>
      <w:bCs/>
      <w:spacing w:val="0"/>
      <w:kern w:val="0"/>
      <w:sz w:val="36"/>
      <w:szCs w:val="32"/>
    </w:rPr>
  </w:style>
  <w:style w:type="paragraph" w:styleId="15">
    <w:name w:val="annotation subject"/>
    <w:basedOn w:val="8"/>
    <w:next w:val="8"/>
    <w:link w:val="47"/>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annotation reference"/>
    <w:basedOn w:val="18"/>
    <w:qFormat/>
    <w:uiPriority w:val="0"/>
    <w:rPr>
      <w:sz w:val="21"/>
      <w:szCs w:val="21"/>
    </w:rPr>
  </w:style>
  <w:style w:type="character" w:customStyle="1" w:styleId="20">
    <w:name w:val="标题 2 Char"/>
    <w:link w:val="3"/>
    <w:qFormat/>
    <w:uiPriority w:val="0"/>
    <w:rPr>
      <w:rFonts w:ascii="Times New Roman" w:hAnsi="Times New Roman" w:eastAsia="宋体" w:cs="宋体"/>
      <w:b/>
      <w:bCs/>
      <w:kern w:val="2"/>
      <w:sz w:val="28"/>
      <w:szCs w:val="32"/>
      <w:lang w:val="en-US" w:eastAsia="en-US" w:bidi="ar-SA"/>
    </w:rPr>
  </w:style>
  <w:style w:type="paragraph" w:customStyle="1" w:styleId="21">
    <w:name w:val="表头（小四）"/>
    <w:basedOn w:val="1"/>
    <w:qFormat/>
    <w:uiPriority w:val="0"/>
    <w:pPr>
      <w:spacing w:line="360" w:lineRule="auto"/>
      <w:jc w:val="center"/>
    </w:pPr>
    <w:rPr>
      <w:rFonts w:ascii="宋体" w:hAnsi="宋体" w:cs="宋体"/>
      <w:b/>
      <w:color w:val="000000"/>
      <w:sz w:val="24"/>
      <w:szCs w:val="28"/>
      <w:lang w:val="zh-TW" w:eastAsia="zh-TW" w:bidi="zh-TW"/>
    </w:rPr>
  </w:style>
  <w:style w:type="paragraph" w:customStyle="1" w:styleId="22">
    <w:name w:val="1正文（小四）"/>
    <w:basedOn w:val="1"/>
    <w:qFormat/>
    <w:uiPriority w:val="0"/>
    <w:pPr>
      <w:spacing w:line="360" w:lineRule="auto"/>
      <w:ind w:firstLine="643" w:firstLineChars="200"/>
    </w:pPr>
    <w:rPr>
      <w:rFonts w:ascii="Calibri" w:hAnsi="Calibri"/>
      <w:sz w:val="24"/>
    </w:rPr>
  </w:style>
  <w:style w:type="paragraph" w:customStyle="1" w:styleId="23">
    <w:name w:val="1表格（5宋）"/>
    <w:basedOn w:val="1"/>
    <w:next w:val="1"/>
    <w:qFormat/>
    <w:uiPriority w:val="0"/>
    <w:pPr>
      <w:keepNext/>
      <w:keepLines/>
      <w:numPr>
        <w:ilvl w:val="0"/>
        <w:numId w:val="1"/>
      </w:numPr>
      <w:spacing w:before="340" w:after="330" w:line="360" w:lineRule="auto"/>
      <w:jc w:val="center"/>
      <w:outlineLvl w:val="0"/>
    </w:pPr>
    <w:rPr>
      <w:rFonts w:ascii="Calibri" w:hAnsi="Calibri"/>
      <w:b/>
      <w:kern w:val="44"/>
    </w:rPr>
  </w:style>
  <w:style w:type="paragraph" w:customStyle="1" w:styleId="24">
    <w:name w:val="文件副标题"/>
    <w:basedOn w:val="1"/>
    <w:qFormat/>
    <w:uiPriority w:val="0"/>
    <w:pPr>
      <w:spacing w:line="360" w:lineRule="auto"/>
      <w:jc w:val="center"/>
    </w:pPr>
    <w:rPr>
      <w:rFonts w:ascii="Calibri" w:hAnsi="Calibri" w:eastAsia="仿宋_GB2312"/>
      <w:b/>
      <w:sz w:val="32"/>
    </w:rPr>
  </w:style>
  <w:style w:type="paragraph" w:customStyle="1" w:styleId="25">
    <w:name w:val="文件标题"/>
    <w:basedOn w:val="1"/>
    <w:qFormat/>
    <w:uiPriority w:val="0"/>
    <w:pPr>
      <w:spacing w:line="360" w:lineRule="auto"/>
      <w:jc w:val="center"/>
    </w:pPr>
    <w:rPr>
      <w:rFonts w:ascii="Calibri" w:hAnsi="Calibri"/>
      <w:b/>
      <w:sz w:val="44"/>
    </w:rPr>
  </w:style>
  <w:style w:type="paragraph" w:customStyle="1" w:styleId="26">
    <w:name w:val="成文日期"/>
    <w:basedOn w:val="1"/>
    <w:qFormat/>
    <w:uiPriority w:val="0"/>
    <w:rPr>
      <w:rFonts w:ascii="Calibri" w:hAnsi="Calibri" w:eastAsia="楷体"/>
      <w:sz w:val="32"/>
    </w:rPr>
  </w:style>
  <w:style w:type="paragraph" w:customStyle="1" w:styleId="27">
    <w:name w:val="1表头（小四）"/>
    <w:basedOn w:val="1"/>
    <w:qFormat/>
    <w:uiPriority w:val="0"/>
    <w:pPr>
      <w:spacing w:line="360" w:lineRule="auto"/>
      <w:jc w:val="center"/>
    </w:pPr>
    <w:rPr>
      <w:rFonts w:ascii="宋体" w:hAnsi="宋体" w:cs="宋体"/>
      <w:b/>
      <w:color w:val="000000"/>
      <w:sz w:val="24"/>
      <w:szCs w:val="28"/>
      <w:lang w:val="zh-TW" w:eastAsia="zh-TW" w:bidi="zh-TW"/>
    </w:rPr>
  </w:style>
  <w:style w:type="paragraph" w:customStyle="1" w:styleId="28">
    <w:name w:val="1表格（5宋.）"/>
    <w:basedOn w:val="1"/>
    <w:qFormat/>
    <w:uiPriority w:val="0"/>
    <w:pPr>
      <w:jc w:val="center"/>
    </w:pPr>
    <w:rPr>
      <w:rFonts w:ascii="宋体" w:hAnsi="宋体" w:cs="宋体"/>
      <w:color w:val="000000"/>
      <w:szCs w:val="22"/>
      <w:lang w:val="zh-TW" w:eastAsia="zh-TW" w:bidi="zh-TW"/>
    </w:rPr>
  </w:style>
  <w:style w:type="paragraph" w:customStyle="1" w:styleId="29">
    <w:name w:val="图头"/>
    <w:basedOn w:val="1"/>
    <w:qFormat/>
    <w:uiPriority w:val="0"/>
    <w:pPr>
      <w:jc w:val="center"/>
    </w:pPr>
    <w:rPr>
      <w:rFonts w:ascii="Calibri" w:hAnsi="Calibri"/>
      <w:b/>
      <w:sz w:val="24"/>
    </w:rPr>
  </w:style>
  <w:style w:type="paragraph" w:customStyle="1" w:styleId="30">
    <w:name w:val="（环评）正文（小四）"/>
    <w:basedOn w:val="1"/>
    <w:link w:val="31"/>
    <w:qFormat/>
    <w:uiPriority w:val="0"/>
    <w:pPr>
      <w:spacing w:line="360" w:lineRule="auto"/>
      <w:ind w:firstLine="643" w:firstLineChars="200"/>
    </w:pPr>
    <w:rPr>
      <w:rFonts w:ascii="Calibri" w:hAnsi="Calibri"/>
      <w:sz w:val="24"/>
    </w:rPr>
  </w:style>
  <w:style w:type="character" w:customStyle="1" w:styleId="31">
    <w:name w:val="1正文（小四） Char"/>
    <w:link w:val="30"/>
    <w:qFormat/>
    <w:uiPriority w:val="0"/>
    <w:rPr>
      <w:rFonts w:ascii="Calibri" w:hAnsi="Calibri" w:eastAsia="宋体" w:cs="Times New Roman"/>
      <w:sz w:val="24"/>
    </w:rPr>
  </w:style>
  <w:style w:type="paragraph" w:customStyle="1" w:styleId="32">
    <w:name w:val="（环评）表头（小四）"/>
    <w:basedOn w:val="1"/>
    <w:qFormat/>
    <w:uiPriority w:val="0"/>
    <w:pPr>
      <w:jc w:val="center"/>
    </w:pPr>
    <w:rPr>
      <w:rFonts w:ascii="宋体" w:hAnsi="宋体" w:cs="宋体"/>
      <w:b/>
      <w:color w:val="000000"/>
      <w:sz w:val="24"/>
      <w:szCs w:val="28"/>
      <w:lang w:val="zh-TW" w:eastAsia="zh-TW" w:bidi="zh-TW"/>
    </w:rPr>
  </w:style>
  <w:style w:type="paragraph" w:customStyle="1" w:styleId="33">
    <w:name w:val="表格内容"/>
    <w:basedOn w:val="1"/>
    <w:next w:val="9"/>
    <w:qFormat/>
    <w:uiPriority w:val="0"/>
    <w:pPr>
      <w:adjustRightInd w:val="0"/>
      <w:snapToGrid w:val="0"/>
      <w:jc w:val="center"/>
    </w:pPr>
    <w:rPr>
      <w:iCs/>
      <w:szCs w:val="21"/>
    </w:rPr>
  </w:style>
  <w:style w:type="paragraph" w:customStyle="1" w:styleId="34">
    <w:name w:val="（环评）表格内容"/>
    <w:basedOn w:val="1"/>
    <w:next w:val="9"/>
    <w:qFormat/>
    <w:uiPriority w:val="0"/>
    <w:pPr>
      <w:adjustRightInd w:val="0"/>
      <w:snapToGrid w:val="0"/>
      <w:jc w:val="center"/>
    </w:pPr>
    <w:rPr>
      <w:szCs w:val="21"/>
    </w:rPr>
  </w:style>
  <w:style w:type="character" w:customStyle="1" w:styleId="35">
    <w:name w:val="标题 3 Char"/>
    <w:link w:val="4"/>
    <w:qFormat/>
    <w:uiPriority w:val="1"/>
    <w:rPr>
      <w:rFonts w:ascii="Times New Roman" w:hAnsi="Times New Roman" w:eastAsia="宋体"/>
      <w:b/>
      <w:kern w:val="0"/>
      <w:sz w:val="30"/>
    </w:rPr>
  </w:style>
  <w:style w:type="paragraph" w:customStyle="1" w:styleId="36">
    <w:name w:val="图名"/>
    <w:basedOn w:val="1"/>
    <w:qFormat/>
    <w:uiPriority w:val="0"/>
    <w:pPr>
      <w:jc w:val="center"/>
    </w:pPr>
    <w:rPr>
      <w:rFonts w:ascii="Calibri" w:hAnsi="Calibri"/>
      <w:b/>
      <w:sz w:val="24"/>
    </w:rPr>
  </w:style>
  <w:style w:type="paragraph" w:customStyle="1" w:styleId="37">
    <w:name w:val="附件附图名"/>
    <w:basedOn w:val="1"/>
    <w:next w:val="1"/>
    <w:qFormat/>
    <w:uiPriority w:val="0"/>
    <w:pPr>
      <w:keepNext/>
      <w:keepLines/>
      <w:adjustRightInd w:val="0"/>
      <w:snapToGrid w:val="0"/>
      <w:jc w:val="left"/>
      <w:outlineLvl w:val="0"/>
    </w:pPr>
    <w:rPr>
      <w:b/>
      <w:sz w:val="28"/>
      <w:szCs w:val="22"/>
    </w:rPr>
  </w:style>
  <w:style w:type="paragraph" w:customStyle="1" w:styleId="38">
    <w:name w:val="（环评）附件附图名"/>
    <w:basedOn w:val="1"/>
    <w:next w:val="1"/>
    <w:qFormat/>
    <w:uiPriority w:val="0"/>
    <w:pPr>
      <w:keepNext/>
      <w:keepLines/>
      <w:adjustRightInd w:val="0"/>
      <w:snapToGrid w:val="0"/>
      <w:jc w:val="left"/>
      <w:outlineLvl w:val="0"/>
    </w:pPr>
    <w:rPr>
      <w:b/>
      <w:sz w:val="24"/>
      <w:szCs w:val="22"/>
    </w:rPr>
  </w:style>
  <w:style w:type="paragraph" w:customStyle="1" w:styleId="39">
    <w:name w:val="（环评）图名"/>
    <w:basedOn w:val="1"/>
    <w:qFormat/>
    <w:uiPriority w:val="0"/>
    <w:pPr>
      <w:jc w:val="center"/>
    </w:pPr>
    <w:rPr>
      <w:rFonts w:ascii="Calibri" w:hAnsi="Calibri"/>
      <w:b/>
      <w:sz w:val="24"/>
    </w:rPr>
  </w:style>
  <w:style w:type="paragraph" w:customStyle="1" w:styleId="40">
    <w:name w:val="正文（小四）"/>
    <w:basedOn w:val="1"/>
    <w:qFormat/>
    <w:uiPriority w:val="0"/>
    <w:pPr>
      <w:adjustRightInd w:val="0"/>
      <w:snapToGrid w:val="0"/>
      <w:spacing w:line="360" w:lineRule="auto"/>
      <w:ind w:firstLine="560" w:firstLineChars="200"/>
    </w:pPr>
    <w:rPr>
      <w:rFonts w:hint="eastAsia"/>
      <w:sz w:val="24"/>
      <w:szCs w:val="21"/>
    </w:rPr>
  </w:style>
  <w:style w:type="paragraph" w:customStyle="1" w:styleId="41">
    <w:name w:val="附图附件名"/>
    <w:basedOn w:val="1"/>
    <w:next w:val="1"/>
    <w:qFormat/>
    <w:uiPriority w:val="0"/>
    <w:pPr>
      <w:keepNext/>
      <w:keepLines/>
      <w:adjustRightInd w:val="0"/>
      <w:snapToGrid w:val="0"/>
      <w:jc w:val="left"/>
      <w:outlineLvl w:val="0"/>
    </w:pPr>
    <w:rPr>
      <w:b/>
      <w:sz w:val="28"/>
      <w:szCs w:val="22"/>
    </w:rPr>
  </w:style>
  <w:style w:type="paragraph" w:customStyle="1" w:styleId="42">
    <w:name w:val="表格（五宋）"/>
    <w:basedOn w:val="1"/>
    <w:qFormat/>
    <w:uiPriority w:val="0"/>
    <w:pPr>
      <w:autoSpaceDE w:val="0"/>
      <w:autoSpaceDN w:val="0"/>
      <w:adjustRightInd w:val="0"/>
      <w:jc w:val="center"/>
    </w:pPr>
    <w:rPr>
      <w:rFonts w:hint="eastAsia" w:ascii="宋体" w:hAnsi="宋体" w:cs="宋体"/>
      <w:color w:val="000000"/>
      <w:szCs w:val="21"/>
    </w:rPr>
  </w:style>
  <w:style w:type="paragraph" w:customStyle="1" w:styleId="43">
    <w:name w:val="（环评）第四章表头"/>
    <w:basedOn w:val="1"/>
    <w:next w:val="1"/>
    <w:qFormat/>
    <w:uiPriority w:val="0"/>
    <w:pPr>
      <w:numPr>
        <w:ilvl w:val="0"/>
        <w:numId w:val="2"/>
      </w:numPr>
      <w:jc w:val="center"/>
      <w:outlineLvl w:val="1"/>
    </w:pPr>
    <w:rPr>
      <w:b/>
      <w:bCs/>
      <w:sz w:val="24"/>
      <w:szCs w:val="28"/>
      <w:lang w:eastAsia="en-US"/>
    </w:rPr>
  </w:style>
  <w:style w:type="paragraph" w:customStyle="1" w:styleId="44">
    <w:name w:val="样式1"/>
    <w:basedOn w:val="1"/>
    <w:qFormat/>
    <w:uiPriority w:val="0"/>
    <w:pPr>
      <w:jc w:val="center"/>
    </w:pPr>
    <w:rPr>
      <w:b/>
      <w:szCs w:val="22"/>
      <w:lang w:val="zh-CN" w:bidi="zh-CN"/>
    </w:rPr>
  </w:style>
  <w:style w:type="character" w:customStyle="1" w:styleId="45">
    <w:name w:val="font11"/>
    <w:basedOn w:val="18"/>
    <w:qFormat/>
    <w:uiPriority w:val="0"/>
    <w:rPr>
      <w:rFonts w:hint="default" w:ascii="Times New Roman" w:hAnsi="Times New Roman" w:cs="Times New Roman"/>
      <w:color w:val="000000"/>
      <w:sz w:val="21"/>
      <w:szCs w:val="21"/>
      <w:u w:val="none"/>
    </w:rPr>
  </w:style>
  <w:style w:type="character" w:customStyle="1" w:styleId="46">
    <w:name w:val="批注文字 Char"/>
    <w:basedOn w:val="18"/>
    <w:link w:val="8"/>
    <w:qFormat/>
    <w:uiPriority w:val="0"/>
    <w:rPr>
      <w:kern w:val="2"/>
      <w:sz w:val="21"/>
    </w:rPr>
  </w:style>
  <w:style w:type="character" w:customStyle="1" w:styleId="47">
    <w:name w:val="批注主题 Char"/>
    <w:basedOn w:val="46"/>
    <w:link w:val="15"/>
    <w:qFormat/>
    <w:uiPriority w:val="0"/>
    <w:rPr>
      <w:b/>
      <w:bCs/>
      <w:kern w:val="2"/>
      <w:sz w:val="21"/>
    </w:rPr>
  </w:style>
  <w:style w:type="character" w:customStyle="1" w:styleId="48">
    <w:name w:val="批注框文本 Char"/>
    <w:basedOn w:val="18"/>
    <w:link w:val="11"/>
    <w:qFormat/>
    <w:uiPriority w:val="0"/>
    <w:rPr>
      <w:kern w:val="2"/>
      <w:sz w:val="18"/>
      <w:szCs w:val="18"/>
    </w:rPr>
  </w:style>
  <w:style w:type="character" w:customStyle="1" w:styleId="49">
    <w:name w:val="font21"/>
    <w:basedOn w:val="18"/>
    <w:qFormat/>
    <w:uiPriority w:val="0"/>
    <w:rPr>
      <w:rFonts w:hint="default" w:ascii="Times New Roman" w:hAnsi="Times New Roman" w:cs="Times New Roman"/>
      <w:color w:val="000000"/>
      <w:sz w:val="21"/>
      <w:szCs w:val="21"/>
      <w:u w:val="none"/>
    </w:rPr>
  </w:style>
  <w:style w:type="paragraph" w:customStyle="1" w:styleId="50">
    <w:name w:val="Table Paragraph"/>
    <w:basedOn w:val="1"/>
    <w:qFormat/>
    <w:uiPriority w:val="1"/>
    <w:pPr>
      <w:jc w:val="center"/>
    </w:pPr>
    <w:rPr>
      <w:rFonts w:ascii="宋体" w:hAnsi="宋体" w:eastAsia="宋体" w:cs="宋体"/>
    </w:rPr>
  </w:style>
  <w:style w:type="paragraph" w:customStyle="1" w:styleId="51">
    <w:name w:val="表内容"/>
    <w:qFormat/>
    <w:uiPriority w:val="0"/>
    <w:pPr>
      <w:widowControl w:val="0"/>
      <w:spacing w:line="307" w:lineRule="auto"/>
      <w:ind w:left="-30" w:leftChars="-30" w:right="-30" w:rightChars="-30"/>
      <w:jc w:val="center"/>
    </w:pPr>
    <w:rPr>
      <w:rFonts w:ascii="Times New Roman" w:hAnsi="Times New Roman" w:eastAsia="宋体" w:cs="Times New Roman"/>
      <w:kern w:val="2"/>
      <w:sz w:val="21"/>
      <w:szCs w:val="21"/>
      <w:lang w:val="en-US" w:eastAsia="zh-CN" w:bidi="ar-SA"/>
    </w:rPr>
  </w:style>
  <w:style w:type="table" w:customStyle="1" w:styleId="52">
    <w:name w:val="Table Normal"/>
    <w:unhideWhenUsed/>
    <w:qFormat/>
    <w:uiPriority w:val="0"/>
    <w:tblPr>
      <w:tblCellMar>
        <w:top w:w="0" w:type="dxa"/>
        <w:left w:w="0" w:type="dxa"/>
        <w:bottom w:w="0" w:type="dxa"/>
        <w:right w:w="0" w:type="dxa"/>
      </w:tblCellMar>
    </w:tblPr>
  </w:style>
  <w:style w:type="paragraph" w:customStyle="1" w:styleId="53">
    <w:name w:val="Table Text"/>
    <w:basedOn w:val="1"/>
    <w:semiHidden/>
    <w:qFormat/>
    <w:uiPriority w:val="0"/>
    <w:rPr>
      <w:rFonts w:ascii="仿宋" w:hAnsi="仿宋" w:eastAsia="仿宋" w:cs="仿宋"/>
      <w:sz w:val="24"/>
      <w:szCs w:val="24"/>
      <w:lang w:val="en-US" w:eastAsia="en-US" w:bidi="ar-SA"/>
    </w:rPr>
  </w:style>
  <w:style w:type="paragraph" w:customStyle="1" w:styleId="54">
    <w:name w:val="5段落"/>
    <w:basedOn w:val="1"/>
    <w:qFormat/>
    <w:uiPriority w:val="0"/>
    <w:pPr>
      <w:spacing w:line="360" w:lineRule="auto"/>
      <w:ind w:firstLine="420" w:firstLineChars="200"/>
    </w:pPr>
  </w:style>
  <w:style w:type="paragraph" w:customStyle="1" w:styleId="55">
    <w:name w:val="9表格内容"/>
    <w:basedOn w:val="1"/>
    <w:next w:val="1"/>
    <w:qFormat/>
    <w:uiPriority w:val="0"/>
    <w:pPr>
      <w:jc w:val="center"/>
    </w:pPr>
    <w:rPr>
      <w:szCs w:val="28"/>
    </w:rPr>
  </w:style>
  <w:style w:type="paragraph" w:customStyle="1" w:styleId="56">
    <w:name w:val="8图件标题"/>
    <w:basedOn w:val="1"/>
    <w:next w:val="54"/>
    <w:qFormat/>
    <w:uiPriority w:val="0"/>
    <w:pPr>
      <w:numPr>
        <w:ilvl w:val="5"/>
        <w:numId w:val="3"/>
      </w:numPr>
      <w:spacing w:line="360" w:lineRule="auto"/>
      <w:jc w:val="center"/>
    </w:pPr>
    <w:rPr>
      <w:b/>
      <w:sz w:val="24"/>
    </w:rPr>
  </w:style>
  <w:style w:type="paragraph" w:customStyle="1" w:styleId="57">
    <w:name w:val="表格内文字"/>
    <w:basedOn w:val="1"/>
    <w:qFormat/>
    <w:uiPriority w:val="0"/>
    <w:pPr>
      <w:tabs>
        <w:tab w:val="left" w:pos="1980"/>
        <w:tab w:val="left" w:pos="3825"/>
        <w:tab w:val="left" w:pos="4680"/>
      </w:tabs>
      <w:jc w:val="center"/>
    </w:pPr>
    <w:rPr>
      <w:color w:val="000000"/>
      <w:kern w:val="0"/>
      <w:szCs w:val="21"/>
    </w:rPr>
  </w:style>
  <w:style w:type="paragraph" w:customStyle="1" w:styleId="58">
    <w:name w:val="金皇表中"/>
    <w:basedOn w:val="1"/>
    <w:next w:val="1"/>
    <w:qFormat/>
    <w:uiPriority w:val="0"/>
    <w:pPr>
      <w:spacing w:line="240" w:lineRule="auto"/>
      <w:jc w:val="center"/>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microsoft.com/office/2006/relationships/keyMapCustomizations" Target="customizations.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258</Pages>
  <Words>170585</Words>
  <Characters>196333</Characters>
  <Lines>318</Lines>
  <Paragraphs>89</Paragraphs>
  <TotalTime>7</TotalTime>
  <ScaleCrop>false</ScaleCrop>
  <LinksUpToDate>false</LinksUpToDate>
  <CharactersWithSpaces>196625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Ez</cp:lastModifiedBy>
  <dcterms:modified xsi:type="dcterms:W3CDTF">2023-12-01T02:12:45Z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B7E37DA5FB144904B2B1D4C9BCE41FCA_13</vt:lpwstr>
  </property>
</Properties>
</file>