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eastAsia="仿宋_GB2312" w:cs="Times New Roman"/>
          <w:color w:val="auto"/>
          <w:sz w:val="36"/>
          <w:szCs w:val="36"/>
          <w:highlight w:val="none"/>
        </w:rPr>
      </w:pPr>
    </w:p>
    <w:p>
      <w:pPr>
        <w:rPr>
          <w:rFonts w:hint="default" w:ascii="Times New Roman" w:hAnsi="Times New Roman" w:eastAsia="仿宋_GB2312" w:cs="Times New Roman"/>
          <w:color w:val="auto"/>
          <w:sz w:val="36"/>
          <w:szCs w:val="36"/>
          <w:highlight w:val="none"/>
        </w:rPr>
      </w:pPr>
    </w:p>
    <w:p>
      <w:pPr>
        <w:rPr>
          <w:rFonts w:hint="default" w:ascii="Times New Roman" w:hAnsi="Times New Roman" w:eastAsia="仿宋_GB2312" w:cs="Times New Roman"/>
          <w:color w:val="auto"/>
          <w:sz w:val="36"/>
          <w:szCs w:val="36"/>
          <w:highlight w:val="none"/>
        </w:rPr>
      </w:pPr>
    </w:p>
    <w:p>
      <w:pPr>
        <w:rPr>
          <w:rFonts w:hint="default" w:ascii="Times New Roman" w:hAnsi="Times New Roman" w:eastAsia="仿宋_GB2312" w:cs="Times New Roman"/>
          <w:color w:val="auto"/>
          <w:sz w:val="36"/>
          <w:szCs w:val="36"/>
          <w:highlight w:val="none"/>
        </w:rPr>
      </w:pPr>
    </w:p>
    <w:p>
      <w:pPr>
        <w:adjustRightInd w:val="0"/>
        <w:snapToGrid w:val="0"/>
        <w:jc w:val="center"/>
        <w:outlineLvl w:val="9"/>
        <w:rPr>
          <w:rFonts w:hint="default" w:ascii="Times New Roman" w:hAnsi="Times New Roman" w:eastAsia="方正小标宋_GBK" w:cs="Times New Roman"/>
          <w:bCs/>
          <w:color w:val="auto"/>
          <w:sz w:val="72"/>
          <w:szCs w:val="72"/>
          <w:highlight w:val="none"/>
        </w:rPr>
      </w:pPr>
      <w:bookmarkStart w:id="0" w:name="_Toc22131"/>
      <w:r>
        <w:rPr>
          <w:rFonts w:hint="default" w:ascii="Times New Roman" w:hAnsi="Times New Roman" w:eastAsia="方正小标宋_GBK" w:cs="Times New Roman"/>
          <w:bCs/>
          <w:color w:val="auto"/>
          <w:sz w:val="72"/>
          <w:szCs w:val="72"/>
          <w:highlight w:val="none"/>
        </w:rPr>
        <w:t>建设项目环境影响报告表</w:t>
      </w:r>
      <w:bookmarkEnd w:id="0"/>
    </w:p>
    <w:p>
      <w:pPr>
        <w:adjustRightInd w:val="0"/>
        <w:snapToGrid w:val="0"/>
        <w:spacing w:before="192" w:beforeLines="80"/>
        <w:jc w:val="center"/>
        <w:outlineLvl w:val="9"/>
        <w:rPr>
          <w:rFonts w:hint="default" w:ascii="Times New Roman" w:hAnsi="Times New Roman" w:eastAsia="楷体_GB2312" w:cs="Times New Roman"/>
          <w:bCs/>
          <w:color w:val="auto"/>
          <w:sz w:val="48"/>
          <w:szCs w:val="48"/>
          <w:highlight w:val="none"/>
          <w:lang w:val="en-US" w:eastAsia="zh-CN"/>
        </w:rPr>
      </w:pPr>
      <w:bookmarkStart w:id="1" w:name="_Toc6178"/>
      <w:bookmarkStart w:id="2" w:name="_Toc13308"/>
      <w:r>
        <w:rPr>
          <w:rFonts w:hint="default" w:ascii="Times New Roman" w:hAnsi="Times New Roman" w:eastAsia="楷体_GB2312" w:cs="Times New Roman"/>
          <w:bCs/>
          <w:color w:val="auto"/>
          <w:sz w:val="48"/>
          <w:szCs w:val="48"/>
          <w:highlight w:val="none"/>
        </w:rPr>
        <w:t>（污染影响类）</w:t>
      </w:r>
      <w:bookmarkEnd w:id="1"/>
      <w:bookmarkEnd w:id="2"/>
    </w:p>
    <w:p>
      <w:pPr>
        <w:ind w:firstLine="1040"/>
        <w:jc w:val="left"/>
        <w:rPr>
          <w:rFonts w:hint="default" w:ascii="Times New Roman" w:hAnsi="Times New Roman" w:eastAsia="仿宋" w:cs="Times New Roman"/>
          <w:color w:val="auto"/>
          <w:sz w:val="44"/>
          <w:szCs w:val="44"/>
          <w:highlight w:val="none"/>
        </w:rPr>
      </w:pPr>
    </w:p>
    <w:p>
      <w:pPr>
        <w:pStyle w:val="2"/>
        <w:rPr>
          <w:rFonts w:hint="default" w:ascii="Times New Roman" w:hAnsi="Times New Roman" w:eastAsia="仿宋" w:cs="Times New Roman"/>
          <w:color w:val="auto"/>
          <w:sz w:val="44"/>
          <w:szCs w:val="44"/>
          <w:highlight w:val="none"/>
        </w:rPr>
      </w:pPr>
    </w:p>
    <w:p>
      <w:pPr>
        <w:rPr>
          <w:rFonts w:hint="default"/>
        </w:rPr>
      </w:pPr>
    </w:p>
    <w:p>
      <w:pPr>
        <w:rPr>
          <w:rFonts w:hint="default" w:ascii="Times New Roman" w:hAnsi="Times New Roman" w:eastAsia="仿宋" w:cs="Times New Roman"/>
          <w:color w:val="auto"/>
          <w:sz w:val="44"/>
          <w:szCs w:val="44"/>
          <w:highlight w:val="none"/>
        </w:rPr>
      </w:pPr>
    </w:p>
    <w:p>
      <w:pPr>
        <w:pStyle w:val="2"/>
        <w:rPr>
          <w:rFonts w:hint="default" w:ascii="Times New Roman" w:hAnsi="Times New Roman" w:eastAsia="仿宋" w:cs="Times New Roman"/>
          <w:color w:val="auto"/>
          <w:sz w:val="44"/>
          <w:szCs w:val="44"/>
          <w:highlight w:val="none"/>
        </w:rPr>
      </w:pPr>
    </w:p>
    <w:p>
      <w:pPr>
        <w:rPr>
          <w:rFonts w:hint="default"/>
        </w:rPr>
      </w:pPr>
    </w:p>
    <w:p>
      <w:pPr>
        <w:rPr>
          <w:rFonts w:hint="default" w:ascii="Times New Roman" w:hAnsi="Times New Roman" w:eastAsia="仿宋" w:cs="Times New Roman"/>
          <w:color w:val="auto"/>
          <w:sz w:val="44"/>
          <w:szCs w:val="44"/>
          <w:highlight w:val="none"/>
        </w:rPr>
      </w:pPr>
    </w:p>
    <w:p>
      <w:pPr>
        <w:ind w:firstLine="1040"/>
        <w:jc w:val="left"/>
        <w:rPr>
          <w:rFonts w:hint="default" w:ascii="Times New Roman" w:hAnsi="Times New Roman" w:eastAsia="仿宋" w:cs="Times New Roman"/>
          <w:color w:val="auto"/>
          <w:sz w:val="44"/>
          <w:szCs w:val="44"/>
          <w:highlight w:val="none"/>
        </w:rPr>
      </w:pPr>
    </w:p>
    <w:p>
      <w:pPr>
        <w:adjustRightInd w:val="0"/>
        <w:snapToGrid w:val="0"/>
        <w:spacing w:line="288" w:lineRule="auto"/>
        <w:ind w:left="420" w:firstLine="420"/>
        <w:jc w:val="left"/>
        <w:outlineLvl w:val="9"/>
        <w:rPr>
          <w:rFonts w:hint="default" w:eastAsia="仿宋_GB2312" w:cs="Times New Roman"/>
          <w:color w:val="auto"/>
          <w:sz w:val="36"/>
          <w:szCs w:val="36"/>
          <w:highlight w:val="none"/>
          <w:u w:val="single"/>
          <w:lang w:val="en-US" w:eastAsia="zh-CN"/>
        </w:rPr>
      </w:pPr>
      <w:bookmarkStart w:id="3" w:name="_Toc2820"/>
      <w:bookmarkStart w:id="4" w:name="_Toc8803"/>
      <w:r>
        <w:rPr>
          <w:rFonts w:hint="default" w:ascii="Times New Roman" w:hAnsi="Times New Roman" w:eastAsia="仿宋_GB2312" w:cs="Times New Roman"/>
          <w:color w:val="auto"/>
          <w:sz w:val="36"/>
          <w:szCs w:val="36"/>
          <w:highlight w:val="none"/>
        </w:rPr>
        <w:t>项目名称：</w:t>
      </w:r>
      <w:bookmarkEnd w:id="3"/>
      <w:bookmarkEnd w:id="4"/>
      <w:r>
        <w:rPr>
          <w:rFonts w:hint="eastAsia" w:eastAsia="仿宋_GB2312" w:cs="Times New Roman"/>
          <w:color w:val="auto"/>
          <w:spacing w:val="-6"/>
          <w:sz w:val="36"/>
          <w:szCs w:val="36"/>
          <w:highlight w:val="none"/>
          <w:u w:val="single"/>
          <w:lang w:val="en-US" w:eastAsia="zh-CN"/>
        </w:rPr>
        <w:t>年收集转运8000吨废矿物油、废机油项目</w:t>
      </w:r>
    </w:p>
    <w:p>
      <w:pPr>
        <w:adjustRightInd w:val="0"/>
        <w:snapToGrid w:val="0"/>
        <w:spacing w:line="288" w:lineRule="auto"/>
        <w:ind w:left="420" w:firstLine="420"/>
        <w:jc w:val="left"/>
        <w:outlineLvl w:val="9"/>
        <w:rPr>
          <w:rFonts w:hint="default" w:eastAsia="仿宋_GB2312" w:cs="Times New Roman"/>
          <w:color w:val="auto"/>
          <w:sz w:val="36"/>
          <w:szCs w:val="36"/>
          <w:highlight w:val="none"/>
          <w:u w:val="single"/>
          <w:lang w:val="en-US" w:eastAsia="zh-CN"/>
        </w:rPr>
      </w:pPr>
      <w:bookmarkStart w:id="5" w:name="_Toc22300"/>
      <w:r>
        <w:rPr>
          <w:rFonts w:hint="default" w:ascii="Times New Roman" w:hAnsi="Times New Roman" w:eastAsia="仿宋_GB2312" w:cs="Times New Roman"/>
          <w:color w:val="auto"/>
          <w:sz w:val="36"/>
          <w:szCs w:val="36"/>
          <w:highlight w:val="none"/>
        </w:rPr>
        <w:t>建设单位（盖章）：</w:t>
      </w:r>
      <w:bookmarkEnd w:id="5"/>
      <w:r>
        <w:rPr>
          <w:rFonts w:hint="eastAsia" w:eastAsia="仿宋_GB2312" w:cs="Times New Roman"/>
          <w:color w:val="auto"/>
          <w:sz w:val="36"/>
          <w:szCs w:val="36"/>
          <w:highlight w:val="none"/>
          <w:u w:val="single"/>
          <w:lang w:val="en-US" w:eastAsia="zh-CN"/>
        </w:rPr>
        <w:t>福建旺捷生态环保科技有限公司</w:t>
      </w:r>
    </w:p>
    <w:p>
      <w:pPr>
        <w:adjustRightInd w:val="0"/>
        <w:snapToGrid w:val="0"/>
        <w:spacing w:line="288" w:lineRule="auto"/>
        <w:ind w:left="420" w:firstLine="420"/>
        <w:jc w:val="left"/>
        <w:outlineLvl w:val="9"/>
        <w:rPr>
          <w:rFonts w:hint="default" w:ascii="Times New Roman" w:hAnsi="Times New Roman" w:eastAsia="仿宋_GB2312" w:cs="Times New Roman"/>
          <w:color w:val="auto"/>
          <w:sz w:val="36"/>
          <w:szCs w:val="36"/>
          <w:highlight w:val="none"/>
          <w:u w:val="single"/>
          <w:lang w:val="en-US" w:eastAsia="zh-CN"/>
        </w:rPr>
      </w:pPr>
      <w:bookmarkStart w:id="6" w:name="_Toc14933"/>
      <w:r>
        <w:rPr>
          <w:rFonts w:hint="default" w:ascii="Times New Roman" w:hAnsi="Times New Roman" w:eastAsia="仿宋_GB2312" w:cs="Times New Roman"/>
          <w:color w:val="auto"/>
          <w:sz w:val="36"/>
          <w:szCs w:val="36"/>
          <w:highlight w:val="none"/>
        </w:rPr>
        <w:t>编制日期：</w:t>
      </w:r>
      <w:bookmarkEnd w:id="6"/>
      <w:r>
        <w:rPr>
          <w:rFonts w:hint="eastAsia" w:eastAsia="仿宋_GB2312" w:cs="Times New Roman"/>
          <w:color w:val="auto"/>
          <w:sz w:val="36"/>
          <w:szCs w:val="36"/>
          <w:highlight w:val="none"/>
          <w:u w:val="single"/>
          <w:lang w:val="en-US" w:eastAsia="zh-CN"/>
        </w:rPr>
        <w:t>2023年12月</w:t>
      </w:r>
    </w:p>
    <w:p>
      <w:pPr>
        <w:adjustRightInd w:val="0"/>
        <w:snapToGrid w:val="0"/>
        <w:spacing w:line="288" w:lineRule="auto"/>
        <w:ind w:firstLine="1040"/>
        <w:jc w:val="left"/>
        <w:rPr>
          <w:rFonts w:hint="default" w:ascii="Times New Roman" w:hAnsi="Times New Roman" w:eastAsia="仿宋_GB2312" w:cs="Times New Roman"/>
          <w:color w:val="auto"/>
          <w:sz w:val="36"/>
          <w:szCs w:val="36"/>
          <w:highlight w:val="none"/>
          <w:u w:val="single"/>
        </w:rPr>
      </w:pPr>
      <w:bookmarkStart w:id="7" w:name="_Hlk57884087"/>
    </w:p>
    <w:p>
      <w:pPr>
        <w:adjustRightInd w:val="0"/>
        <w:snapToGrid w:val="0"/>
        <w:spacing w:line="288" w:lineRule="auto"/>
        <w:ind w:firstLine="1040"/>
        <w:jc w:val="left"/>
        <w:rPr>
          <w:rFonts w:hint="default" w:ascii="Times New Roman" w:hAnsi="Times New Roman" w:eastAsia="仿宋_GB2312" w:cs="Times New Roman"/>
          <w:color w:val="auto"/>
          <w:sz w:val="36"/>
          <w:szCs w:val="36"/>
          <w:highlight w:val="none"/>
        </w:rPr>
      </w:pPr>
    </w:p>
    <w:p>
      <w:pPr>
        <w:adjustRightInd w:val="0"/>
        <w:snapToGrid w:val="0"/>
        <w:spacing w:line="288" w:lineRule="auto"/>
        <w:ind w:firstLine="1040"/>
        <w:jc w:val="left"/>
        <w:rPr>
          <w:rFonts w:hint="default" w:ascii="Times New Roman" w:hAnsi="Times New Roman" w:eastAsia="仿宋_GB2312" w:cs="Times New Roman"/>
          <w:color w:val="auto"/>
          <w:sz w:val="36"/>
          <w:szCs w:val="36"/>
          <w:highlight w:val="none"/>
        </w:rPr>
      </w:pPr>
    </w:p>
    <w:p>
      <w:pPr>
        <w:adjustRightInd w:val="0"/>
        <w:snapToGrid w:val="0"/>
        <w:spacing w:line="288" w:lineRule="auto"/>
        <w:ind w:firstLine="1040"/>
        <w:jc w:val="left"/>
        <w:rPr>
          <w:rFonts w:hint="default" w:ascii="Times New Roman" w:hAnsi="Times New Roman" w:eastAsia="仿宋_GB2312" w:cs="Times New Roman"/>
          <w:color w:val="auto"/>
          <w:sz w:val="36"/>
          <w:szCs w:val="36"/>
          <w:highlight w:val="none"/>
        </w:rPr>
      </w:pPr>
    </w:p>
    <w:p>
      <w:pPr>
        <w:adjustRightInd w:val="0"/>
        <w:snapToGrid w:val="0"/>
        <w:spacing w:line="288" w:lineRule="auto"/>
        <w:ind w:firstLine="1040"/>
        <w:jc w:val="left"/>
        <w:rPr>
          <w:rFonts w:hint="default" w:ascii="Times New Roman" w:hAnsi="Times New Roman" w:eastAsia="仿宋_GB2312" w:cs="Times New Roman"/>
          <w:color w:val="auto"/>
          <w:sz w:val="36"/>
          <w:szCs w:val="36"/>
          <w:highlight w:val="none"/>
        </w:rPr>
      </w:pPr>
    </w:p>
    <w:bookmarkEnd w:id="7"/>
    <w:p>
      <w:pPr>
        <w:adjustRightInd w:val="0"/>
        <w:snapToGrid w:val="0"/>
        <w:spacing w:line="288" w:lineRule="auto"/>
        <w:jc w:val="center"/>
        <w:outlineLvl w:val="9"/>
        <w:rPr>
          <w:rFonts w:hint="default" w:ascii="Times New Roman" w:hAnsi="Times New Roman" w:eastAsia="楷体_GB2312" w:cs="Times New Roman"/>
          <w:color w:val="auto"/>
          <w:sz w:val="36"/>
          <w:szCs w:val="36"/>
          <w:highlight w:val="none"/>
        </w:rPr>
        <w:sectPr>
          <w:footerReference r:id="rId3" w:type="default"/>
          <w:pgSz w:w="11905" w:h="16838"/>
          <w:pgMar w:top="1417" w:right="1417" w:bottom="1417" w:left="1417" w:header="851" w:footer="1077" w:gutter="0"/>
          <w:pgBorders>
            <w:top w:val="none" w:sz="0" w:space="0"/>
            <w:left w:val="none" w:sz="0" w:space="0"/>
            <w:bottom w:val="none" w:sz="0" w:space="0"/>
            <w:right w:val="none" w:sz="0" w:space="0"/>
          </w:pgBorders>
          <w:pgNumType w:fmt="numberInDash" w:start="1"/>
          <w:cols w:space="0" w:num="1"/>
          <w:docGrid w:linePitch="312" w:charSpace="0"/>
        </w:sectPr>
      </w:pPr>
      <w:bookmarkStart w:id="8" w:name="_Toc18668"/>
      <w:r>
        <w:rPr>
          <w:rFonts w:hint="default" w:ascii="Times New Roman" w:hAnsi="Times New Roman" w:eastAsia="楷体_GB2312" w:cs="Times New Roman"/>
          <w:color w:val="auto"/>
          <w:sz w:val="36"/>
          <w:szCs w:val="36"/>
          <w:highlight w:val="none"/>
        </w:rPr>
        <w:t>中华人民共和国生态环境部制</w:t>
      </w:r>
      <w:bookmarkEnd w:id="8"/>
    </w:p>
    <w:sdt>
      <w:sdtPr>
        <w:rPr>
          <w:rFonts w:ascii="宋体" w:hAnsi="宋体" w:eastAsia="宋体" w:cs="Times New Roman"/>
          <w:kern w:val="2"/>
          <w:sz w:val="44"/>
          <w:szCs w:val="44"/>
          <w:lang w:val="en-US" w:eastAsia="zh-CN" w:bidi="ar-SA"/>
        </w:rPr>
        <w:id w:val="147475157"/>
        <w15:color w:val="DBDBDB"/>
        <w:docPartObj>
          <w:docPartGallery w:val="Table of Contents"/>
          <w:docPartUnique/>
        </w:docPartObj>
      </w:sdtPr>
      <w:sdtEndPr>
        <w:rPr>
          <w:rFonts w:ascii="宋体" w:hAnsi="宋体" w:eastAsia="宋体" w:cs="Times New Roman"/>
          <w:kern w:val="2"/>
          <w:sz w:val="44"/>
          <w:szCs w:val="44"/>
          <w:lang w:val="en-US" w:eastAsia="zh-CN" w:bidi="ar-SA"/>
        </w:rPr>
      </w:sdtEndPr>
      <w:sdtContent>
        <w:p>
          <w:pPr>
            <w:spacing w:before="0" w:beforeLines="0" w:after="0" w:afterLines="0" w:line="240" w:lineRule="auto"/>
            <w:ind w:left="0" w:leftChars="0" w:right="0" w:rightChars="0" w:firstLine="0" w:firstLineChars="0"/>
            <w:jc w:val="center"/>
            <w:rPr>
              <w:sz w:val="44"/>
              <w:szCs w:val="44"/>
            </w:rPr>
          </w:pPr>
          <w:r>
            <w:rPr>
              <w:rFonts w:ascii="宋体" w:hAnsi="宋体" w:eastAsia="宋体"/>
              <w:sz w:val="44"/>
              <w:szCs w:val="44"/>
            </w:rPr>
            <w:t>目录</w:t>
          </w:r>
        </w:p>
        <w:p>
          <w:pPr>
            <w:pStyle w:val="2"/>
            <w:tabs>
              <w:tab w:val="right" w:leader="dot" w:pos="9071"/>
            </w:tabs>
          </w:pPr>
          <w:r>
            <w:fldChar w:fldCharType="begin"/>
          </w:r>
          <w:r>
            <w:instrText xml:space="preserve">TOC\o"1-1"\h\u</w:instrText>
          </w:r>
          <w:r>
            <w:fldChar w:fldCharType="separate"/>
          </w:r>
          <w:r>
            <w:fldChar w:fldCharType="begin"/>
          </w:r>
          <w:r>
            <w:instrText xml:space="preserve">HYPERLINK\l_Toc11673</w:instrText>
          </w:r>
          <w:r>
            <w:fldChar w:fldCharType="separate"/>
          </w:r>
          <w:r>
            <w:rPr>
              <w:rFonts w:hint="eastAsia" w:ascii="Times New Roman" w:hAnsi="Times New Roman" w:eastAsia="黑体" w:cs="宋体"/>
              <w:bCs w:val="0"/>
              <w:szCs w:val="32"/>
            </w:rPr>
            <w:t>一、</w:t>
          </w:r>
          <w:r>
            <w:rPr>
              <w:rFonts w:hint="default" w:ascii="Times New Roman" w:hAnsi="Times New Roman" w:cs="Times New Roman"/>
              <w:highlight w:val="none"/>
            </w:rPr>
            <w:t>建设项目基本情况</w:t>
          </w:r>
          <w:r>
            <w:tab/>
          </w:r>
          <w:r>
            <w:fldChar w:fldCharType="begin"/>
          </w:r>
          <w:r>
            <w:instrText xml:space="preserve">PAGEREF_Toc11673\h</w:instrText>
          </w:r>
          <w:r>
            <w:fldChar w:fldCharType="separate"/>
          </w:r>
          <w:r>
            <w:t>1</w:t>
          </w:r>
          <w:r>
            <w:fldChar w:fldCharType="end"/>
          </w:r>
          <w:r>
            <w:fldChar w:fldCharType="end"/>
          </w:r>
        </w:p>
        <w:p>
          <w:pPr>
            <w:pStyle w:val="2"/>
            <w:tabs>
              <w:tab w:val="right" w:leader="dot" w:pos="9071"/>
            </w:tabs>
          </w:pPr>
          <w:r>
            <w:fldChar w:fldCharType="begin"/>
          </w:r>
          <w:r>
            <w:instrText xml:space="preserve">HYPERLINK\l_Toc1942</w:instrText>
          </w:r>
          <w:r>
            <w:fldChar w:fldCharType="separate"/>
          </w:r>
          <w:r>
            <w:rPr>
              <w:rFonts w:hint="eastAsia" w:ascii="Times New Roman" w:hAnsi="Times New Roman" w:eastAsia="黑体" w:cs="宋体"/>
              <w:bCs w:val="0"/>
              <w:szCs w:val="32"/>
            </w:rPr>
            <w:t>二、</w:t>
          </w:r>
          <w:r>
            <w:rPr>
              <w:rFonts w:hint="default" w:ascii="Times New Roman" w:hAnsi="Times New Roman" w:cs="Times New Roman"/>
              <w:highlight w:val="none"/>
            </w:rPr>
            <w:t>建设项目工程分析</w:t>
          </w:r>
          <w:r>
            <w:tab/>
          </w:r>
          <w:r>
            <w:fldChar w:fldCharType="begin"/>
          </w:r>
          <w:r>
            <w:instrText xml:space="preserve">PAGEREF_Toc1942\h</w:instrText>
          </w:r>
          <w:r>
            <w:fldChar w:fldCharType="separate"/>
          </w:r>
          <w:r>
            <w:t>12</w:t>
          </w:r>
          <w:r>
            <w:fldChar w:fldCharType="end"/>
          </w:r>
          <w:r>
            <w:fldChar w:fldCharType="end"/>
          </w:r>
        </w:p>
        <w:p>
          <w:pPr>
            <w:pStyle w:val="2"/>
            <w:tabs>
              <w:tab w:val="right" w:leader="dot" w:pos="9071"/>
            </w:tabs>
          </w:pPr>
          <w:r>
            <w:fldChar w:fldCharType="begin"/>
          </w:r>
          <w:r>
            <w:instrText xml:space="preserve">HYPERLINK\l_Toc16895</w:instrText>
          </w:r>
          <w:r>
            <w:fldChar w:fldCharType="separate"/>
          </w:r>
          <w:r>
            <w:rPr>
              <w:rFonts w:hint="eastAsia" w:ascii="Times New Roman" w:hAnsi="Times New Roman" w:eastAsia="黑体" w:cs="宋体"/>
              <w:bCs w:val="0"/>
              <w:szCs w:val="32"/>
            </w:rPr>
            <w:t>三、</w:t>
          </w:r>
          <w:r>
            <w:rPr>
              <w:rFonts w:hint="default" w:ascii="Times New Roman" w:hAnsi="Times New Roman" w:cs="Times New Roman"/>
              <w:highlight w:val="none"/>
            </w:rPr>
            <w:t>区域环境质量现状、环境保护目标及评价标准</w:t>
          </w:r>
          <w:r>
            <w:tab/>
          </w:r>
          <w:r>
            <w:fldChar w:fldCharType="begin"/>
          </w:r>
          <w:r>
            <w:instrText xml:space="preserve">PAGEREF_Toc16895\h</w:instrText>
          </w:r>
          <w:r>
            <w:fldChar w:fldCharType="separate"/>
          </w:r>
          <w:r>
            <w:t>20</w:t>
          </w:r>
          <w:r>
            <w:fldChar w:fldCharType="end"/>
          </w:r>
          <w:r>
            <w:fldChar w:fldCharType="end"/>
          </w:r>
        </w:p>
        <w:p>
          <w:pPr>
            <w:pStyle w:val="2"/>
            <w:tabs>
              <w:tab w:val="right" w:leader="dot" w:pos="9071"/>
            </w:tabs>
          </w:pPr>
          <w:r>
            <w:fldChar w:fldCharType="begin"/>
          </w:r>
          <w:r>
            <w:instrText xml:space="preserve">HYPERLINK\l_Toc30804</w:instrText>
          </w:r>
          <w:r>
            <w:fldChar w:fldCharType="separate"/>
          </w:r>
          <w:r>
            <w:rPr>
              <w:rFonts w:hint="eastAsia" w:ascii="Times New Roman" w:hAnsi="Times New Roman" w:eastAsia="黑体" w:cs="宋体"/>
              <w:bCs w:val="0"/>
              <w:snapToGrid w:val="0"/>
              <w:szCs w:val="32"/>
            </w:rPr>
            <w:t>四、</w:t>
          </w:r>
          <w:r>
            <w:rPr>
              <w:rFonts w:hint="default" w:ascii="Times New Roman" w:hAnsi="Times New Roman" w:cs="Times New Roman"/>
              <w:snapToGrid w:val="0"/>
              <w:highlight w:val="none"/>
            </w:rPr>
            <w:t>主要环境影响和保护措施</w:t>
          </w:r>
          <w:r>
            <w:tab/>
          </w:r>
          <w:r>
            <w:fldChar w:fldCharType="begin"/>
          </w:r>
          <w:r>
            <w:instrText xml:space="preserve">PAGEREF_Toc30804\h</w:instrText>
          </w:r>
          <w:r>
            <w:fldChar w:fldCharType="separate"/>
          </w:r>
          <w:r>
            <w:t>29</w:t>
          </w:r>
          <w:r>
            <w:fldChar w:fldCharType="end"/>
          </w:r>
          <w:r>
            <w:fldChar w:fldCharType="end"/>
          </w:r>
        </w:p>
        <w:p>
          <w:pPr>
            <w:pStyle w:val="2"/>
            <w:tabs>
              <w:tab w:val="right" w:leader="dot" w:pos="9071"/>
            </w:tabs>
          </w:pPr>
          <w:r>
            <w:fldChar w:fldCharType="begin"/>
          </w:r>
          <w:r>
            <w:instrText xml:space="preserve">HYPERLINK\l_Toc10390</w:instrText>
          </w:r>
          <w:r>
            <w:fldChar w:fldCharType="separate"/>
          </w:r>
          <w:r>
            <w:rPr>
              <w:rFonts w:hint="eastAsia" w:ascii="Times New Roman" w:hAnsi="Times New Roman" w:eastAsia="黑体" w:cs="宋体"/>
              <w:bCs w:val="0"/>
              <w:szCs w:val="32"/>
            </w:rPr>
            <w:t>五、</w:t>
          </w:r>
          <w:r>
            <w:rPr>
              <w:rFonts w:hint="default" w:ascii="Times New Roman" w:hAnsi="Times New Roman" w:cs="Times New Roman"/>
              <w:highlight w:val="none"/>
            </w:rPr>
            <w:t>境保护措施监督检查清单</w:t>
          </w:r>
          <w:r>
            <w:tab/>
          </w:r>
          <w:r>
            <w:fldChar w:fldCharType="begin"/>
          </w:r>
          <w:r>
            <w:instrText xml:space="preserve">PAGEREF_Toc10390\h</w:instrText>
          </w:r>
          <w:r>
            <w:fldChar w:fldCharType="separate"/>
          </w:r>
          <w:r>
            <w:t>50</w:t>
          </w:r>
          <w:r>
            <w:fldChar w:fldCharType="end"/>
          </w:r>
          <w:r>
            <w:fldChar w:fldCharType="end"/>
          </w:r>
        </w:p>
        <w:p>
          <w:pPr>
            <w:pStyle w:val="2"/>
            <w:tabs>
              <w:tab w:val="right" w:leader="dot" w:pos="9071"/>
            </w:tabs>
          </w:pPr>
          <w:r>
            <w:fldChar w:fldCharType="begin"/>
          </w:r>
          <w:r>
            <w:instrText xml:space="preserve">HYPERLINK\l_Toc21057</w:instrText>
          </w:r>
          <w:r>
            <w:fldChar w:fldCharType="separate"/>
          </w:r>
          <w:r>
            <w:rPr>
              <w:rFonts w:hint="eastAsia" w:ascii="Times New Roman" w:hAnsi="Times New Roman" w:eastAsia="黑体" w:cs="宋体"/>
              <w:bCs w:val="0"/>
              <w:snapToGrid w:val="0"/>
              <w:szCs w:val="32"/>
            </w:rPr>
            <w:t>六、</w:t>
          </w:r>
          <w:r>
            <w:rPr>
              <w:rFonts w:hint="default" w:ascii="Times New Roman" w:hAnsi="Times New Roman" w:cs="Times New Roman"/>
              <w:snapToGrid w:val="0"/>
              <w:highlight w:val="none"/>
            </w:rPr>
            <w:t>结论</w:t>
          </w:r>
          <w:r>
            <w:tab/>
          </w:r>
          <w:r>
            <w:fldChar w:fldCharType="begin"/>
          </w:r>
          <w:r>
            <w:instrText xml:space="preserve">PAGEREF_Toc21057\h</w:instrText>
          </w:r>
          <w:r>
            <w:fldChar w:fldCharType="separate"/>
          </w:r>
          <w:r>
            <w:t>51</w:t>
          </w:r>
          <w:r>
            <w:fldChar w:fldCharType="end"/>
          </w:r>
          <w:r>
            <w:fldChar w:fldCharType="end"/>
          </w:r>
        </w:p>
        <w:p>
          <w:pPr>
            <w:pStyle w:val="2"/>
            <w:tabs>
              <w:tab w:val="right" w:leader="dot" w:pos="9071"/>
            </w:tabs>
          </w:pPr>
          <w:r>
            <w:fldChar w:fldCharType="begin"/>
          </w:r>
          <w:r>
            <w:instrText xml:space="preserve">HYPERLINK\l_Toc18778</w:instrText>
          </w:r>
          <w:r>
            <w:fldChar w:fldCharType="separate"/>
          </w:r>
          <w:r>
            <w:rPr>
              <w:rFonts w:hint="default" w:ascii="Times New Roman" w:hAnsi="Times New Roman" w:eastAsia="黑体" w:cs="Times New Roman"/>
              <w:snapToGrid w:val="0"/>
              <w:szCs w:val="32"/>
              <w:highlight w:val="none"/>
            </w:rPr>
            <w:t>附表</w:t>
          </w:r>
          <w:r>
            <w:rPr>
              <w:rFonts w:hint="eastAsia" w:eastAsia="黑体" w:cs="Times New Roman"/>
              <w:snapToGrid w:val="0"/>
              <w:szCs w:val="32"/>
              <w:highlight w:val="none"/>
              <w:lang w:val="en-US" w:eastAsia="zh-CN"/>
            </w:rPr>
            <w:t>1：</w:t>
          </w:r>
          <w:r>
            <w:rPr>
              <w:rFonts w:hint="default" w:ascii="Times New Roman" w:hAnsi="Times New Roman" w:eastAsia="方正小标宋_GBK" w:cs="Times New Roman"/>
              <w:snapToGrid w:val="0"/>
              <w:szCs w:val="36"/>
              <w:highlight w:val="none"/>
            </w:rPr>
            <w:t>建设项目污染物排放量汇总表</w:t>
          </w:r>
          <w:r>
            <w:tab/>
          </w:r>
          <w:r>
            <w:fldChar w:fldCharType="begin"/>
          </w:r>
          <w:r>
            <w:instrText xml:space="preserve">PAGEREF_Toc18778\h</w:instrText>
          </w:r>
          <w:r>
            <w:fldChar w:fldCharType="separate"/>
          </w:r>
          <w:r>
            <w:t>52</w:t>
          </w:r>
          <w:r>
            <w:fldChar w:fldCharType="end"/>
          </w:r>
          <w:r>
            <w:fldChar w:fldCharType="end"/>
          </w:r>
        </w:p>
        <w:p>
          <w:pPr>
            <w:pStyle w:val="2"/>
            <w:tabs>
              <w:tab w:val="right" w:leader="dot" w:pos="9071"/>
            </w:tabs>
          </w:pPr>
          <w:r>
            <w:fldChar w:fldCharType="begin"/>
          </w:r>
          <w:r>
            <w:instrText xml:space="preserve">HYPERLINK\l_Toc23923</w:instrText>
          </w:r>
          <w:r>
            <w:fldChar w:fldCharType="separate"/>
          </w:r>
          <w:r>
            <w:rPr>
              <w:rFonts w:hint="default"/>
            </w:rPr>
            <w:t>附图1：项目地理位置图</w:t>
          </w:r>
          <w:r>
            <w:tab/>
          </w:r>
          <w:r>
            <w:fldChar w:fldCharType="begin"/>
          </w:r>
          <w:r>
            <w:instrText xml:space="preserve">PAGEREF_Toc23923\h</w:instrText>
          </w:r>
          <w:r>
            <w:fldChar w:fldCharType="separate"/>
          </w:r>
          <w:r>
            <w:t>53</w:t>
          </w:r>
          <w:r>
            <w:fldChar w:fldCharType="end"/>
          </w:r>
          <w:r>
            <w:fldChar w:fldCharType="end"/>
          </w:r>
        </w:p>
        <w:p>
          <w:pPr>
            <w:pStyle w:val="2"/>
            <w:tabs>
              <w:tab w:val="right" w:leader="dot" w:pos="9071"/>
            </w:tabs>
          </w:pPr>
          <w:r>
            <w:fldChar w:fldCharType="begin"/>
          </w:r>
          <w:r>
            <w:instrText xml:space="preserve">HYPERLINK\l_Toc29679</w:instrText>
          </w:r>
          <w:r>
            <w:fldChar w:fldCharType="separate"/>
          </w:r>
          <w:r>
            <w:rPr>
              <w:rFonts w:hint="default"/>
              <w:highlight w:val="none"/>
            </w:rPr>
            <w:t>附图</w:t>
          </w:r>
          <w:r>
            <w:rPr>
              <w:rFonts w:hint="eastAsia"/>
              <w:highlight w:val="none"/>
              <w:lang w:val="en-US" w:eastAsia="zh-CN"/>
            </w:rPr>
            <w:t>2</w:t>
          </w:r>
          <w:r>
            <w:rPr>
              <w:rFonts w:hint="default"/>
              <w:highlight w:val="none"/>
            </w:rPr>
            <w:t>：</w:t>
          </w:r>
          <w:r>
            <w:rPr>
              <w:rFonts w:hint="eastAsia"/>
              <w:highlight w:val="none"/>
              <w:lang w:val="en-US" w:eastAsia="zh-CN"/>
            </w:rPr>
            <w:t>厂区平面</w:t>
          </w:r>
          <w:r>
            <w:rPr>
              <w:rFonts w:hint="default"/>
              <w:highlight w:val="none"/>
            </w:rPr>
            <w:t>布置图</w:t>
          </w:r>
          <w:r>
            <w:tab/>
          </w:r>
          <w:r>
            <w:fldChar w:fldCharType="begin"/>
          </w:r>
          <w:r>
            <w:instrText xml:space="preserve">PAGEREF_Toc29679\h</w:instrText>
          </w:r>
          <w:r>
            <w:fldChar w:fldCharType="separate"/>
          </w:r>
          <w:r>
            <w:t>54</w:t>
          </w:r>
          <w:r>
            <w:fldChar w:fldCharType="end"/>
          </w:r>
          <w:r>
            <w:fldChar w:fldCharType="end"/>
          </w:r>
        </w:p>
        <w:p>
          <w:pPr>
            <w:pStyle w:val="2"/>
            <w:tabs>
              <w:tab w:val="right" w:leader="dot" w:pos="9071"/>
            </w:tabs>
          </w:pPr>
          <w:r>
            <w:fldChar w:fldCharType="begin"/>
          </w:r>
          <w:r>
            <w:instrText xml:space="preserve">HYPERLINK\l_Toc15190</w:instrText>
          </w:r>
          <w:r>
            <w:fldChar w:fldCharType="separate"/>
          </w:r>
          <w:r>
            <w:rPr>
              <w:rFonts w:hint="default"/>
              <w:highlight w:val="none"/>
            </w:rPr>
            <w:t>附图</w:t>
          </w:r>
          <w:r>
            <w:rPr>
              <w:rFonts w:hint="eastAsia"/>
              <w:highlight w:val="none"/>
              <w:lang w:val="en-US" w:eastAsia="zh-CN"/>
            </w:rPr>
            <w:t>3</w:t>
          </w:r>
          <w:r>
            <w:rPr>
              <w:rFonts w:hint="default"/>
              <w:highlight w:val="none"/>
            </w:rPr>
            <w:t>：</w:t>
          </w:r>
          <w:r>
            <w:rPr>
              <w:rFonts w:hint="eastAsia"/>
              <w:highlight w:val="none"/>
              <w:lang w:val="en-US" w:eastAsia="zh-CN"/>
            </w:rPr>
            <w:t>监测点位</w:t>
          </w:r>
          <w:r>
            <w:rPr>
              <w:rFonts w:hint="default"/>
              <w:highlight w:val="none"/>
            </w:rPr>
            <w:t>图</w:t>
          </w:r>
          <w:r>
            <w:tab/>
          </w:r>
          <w:r>
            <w:fldChar w:fldCharType="begin"/>
          </w:r>
          <w:r>
            <w:instrText xml:space="preserve">PAGEREF_Toc15190\h</w:instrText>
          </w:r>
          <w:r>
            <w:fldChar w:fldCharType="separate"/>
          </w:r>
          <w:r>
            <w:t>55</w:t>
          </w:r>
          <w:r>
            <w:fldChar w:fldCharType="end"/>
          </w:r>
          <w:r>
            <w:fldChar w:fldCharType="end"/>
          </w:r>
        </w:p>
        <w:p>
          <w:pPr>
            <w:pStyle w:val="2"/>
            <w:tabs>
              <w:tab w:val="right" w:leader="dot" w:pos="9071"/>
            </w:tabs>
          </w:pPr>
          <w:r>
            <w:fldChar w:fldCharType="begin"/>
          </w:r>
          <w:r>
            <w:instrText xml:space="preserve">HYPERLINK\l_Toc31488</w:instrText>
          </w:r>
          <w:r>
            <w:fldChar w:fldCharType="separate"/>
          </w:r>
          <w:r>
            <w:rPr>
              <w:rFonts w:hint="default"/>
              <w:highlight w:val="none"/>
            </w:rPr>
            <w:t>附图</w:t>
          </w:r>
          <w:r>
            <w:rPr>
              <w:rFonts w:hint="eastAsia"/>
              <w:highlight w:val="none"/>
              <w:lang w:val="en-US" w:eastAsia="zh-CN"/>
            </w:rPr>
            <w:t>4</w:t>
          </w:r>
          <w:r>
            <w:rPr>
              <w:rFonts w:hint="default"/>
              <w:highlight w:val="none"/>
            </w:rPr>
            <w:t>：</w:t>
          </w:r>
          <w:r>
            <w:rPr>
              <w:rFonts w:hint="eastAsia"/>
              <w:highlight w:val="none"/>
              <w:lang w:val="en-US" w:eastAsia="zh-CN"/>
            </w:rPr>
            <w:t>厂外周边关系图</w:t>
          </w:r>
          <w:r>
            <w:tab/>
          </w:r>
          <w:r>
            <w:fldChar w:fldCharType="begin"/>
          </w:r>
          <w:r>
            <w:instrText xml:space="preserve">PAGEREF_Toc31488\h</w:instrText>
          </w:r>
          <w:r>
            <w:fldChar w:fldCharType="separate"/>
          </w:r>
          <w:r>
            <w:t>56</w:t>
          </w:r>
          <w:r>
            <w:fldChar w:fldCharType="end"/>
          </w:r>
          <w:r>
            <w:fldChar w:fldCharType="end"/>
          </w:r>
        </w:p>
        <w:p>
          <w:pPr>
            <w:pStyle w:val="2"/>
            <w:tabs>
              <w:tab w:val="right" w:leader="dot" w:pos="9071"/>
            </w:tabs>
          </w:pPr>
          <w:r>
            <w:fldChar w:fldCharType="begin"/>
          </w:r>
          <w:r>
            <w:instrText xml:space="preserve">HYPERLINK\l_Toc5908</w:instrText>
          </w:r>
          <w:r>
            <w:fldChar w:fldCharType="separate"/>
          </w:r>
          <w:r>
            <w:rPr>
              <w:rFonts w:hint="default"/>
              <w:highlight w:val="none"/>
            </w:rPr>
            <w:t>附图</w:t>
          </w:r>
          <w:r>
            <w:rPr>
              <w:rFonts w:hint="eastAsia"/>
              <w:highlight w:val="none"/>
              <w:lang w:val="en-US" w:eastAsia="zh-CN"/>
            </w:rPr>
            <w:t>5</w:t>
          </w:r>
          <w:r>
            <w:rPr>
              <w:rFonts w:hint="default"/>
              <w:highlight w:val="none"/>
            </w:rPr>
            <w:t>：</w:t>
          </w:r>
          <w:r>
            <w:rPr>
              <w:rFonts w:hint="eastAsia"/>
              <w:highlight w:val="none"/>
              <w:lang w:val="en-US" w:eastAsia="zh-CN"/>
            </w:rPr>
            <w:t>项目分区防渗</w:t>
          </w:r>
          <w:r>
            <w:rPr>
              <w:rFonts w:hint="default"/>
              <w:highlight w:val="none"/>
            </w:rPr>
            <w:t>图</w:t>
          </w:r>
          <w:r>
            <w:tab/>
          </w:r>
          <w:r>
            <w:fldChar w:fldCharType="begin"/>
          </w:r>
          <w:r>
            <w:instrText xml:space="preserve">PAGEREF_Toc5908\h</w:instrText>
          </w:r>
          <w:r>
            <w:fldChar w:fldCharType="separate"/>
          </w:r>
          <w:r>
            <w:t>57</w:t>
          </w:r>
          <w:r>
            <w:fldChar w:fldCharType="end"/>
          </w:r>
          <w:r>
            <w:fldChar w:fldCharType="end"/>
          </w:r>
        </w:p>
        <w:p>
          <w:pPr>
            <w:pStyle w:val="2"/>
            <w:tabs>
              <w:tab w:val="right" w:leader="dot" w:pos="9071"/>
            </w:tabs>
          </w:pPr>
          <w:r>
            <w:fldChar w:fldCharType="begin"/>
          </w:r>
          <w:r>
            <w:instrText xml:space="preserve">HYPERLINK\l_Toc7058</w:instrText>
          </w:r>
          <w:r>
            <w:fldChar w:fldCharType="separate"/>
          </w:r>
          <w:r>
            <w:rPr>
              <w:rFonts w:hint="default" w:ascii="Times New Roman" w:hAnsi="Times New Roman" w:eastAsia="黑体" w:cs="Times New Roman"/>
              <w:bCs/>
              <w:kern w:val="44"/>
              <w:szCs w:val="30"/>
              <w:highlight w:val="none"/>
              <w:lang w:val="en-US" w:eastAsia="zh-CN" w:bidi="ar-SA"/>
            </w:rPr>
            <w:t>附图</w:t>
          </w:r>
          <w:r>
            <w:rPr>
              <w:rFonts w:hint="eastAsia" w:eastAsia="黑体" w:cs="Times New Roman"/>
              <w:bCs/>
              <w:kern w:val="44"/>
              <w:szCs w:val="30"/>
              <w:highlight w:val="none"/>
              <w:lang w:val="en-US" w:eastAsia="zh-CN" w:bidi="ar-SA"/>
            </w:rPr>
            <w:t>6</w:t>
          </w:r>
          <w:r>
            <w:rPr>
              <w:rFonts w:hint="default" w:ascii="Times New Roman" w:hAnsi="Times New Roman" w:eastAsia="黑体" w:cs="Times New Roman"/>
              <w:bCs/>
              <w:kern w:val="44"/>
              <w:szCs w:val="30"/>
              <w:highlight w:val="none"/>
              <w:lang w:val="en-US" w:eastAsia="zh-CN" w:bidi="ar-SA"/>
            </w:rPr>
            <w:t>：</w:t>
          </w:r>
          <w:r>
            <w:rPr>
              <w:rFonts w:hint="eastAsia" w:eastAsia="黑体" w:cs="Times New Roman"/>
              <w:bCs/>
              <w:kern w:val="44"/>
              <w:szCs w:val="30"/>
              <w:highlight w:val="none"/>
              <w:lang w:val="en-US" w:eastAsia="zh-CN" w:bidi="ar-SA"/>
            </w:rPr>
            <w:t>青口控制性规划图</w:t>
          </w:r>
          <w:r>
            <w:tab/>
          </w:r>
          <w:r>
            <w:fldChar w:fldCharType="begin"/>
          </w:r>
          <w:r>
            <w:instrText xml:space="preserve">PAGEREF_Toc7058\h</w:instrText>
          </w:r>
          <w:r>
            <w:fldChar w:fldCharType="separate"/>
          </w:r>
          <w:r>
            <w:t>58</w:t>
          </w:r>
          <w:r>
            <w:fldChar w:fldCharType="end"/>
          </w:r>
          <w:r>
            <w:fldChar w:fldCharType="end"/>
          </w:r>
        </w:p>
        <w:p>
          <w:pPr>
            <w:pStyle w:val="2"/>
            <w:tabs>
              <w:tab w:val="right" w:leader="dot" w:pos="9071"/>
            </w:tabs>
          </w:pPr>
          <w:r>
            <w:fldChar w:fldCharType="begin"/>
          </w:r>
          <w:r>
            <w:instrText xml:space="preserve">HYPERLINK\l_Toc1561</w:instrText>
          </w:r>
          <w:r>
            <w:fldChar w:fldCharType="separate"/>
          </w:r>
          <w:r>
            <w:rPr>
              <w:rFonts w:hint="default" w:ascii="Times New Roman" w:hAnsi="Times New Roman" w:eastAsia="黑体" w:cs="Times New Roman"/>
              <w:bCs/>
              <w:kern w:val="44"/>
              <w:szCs w:val="30"/>
              <w:highlight w:val="none"/>
              <w:lang w:val="en-US" w:eastAsia="zh-CN" w:bidi="ar-SA"/>
            </w:rPr>
            <w:t>附图</w:t>
          </w:r>
          <w:r>
            <w:rPr>
              <w:rFonts w:hint="eastAsia" w:eastAsia="黑体" w:cs="Times New Roman"/>
              <w:bCs/>
              <w:kern w:val="44"/>
              <w:szCs w:val="30"/>
              <w:highlight w:val="none"/>
              <w:lang w:val="en-US" w:eastAsia="zh-CN" w:bidi="ar-SA"/>
            </w:rPr>
            <w:t>7</w:t>
          </w:r>
          <w:r>
            <w:rPr>
              <w:rFonts w:hint="default" w:ascii="Times New Roman" w:hAnsi="Times New Roman" w:eastAsia="黑体" w:cs="Times New Roman"/>
              <w:bCs/>
              <w:kern w:val="44"/>
              <w:szCs w:val="30"/>
              <w:highlight w:val="none"/>
              <w:lang w:val="en-US" w:eastAsia="zh-CN" w:bidi="ar-SA"/>
            </w:rPr>
            <w:t>：</w:t>
          </w:r>
          <w:r>
            <w:rPr>
              <w:rFonts w:hint="eastAsia" w:eastAsia="黑体" w:cs="Times New Roman"/>
              <w:bCs/>
              <w:kern w:val="44"/>
              <w:szCs w:val="30"/>
              <w:highlight w:val="none"/>
              <w:lang w:val="en-US" w:eastAsia="zh-CN" w:bidi="ar-SA"/>
            </w:rPr>
            <w:t>祥谦镇总体规划图</w:t>
          </w:r>
          <w:r>
            <w:tab/>
          </w:r>
          <w:r>
            <w:fldChar w:fldCharType="begin"/>
          </w:r>
          <w:r>
            <w:instrText xml:space="preserve">PAGEREF_Toc1561\h</w:instrText>
          </w:r>
          <w:r>
            <w:fldChar w:fldCharType="separate"/>
          </w:r>
          <w:r>
            <w:t>59</w:t>
          </w:r>
          <w:r>
            <w:fldChar w:fldCharType="end"/>
          </w:r>
          <w:r>
            <w:fldChar w:fldCharType="end"/>
          </w:r>
        </w:p>
        <w:p>
          <w:pPr>
            <w:pStyle w:val="2"/>
            <w:tabs>
              <w:tab w:val="right" w:leader="dot" w:pos="9071"/>
            </w:tabs>
          </w:pPr>
          <w:r>
            <w:fldChar w:fldCharType="begin"/>
          </w:r>
          <w:r>
            <w:instrText xml:space="preserve">HYPERLINK\l_Toc6132</w:instrText>
          </w:r>
          <w:r>
            <w:fldChar w:fldCharType="separate"/>
          </w:r>
          <w:r>
            <w:rPr>
              <w:rFonts w:hint="default"/>
              <w:highlight w:val="none"/>
            </w:rPr>
            <w:t>附件1：委托书</w:t>
          </w:r>
          <w:r>
            <w:tab/>
          </w:r>
          <w:r>
            <w:fldChar w:fldCharType="begin"/>
          </w:r>
          <w:r>
            <w:instrText xml:space="preserve">PAGEREF_Toc6132\h</w:instrText>
          </w:r>
          <w:r>
            <w:fldChar w:fldCharType="separate"/>
          </w:r>
          <w:r>
            <w:t>60</w:t>
          </w:r>
          <w:r>
            <w:fldChar w:fldCharType="end"/>
          </w:r>
          <w:r>
            <w:fldChar w:fldCharType="end"/>
          </w:r>
        </w:p>
        <w:p>
          <w:pPr>
            <w:pStyle w:val="2"/>
            <w:tabs>
              <w:tab w:val="right" w:leader="dot" w:pos="9071"/>
            </w:tabs>
          </w:pPr>
          <w:r>
            <w:fldChar w:fldCharType="begin"/>
          </w:r>
          <w:r>
            <w:instrText xml:space="preserve">HYPERLINK\l_Toc448</w:instrText>
          </w:r>
          <w:r>
            <w:fldChar w:fldCharType="separate"/>
          </w:r>
          <w:r>
            <w:rPr>
              <w:rFonts w:hint="default"/>
              <w:highlight w:val="none"/>
            </w:rPr>
            <w:t>附件2：备案</w:t>
          </w:r>
          <w:r>
            <w:rPr>
              <w:rFonts w:hint="eastAsia"/>
              <w:highlight w:val="none"/>
              <w:lang w:val="en-US" w:eastAsia="zh-CN"/>
            </w:rPr>
            <w:t>信息</w:t>
          </w:r>
          <w:r>
            <w:tab/>
          </w:r>
          <w:r>
            <w:fldChar w:fldCharType="begin"/>
          </w:r>
          <w:r>
            <w:instrText xml:space="preserve">PAGEREF_Toc448\h</w:instrText>
          </w:r>
          <w:r>
            <w:fldChar w:fldCharType="separate"/>
          </w:r>
          <w:r>
            <w:t>61</w:t>
          </w:r>
          <w:r>
            <w:fldChar w:fldCharType="end"/>
          </w:r>
          <w:r>
            <w:fldChar w:fldCharType="end"/>
          </w:r>
        </w:p>
        <w:p>
          <w:pPr>
            <w:pStyle w:val="2"/>
            <w:tabs>
              <w:tab w:val="right" w:leader="dot" w:pos="9071"/>
            </w:tabs>
          </w:pPr>
          <w:r>
            <w:fldChar w:fldCharType="begin"/>
          </w:r>
          <w:r>
            <w:instrText xml:space="preserve">HYPERLINK\l_Toc27446</w:instrText>
          </w:r>
          <w:r>
            <w:fldChar w:fldCharType="separate"/>
          </w:r>
          <w:r>
            <w:rPr>
              <w:rFonts w:hint="default"/>
            </w:rPr>
            <w:t>附件3：营业执照</w:t>
          </w:r>
          <w:r>
            <w:tab/>
          </w:r>
          <w:r>
            <w:fldChar w:fldCharType="begin"/>
          </w:r>
          <w:r>
            <w:instrText xml:space="preserve">PAGEREF_Toc27446\h</w:instrText>
          </w:r>
          <w:r>
            <w:fldChar w:fldCharType="separate"/>
          </w:r>
          <w:r>
            <w:t>63</w:t>
          </w:r>
          <w:r>
            <w:fldChar w:fldCharType="end"/>
          </w:r>
          <w:r>
            <w:fldChar w:fldCharType="end"/>
          </w:r>
        </w:p>
        <w:p>
          <w:pPr>
            <w:pStyle w:val="2"/>
            <w:tabs>
              <w:tab w:val="right" w:leader="dot" w:pos="9071"/>
            </w:tabs>
          </w:pPr>
          <w:r>
            <w:fldChar w:fldCharType="begin"/>
          </w:r>
          <w:r>
            <w:instrText xml:space="preserve">HYPERLINK\l_Toc27507</w:instrText>
          </w:r>
          <w:r>
            <w:fldChar w:fldCharType="separate"/>
          </w:r>
          <w:r>
            <w:rPr>
              <w:rFonts w:hint="default"/>
              <w:highlight w:val="none"/>
              <w:lang w:val="en-US" w:eastAsia="zh-CN"/>
            </w:rPr>
            <w:t>附件</w:t>
          </w:r>
          <w:r>
            <w:rPr>
              <w:rFonts w:hint="eastAsia"/>
              <w:highlight w:val="none"/>
              <w:lang w:val="en-US" w:eastAsia="zh-CN"/>
            </w:rPr>
            <w:t>4</w:t>
          </w:r>
          <w:r>
            <w:rPr>
              <w:rFonts w:hint="default"/>
              <w:highlight w:val="none"/>
              <w:lang w:val="en-US" w:eastAsia="zh-CN"/>
            </w:rPr>
            <w:t>：</w:t>
          </w:r>
          <w:r>
            <w:rPr>
              <w:rFonts w:hint="eastAsia"/>
              <w:highlight w:val="none"/>
              <w:lang w:val="en-US" w:eastAsia="zh-CN"/>
            </w:rPr>
            <w:t>土地证</w:t>
          </w:r>
          <w:r>
            <w:tab/>
          </w:r>
          <w:r>
            <w:fldChar w:fldCharType="begin"/>
          </w:r>
          <w:r>
            <w:instrText xml:space="preserve">PAGEREF_Toc27507\h</w:instrText>
          </w:r>
          <w:r>
            <w:fldChar w:fldCharType="separate"/>
          </w:r>
          <w:r>
            <w:t>64</w:t>
          </w:r>
          <w:r>
            <w:fldChar w:fldCharType="end"/>
          </w:r>
          <w:r>
            <w:fldChar w:fldCharType="end"/>
          </w:r>
        </w:p>
        <w:p>
          <w:pPr>
            <w:pStyle w:val="2"/>
            <w:tabs>
              <w:tab w:val="right" w:leader="dot" w:pos="9071"/>
            </w:tabs>
          </w:pPr>
          <w:r>
            <w:fldChar w:fldCharType="begin"/>
          </w:r>
          <w:r>
            <w:instrText xml:space="preserve">HYPERLINK\l_Toc24908</w:instrText>
          </w:r>
          <w:r>
            <w:fldChar w:fldCharType="separate"/>
          </w:r>
          <w:r>
            <w:rPr>
              <w:rFonts w:hint="eastAsia"/>
              <w:highlight w:val="none"/>
              <w:lang w:val="en-US" w:eastAsia="zh-CN"/>
            </w:rPr>
            <w:t>附件5：租赁合同</w:t>
          </w:r>
          <w:r>
            <w:tab/>
          </w:r>
          <w:r>
            <w:fldChar w:fldCharType="begin"/>
          </w:r>
          <w:r>
            <w:instrText xml:space="preserve">PAGEREF_Toc24908\h</w:instrText>
          </w:r>
          <w:r>
            <w:fldChar w:fldCharType="separate"/>
          </w:r>
          <w:r>
            <w:t>67</w:t>
          </w:r>
          <w:r>
            <w:fldChar w:fldCharType="end"/>
          </w:r>
          <w:r>
            <w:fldChar w:fldCharType="end"/>
          </w:r>
        </w:p>
        <w:p>
          <w:pPr>
            <w:pStyle w:val="2"/>
            <w:tabs>
              <w:tab w:val="right" w:leader="dot" w:pos="9071"/>
            </w:tabs>
          </w:pPr>
          <w:r>
            <w:fldChar w:fldCharType="begin"/>
          </w:r>
          <w:r>
            <w:instrText xml:space="preserve">HYPERLINK\l_Toc22212</w:instrText>
          </w:r>
          <w:r>
            <w:fldChar w:fldCharType="separate"/>
          </w:r>
          <w:r>
            <w:rPr>
              <w:rFonts w:hint="eastAsia"/>
              <w:highlight w:val="none"/>
              <w:lang w:val="en-US" w:eastAsia="zh-CN"/>
            </w:rPr>
            <w:t>附件6：危废处置合同</w:t>
          </w:r>
          <w:r>
            <w:tab/>
          </w:r>
          <w:r>
            <w:fldChar w:fldCharType="begin"/>
          </w:r>
          <w:r>
            <w:instrText xml:space="preserve">PAGEREF_Toc22212\h</w:instrText>
          </w:r>
          <w:r>
            <w:fldChar w:fldCharType="separate"/>
          </w:r>
          <w:r>
            <w:t>72</w:t>
          </w:r>
          <w:r>
            <w:fldChar w:fldCharType="end"/>
          </w:r>
          <w:r>
            <w:fldChar w:fldCharType="end"/>
          </w:r>
        </w:p>
        <w:p>
          <w:pPr>
            <w:pStyle w:val="2"/>
            <w:tabs>
              <w:tab w:val="right" w:leader="dot" w:pos="9071"/>
            </w:tabs>
          </w:pPr>
          <w:r>
            <w:fldChar w:fldCharType="begin"/>
          </w:r>
          <w:r>
            <w:instrText xml:space="preserve">HYPERLINK\l_Toc322</w:instrText>
          </w:r>
          <w:r>
            <w:fldChar w:fldCharType="separate"/>
          </w:r>
          <w:r>
            <w:rPr>
              <w:rFonts w:hint="eastAsia"/>
              <w:highlight w:val="none"/>
              <w:lang w:val="en-US" w:eastAsia="zh-CN"/>
            </w:rPr>
            <w:t>附件7：危废转运运输协议</w:t>
          </w:r>
          <w:r>
            <w:rPr>
              <w:rFonts w:hint="eastAsia"/>
              <w:lang w:eastAsia="zh-CN"/>
            </w:rPr>
            <w:t>（</w:t>
          </w:r>
          <w:r>
            <w:rPr>
              <w:rFonts w:hint="eastAsia"/>
              <w:lang w:val="en-US" w:eastAsia="zh-CN"/>
            </w:rPr>
            <w:t>处置单位委托</w:t>
          </w:r>
          <w:r>
            <w:rPr>
              <w:rFonts w:hint="eastAsia"/>
              <w:lang w:eastAsia="zh-CN"/>
            </w:rPr>
            <w:t>）</w:t>
          </w:r>
          <w:r>
            <w:tab/>
          </w:r>
          <w:r>
            <w:fldChar w:fldCharType="begin"/>
          </w:r>
          <w:r>
            <w:instrText xml:space="preserve">PAGEREF_Toc322\h</w:instrText>
          </w:r>
          <w:r>
            <w:fldChar w:fldCharType="separate"/>
          </w:r>
          <w:r>
            <w:t>79</w:t>
          </w:r>
          <w:r>
            <w:fldChar w:fldCharType="end"/>
          </w:r>
          <w:r>
            <w:fldChar w:fldCharType="end"/>
          </w:r>
        </w:p>
        <w:p>
          <w:pPr>
            <w:pStyle w:val="2"/>
            <w:tabs>
              <w:tab w:val="right" w:leader="dot" w:pos="9071"/>
            </w:tabs>
          </w:pPr>
          <w:r>
            <w:fldChar w:fldCharType="begin"/>
          </w:r>
          <w:r>
            <w:instrText xml:space="preserve">HYPERLINK\l_Toc28997</w:instrText>
          </w:r>
          <w:r>
            <w:fldChar w:fldCharType="separate"/>
          </w:r>
          <w:r>
            <w:rPr>
              <w:rFonts w:hint="eastAsia"/>
              <w:highlight w:val="none"/>
              <w:lang w:val="en-US" w:eastAsia="zh-CN"/>
            </w:rPr>
            <w:t>附件8：危废收集运输协议</w:t>
          </w:r>
          <w:r>
            <w:tab/>
          </w:r>
          <w:r>
            <w:fldChar w:fldCharType="begin"/>
          </w:r>
          <w:r>
            <w:instrText xml:space="preserve">PAGEREF_Toc28997\h</w:instrText>
          </w:r>
          <w:r>
            <w:fldChar w:fldCharType="separate"/>
          </w:r>
          <w:r>
            <w:t>98</w:t>
          </w:r>
          <w:r>
            <w:fldChar w:fldCharType="end"/>
          </w:r>
          <w:r>
            <w:fldChar w:fldCharType="end"/>
          </w:r>
        </w:p>
        <w:p>
          <w:r>
            <w:fldChar w:fldCharType="end"/>
          </w:r>
        </w:p>
      </w:sdtContent>
    </w:sdt>
    <w:p>
      <w:pPr>
        <w:pStyle w:val="3"/>
        <w:rPr>
          <w:rFonts w:hint="default" w:ascii="Times New Roman" w:hAnsi="Times New Roman" w:cs="Times New Roman"/>
          <w:color w:val="auto"/>
          <w:highlight w:val="none"/>
        </w:rPr>
        <w:sectPr>
          <w:footerReference r:id="rId4" w:type="default"/>
          <w:pgSz w:w="11905" w:h="16838"/>
          <w:pgMar w:top="1417" w:right="1417" w:bottom="1417" w:left="1417" w:header="851" w:footer="1077" w:gutter="0"/>
          <w:pgBorders>
            <w:top w:val="none" w:sz="0" w:space="0"/>
            <w:left w:val="none" w:sz="0" w:space="0"/>
            <w:bottom w:val="none" w:sz="0" w:space="0"/>
            <w:right w:val="none" w:sz="0" w:space="0"/>
          </w:pgBorders>
          <w:pgNumType w:fmt="decimal" w:start="1"/>
          <w:cols w:space="0" w:num="1"/>
          <w:docGrid w:linePitch="312" w:charSpace="0"/>
        </w:sectPr>
      </w:pPr>
      <w:bookmarkStart w:id="9" w:name="_Toc23623"/>
      <w:bookmarkStart w:id="10" w:name="_Toc32528"/>
      <w:bookmarkStart w:id="11" w:name="_Toc15436"/>
      <w:bookmarkStart w:id="12" w:name="_Toc29983"/>
      <w:bookmarkStart w:id="13" w:name="_Toc18890"/>
      <w:bookmarkStart w:id="14" w:name="_Toc1084"/>
      <w:bookmarkStart w:id="15" w:name="_Toc19347"/>
      <w:bookmarkStart w:id="16" w:name="_Toc23899"/>
    </w:p>
    <w:p>
      <w:pPr>
        <w:pStyle w:val="3"/>
        <w:rPr>
          <w:rFonts w:hint="default" w:ascii="Times New Roman" w:hAnsi="Times New Roman" w:cs="Times New Roman"/>
          <w:color w:val="auto"/>
          <w:highlight w:val="none"/>
        </w:rPr>
      </w:pPr>
      <w:bookmarkStart w:id="17" w:name="_Toc11673"/>
      <w:r>
        <w:rPr>
          <w:rFonts w:hint="default" w:ascii="Times New Roman" w:hAnsi="Times New Roman" w:cs="Times New Roman"/>
          <w:color w:val="auto"/>
          <w:highlight w:val="none"/>
        </w:rPr>
        <w:t>建设项目基本情况</w:t>
      </w:r>
      <w:bookmarkEnd w:id="9"/>
      <w:bookmarkEnd w:id="10"/>
      <w:bookmarkEnd w:id="11"/>
      <w:bookmarkEnd w:id="12"/>
      <w:bookmarkEnd w:id="13"/>
      <w:bookmarkEnd w:id="14"/>
      <w:bookmarkEnd w:id="15"/>
      <w:bookmarkEnd w:id="16"/>
      <w:bookmarkEnd w:id="17"/>
    </w:p>
    <w:tbl>
      <w:tblPr>
        <w:tblStyle w:val="24"/>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015"/>
        <w:gridCol w:w="3122"/>
        <w:gridCol w:w="1939"/>
        <w:gridCol w:w="279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1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项目名称</w:t>
            </w:r>
          </w:p>
        </w:tc>
        <w:tc>
          <w:tcPr>
            <w:tcW w:w="7855" w:type="dxa"/>
            <w:gridSpan w:val="3"/>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年收集转运8000吨废矿物油、废机油项目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1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项目代码</w:t>
            </w:r>
          </w:p>
        </w:tc>
        <w:tc>
          <w:tcPr>
            <w:tcW w:w="7855" w:type="dxa"/>
            <w:gridSpan w:val="3"/>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eastAsia" w:cs="Times New Roman"/>
                <w:color w:val="auto"/>
                <w:kern w:val="0"/>
                <w:sz w:val="24"/>
                <w:szCs w:val="21"/>
                <w:lang w:val="en-US" w:eastAsia="zh-CN" w:bidi="ar-S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1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建设单位联系人</w:t>
            </w:r>
          </w:p>
        </w:tc>
        <w:tc>
          <w:tcPr>
            <w:tcW w:w="3122"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p>
        </w:tc>
        <w:tc>
          <w:tcPr>
            <w:tcW w:w="1939"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联系方式</w:t>
            </w:r>
          </w:p>
        </w:tc>
        <w:tc>
          <w:tcPr>
            <w:tcW w:w="2794"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bookmarkStart w:id="200" w:name="_GoBack"/>
            <w:bookmarkEnd w:id="200"/>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1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建设地点</w:t>
            </w:r>
          </w:p>
        </w:tc>
        <w:tc>
          <w:tcPr>
            <w:tcW w:w="7855" w:type="dxa"/>
            <w:gridSpan w:val="3"/>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highlight w:val="none"/>
                <w:lang w:val="en-US" w:eastAsia="zh-CN" w:bidi="ar-SA"/>
              </w:rPr>
              <w:t>福建省</w:t>
            </w:r>
            <w:r>
              <w:rPr>
                <w:rFonts w:hint="eastAsia" w:ascii="Times New Roman" w:hAnsi="Times New Roman" w:eastAsia="宋体" w:cs="Times New Roman"/>
                <w:color w:val="auto"/>
                <w:kern w:val="0"/>
                <w:sz w:val="24"/>
                <w:szCs w:val="21"/>
                <w:highlight w:val="none"/>
                <w:lang w:val="en-US" w:eastAsia="zh-CN" w:bidi="ar-SA"/>
              </w:rPr>
              <w:t>福州</w:t>
            </w:r>
            <w:r>
              <w:rPr>
                <w:rFonts w:hint="default" w:ascii="Times New Roman" w:hAnsi="Times New Roman" w:eastAsia="宋体" w:cs="Times New Roman"/>
                <w:color w:val="auto"/>
                <w:kern w:val="0"/>
                <w:sz w:val="24"/>
                <w:szCs w:val="21"/>
                <w:highlight w:val="none"/>
                <w:lang w:val="en-US" w:eastAsia="zh-CN" w:bidi="ar-SA"/>
              </w:rPr>
              <w:t>市</w:t>
            </w:r>
            <w:r>
              <w:rPr>
                <w:rFonts w:hint="eastAsia" w:ascii="Times New Roman" w:hAnsi="Times New Roman" w:eastAsia="宋体" w:cs="Times New Roman"/>
                <w:color w:val="auto"/>
                <w:kern w:val="0"/>
                <w:sz w:val="24"/>
                <w:szCs w:val="21"/>
                <w:highlight w:val="none"/>
                <w:lang w:val="en-US" w:eastAsia="zh-CN" w:bidi="ar-SA"/>
              </w:rPr>
              <w:t>闽侯县祥谦镇泮洋村祥宏中路20号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1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地理坐标</w:t>
            </w:r>
          </w:p>
        </w:tc>
        <w:tc>
          <w:tcPr>
            <w:tcW w:w="7855" w:type="dxa"/>
            <w:gridSpan w:val="3"/>
            <w:vAlign w:val="center"/>
          </w:tcPr>
          <w:p>
            <w:pPr>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highlight w:val="none"/>
                <w:lang w:val="en-US" w:eastAsia="zh-CN" w:bidi="ar-SA"/>
              </w:rPr>
              <w:t>（</w:t>
            </w:r>
            <w:r>
              <w:rPr>
                <w:rFonts w:hint="eastAsia" w:ascii="Times New Roman" w:hAnsi="Times New Roman" w:eastAsia="宋体" w:cs="Times New Roman"/>
                <w:color w:val="auto"/>
                <w:kern w:val="0"/>
                <w:sz w:val="24"/>
                <w:szCs w:val="21"/>
                <w:highlight w:val="none"/>
                <w:lang w:val="en-US" w:eastAsia="zh-CN" w:bidi="ar-SA"/>
              </w:rPr>
              <w:t>经度：119</w:t>
            </w:r>
            <w:r>
              <w:rPr>
                <w:rFonts w:hint="default" w:ascii="Times New Roman" w:hAnsi="Times New Roman" w:eastAsia="宋体" w:cs="Times New Roman"/>
                <w:color w:val="auto"/>
                <w:kern w:val="0"/>
                <w:sz w:val="24"/>
                <w:szCs w:val="21"/>
                <w:highlight w:val="none"/>
                <w:lang w:val="en-US" w:eastAsia="zh-CN" w:bidi="ar-SA"/>
              </w:rPr>
              <w:t>度</w:t>
            </w:r>
            <w:r>
              <w:rPr>
                <w:rFonts w:hint="eastAsia" w:ascii="Times New Roman" w:hAnsi="Times New Roman" w:eastAsia="宋体" w:cs="Times New Roman"/>
                <w:color w:val="auto"/>
                <w:kern w:val="0"/>
                <w:sz w:val="24"/>
                <w:szCs w:val="21"/>
                <w:highlight w:val="none"/>
                <w:lang w:val="en-US" w:eastAsia="zh-CN" w:bidi="ar-SA"/>
              </w:rPr>
              <w:t>2</w:t>
            </w:r>
            <w:r>
              <w:rPr>
                <w:rFonts w:hint="eastAsia" w:cs="Times New Roman"/>
                <w:color w:val="auto"/>
                <w:kern w:val="0"/>
                <w:sz w:val="24"/>
                <w:szCs w:val="21"/>
                <w:highlight w:val="none"/>
                <w:lang w:val="en-US" w:eastAsia="zh-CN" w:bidi="ar-SA"/>
              </w:rPr>
              <w:t>2</w:t>
            </w:r>
            <w:r>
              <w:rPr>
                <w:rFonts w:hint="default" w:ascii="Times New Roman" w:hAnsi="Times New Roman" w:eastAsia="宋体" w:cs="Times New Roman"/>
                <w:color w:val="auto"/>
                <w:kern w:val="0"/>
                <w:sz w:val="24"/>
                <w:szCs w:val="21"/>
                <w:highlight w:val="none"/>
                <w:lang w:val="en-US" w:eastAsia="zh-CN" w:bidi="ar-SA"/>
              </w:rPr>
              <w:t>分</w:t>
            </w:r>
            <w:r>
              <w:rPr>
                <w:rFonts w:hint="eastAsia" w:ascii="Times New Roman" w:hAnsi="Times New Roman" w:eastAsia="宋体" w:cs="Times New Roman"/>
                <w:color w:val="auto"/>
                <w:kern w:val="0"/>
                <w:sz w:val="24"/>
                <w:szCs w:val="21"/>
                <w:highlight w:val="none"/>
                <w:lang w:val="en-US" w:eastAsia="zh-CN" w:bidi="ar-SA"/>
              </w:rPr>
              <w:t>4</w:t>
            </w:r>
            <w:r>
              <w:rPr>
                <w:rFonts w:hint="eastAsia" w:cs="Times New Roman"/>
                <w:color w:val="auto"/>
                <w:kern w:val="0"/>
                <w:sz w:val="24"/>
                <w:szCs w:val="21"/>
                <w:highlight w:val="none"/>
                <w:lang w:val="en-US" w:eastAsia="zh-CN" w:bidi="ar-SA"/>
              </w:rPr>
              <w:t>4</w:t>
            </w:r>
            <w:r>
              <w:rPr>
                <w:rFonts w:hint="eastAsia" w:ascii="Times New Roman" w:hAnsi="Times New Roman" w:eastAsia="宋体" w:cs="Times New Roman"/>
                <w:color w:val="auto"/>
                <w:kern w:val="0"/>
                <w:sz w:val="24"/>
                <w:szCs w:val="21"/>
                <w:highlight w:val="none"/>
                <w:lang w:val="en-US" w:eastAsia="zh-CN" w:bidi="ar-SA"/>
              </w:rPr>
              <w:t>.</w:t>
            </w:r>
            <w:r>
              <w:rPr>
                <w:rFonts w:hint="eastAsia" w:cs="Times New Roman"/>
                <w:color w:val="auto"/>
                <w:kern w:val="0"/>
                <w:sz w:val="24"/>
                <w:szCs w:val="21"/>
                <w:highlight w:val="none"/>
                <w:lang w:val="en-US" w:eastAsia="zh-CN" w:bidi="ar-SA"/>
              </w:rPr>
              <w:t>699</w:t>
            </w:r>
            <w:r>
              <w:rPr>
                <w:rFonts w:hint="default" w:ascii="Times New Roman" w:hAnsi="Times New Roman" w:eastAsia="宋体" w:cs="Times New Roman"/>
                <w:color w:val="auto"/>
                <w:kern w:val="0"/>
                <w:sz w:val="24"/>
                <w:szCs w:val="21"/>
                <w:highlight w:val="none"/>
                <w:lang w:val="en-US" w:eastAsia="zh-CN" w:bidi="ar-SA"/>
              </w:rPr>
              <w:t>秒，</w:t>
            </w:r>
            <w:r>
              <w:rPr>
                <w:rFonts w:hint="eastAsia" w:ascii="Times New Roman" w:hAnsi="Times New Roman" w:eastAsia="宋体" w:cs="Times New Roman"/>
                <w:color w:val="auto"/>
                <w:kern w:val="0"/>
                <w:sz w:val="24"/>
                <w:szCs w:val="21"/>
                <w:highlight w:val="none"/>
                <w:lang w:val="en-US" w:eastAsia="zh-CN" w:bidi="ar-SA"/>
              </w:rPr>
              <w:t>纬度：25</w:t>
            </w:r>
            <w:r>
              <w:rPr>
                <w:rFonts w:hint="default" w:ascii="Times New Roman" w:hAnsi="Times New Roman" w:eastAsia="宋体" w:cs="Times New Roman"/>
                <w:color w:val="auto"/>
                <w:kern w:val="0"/>
                <w:sz w:val="24"/>
                <w:szCs w:val="21"/>
                <w:highlight w:val="none"/>
                <w:lang w:val="en-US" w:eastAsia="zh-CN" w:bidi="ar-SA"/>
              </w:rPr>
              <w:t>度</w:t>
            </w:r>
            <w:r>
              <w:rPr>
                <w:rFonts w:hint="eastAsia" w:ascii="Times New Roman" w:hAnsi="Times New Roman" w:eastAsia="宋体" w:cs="Times New Roman"/>
                <w:color w:val="auto"/>
                <w:kern w:val="0"/>
                <w:sz w:val="24"/>
                <w:szCs w:val="21"/>
                <w:highlight w:val="none"/>
                <w:lang w:val="en-US" w:eastAsia="zh-CN" w:bidi="ar-SA"/>
              </w:rPr>
              <w:t>5</w:t>
            </w:r>
            <w:r>
              <w:rPr>
                <w:rFonts w:hint="eastAsia" w:cs="Times New Roman"/>
                <w:color w:val="auto"/>
                <w:kern w:val="0"/>
                <w:sz w:val="24"/>
                <w:szCs w:val="21"/>
                <w:highlight w:val="none"/>
                <w:lang w:val="en-US" w:eastAsia="zh-CN" w:bidi="ar-SA"/>
              </w:rPr>
              <w:t>5</w:t>
            </w:r>
            <w:r>
              <w:rPr>
                <w:rFonts w:hint="default" w:ascii="Times New Roman" w:hAnsi="Times New Roman" w:eastAsia="宋体" w:cs="Times New Roman"/>
                <w:color w:val="auto"/>
                <w:kern w:val="0"/>
                <w:sz w:val="24"/>
                <w:szCs w:val="21"/>
                <w:highlight w:val="none"/>
                <w:lang w:val="en-US" w:eastAsia="zh-CN" w:bidi="ar-SA"/>
              </w:rPr>
              <w:t>分</w:t>
            </w:r>
            <w:r>
              <w:rPr>
                <w:rFonts w:hint="eastAsia" w:cs="Times New Roman"/>
                <w:color w:val="auto"/>
                <w:kern w:val="0"/>
                <w:sz w:val="24"/>
                <w:szCs w:val="21"/>
                <w:highlight w:val="none"/>
                <w:lang w:val="en-US" w:eastAsia="zh-CN" w:bidi="ar-SA"/>
              </w:rPr>
              <w:t>58</w:t>
            </w:r>
            <w:r>
              <w:rPr>
                <w:rFonts w:hint="eastAsia" w:ascii="Times New Roman" w:hAnsi="Times New Roman" w:eastAsia="宋体" w:cs="Times New Roman"/>
                <w:color w:val="auto"/>
                <w:kern w:val="0"/>
                <w:sz w:val="24"/>
                <w:szCs w:val="21"/>
                <w:highlight w:val="none"/>
                <w:lang w:val="en-US" w:eastAsia="zh-CN" w:bidi="ar-SA"/>
              </w:rPr>
              <w:t>.</w:t>
            </w:r>
            <w:r>
              <w:rPr>
                <w:rFonts w:hint="eastAsia" w:cs="Times New Roman"/>
                <w:color w:val="auto"/>
                <w:kern w:val="0"/>
                <w:sz w:val="24"/>
                <w:szCs w:val="21"/>
                <w:highlight w:val="none"/>
                <w:lang w:val="en-US" w:eastAsia="zh-CN" w:bidi="ar-SA"/>
              </w:rPr>
              <w:t>621</w:t>
            </w:r>
            <w:r>
              <w:rPr>
                <w:rFonts w:hint="default" w:ascii="Times New Roman" w:hAnsi="Times New Roman" w:eastAsia="宋体" w:cs="Times New Roman"/>
                <w:color w:val="auto"/>
                <w:kern w:val="0"/>
                <w:sz w:val="24"/>
                <w:szCs w:val="21"/>
                <w:highlight w:val="none"/>
                <w:lang w:val="en-US" w:eastAsia="zh-CN" w:bidi="ar-SA"/>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01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国民经济</w:t>
            </w:r>
          </w:p>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行业类别</w:t>
            </w:r>
          </w:p>
        </w:tc>
        <w:tc>
          <w:tcPr>
            <w:tcW w:w="3122" w:type="dxa"/>
            <w:vAlign w:val="center"/>
          </w:tcPr>
          <w:p>
            <w:pPr>
              <w:keepNext w:val="0"/>
              <w:keepLines w:val="0"/>
              <w:widowControl/>
              <w:suppressLineNumbers w:val="0"/>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G5949</w:t>
            </w:r>
            <w:r>
              <w:rPr>
                <w:rFonts w:hint="eastAsia" w:ascii="Times New Roman" w:hAnsi="Times New Roman" w:eastAsia="宋体" w:cs="Times New Roman"/>
                <w:color w:val="auto"/>
                <w:kern w:val="0"/>
                <w:sz w:val="24"/>
                <w:szCs w:val="21"/>
                <w:lang w:val="en-US" w:eastAsia="zh-CN" w:bidi="ar-SA"/>
              </w:rPr>
              <w:t>其他危险品仓储</w:t>
            </w:r>
          </w:p>
        </w:tc>
        <w:tc>
          <w:tcPr>
            <w:tcW w:w="1939"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bookmarkStart w:id="18" w:name="_Hlk49843745"/>
            <w:r>
              <w:rPr>
                <w:rFonts w:hint="default" w:ascii="Times New Roman" w:hAnsi="Times New Roman" w:eastAsia="宋体" w:cs="Times New Roman"/>
                <w:color w:val="auto"/>
                <w:kern w:val="0"/>
                <w:sz w:val="24"/>
                <w:szCs w:val="21"/>
                <w:lang w:val="en-US" w:eastAsia="zh-CN" w:bidi="ar-SA"/>
              </w:rPr>
              <w:t>建设项目</w:t>
            </w:r>
          </w:p>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行业类别</w:t>
            </w:r>
            <w:bookmarkEnd w:id="18"/>
          </w:p>
        </w:tc>
        <w:tc>
          <w:tcPr>
            <w:tcW w:w="2794" w:type="dxa"/>
            <w:vAlign w:val="center"/>
          </w:tcPr>
          <w:p>
            <w:pPr>
              <w:pStyle w:val="8"/>
              <w:ind w:firstLine="0" w:firstLineChars="0"/>
              <w:rPr>
                <w:rFonts w:hint="default"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五十三、装卸搬运和仓储业59；149.危险品仓储</w:t>
            </w:r>
            <w:r>
              <w:rPr>
                <w:rFonts w:hint="eastAsia" w:cs="Times New Roman"/>
                <w:color w:val="auto"/>
                <w:kern w:val="0"/>
                <w:sz w:val="24"/>
                <w:szCs w:val="21"/>
                <w:lang w:val="en-US" w:eastAsia="zh-CN" w:bidi="ar-SA"/>
              </w:rPr>
              <w:t>594</w:t>
            </w:r>
            <w:r>
              <w:rPr>
                <w:rFonts w:hint="eastAsia" w:ascii="Times New Roman" w:hAnsi="Times New Roman" w:eastAsia="宋体" w:cs="Times New Roman"/>
                <w:color w:val="auto"/>
                <w:kern w:val="0"/>
                <w:sz w:val="24"/>
                <w:szCs w:val="21"/>
                <w:lang w:val="en-US" w:eastAsia="zh-CN" w:bidi="ar-SA"/>
              </w:rPr>
              <w:t>（不含加油站的油库；不含加气站的气库）中‘其他（含有毒、有害、危险品的仓储；含液化天然气库）’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01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建设性质</w:t>
            </w:r>
          </w:p>
        </w:tc>
        <w:tc>
          <w:tcPr>
            <w:tcW w:w="3122" w:type="dxa"/>
            <w:vAlign w:val="center"/>
          </w:tcPr>
          <w:p>
            <w:pPr>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52"/>
            </w:r>
            <w:r>
              <w:rPr>
                <w:rFonts w:hint="default" w:ascii="Times New Roman" w:hAnsi="Times New Roman" w:eastAsia="宋体" w:cs="Times New Roman"/>
                <w:color w:val="auto"/>
                <w:kern w:val="0"/>
                <w:sz w:val="24"/>
                <w:szCs w:val="21"/>
                <w:lang w:val="en-US" w:eastAsia="zh-CN" w:bidi="ar-SA"/>
              </w:rPr>
              <w:t>新建（迁建）</w:t>
            </w:r>
          </w:p>
          <w:p>
            <w:pPr>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A3"/>
            </w:r>
            <w:r>
              <w:rPr>
                <w:rFonts w:hint="default" w:ascii="Times New Roman" w:hAnsi="Times New Roman" w:eastAsia="宋体" w:cs="Times New Roman"/>
                <w:color w:val="auto"/>
                <w:kern w:val="0"/>
                <w:sz w:val="24"/>
                <w:szCs w:val="21"/>
                <w:lang w:val="en-US" w:eastAsia="zh-CN" w:bidi="ar-SA"/>
              </w:rPr>
              <w:t>改建</w:t>
            </w:r>
          </w:p>
          <w:p>
            <w:pPr>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A3"/>
            </w:r>
            <w:r>
              <w:rPr>
                <w:rFonts w:hint="default" w:ascii="Times New Roman" w:hAnsi="Times New Roman" w:eastAsia="宋体" w:cs="Times New Roman"/>
                <w:color w:val="auto"/>
                <w:kern w:val="0"/>
                <w:sz w:val="24"/>
                <w:szCs w:val="21"/>
                <w:lang w:val="en-US" w:eastAsia="zh-CN" w:bidi="ar-SA"/>
              </w:rPr>
              <w:t>扩建</w:t>
            </w:r>
          </w:p>
          <w:p>
            <w:pPr>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A3"/>
            </w:r>
            <w:r>
              <w:rPr>
                <w:rFonts w:hint="default" w:ascii="Times New Roman" w:hAnsi="Times New Roman" w:eastAsia="宋体" w:cs="Times New Roman"/>
                <w:color w:val="auto"/>
                <w:kern w:val="0"/>
                <w:sz w:val="24"/>
                <w:szCs w:val="21"/>
                <w:lang w:val="en-US" w:eastAsia="zh-CN" w:bidi="ar-SA"/>
              </w:rPr>
              <w:t>技术改造</w:t>
            </w:r>
          </w:p>
        </w:tc>
        <w:tc>
          <w:tcPr>
            <w:tcW w:w="1939"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建设项目</w:t>
            </w:r>
          </w:p>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申报情形</w:t>
            </w:r>
          </w:p>
        </w:tc>
        <w:tc>
          <w:tcPr>
            <w:tcW w:w="2794" w:type="dxa"/>
            <w:vAlign w:val="center"/>
          </w:tcPr>
          <w:p>
            <w:pPr>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52"/>
            </w:r>
            <w:r>
              <w:rPr>
                <w:rFonts w:hint="default" w:ascii="Times New Roman" w:hAnsi="Times New Roman" w:eastAsia="宋体" w:cs="Times New Roman"/>
                <w:color w:val="auto"/>
                <w:kern w:val="0"/>
                <w:sz w:val="24"/>
                <w:szCs w:val="21"/>
                <w:lang w:val="en-US" w:eastAsia="zh-CN" w:bidi="ar-SA"/>
              </w:rPr>
              <w:t>首次申报项目</w:t>
            </w:r>
          </w:p>
          <w:p>
            <w:pPr>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A3"/>
            </w:r>
            <w:r>
              <w:rPr>
                <w:rFonts w:hint="default" w:ascii="Times New Roman" w:hAnsi="Times New Roman" w:eastAsia="宋体" w:cs="Times New Roman"/>
                <w:color w:val="auto"/>
                <w:kern w:val="0"/>
                <w:sz w:val="24"/>
                <w:szCs w:val="21"/>
                <w:lang w:val="en-US" w:eastAsia="zh-CN" w:bidi="ar-SA"/>
              </w:rPr>
              <w:t>不予批准后再次申报项目</w:t>
            </w:r>
          </w:p>
          <w:p>
            <w:pPr>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A3"/>
            </w:r>
            <w:r>
              <w:rPr>
                <w:rFonts w:hint="default" w:ascii="Times New Roman" w:hAnsi="Times New Roman" w:eastAsia="宋体" w:cs="Times New Roman"/>
                <w:color w:val="auto"/>
                <w:kern w:val="0"/>
                <w:sz w:val="24"/>
                <w:szCs w:val="21"/>
                <w:lang w:val="en-US" w:eastAsia="zh-CN" w:bidi="ar-SA"/>
              </w:rPr>
              <w:t>超五年重新审核项目</w:t>
            </w:r>
          </w:p>
          <w:p>
            <w:pPr>
              <w:jc w:val="left"/>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A3"/>
            </w:r>
            <w:r>
              <w:rPr>
                <w:rFonts w:hint="default" w:ascii="Times New Roman" w:hAnsi="Times New Roman" w:eastAsia="宋体" w:cs="Times New Roman"/>
                <w:color w:val="auto"/>
                <w:kern w:val="0"/>
                <w:sz w:val="24"/>
                <w:szCs w:val="21"/>
                <w:lang w:val="en-US" w:eastAsia="zh-CN" w:bidi="ar-SA"/>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01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项目审批（核准/备案）部门（选填）</w:t>
            </w:r>
          </w:p>
        </w:tc>
        <w:tc>
          <w:tcPr>
            <w:tcW w:w="3122" w:type="dxa"/>
            <w:vAlign w:val="center"/>
          </w:tcPr>
          <w:p>
            <w:pPr>
              <w:pStyle w:val="8"/>
              <w:ind w:firstLine="0" w:firstLineChars="0"/>
              <w:jc w:val="center"/>
              <w:rPr>
                <w:rFonts w:hint="eastAsia"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w:t>
            </w:r>
          </w:p>
        </w:tc>
        <w:tc>
          <w:tcPr>
            <w:tcW w:w="1939"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项目审批（核准/</w:t>
            </w:r>
          </w:p>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备案）文号（选填）</w:t>
            </w:r>
          </w:p>
        </w:tc>
        <w:tc>
          <w:tcPr>
            <w:tcW w:w="2794" w:type="dxa"/>
            <w:vAlign w:val="center"/>
          </w:tcPr>
          <w:p>
            <w:pPr>
              <w:adjustRightInd w:val="0"/>
              <w:snapToGrid w:val="0"/>
              <w:jc w:val="center"/>
              <w:rPr>
                <w:rFonts w:hint="eastAsia"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1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总投资（万元）</w:t>
            </w:r>
          </w:p>
        </w:tc>
        <w:tc>
          <w:tcPr>
            <w:tcW w:w="3122"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200</w:t>
            </w:r>
          </w:p>
        </w:tc>
        <w:tc>
          <w:tcPr>
            <w:tcW w:w="1939"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环保投资（万元）</w:t>
            </w:r>
          </w:p>
        </w:tc>
        <w:tc>
          <w:tcPr>
            <w:tcW w:w="2794"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1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环保投资占比（%）</w:t>
            </w:r>
          </w:p>
        </w:tc>
        <w:tc>
          <w:tcPr>
            <w:tcW w:w="3122"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17.5</w:t>
            </w:r>
          </w:p>
        </w:tc>
        <w:tc>
          <w:tcPr>
            <w:tcW w:w="1939"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施工工期</w:t>
            </w:r>
          </w:p>
        </w:tc>
        <w:tc>
          <w:tcPr>
            <w:tcW w:w="2794"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eastAsia" w:cs="Times New Roman"/>
                <w:color w:val="auto"/>
                <w:kern w:val="0"/>
                <w:sz w:val="24"/>
                <w:szCs w:val="21"/>
                <w:lang w:val="en-US" w:eastAsia="zh-CN" w:bidi="ar-SA"/>
              </w:rPr>
              <w:t>3个月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15"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是否开工建设</w:t>
            </w:r>
          </w:p>
        </w:tc>
        <w:tc>
          <w:tcPr>
            <w:tcW w:w="3122" w:type="dxa"/>
            <w:vAlign w:val="center"/>
          </w:tcPr>
          <w:p>
            <w:pPr>
              <w:adjustRightInd w:val="0"/>
              <w:snapToGrid w:val="0"/>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52"/>
            </w:r>
            <w:r>
              <w:rPr>
                <w:rFonts w:hint="default" w:ascii="Times New Roman" w:hAnsi="Times New Roman" w:eastAsia="宋体" w:cs="Times New Roman"/>
                <w:color w:val="auto"/>
                <w:kern w:val="0"/>
                <w:sz w:val="24"/>
                <w:szCs w:val="21"/>
                <w:lang w:val="en-US" w:eastAsia="zh-CN" w:bidi="ar-SA"/>
              </w:rPr>
              <w:t>否</w:t>
            </w:r>
          </w:p>
          <w:p>
            <w:pPr>
              <w:adjustRightInd w:val="0"/>
              <w:snapToGrid w:val="0"/>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sym w:font="Wingdings 2" w:char="00A3"/>
            </w:r>
            <w:r>
              <w:rPr>
                <w:rFonts w:hint="default" w:ascii="Times New Roman" w:hAnsi="Times New Roman" w:eastAsia="宋体" w:cs="Times New Roman"/>
                <w:color w:val="auto"/>
                <w:kern w:val="0"/>
                <w:sz w:val="24"/>
                <w:szCs w:val="21"/>
                <w:lang w:val="en-US" w:eastAsia="zh-CN" w:bidi="ar-SA"/>
              </w:rPr>
              <w:t>是：</w:t>
            </w:r>
          </w:p>
        </w:tc>
        <w:tc>
          <w:tcPr>
            <w:tcW w:w="1939"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用地（用海）</w:t>
            </w:r>
          </w:p>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面积（m</w:t>
            </w:r>
            <w:r>
              <w:rPr>
                <w:rFonts w:hint="default" w:ascii="Times New Roman" w:hAnsi="Times New Roman" w:eastAsia="宋体" w:cs="Times New Roman"/>
                <w:color w:val="auto"/>
                <w:kern w:val="0"/>
                <w:sz w:val="24"/>
                <w:szCs w:val="21"/>
                <w:vertAlign w:val="superscript"/>
                <w:lang w:val="en-US" w:eastAsia="zh-CN" w:bidi="ar-SA"/>
              </w:rPr>
              <w:t>2</w:t>
            </w:r>
            <w:r>
              <w:rPr>
                <w:rFonts w:hint="default" w:ascii="Times New Roman" w:hAnsi="Times New Roman" w:eastAsia="宋体" w:cs="Times New Roman"/>
                <w:color w:val="auto"/>
                <w:kern w:val="0"/>
                <w:sz w:val="24"/>
                <w:szCs w:val="21"/>
                <w:lang w:val="en-US" w:eastAsia="zh-CN" w:bidi="ar-SA"/>
              </w:rPr>
              <w:t>）</w:t>
            </w:r>
          </w:p>
        </w:tc>
        <w:tc>
          <w:tcPr>
            <w:tcW w:w="2794" w:type="dxa"/>
            <w:vAlign w:val="center"/>
          </w:tcPr>
          <w:p>
            <w:pPr>
              <w:adjustRightInd w:val="0"/>
              <w:snapToGrid w:val="0"/>
              <w:jc w:val="center"/>
              <w:rPr>
                <w:rFonts w:hint="default" w:ascii="Times New Roman" w:hAnsi="Times New Roman" w:eastAsia="宋体" w:cs="Times New Roman"/>
                <w:color w:val="auto"/>
                <w:kern w:val="0"/>
                <w:sz w:val="24"/>
                <w:szCs w:val="21"/>
                <w:lang w:val="en-US" w:eastAsia="zh-CN" w:bidi="ar-SA"/>
              </w:rPr>
            </w:pPr>
            <w:r>
              <w:rPr>
                <w:rFonts w:hint="eastAsia" w:ascii="Times New Roman" w:hAnsi="Times New Roman" w:eastAsia="宋体" w:cs="Times New Roman"/>
                <w:color w:val="auto"/>
                <w:kern w:val="0"/>
                <w:sz w:val="24"/>
                <w:szCs w:val="21"/>
                <w:lang w:val="en-US" w:eastAsia="zh-CN" w:bidi="ar-SA"/>
              </w:rPr>
              <w:t>1030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79" w:hRule="atLeast"/>
          <w:jc w:val="center"/>
        </w:trPr>
        <w:tc>
          <w:tcPr>
            <w:tcW w:w="1015" w:type="dxa"/>
            <w:vAlign w:val="center"/>
          </w:tcPr>
          <w:p>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专项评价设置情况</w:t>
            </w:r>
          </w:p>
        </w:tc>
        <w:tc>
          <w:tcPr>
            <w:tcW w:w="7855" w:type="dxa"/>
            <w:gridSpan w:val="3"/>
            <w:vAlign w:val="center"/>
          </w:tcPr>
          <w:p>
            <w:pPr>
              <w:pStyle w:val="8"/>
              <w:rPr>
                <w:rFonts w:hint="default"/>
                <w:lang w:val="en-US" w:eastAsia="zh-CN"/>
              </w:rPr>
            </w:pPr>
            <w:r>
              <w:rPr>
                <w:rFonts w:hint="eastAsia"/>
                <w:lang w:val="en-US" w:eastAsia="zh-CN"/>
              </w:rPr>
              <w:t>根据《建设项目环境影响评价报告表编制建设指南—污染影响类》专题设置原则表，本项目专题评价设置情况判定如下表：</w:t>
            </w:r>
          </w:p>
          <w:p>
            <w:pPr>
              <w:pStyle w:val="30"/>
              <w:rPr>
                <w:rFonts w:hint="default"/>
              </w:rPr>
            </w:pPr>
            <w:r>
              <w:rPr>
                <w:rFonts w:hint="eastAsia"/>
                <w:lang w:val="en-US" w:eastAsia="zh-CN"/>
              </w:rPr>
              <w:t>专项评价设置原则表</w:t>
            </w:r>
          </w:p>
          <w:tbl>
            <w:tblPr>
              <w:tblStyle w:val="25"/>
              <w:tblW w:w="7432"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2"/>
              <w:gridCol w:w="2962"/>
              <w:gridCol w:w="2550"/>
              <w:gridCol w:w="80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2"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专项类别</w:t>
                  </w:r>
                </w:p>
              </w:tc>
              <w:tc>
                <w:tcPr>
                  <w:tcW w:w="2962"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设置原则</w:t>
                  </w:r>
                </w:p>
              </w:tc>
              <w:tc>
                <w:tcPr>
                  <w:tcW w:w="255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项目情况</w:t>
                  </w:r>
                </w:p>
              </w:tc>
              <w:tc>
                <w:tcPr>
                  <w:tcW w:w="808"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是否设置专项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2"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大气</w:t>
                  </w:r>
                </w:p>
              </w:tc>
              <w:tc>
                <w:tcPr>
                  <w:tcW w:w="2962"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rPr>
                  </w:pPr>
                  <w:r>
                    <w:rPr>
                      <w:rFonts w:hint="default" w:ascii="Times New Roman" w:hAnsi="Times New Roman" w:cs="Times New Roman"/>
                      <w:color w:val="auto"/>
                      <w:kern w:val="0"/>
                      <w:szCs w:val="21"/>
                      <w:highlight w:val="none"/>
                      <w:vertAlign w:val="baseline"/>
                    </w:rPr>
                    <w:t>排放废气含有毒有害污染物、</w:t>
                  </w:r>
                  <w:r>
                    <w:rPr>
                      <w:rFonts w:hint="eastAsia"/>
                      <w:lang w:val="en-US" w:eastAsia="zh-CN"/>
                    </w:rPr>
                    <w:t>二噁英</w:t>
                  </w:r>
                  <w:r>
                    <w:rPr>
                      <w:rFonts w:hint="default" w:ascii="Times New Roman" w:hAnsi="Times New Roman" w:cs="Times New Roman"/>
                      <w:color w:val="auto"/>
                      <w:kern w:val="0"/>
                      <w:szCs w:val="21"/>
                      <w:highlight w:val="none"/>
                      <w:vertAlign w:val="baseline"/>
                    </w:rPr>
                    <w:t>、苯并芘、氰化物、氯气且厂界外500米范围内有环境空气保护目标的项目。</w:t>
                  </w:r>
                </w:p>
              </w:tc>
              <w:tc>
                <w:tcPr>
                  <w:tcW w:w="2550"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rPr>
                  </w:pPr>
                  <w:r>
                    <w:rPr>
                      <w:rFonts w:hint="default" w:ascii="Times New Roman" w:hAnsi="Times New Roman" w:cs="Times New Roman"/>
                      <w:color w:val="auto"/>
                      <w:kern w:val="0"/>
                      <w:szCs w:val="21"/>
                      <w:highlight w:val="none"/>
                    </w:rPr>
                    <w:t>本项目排放的废气不涉及有毒有害污染物、二噁英、苯并[a]芘、氰化物、氯气</w:t>
                  </w:r>
                </w:p>
              </w:tc>
              <w:tc>
                <w:tcPr>
                  <w:tcW w:w="808"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2"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地表水</w:t>
                  </w:r>
                </w:p>
              </w:tc>
              <w:tc>
                <w:tcPr>
                  <w:tcW w:w="2962"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rPr>
                  </w:pPr>
                  <w:r>
                    <w:rPr>
                      <w:rFonts w:hint="default" w:ascii="Times New Roman" w:hAnsi="Times New Roman" w:cs="Times New Roman"/>
                      <w:color w:val="auto"/>
                      <w:kern w:val="0"/>
                      <w:szCs w:val="21"/>
                      <w:highlight w:val="none"/>
                      <w:vertAlign w:val="baseline"/>
                    </w:rPr>
                    <w:t>新增工业废水直排建设项目（槽罐车外送污水处理厂的除外），新增废水直排的污水集中处理厂</w:t>
                  </w:r>
                </w:p>
              </w:tc>
              <w:tc>
                <w:tcPr>
                  <w:tcW w:w="2550"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lang w:val="en-US"/>
                    </w:rPr>
                  </w:pPr>
                  <w:r>
                    <w:rPr>
                      <w:rFonts w:hint="default" w:ascii="Times New Roman" w:hAnsi="Times New Roman" w:cs="Times New Roman"/>
                      <w:color w:val="auto"/>
                      <w:kern w:val="0"/>
                      <w:szCs w:val="21"/>
                      <w:highlight w:val="none"/>
                    </w:rPr>
                    <w:t>本项目</w:t>
                  </w:r>
                  <w:r>
                    <w:rPr>
                      <w:rFonts w:hint="eastAsia" w:cs="Times New Roman"/>
                      <w:color w:val="auto"/>
                      <w:kern w:val="0"/>
                      <w:szCs w:val="21"/>
                      <w:highlight w:val="none"/>
                      <w:lang w:val="en-US" w:eastAsia="zh-CN"/>
                    </w:rPr>
                    <w:t>无生产废水排放</w:t>
                  </w:r>
                </w:p>
              </w:tc>
              <w:tc>
                <w:tcPr>
                  <w:tcW w:w="808"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2"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环境风险</w:t>
                  </w:r>
                </w:p>
              </w:tc>
              <w:tc>
                <w:tcPr>
                  <w:tcW w:w="2962"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rPr>
                  </w:pPr>
                  <w:r>
                    <w:rPr>
                      <w:rFonts w:hint="default" w:ascii="Times New Roman" w:hAnsi="Times New Roman" w:cs="Times New Roman"/>
                      <w:color w:val="auto"/>
                      <w:kern w:val="0"/>
                      <w:szCs w:val="21"/>
                      <w:highlight w:val="none"/>
                      <w:vertAlign w:val="baseline"/>
                    </w:rPr>
                    <w:t>有毒有害和易燃易爆危险物质存储量超过临界量的建设项目</w:t>
                  </w:r>
                </w:p>
              </w:tc>
              <w:tc>
                <w:tcPr>
                  <w:tcW w:w="2550" w:type="dxa"/>
                  <w:tcBorders>
                    <w:tl2br w:val="nil"/>
                    <w:tr2bl w:val="nil"/>
                  </w:tcBorders>
                  <w:vAlign w:val="center"/>
                </w:tcPr>
                <w:p>
                  <w:pPr>
                    <w:autoSpaceDE w:val="0"/>
                    <w:autoSpaceDN w:val="0"/>
                    <w:adjustRightInd w:val="0"/>
                    <w:snapToGrid w:val="0"/>
                    <w:jc w:val="center"/>
                    <w:rPr>
                      <w:rFonts w:hint="default" w:ascii="Times New Roman" w:hAnsi="Times New Roman" w:eastAsia="宋体" w:cs="Times New Roman"/>
                      <w:color w:val="auto"/>
                      <w:kern w:val="0"/>
                      <w:szCs w:val="21"/>
                      <w:highlight w:val="none"/>
                      <w:vertAlign w:val="baseline"/>
                      <w:lang w:val="en-US" w:eastAsia="zh-CN"/>
                    </w:rPr>
                  </w:pPr>
                  <w:r>
                    <w:rPr>
                      <w:rFonts w:hint="eastAsia" w:ascii="Times New Roman" w:hAnsi="Times New Roman" w:eastAsia="宋体" w:cs="Times New Roman"/>
                      <w:color w:val="auto"/>
                      <w:kern w:val="0"/>
                      <w:szCs w:val="21"/>
                      <w:highlight w:val="none"/>
                      <w:vertAlign w:val="baseline"/>
                      <w:lang w:val="en-US" w:eastAsia="zh-CN"/>
                    </w:rPr>
                    <w:t>本项目废机油</w:t>
                  </w:r>
                  <w:r>
                    <w:rPr>
                      <w:rFonts w:hint="eastAsia" w:cs="Times New Roman"/>
                      <w:color w:val="auto"/>
                      <w:kern w:val="0"/>
                      <w:szCs w:val="21"/>
                      <w:highlight w:val="none"/>
                      <w:vertAlign w:val="baseline"/>
                      <w:lang w:val="en-US" w:eastAsia="zh-CN"/>
                    </w:rPr>
                    <w:t>最大</w:t>
                  </w:r>
                  <w:r>
                    <w:rPr>
                      <w:rFonts w:hint="eastAsia" w:ascii="Times New Roman" w:hAnsi="Times New Roman" w:eastAsia="宋体" w:cs="Times New Roman"/>
                      <w:color w:val="auto"/>
                      <w:kern w:val="0"/>
                      <w:szCs w:val="21"/>
                      <w:highlight w:val="none"/>
                      <w:vertAlign w:val="baseline"/>
                      <w:lang w:val="en-US" w:eastAsia="zh-CN"/>
                    </w:rPr>
                    <w:t>储存量</w:t>
                  </w:r>
                  <w:r>
                    <w:rPr>
                      <w:rFonts w:hint="eastAsia" w:cs="Times New Roman"/>
                      <w:color w:val="auto"/>
                      <w:kern w:val="0"/>
                      <w:szCs w:val="21"/>
                      <w:highlight w:val="none"/>
                      <w:vertAlign w:val="baseline"/>
                      <w:lang w:val="en-US" w:eastAsia="zh-CN"/>
                    </w:rPr>
                    <w:t>为49t，未</w:t>
                  </w:r>
                  <w:r>
                    <w:rPr>
                      <w:rFonts w:hint="eastAsia" w:ascii="Times New Roman" w:hAnsi="Times New Roman" w:eastAsia="宋体" w:cs="Times New Roman"/>
                      <w:color w:val="auto"/>
                      <w:kern w:val="0"/>
                      <w:szCs w:val="21"/>
                      <w:highlight w:val="none"/>
                      <w:vertAlign w:val="baseline"/>
                      <w:lang w:val="en-US" w:eastAsia="zh-CN"/>
                    </w:rPr>
                    <w:t>超过临界量</w:t>
                  </w:r>
                  <w:r>
                    <w:rPr>
                      <w:rFonts w:hint="eastAsia" w:cs="Times New Roman"/>
                      <w:color w:val="auto"/>
                      <w:kern w:val="0"/>
                      <w:szCs w:val="21"/>
                      <w:highlight w:val="none"/>
                      <w:vertAlign w:val="baseline"/>
                      <w:lang w:val="en-US" w:eastAsia="zh-CN"/>
                    </w:rPr>
                    <w:t>2500t</w:t>
                  </w:r>
                </w:p>
              </w:tc>
              <w:tc>
                <w:tcPr>
                  <w:tcW w:w="808"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2"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生态</w:t>
                  </w:r>
                </w:p>
              </w:tc>
              <w:tc>
                <w:tcPr>
                  <w:tcW w:w="2962"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rPr>
                  </w:pPr>
                  <w:r>
                    <w:rPr>
                      <w:rFonts w:hint="default" w:ascii="Times New Roman" w:hAnsi="Times New Roman" w:cs="Times New Roman"/>
                      <w:color w:val="auto"/>
                      <w:kern w:val="0"/>
                      <w:szCs w:val="21"/>
                      <w:highlight w:val="none"/>
                      <w:vertAlign w:val="baseline"/>
                    </w:rPr>
                    <w:t>取水口下游50</w:t>
                  </w:r>
                  <w:r>
                    <w:rPr>
                      <w:rFonts w:hint="eastAsia" w:ascii="Times New Roman" w:hAnsi="Times New Roman" w:cs="Times New Roman"/>
                      <w:color w:val="auto"/>
                      <w:kern w:val="0"/>
                      <w:szCs w:val="21"/>
                      <w:highlight w:val="none"/>
                      <w:vertAlign w:val="baseline"/>
                      <w:lang w:val="en-US" w:eastAsia="zh-CN"/>
                    </w:rPr>
                    <w:t>0</w:t>
                  </w:r>
                  <w:r>
                    <w:rPr>
                      <w:rFonts w:hint="default" w:ascii="Times New Roman" w:hAnsi="Times New Roman" w:cs="Times New Roman"/>
                      <w:color w:val="auto"/>
                      <w:kern w:val="0"/>
                      <w:szCs w:val="21"/>
                      <w:highlight w:val="none"/>
                      <w:vertAlign w:val="baseline"/>
                    </w:rPr>
                    <w:t>米范围内有重要水生生物的自然产卵场、索饵场、越冬场和</w:t>
                  </w:r>
                  <w:r>
                    <w:rPr>
                      <w:rFonts w:hint="eastAsia" w:ascii="Times New Roman" w:hAnsi="Times New Roman" w:cs="Times New Roman"/>
                      <w:color w:val="auto"/>
                      <w:kern w:val="0"/>
                      <w:szCs w:val="21"/>
                      <w:highlight w:val="none"/>
                      <w:vertAlign w:val="baseline"/>
                      <w:lang w:val="en-US" w:eastAsia="zh-CN"/>
                    </w:rPr>
                    <w:t>洄</w:t>
                  </w:r>
                  <w:r>
                    <w:rPr>
                      <w:rFonts w:hint="default" w:ascii="Times New Roman" w:hAnsi="Times New Roman" w:cs="Times New Roman"/>
                      <w:color w:val="auto"/>
                      <w:kern w:val="0"/>
                      <w:szCs w:val="21"/>
                      <w:highlight w:val="none"/>
                      <w:vertAlign w:val="baseline"/>
                    </w:rPr>
                    <w:t>游通道的新增河道取水的污染类建设项目</w:t>
                  </w:r>
                </w:p>
              </w:tc>
              <w:tc>
                <w:tcPr>
                  <w:tcW w:w="2550"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rPr>
                  </w:pPr>
                  <w:r>
                    <w:rPr>
                      <w:rFonts w:hint="default" w:ascii="Times New Roman" w:hAnsi="Times New Roman" w:cs="Times New Roman"/>
                      <w:color w:val="auto"/>
                      <w:kern w:val="0"/>
                      <w:szCs w:val="21"/>
                      <w:highlight w:val="none"/>
                    </w:rPr>
                    <w:t>本项目用水来自市政自来水管网供水，不属于新增河道取水的项目</w:t>
                  </w:r>
                </w:p>
              </w:tc>
              <w:tc>
                <w:tcPr>
                  <w:tcW w:w="808"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2"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海洋</w:t>
                  </w:r>
                </w:p>
              </w:tc>
              <w:tc>
                <w:tcPr>
                  <w:tcW w:w="2962"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rPr>
                  </w:pPr>
                  <w:r>
                    <w:rPr>
                      <w:rFonts w:hint="default" w:ascii="Times New Roman" w:hAnsi="Times New Roman" w:cs="Times New Roman"/>
                      <w:color w:val="auto"/>
                      <w:kern w:val="0"/>
                      <w:szCs w:val="21"/>
                      <w:highlight w:val="none"/>
                      <w:vertAlign w:val="baseline"/>
                    </w:rPr>
                    <w:t>直接向海排放污染物的海洋工程建设项目。</w:t>
                  </w:r>
                </w:p>
              </w:tc>
              <w:tc>
                <w:tcPr>
                  <w:tcW w:w="2550"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kern w:val="0"/>
                      <w:szCs w:val="21"/>
                      <w:highlight w:val="none"/>
                      <w:vertAlign w:val="baseline"/>
                    </w:rPr>
                  </w:pPr>
                  <w:r>
                    <w:rPr>
                      <w:rFonts w:hint="default" w:ascii="Times New Roman" w:hAnsi="Times New Roman" w:cs="Times New Roman"/>
                      <w:color w:val="auto"/>
                      <w:kern w:val="0"/>
                      <w:szCs w:val="21"/>
                      <w:highlight w:val="none"/>
                    </w:rPr>
                    <w:t>本项目不</w:t>
                  </w:r>
                  <w:r>
                    <w:rPr>
                      <w:rFonts w:hint="eastAsia" w:cs="Times New Roman"/>
                      <w:color w:val="auto"/>
                      <w:kern w:val="0"/>
                      <w:szCs w:val="21"/>
                      <w:highlight w:val="none"/>
                      <w:lang w:val="en-US" w:eastAsia="zh-CN"/>
                    </w:rPr>
                    <w:t>属于</w:t>
                  </w:r>
                  <w:r>
                    <w:rPr>
                      <w:rFonts w:hint="default" w:ascii="Times New Roman" w:hAnsi="Times New Roman" w:cs="Times New Roman"/>
                      <w:color w:val="auto"/>
                      <w:kern w:val="0"/>
                      <w:szCs w:val="21"/>
                      <w:highlight w:val="none"/>
                    </w:rPr>
                    <w:t>海洋工程建设项目</w:t>
                  </w:r>
                </w:p>
              </w:tc>
              <w:tc>
                <w:tcPr>
                  <w:tcW w:w="808" w:type="dxa"/>
                  <w:tcBorders>
                    <w:tl2br w:val="nil"/>
                    <w:tr2bl w:val="nil"/>
                  </w:tcBorders>
                  <w:vAlign w:val="center"/>
                </w:tcPr>
                <w:p>
                  <w:pPr>
                    <w:autoSpaceDE w:val="0"/>
                    <w:autoSpaceDN w:val="0"/>
                    <w:adjustRightInd w:val="0"/>
                    <w:snapToGrid w:val="0"/>
                    <w:jc w:val="center"/>
                    <w:rPr>
                      <w:rFonts w:hint="eastAsia" w:ascii="Times New Roman" w:hAnsi="Times New Roman" w:eastAsia="宋体" w:cs="Times New Roman"/>
                      <w:color w:val="auto"/>
                      <w:kern w:val="0"/>
                      <w:szCs w:val="21"/>
                      <w:highlight w:val="none"/>
                      <w:vertAlign w:val="baseline"/>
                      <w:lang w:val="en-US" w:eastAsia="zh-CN"/>
                    </w:rPr>
                  </w:pPr>
                  <w:r>
                    <w:rPr>
                      <w:rFonts w:hint="eastAsia" w:ascii="Times New Roman" w:hAnsi="Times New Roman" w:cs="Times New Roman"/>
                      <w:color w:val="auto"/>
                      <w:kern w:val="0"/>
                      <w:szCs w:val="21"/>
                      <w:highlight w:val="none"/>
                      <w:vertAlign w:val="baseline"/>
                      <w:lang w:val="en-US" w:eastAsia="zh-CN"/>
                    </w:rPr>
                    <w:t>否</w:t>
                  </w:r>
                </w:p>
              </w:tc>
            </w:tr>
          </w:tbl>
          <w:p>
            <w:pPr>
              <w:autoSpaceDE w:val="0"/>
              <w:autoSpaceDN w:val="0"/>
              <w:adjustRightInd w:val="0"/>
              <w:snapToGrid w:val="0"/>
              <w:jc w:val="center"/>
              <w:rPr>
                <w:rFonts w:hint="default" w:ascii="Times New Roman" w:hAnsi="Times New Roman" w:cs="Times New Roman"/>
                <w:color w:val="auto"/>
                <w:kern w:val="0"/>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1015" w:type="dxa"/>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规划情况</w:t>
            </w:r>
          </w:p>
        </w:tc>
        <w:tc>
          <w:tcPr>
            <w:tcW w:w="7855"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hint="default" w:ascii="Times New Roman" w:hAnsi="Times New Roman" w:eastAsia="宋体" w:cs="Times New Roman"/>
                <w:snapToGrid w:val="0"/>
                <w:color w:val="auto"/>
                <w:kern w:val="18"/>
                <w:sz w:val="24"/>
                <w:szCs w:val="24"/>
                <w:highlight w:val="none"/>
                <w:lang w:val="en-US" w:eastAsia="zh-CN" w:bidi="ar-SA"/>
              </w:rPr>
            </w:pPr>
            <w:r>
              <w:rPr>
                <w:rFonts w:hint="eastAsia" w:ascii="Times New Roman" w:hAnsi="Times New Roman" w:eastAsia="宋体" w:cs="Times New Roman"/>
                <w:snapToGrid w:val="0"/>
                <w:color w:val="auto"/>
                <w:kern w:val="18"/>
                <w:sz w:val="24"/>
                <w:szCs w:val="24"/>
                <w:highlight w:val="none"/>
                <w:lang w:val="en-US" w:eastAsia="zh-CN" w:bidi="ar-SA"/>
              </w:rPr>
              <w:t>规划名称：《</w:t>
            </w:r>
            <w:r>
              <w:rPr>
                <w:rFonts w:hint="eastAsia" w:cs="Times New Roman"/>
                <w:snapToGrid w:val="0"/>
                <w:color w:val="auto"/>
                <w:kern w:val="18"/>
                <w:sz w:val="24"/>
                <w:szCs w:val="24"/>
                <w:highlight w:val="none"/>
                <w:lang w:val="en-US" w:eastAsia="zh-CN" w:bidi="ar-SA"/>
              </w:rPr>
              <w:t>闽候县祥谦镇总体规划（2010-2025）</w:t>
            </w:r>
            <w:r>
              <w:rPr>
                <w:rFonts w:hint="eastAsia" w:ascii="Times New Roman" w:hAnsi="Times New Roman" w:eastAsia="宋体" w:cs="Times New Roman"/>
                <w:snapToGrid w:val="0"/>
                <w:color w:val="auto"/>
                <w:kern w:val="18"/>
                <w:sz w:val="24"/>
                <w:szCs w:val="24"/>
                <w:highlight w:val="none"/>
                <w:lang w:val="en-US" w:eastAsia="zh-CN" w:bidi="ar-SA"/>
              </w:rPr>
              <w:t>》</w:t>
            </w:r>
          </w:p>
          <w:p>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hint="default" w:ascii="Times New Roman" w:hAnsi="Times New Roman" w:eastAsia="宋体" w:cs="Times New Roman"/>
                <w:snapToGrid w:val="0"/>
                <w:color w:val="auto"/>
                <w:kern w:val="18"/>
                <w:sz w:val="24"/>
                <w:szCs w:val="24"/>
                <w:highlight w:val="none"/>
                <w:lang w:val="en-US" w:eastAsia="zh-CN" w:bidi="ar-SA"/>
              </w:rPr>
            </w:pPr>
            <w:r>
              <w:rPr>
                <w:rFonts w:hint="default" w:ascii="Times New Roman" w:hAnsi="Times New Roman" w:eastAsia="宋体" w:cs="Times New Roman"/>
                <w:snapToGrid w:val="0"/>
                <w:color w:val="auto"/>
                <w:kern w:val="18"/>
                <w:sz w:val="24"/>
                <w:szCs w:val="24"/>
                <w:highlight w:val="none"/>
                <w:lang w:val="en-US" w:eastAsia="zh-CN" w:bidi="ar-SA"/>
              </w:rPr>
              <w:t>审批机关</w:t>
            </w:r>
            <w:r>
              <w:rPr>
                <w:rFonts w:hint="eastAsia" w:ascii="Times New Roman" w:hAnsi="Times New Roman" w:eastAsia="宋体" w:cs="Times New Roman"/>
                <w:snapToGrid w:val="0"/>
                <w:color w:val="auto"/>
                <w:kern w:val="18"/>
                <w:sz w:val="24"/>
                <w:szCs w:val="24"/>
                <w:highlight w:val="none"/>
                <w:lang w:val="en-US" w:eastAsia="zh-CN" w:bidi="ar-SA"/>
              </w:rPr>
              <w:t>：</w:t>
            </w:r>
            <w:r>
              <w:rPr>
                <w:rFonts w:hint="eastAsia" w:cs="Times New Roman"/>
                <w:snapToGrid w:val="0"/>
                <w:color w:val="auto"/>
                <w:kern w:val="18"/>
                <w:sz w:val="24"/>
                <w:szCs w:val="24"/>
                <w:highlight w:val="none"/>
                <w:lang w:val="en-US" w:eastAsia="zh-CN" w:bidi="ar-SA"/>
              </w:rPr>
              <w:t>无</w:t>
            </w:r>
          </w:p>
          <w:p>
            <w:pPr>
              <w:pStyle w:val="8"/>
              <w:bidi w:val="0"/>
              <w:spacing w:line="360" w:lineRule="auto"/>
              <w:ind w:left="0" w:leftChars="0"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snapToGrid w:val="0"/>
                <w:color w:val="auto"/>
                <w:kern w:val="18"/>
                <w:sz w:val="24"/>
                <w:szCs w:val="24"/>
                <w:highlight w:val="none"/>
                <w:lang w:val="en-US" w:eastAsia="zh-CN" w:bidi="ar-SA"/>
              </w:rPr>
              <w:t>审批文件名称及文号：</w:t>
            </w:r>
            <w:r>
              <w:rPr>
                <w:rFonts w:hint="eastAsia" w:cs="Times New Roman"/>
                <w:snapToGrid w:val="0"/>
                <w:color w:val="auto"/>
                <w:kern w:val="18"/>
                <w:sz w:val="24"/>
                <w:szCs w:val="24"/>
                <w:highlight w:val="none"/>
                <w:lang w:val="en-US" w:eastAsia="zh-CN" w:bidi="ar-S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15"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规划环境影响</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评价情况</w:t>
            </w:r>
          </w:p>
        </w:tc>
        <w:tc>
          <w:tcPr>
            <w:tcW w:w="7855" w:type="dxa"/>
            <w:gridSpan w:val="3"/>
            <w:vAlign w:val="center"/>
          </w:tcPr>
          <w:p>
            <w:pPr>
              <w:pStyle w:val="8"/>
              <w:bidi w:val="0"/>
              <w:spacing w:line="360" w:lineRule="auto"/>
              <w:ind w:left="0" w:leftChars="0" w:firstLine="0" w:firstLineChars="0"/>
              <w:rPr>
                <w:rFonts w:hint="default"/>
                <w:lang w:val="en-US" w:eastAsia="zh-CN"/>
              </w:rPr>
            </w:pPr>
            <w:r>
              <w:rPr>
                <w:rFonts w:hint="eastAsia" w:cs="Times New Roman"/>
                <w:color w:val="000000"/>
                <w:kern w:val="2"/>
                <w:sz w:val="24"/>
                <w:szCs w:val="24"/>
                <w:lang w:val="en-US" w:eastAsia="zh-CN" w:bidi="ar-S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15" w:type="dxa"/>
            <w:vAlign w:val="center"/>
          </w:tcPr>
          <w:p>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规划及规划环境影响评价符合性分析</w:t>
            </w:r>
          </w:p>
        </w:tc>
        <w:tc>
          <w:tcPr>
            <w:tcW w:w="7855" w:type="dxa"/>
            <w:gridSpan w:val="3"/>
            <w:vAlign w:val="center"/>
          </w:tcPr>
          <w:p>
            <w:pPr>
              <w:pStyle w:val="4"/>
              <w:numPr>
                <w:ilvl w:val="1"/>
                <w:numId w:val="3"/>
              </w:numPr>
              <w:tabs>
                <w:tab w:val="left" w:pos="420"/>
              </w:tabs>
              <w:bidi w:val="0"/>
              <w:rPr>
                <w:rFonts w:hint="default"/>
              </w:rPr>
            </w:pPr>
            <w:r>
              <w:rPr>
                <w:rFonts w:hint="eastAsia"/>
                <w:lang w:val="en-US" w:eastAsia="zh-CN"/>
              </w:rPr>
              <w:t>与《闽候县祥谦镇总体规划（2010-2025）》符合性分析</w:t>
            </w:r>
          </w:p>
          <w:p>
            <w:pPr>
              <w:pStyle w:val="8"/>
              <w:bidi w:val="0"/>
              <w:rPr>
                <w:rFonts w:hint="default"/>
                <w:lang w:val="en-US" w:eastAsia="zh-CN"/>
              </w:rPr>
            </w:pPr>
            <w:r>
              <w:rPr>
                <w:rFonts w:hint="eastAsia"/>
                <w:lang w:val="en-US" w:eastAsia="zh-CN"/>
              </w:rPr>
              <w:t>根据《闽候县祥谦镇总体规划（2010-2025）》的土地利用规划图（附图7），本项目所在区域属于工业用地，且</w:t>
            </w:r>
            <w:r>
              <w:rPr>
                <w:rFonts w:hint="eastAsia"/>
                <w:highlight w:val="none"/>
                <w:lang w:val="en-US" w:eastAsia="zh-CN"/>
              </w:rPr>
              <w:t>根据《候房权证H字第0602641号》，福建省闽侯县华源工艺品有限公司的房屋设计用途为其他用途，与本项目用地性质不存在冲突。</w:t>
            </w:r>
          </w:p>
          <w:p>
            <w:pPr>
              <w:pStyle w:val="8"/>
              <w:bidi w:val="0"/>
              <w:rPr>
                <w:rFonts w:hint="default"/>
                <w:lang w:val="en-US"/>
              </w:rPr>
            </w:pPr>
            <w:r>
              <w:rPr>
                <w:rFonts w:hint="eastAsia"/>
                <w:lang w:val="en-US" w:eastAsia="zh-CN"/>
              </w:rPr>
              <w:t>因此本项目的建设符合祥谦镇总体规划的要求。</w:t>
            </w:r>
          </w:p>
          <w:p>
            <w:pPr>
              <w:pStyle w:val="4"/>
              <w:numPr>
                <w:ilvl w:val="1"/>
                <w:numId w:val="3"/>
              </w:numPr>
              <w:tabs>
                <w:tab w:val="left" w:pos="420"/>
              </w:tabs>
              <w:bidi w:val="0"/>
              <w:rPr>
                <w:rFonts w:hint="default"/>
              </w:rPr>
            </w:pPr>
            <w:r>
              <w:rPr>
                <w:rFonts w:hint="eastAsia"/>
                <w:lang w:val="en-US" w:eastAsia="zh-CN"/>
              </w:rPr>
              <w:t>与《青口汽车城控制性详细规划》符合性分析</w:t>
            </w:r>
          </w:p>
          <w:p>
            <w:pPr>
              <w:pStyle w:val="8"/>
              <w:bidi w:val="0"/>
              <w:rPr>
                <w:rFonts w:hint="eastAsia"/>
                <w:lang w:val="en-US" w:eastAsia="zh-CN"/>
              </w:rPr>
            </w:pPr>
            <w:r>
              <w:rPr>
                <w:rFonts w:hint="eastAsia"/>
                <w:lang w:val="en-US" w:eastAsia="zh-CN"/>
              </w:rPr>
              <w:t>根据《青口汽车城控制性详细规划》，青口汽车城功能定位为中国东南部，以汽车产业为主导的现代化、综合性汽车新城。该项目位于规划区北部，包括尚干、祥谦闽江口部分。规划以生态生活居住、商业商务及公建配套为主。废矿物油（HW08）为汽车工业的主要危废产生类别之一，项目主要从事废矿物油中废机油（危废代码：900-214-08）的收集贮存转运，属于汽车工业企业发展的配套产业。</w:t>
            </w:r>
          </w:p>
          <w:p>
            <w:pPr>
              <w:pStyle w:val="8"/>
              <w:bidi w:val="0"/>
              <w:rPr>
                <w:rFonts w:hint="eastAsia" w:eastAsia="宋体"/>
                <w:lang w:val="en-US" w:eastAsia="zh-CN"/>
              </w:rPr>
            </w:pPr>
            <w:r>
              <w:rPr>
                <w:rFonts w:hint="eastAsia"/>
                <w:lang w:val="en-US" w:eastAsia="zh-CN"/>
              </w:rPr>
              <w:t>因此，本项目的建设符合青口汽车城控制性详细规划。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85" w:hRule="atLeast"/>
          <w:jc w:val="center"/>
        </w:trPr>
        <w:tc>
          <w:tcPr>
            <w:tcW w:w="1015" w:type="dxa"/>
            <w:vAlign w:val="center"/>
          </w:tcPr>
          <w:p>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其他符合性分析</w:t>
            </w:r>
          </w:p>
        </w:tc>
        <w:tc>
          <w:tcPr>
            <w:tcW w:w="7855" w:type="dxa"/>
            <w:gridSpan w:val="3"/>
            <w:vAlign w:val="center"/>
          </w:tcPr>
          <w:p>
            <w:pPr>
              <w:pStyle w:val="4"/>
              <w:numPr>
                <w:ilvl w:val="1"/>
                <w:numId w:val="4"/>
              </w:numPr>
              <w:tabs>
                <w:tab w:val="left" w:pos="420"/>
              </w:tabs>
              <w:rPr>
                <w:rFonts w:hint="default"/>
              </w:rPr>
            </w:pPr>
            <w:r>
              <w:rPr>
                <w:rFonts w:hint="default"/>
              </w:rPr>
              <w:t>产业政策项目符合性分析</w:t>
            </w:r>
          </w:p>
          <w:p>
            <w:pPr>
              <w:pStyle w:val="8"/>
              <w:rPr>
                <w:rFonts w:hint="eastAsia" w:eastAsia="宋体"/>
                <w:highlight w:val="yellow"/>
                <w:lang w:eastAsia="zh-CN"/>
              </w:rPr>
            </w:pPr>
            <w:r>
              <w:rPr>
                <w:rFonts w:hint="default"/>
              </w:rPr>
              <w:t>本项目从事</w:t>
            </w:r>
            <w:r>
              <w:rPr>
                <w:rFonts w:hint="eastAsia"/>
                <w:lang w:eastAsia="zh-CN"/>
              </w:rPr>
              <w:t>废机油</w:t>
            </w:r>
            <w:r>
              <w:rPr>
                <w:rFonts w:hint="default"/>
              </w:rPr>
              <w:t>的收集储存</w:t>
            </w:r>
            <w:r>
              <w:rPr>
                <w:rFonts w:hint="eastAsia"/>
                <w:lang w:val="en-US" w:eastAsia="zh-CN"/>
              </w:rPr>
              <w:t>转运</w:t>
            </w:r>
            <w:r>
              <w:rPr>
                <w:rFonts w:hint="default"/>
              </w:rPr>
              <w:t>，不涉及处理与处置，对照《产业结构调整指导目录（2019年本）》，本项目不属于限制类及淘汰类产业，因此，本项目符合国家当前的产业政策</w:t>
            </w:r>
            <w:r>
              <w:rPr>
                <w:rFonts w:hint="eastAsia"/>
                <w:lang w:eastAsia="zh-CN"/>
              </w:rPr>
              <w:t>。</w:t>
            </w:r>
          </w:p>
          <w:p>
            <w:pPr>
              <w:pStyle w:val="4"/>
              <w:numPr>
                <w:ilvl w:val="1"/>
                <w:numId w:val="4"/>
              </w:numPr>
              <w:tabs>
                <w:tab w:val="left" w:pos="420"/>
              </w:tabs>
              <w:rPr>
                <w:rFonts w:hint="default"/>
              </w:rPr>
            </w:pPr>
            <w:r>
              <w:rPr>
                <w:rFonts w:hint="default"/>
              </w:rPr>
              <w:t>“三线一单”控制要求符合性分析</w:t>
            </w:r>
          </w:p>
          <w:p>
            <w:pPr>
              <w:pStyle w:val="8"/>
              <w:rPr>
                <w:rFonts w:hint="eastAsia" w:eastAsia="宋体"/>
                <w:lang w:val="en-US" w:eastAsia="zh-CN"/>
              </w:rPr>
            </w:pPr>
            <w:r>
              <w:rPr>
                <w:rFonts w:hint="eastAsia"/>
                <w:lang w:val="en-US" w:eastAsia="zh-CN"/>
              </w:rPr>
              <w:t>根据《</w:t>
            </w:r>
            <w:r>
              <w:rPr>
                <w:rFonts w:hint="eastAsia"/>
              </w:rPr>
              <w:t>福州市人民政府关于实施“三线</w:t>
            </w:r>
            <w:r>
              <w:rPr>
                <w:rFonts w:hint="eastAsia"/>
                <w:lang w:val="en-US" w:eastAsia="zh-CN"/>
              </w:rPr>
              <w:t>一</w:t>
            </w:r>
            <w:r>
              <w:rPr>
                <w:rFonts w:hint="eastAsia"/>
              </w:rPr>
              <w:t>单”生态分区管控的通知</w:t>
            </w:r>
            <w:r>
              <w:rPr>
                <w:rFonts w:hint="eastAsia"/>
                <w:lang w:val="en-US" w:eastAsia="zh-CN"/>
              </w:rPr>
              <w:t>》（</w:t>
            </w:r>
            <w:r>
              <w:rPr>
                <w:rFonts w:hint="eastAsia"/>
              </w:rPr>
              <w:t>榕政综〔2021〕178号</w:t>
            </w:r>
            <w:r>
              <w:rPr>
                <w:rFonts w:hint="eastAsia"/>
                <w:lang w:val="en-US" w:eastAsia="zh-CN"/>
              </w:rPr>
              <w:t>），本项目位于</w:t>
            </w:r>
            <w:r>
              <w:rPr>
                <w:rFonts w:hint="default" w:ascii="Times New Roman" w:hAnsi="Times New Roman" w:eastAsia="宋体" w:cs="Times New Roman"/>
                <w:color w:val="auto"/>
                <w:kern w:val="0"/>
                <w:sz w:val="24"/>
                <w:szCs w:val="21"/>
                <w:highlight w:val="none"/>
                <w:lang w:val="en-US" w:eastAsia="zh-CN" w:bidi="ar-SA"/>
              </w:rPr>
              <w:t>福建省</w:t>
            </w:r>
            <w:r>
              <w:rPr>
                <w:rFonts w:hint="eastAsia" w:ascii="Times New Roman" w:hAnsi="Times New Roman" w:eastAsia="宋体" w:cs="Times New Roman"/>
                <w:color w:val="auto"/>
                <w:kern w:val="0"/>
                <w:sz w:val="24"/>
                <w:szCs w:val="21"/>
                <w:highlight w:val="none"/>
                <w:lang w:val="en-US" w:eastAsia="zh-CN" w:bidi="ar-SA"/>
              </w:rPr>
              <w:t>福州</w:t>
            </w:r>
            <w:r>
              <w:rPr>
                <w:rFonts w:hint="default" w:ascii="Times New Roman" w:hAnsi="Times New Roman" w:eastAsia="宋体" w:cs="Times New Roman"/>
                <w:color w:val="auto"/>
                <w:kern w:val="0"/>
                <w:sz w:val="24"/>
                <w:szCs w:val="21"/>
                <w:highlight w:val="none"/>
                <w:lang w:val="en-US" w:eastAsia="zh-CN" w:bidi="ar-SA"/>
              </w:rPr>
              <w:t>市</w:t>
            </w:r>
            <w:r>
              <w:rPr>
                <w:rFonts w:hint="eastAsia" w:ascii="Times New Roman" w:hAnsi="Times New Roman" w:eastAsia="宋体" w:cs="Times New Roman"/>
                <w:color w:val="auto"/>
                <w:kern w:val="0"/>
                <w:sz w:val="24"/>
                <w:szCs w:val="21"/>
                <w:highlight w:val="none"/>
                <w:lang w:val="en-US" w:eastAsia="zh-CN" w:bidi="ar-SA"/>
              </w:rPr>
              <w:t>闽侯县祥谦镇泮洋村祥宏中路20号</w:t>
            </w:r>
            <w:r>
              <w:rPr>
                <w:rFonts w:hint="eastAsia"/>
                <w:lang w:val="en-US" w:eastAsia="zh-CN"/>
              </w:rPr>
              <w:t>，属于一般管控单元（环境管控单元编码：</w:t>
            </w:r>
            <w:r>
              <w:rPr>
                <w:rFonts w:hint="eastAsia"/>
              </w:rPr>
              <w:t>ZH350121</w:t>
            </w:r>
            <w:r>
              <w:rPr>
                <w:rFonts w:hint="eastAsia"/>
                <w:lang w:val="en-US" w:eastAsia="zh-CN"/>
              </w:rPr>
              <w:t>3</w:t>
            </w:r>
            <w:r>
              <w:rPr>
                <w:rFonts w:hint="eastAsia"/>
              </w:rPr>
              <w:t>0001</w:t>
            </w:r>
            <w:r>
              <w:rPr>
                <w:rFonts w:hint="eastAsia"/>
                <w:lang w:val="en-US" w:eastAsia="zh-CN"/>
              </w:rPr>
              <w:t>），应以</w:t>
            </w:r>
            <w:r>
              <w:rPr>
                <w:rFonts w:hint="eastAsia"/>
              </w:rPr>
              <w:t>守住环境质量底线、加快经济社会高质量发展为导向，推进产业结构、布局、规模和效率优化，加强污染物排放控制和环境风险防控，解决突出生态环境问题。“三线一单”控制要求符合性分析</w:t>
            </w:r>
            <w:r>
              <w:rPr>
                <w:rFonts w:hint="eastAsia"/>
                <w:lang w:val="en-US" w:eastAsia="zh-CN"/>
              </w:rPr>
              <w:t>如下：</w:t>
            </w:r>
          </w:p>
          <w:p>
            <w:pPr>
              <w:pStyle w:val="8"/>
              <w:bidi w:val="0"/>
              <w:rPr>
                <w:rFonts w:hint="default"/>
              </w:rPr>
            </w:pPr>
            <w:r>
              <w:rPr>
                <w:rFonts w:hint="default"/>
              </w:rPr>
              <w:t>（1）生态保护红线</w:t>
            </w:r>
          </w:p>
          <w:p>
            <w:pPr>
              <w:pStyle w:val="8"/>
              <w:rPr>
                <w:rFonts w:hint="default"/>
              </w:rPr>
            </w:pPr>
            <w:r>
              <w:rPr>
                <w:rFonts w:hint="default"/>
              </w:rPr>
              <w:t>本项目</w:t>
            </w:r>
            <w:r>
              <w:rPr>
                <w:rFonts w:hint="eastAsia"/>
                <w:lang w:val="en-US" w:eastAsia="zh-CN"/>
              </w:rPr>
              <w:t>位于</w:t>
            </w:r>
            <w:r>
              <w:rPr>
                <w:rFonts w:hint="default"/>
                <w:lang w:val="en-US" w:eastAsia="zh-CN"/>
              </w:rPr>
              <w:t>福建省福州市闽侯县祥谦镇泮洋村祥宏中路20号</w:t>
            </w:r>
            <w:r>
              <w:rPr>
                <w:rFonts w:hint="eastAsia"/>
                <w:lang w:val="en-US" w:eastAsia="zh-CN"/>
              </w:rPr>
              <w:t>，租赁福建省闽侯县华源工艺品有限公司二期C栋1层厂房分割部分进行建设（</w:t>
            </w:r>
            <w:r>
              <w:rPr>
                <w:rFonts w:hint="eastAsia"/>
                <w:highlight w:val="none"/>
                <w:lang w:val="en-US" w:eastAsia="zh-CN"/>
              </w:rPr>
              <w:t>见附件5</w:t>
            </w:r>
            <w:r>
              <w:rPr>
                <w:rFonts w:hint="eastAsia"/>
                <w:lang w:val="en-US" w:eastAsia="zh-CN"/>
              </w:rPr>
              <w:t>），</w:t>
            </w:r>
            <w:r>
              <w:rPr>
                <w:rFonts w:hint="default"/>
              </w:rPr>
              <w:t>用地性质为</w:t>
            </w:r>
            <w:r>
              <w:rPr>
                <w:rFonts w:hint="eastAsia"/>
                <w:lang w:val="en-US" w:eastAsia="zh-CN"/>
              </w:rPr>
              <w:t>工业性质</w:t>
            </w:r>
            <w:r>
              <w:rPr>
                <w:rFonts w:hint="default"/>
              </w:rPr>
              <w:t>，</w:t>
            </w:r>
            <w:r>
              <w:rPr>
                <w:rFonts w:hint="eastAsia"/>
                <w:lang w:val="en-US" w:eastAsia="zh-CN"/>
              </w:rPr>
              <w:t>所处区域不涉及</w:t>
            </w:r>
            <w:r>
              <w:rPr>
                <w:rFonts w:hint="default"/>
              </w:rPr>
              <w:t>当地饮用水源保护区、自然保护区、风景名胜区、重要湿地、生态公益林、重要自然与人文景观、文物古迹及其他需要特别保护的区域范围内，项目选址符合生态保护红线要求。</w:t>
            </w:r>
          </w:p>
          <w:p>
            <w:pPr>
              <w:pStyle w:val="8"/>
              <w:rPr>
                <w:rFonts w:hint="default"/>
              </w:rPr>
            </w:pPr>
            <w:r>
              <w:rPr>
                <w:rFonts w:hint="default"/>
              </w:rPr>
              <w:t>（2）环境质量底线</w:t>
            </w:r>
          </w:p>
          <w:p>
            <w:pPr>
              <w:pStyle w:val="8"/>
              <w:rPr>
                <w:rFonts w:hint="default"/>
              </w:rPr>
            </w:pPr>
            <w:r>
              <w:rPr>
                <w:rFonts w:hint="default"/>
              </w:rPr>
              <w:t>项目区域环境空气质量满足《环境空气质量标准》（GB3095-2012）二级标准要求，区域</w:t>
            </w:r>
            <w:r>
              <w:rPr>
                <w:rFonts w:hint="eastAsia"/>
                <w:lang w:val="en-US" w:eastAsia="zh-CN"/>
              </w:rPr>
              <w:t>土壤</w:t>
            </w:r>
            <w:r>
              <w:rPr>
                <w:rFonts w:hint="default"/>
              </w:rPr>
              <w:t>环境质量符合</w:t>
            </w:r>
            <w:r>
              <w:rPr>
                <w:rFonts w:hint="eastAsia"/>
              </w:rPr>
              <w:t>《土壤环境质量建设用地土壤污染风险管控标准（试行）》（GB36600-2018）</w:t>
            </w:r>
            <w:r>
              <w:rPr>
                <w:rFonts w:hint="eastAsia"/>
                <w:lang w:val="en-US" w:eastAsia="zh-CN"/>
              </w:rPr>
              <w:t>二类用地筛选值</w:t>
            </w:r>
            <w:r>
              <w:rPr>
                <w:rFonts w:hint="default"/>
              </w:rPr>
              <w:t>。本项目采取环评提出的各项污染防治措施后，项目排放的污染物不会对区域环境质量底线造成冲击。</w:t>
            </w:r>
          </w:p>
          <w:p>
            <w:pPr>
              <w:pStyle w:val="8"/>
              <w:rPr>
                <w:rFonts w:hint="default"/>
              </w:rPr>
            </w:pPr>
            <w:r>
              <w:rPr>
                <w:rFonts w:hint="default"/>
              </w:rPr>
              <w:t>①大气环境质量底线</w:t>
            </w:r>
          </w:p>
          <w:p>
            <w:pPr>
              <w:pStyle w:val="8"/>
              <w:rPr>
                <w:rFonts w:hint="eastAsia"/>
              </w:rPr>
            </w:pPr>
            <w:r>
              <w:rPr>
                <w:rFonts w:hint="eastAsia"/>
              </w:rPr>
              <w:t>根据《福州市人民政府关于实施“三线</w:t>
            </w:r>
            <w:r>
              <w:rPr>
                <w:rFonts w:hint="eastAsia"/>
                <w:lang w:val="en-US" w:eastAsia="zh-CN"/>
              </w:rPr>
              <w:t>一</w:t>
            </w:r>
            <w:r>
              <w:rPr>
                <w:rFonts w:hint="eastAsia"/>
              </w:rPr>
              <w:t>单”生态分区管控的通知》，到2025年，地级以上城市空气质量PM</w:t>
            </w:r>
            <w:r>
              <w:rPr>
                <w:rFonts w:hint="eastAsia"/>
                <w:vertAlign w:val="subscript"/>
              </w:rPr>
              <w:t>2.5</w:t>
            </w:r>
            <w:r>
              <w:rPr>
                <w:rFonts w:hint="eastAsia"/>
              </w:rPr>
              <w:t>年平均浓度不高于23</w:t>
            </w:r>
            <w:r>
              <w:rPr>
                <w:rFonts w:hint="eastAsia"/>
                <w:lang w:val="en-US" w:eastAsia="zh-CN"/>
              </w:rPr>
              <w:t>u</w:t>
            </w:r>
            <w:r>
              <w:rPr>
                <w:rFonts w:hint="eastAsia"/>
              </w:rPr>
              <w:t>g/</w:t>
            </w:r>
            <w:r>
              <w:rPr>
                <w:rFonts w:hint="eastAsia"/>
                <w:lang w:val="en-US" w:eastAsia="zh-CN"/>
              </w:rPr>
              <w:t>m³</w:t>
            </w:r>
            <w:r>
              <w:rPr>
                <w:rFonts w:hint="eastAsia"/>
              </w:rPr>
              <w:t>。</w:t>
            </w:r>
          </w:p>
          <w:p>
            <w:pPr>
              <w:pStyle w:val="8"/>
              <w:ind w:firstLine="0" w:firstLineChars="0"/>
            </w:pPr>
            <w:r>
              <w:rPr>
                <w:rFonts w:hint="eastAsia"/>
              </w:rPr>
              <w:t>到2035年，县级以上地区空气质量PM</w:t>
            </w:r>
            <w:r>
              <w:rPr>
                <w:rFonts w:hint="eastAsia"/>
                <w:vertAlign w:val="subscript"/>
              </w:rPr>
              <w:t>2.5</w:t>
            </w:r>
            <w:r>
              <w:rPr>
                <w:rFonts w:hint="eastAsia"/>
              </w:rPr>
              <w:t>年平均浓度不高于18</w:t>
            </w:r>
            <w:r>
              <w:rPr>
                <w:rFonts w:hint="eastAsia"/>
                <w:lang w:val="en-US" w:eastAsia="zh-CN"/>
              </w:rPr>
              <w:t>u</w:t>
            </w:r>
            <w:r>
              <w:rPr>
                <w:rFonts w:hint="eastAsia"/>
              </w:rPr>
              <w:t>g/</w:t>
            </w:r>
            <w:r>
              <w:rPr>
                <w:rFonts w:hint="eastAsia"/>
                <w:lang w:val="en-US" w:eastAsia="zh-CN"/>
              </w:rPr>
              <w:t>m³</w:t>
            </w:r>
            <w:r>
              <w:rPr>
                <w:rFonts w:hint="eastAsia"/>
              </w:rPr>
              <w:t>。</w:t>
            </w:r>
          </w:p>
          <w:p>
            <w:pPr>
              <w:pStyle w:val="8"/>
              <w:ind w:firstLine="420" w:firstLineChars="175"/>
              <w:rPr>
                <w:rFonts w:hint="default"/>
              </w:rPr>
            </w:pPr>
            <w:r>
              <w:rPr>
                <w:rFonts w:hint="eastAsia"/>
                <w:lang w:val="en-US" w:eastAsia="zh-CN"/>
              </w:rPr>
              <w:t>本</w:t>
            </w:r>
            <w:r>
              <w:rPr>
                <w:rFonts w:hint="default"/>
              </w:rPr>
              <w:t>项目</w:t>
            </w:r>
            <w:r>
              <w:rPr>
                <w:rFonts w:hint="eastAsia"/>
                <w:lang w:val="en-US" w:eastAsia="zh-CN"/>
              </w:rPr>
              <w:t>运营期不</w:t>
            </w:r>
            <w:r>
              <w:rPr>
                <w:rFonts w:hint="default"/>
              </w:rPr>
              <w:t>产生</w:t>
            </w:r>
            <w:r>
              <w:rPr>
                <w:rFonts w:hint="eastAsia"/>
                <w:lang w:val="en-US" w:eastAsia="zh-CN"/>
              </w:rPr>
              <w:t>颗粒物</w:t>
            </w:r>
            <w:r>
              <w:rPr>
                <w:rFonts w:hint="default"/>
              </w:rPr>
              <w:t>，</w:t>
            </w:r>
            <w:r>
              <w:rPr>
                <w:rFonts w:hint="eastAsia"/>
                <w:lang w:val="en-US" w:eastAsia="zh-CN"/>
              </w:rPr>
              <w:t>不会对</w:t>
            </w:r>
            <w:r>
              <w:rPr>
                <w:rFonts w:hint="eastAsia"/>
              </w:rPr>
              <w:t>PM</w:t>
            </w:r>
            <w:r>
              <w:rPr>
                <w:rFonts w:hint="eastAsia"/>
                <w:vertAlign w:val="subscript"/>
              </w:rPr>
              <w:t>2.5</w:t>
            </w:r>
            <w:r>
              <w:rPr>
                <w:rFonts w:hint="eastAsia"/>
                <w:vertAlign w:val="baseline"/>
                <w:lang w:val="en-US" w:eastAsia="zh-CN"/>
              </w:rPr>
              <w:t>造成影响，</w:t>
            </w:r>
            <w:r>
              <w:rPr>
                <w:rFonts w:hint="default"/>
              </w:rPr>
              <w:t>因此符合大气环境质量底线的管控要求。</w:t>
            </w:r>
          </w:p>
          <w:p>
            <w:pPr>
              <w:pStyle w:val="8"/>
              <w:rPr>
                <w:rFonts w:hint="default"/>
              </w:rPr>
            </w:pPr>
            <w:r>
              <w:rPr>
                <w:rFonts w:hint="default"/>
              </w:rPr>
              <w:t>②地表水环境质量底线</w:t>
            </w:r>
          </w:p>
          <w:p>
            <w:pPr>
              <w:pStyle w:val="8"/>
            </w:pPr>
            <w:r>
              <w:rPr>
                <w:rFonts w:hint="eastAsia"/>
              </w:rPr>
              <w:t>根据《福州市人民政府关于实施“三线</w:t>
            </w:r>
            <w:r>
              <w:rPr>
                <w:rFonts w:hint="eastAsia"/>
                <w:lang w:val="en-US" w:eastAsia="zh-CN"/>
              </w:rPr>
              <w:t>一</w:t>
            </w:r>
            <w:r>
              <w:rPr>
                <w:rFonts w:hint="eastAsia"/>
              </w:rPr>
              <w:t>单”生态分区管控的通知》，到2025年，国省控断面水质优良（达到或优于Ⅲ类）比例总体达到90.0%，福清海口桥断面水质稳定达到Ⅳ类；县级以上集中式饮用水水源水质达标率达100%。到2030年，国省控断面水质优良（达到或优于Ⅲ类）比例总体达到90.0%；县级以上城市建成区黑臭水体总体得到消除；县级以上集中式饮用水水源水质达标率达100%</w:t>
            </w:r>
            <w:r>
              <w:rPr>
                <w:rFonts w:hint="eastAsia"/>
                <w:lang w:eastAsia="zh-CN"/>
              </w:rPr>
              <w:t>。</w:t>
            </w:r>
            <w:r>
              <w:rPr>
                <w:rFonts w:hint="eastAsia"/>
              </w:rPr>
              <w:t>到2035年，国省考断面水质优良（达到或优于Ⅲ类）比例总体达到95.0%；生态系统实现良性循环。</w:t>
            </w:r>
          </w:p>
          <w:p>
            <w:pPr>
              <w:pStyle w:val="8"/>
              <w:rPr>
                <w:rFonts w:hint="default"/>
              </w:rPr>
            </w:pPr>
            <w:r>
              <w:rPr>
                <w:rFonts w:hint="default"/>
              </w:rPr>
              <w:t>本项目</w:t>
            </w:r>
            <w:r>
              <w:rPr>
                <w:rFonts w:hint="eastAsia"/>
                <w:lang w:val="en-US" w:eastAsia="zh-CN"/>
              </w:rPr>
              <w:t>仅生活污水排放，无生产废水排放，不会对周边地表水质量造成影响，</w:t>
            </w:r>
            <w:r>
              <w:rPr>
                <w:rFonts w:hint="default"/>
              </w:rPr>
              <w:t>因此符合地表水环境质量底线的管控要求。</w:t>
            </w:r>
          </w:p>
          <w:p>
            <w:pPr>
              <w:pStyle w:val="8"/>
            </w:pPr>
            <w:r>
              <w:rPr>
                <w:rFonts w:hint="eastAsia"/>
                <w:lang w:val="en-US" w:eastAsia="zh-CN"/>
              </w:rPr>
              <w:t>③土壤环境质量底线</w:t>
            </w:r>
          </w:p>
          <w:p>
            <w:pPr>
              <w:pStyle w:val="8"/>
              <w:rPr>
                <w:rFonts w:hint="eastAsia"/>
              </w:rPr>
            </w:pPr>
            <w:r>
              <w:rPr>
                <w:rFonts w:hint="eastAsia"/>
              </w:rPr>
              <w:t>根据《福州市人民政府关于实施“三线</w:t>
            </w:r>
            <w:r>
              <w:rPr>
                <w:rFonts w:hint="eastAsia"/>
                <w:lang w:val="en-US" w:eastAsia="zh-CN"/>
              </w:rPr>
              <w:t>一</w:t>
            </w:r>
            <w:r>
              <w:rPr>
                <w:rFonts w:hint="eastAsia"/>
              </w:rPr>
              <w:t>单”生态分区管控的通知》，项目所在地为土壤污染风险管控分区中的建设用地污染风险重点管控区。到2025年</w:t>
            </w:r>
            <w:r>
              <w:rPr>
                <w:rFonts w:hint="eastAsia"/>
                <w:lang w:eastAsia="zh-CN"/>
              </w:rPr>
              <w:t>，</w:t>
            </w:r>
            <w:r>
              <w:rPr>
                <w:rFonts w:hint="eastAsia"/>
              </w:rPr>
              <w:t>全省土壤环境质量保持稳定，土壤环境风险得到管控</w:t>
            </w:r>
            <w:r>
              <w:rPr>
                <w:rFonts w:hint="eastAsia"/>
                <w:lang w:eastAsia="zh-CN"/>
              </w:rPr>
              <w:t>，</w:t>
            </w:r>
            <w:r>
              <w:rPr>
                <w:rFonts w:hint="eastAsia"/>
              </w:rPr>
              <w:t>受污染耕地安全利用率达到93%</w:t>
            </w:r>
            <w:r>
              <w:rPr>
                <w:rFonts w:hint="eastAsia"/>
                <w:lang w:eastAsia="zh-CN"/>
              </w:rPr>
              <w:t>，</w:t>
            </w:r>
            <w:r>
              <w:rPr>
                <w:rFonts w:hint="eastAsia"/>
              </w:rPr>
              <w:t>污染地块安全利用率达到93%。到2035年，全省土壤环境质量稳中向好</w:t>
            </w:r>
            <w:r>
              <w:rPr>
                <w:rFonts w:hint="eastAsia"/>
                <w:lang w:eastAsia="zh-CN"/>
              </w:rPr>
              <w:t>，</w:t>
            </w:r>
            <w:r>
              <w:rPr>
                <w:rFonts w:hint="eastAsia"/>
              </w:rPr>
              <w:t>土壤环境风险得到全面管控</w:t>
            </w:r>
            <w:r>
              <w:rPr>
                <w:rFonts w:hint="eastAsia"/>
                <w:lang w:eastAsia="zh-CN"/>
              </w:rPr>
              <w:t>，</w:t>
            </w:r>
            <w:r>
              <w:rPr>
                <w:rFonts w:hint="eastAsia"/>
              </w:rPr>
              <w:t>受污染耕地安全利用率达95%以上</w:t>
            </w:r>
            <w:r>
              <w:rPr>
                <w:rFonts w:hint="eastAsia"/>
                <w:lang w:eastAsia="zh-CN"/>
              </w:rPr>
              <w:t>，</w:t>
            </w:r>
            <w:r>
              <w:rPr>
                <w:rFonts w:hint="eastAsia"/>
              </w:rPr>
              <w:t>污染地块安全利用率达95%以上。</w:t>
            </w:r>
          </w:p>
          <w:p>
            <w:pPr>
              <w:pStyle w:val="8"/>
              <w:rPr>
                <w:rFonts w:hint="eastAsia"/>
              </w:rPr>
            </w:pPr>
            <w:r>
              <w:rPr>
                <w:rFonts w:hint="eastAsia"/>
              </w:rPr>
              <w:t>项目位于</w:t>
            </w:r>
            <w:r>
              <w:rPr>
                <w:rFonts w:hint="default" w:ascii="Times New Roman" w:hAnsi="Times New Roman" w:eastAsia="宋体" w:cs="Times New Roman"/>
                <w:color w:val="auto"/>
                <w:kern w:val="0"/>
                <w:sz w:val="24"/>
                <w:szCs w:val="21"/>
                <w:highlight w:val="none"/>
                <w:lang w:val="en-US" w:eastAsia="zh-CN" w:bidi="ar-SA"/>
              </w:rPr>
              <w:t>福建省</w:t>
            </w:r>
            <w:r>
              <w:rPr>
                <w:rFonts w:hint="eastAsia" w:ascii="Times New Roman" w:hAnsi="Times New Roman" w:eastAsia="宋体" w:cs="Times New Roman"/>
                <w:color w:val="auto"/>
                <w:kern w:val="0"/>
                <w:sz w:val="24"/>
                <w:szCs w:val="21"/>
                <w:highlight w:val="none"/>
                <w:lang w:val="en-US" w:eastAsia="zh-CN" w:bidi="ar-SA"/>
              </w:rPr>
              <w:t>福州</w:t>
            </w:r>
            <w:r>
              <w:rPr>
                <w:rFonts w:hint="default" w:ascii="Times New Roman" w:hAnsi="Times New Roman" w:eastAsia="宋体" w:cs="Times New Roman"/>
                <w:color w:val="auto"/>
                <w:kern w:val="0"/>
                <w:sz w:val="24"/>
                <w:szCs w:val="21"/>
                <w:highlight w:val="none"/>
                <w:lang w:val="en-US" w:eastAsia="zh-CN" w:bidi="ar-SA"/>
              </w:rPr>
              <w:t>市</w:t>
            </w:r>
            <w:r>
              <w:rPr>
                <w:rFonts w:hint="eastAsia" w:ascii="Times New Roman" w:hAnsi="Times New Roman" w:eastAsia="宋体" w:cs="Times New Roman"/>
                <w:color w:val="auto"/>
                <w:kern w:val="0"/>
                <w:sz w:val="24"/>
                <w:szCs w:val="21"/>
                <w:highlight w:val="none"/>
                <w:lang w:val="en-US" w:eastAsia="zh-CN" w:bidi="ar-SA"/>
              </w:rPr>
              <w:t>闽侯县祥谦镇泮洋村祥宏中路20号</w:t>
            </w:r>
            <w:r>
              <w:rPr>
                <w:rFonts w:hint="eastAsia"/>
              </w:rPr>
              <w:t>，</w:t>
            </w:r>
            <w:r>
              <w:rPr>
                <w:rFonts w:hint="eastAsia"/>
                <w:lang w:val="en-US" w:eastAsia="zh-CN"/>
              </w:rPr>
              <w:t>主要土壤污染因素为废机油的泄漏</w:t>
            </w:r>
            <w:r>
              <w:rPr>
                <w:rFonts w:hint="eastAsia"/>
              </w:rPr>
              <w:t>。项目车间地面</w:t>
            </w:r>
            <w:r>
              <w:rPr>
                <w:rFonts w:hint="eastAsia"/>
                <w:lang w:val="en-US" w:eastAsia="zh-CN"/>
              </w:rPr>
              <w:t>已</w:t>
            </w:r>
            <w:r>
              <w:rPr>
                <w:rFonts w:hint="eastAsia"/>
              </w:rPr>
              <w:t>全部硬化，危险暂存间、</w:t>
            </w:r>
            <w:r>
              <w:rPr>
                <w:rFonts w:hint="eastAsia"/>
                <w:lang w:val="en-US" w:eastAsia="zh-CN"/>
              </w:rPr>
              <w:t>事故应急池</w:t>
            </w:r>
            <w:r>
              <w:rPr>
                <w:rFonts w:hint="eastAsia"/>
              </w:rPr>
              <w:t>等严格按照要求进行</w:t>
            </w:r>
            <w:r>
              <w:rPr>
                <w:rFonts w:hint="eastAsia"/>
                <w:lang w:val="en-US" w:eastAsia="zh-CN"/>
              </w:rPr>
              <w:t>重点</w:t>
            </w:r>
            <w:r>
              <w:rPr>
                <w:rFonts w:hint="eastAsia"/>
              </w:rPr>
              <w:t>防渗防控，不存在土壤环境风险</w:t>
            </w:r>
            <w:r>
              <w:rPr>
                <w:rFonts w:hint="eastAsia"/>
                <w:lang w:eastAsia="zh-CN"/>
              </w:rPr>
              <w:t>，</w:t>
            </w:r>
            <w:r>
              <w:rPr>
                <w:rFonts w:hint="eastAsia"/>
              </w:rPr>
              <w:t>符合土壤环境风险防控底线要求。</w:t>
            </w:r>
          </w:p>
          <w:p>
            <w:pPr>
              <w:pStyle w:val="8"/>
              <w:rPr>
                <w:rFonts w:hint="default"/>
              </w:rPr>
            </w:pPr>
            <w:r>
              <w:rPr>
                <w:rFonts w:hint="default"/>
              </w:rPr>
              <w:t>（3）资源利用上线</w:t>
            </w:r>
          </w:p>
          <w:p>
            <w:pPr>
              <w:pStyle w:val="8"/>
              <w:rPr>
                <w:rFonts w:hint="default"/>
              </w:rPr>
            </w:pPr>
            <w:r>
              <w:rPr>
                <w:rFonts w:hint="default"/>
              </w:rPr>
              <w:t>本项目</w:t>
            </w:r>
            <w:r>
              <w:rPr>
                <w:rFonts w:hint="eastAsia"/>
                <w:lang w:val="en-US" w:eastAsia="zh-CN"/>
              </w:rPr>
              <w:t>废机油收集转运</w:t>
            </w:r>
            <w:r>
              <w:rPr>
                <w:rFonts w:hint="default"/>
              </w:rPr>
              <w:t>过程中需要消耗一定量的电源。本项目建成运行后通过内部管理、污染治理等多方面采取合理可行的防治措施，以</w:t>
            </w:r>
            <w:r>
              <w:rPr>
                <w:rFonts w:hint="eastAsia"/>
                <w:lang w:eastAsia="zh-CN"/>
              </w:rPr>
              <w:t>“</w:t>
            </w:r>
            <w:r>
              <w:rPr>
                <w:rFonts w:hint="default"/>
              </w:rPr>
              <w:t>节能、降耗、减污</w:t>
            </w:r>
            <w:r>
              <w:rPr>
                <w:rFonts w:hint="eastAsia"/>
                <w:lang w:eastAsia="zh-CN"/>
              </w:rPr>
              <w:t>”</w:t>
            </w:r>
            <w:r>
              <w:rPr>
                <w:rFonts w:hint="default"/>
              </w:rPr>
              <w:t>为目标，有效</w:t>
            </w:r>
            <w:r>
              <w:rPr>
                <w:rFonts w:hint="eastAsia"/>
                <w:lang w:val="en-US" w:eastAsia="zh-CN"/>
              </w:rPr>
              <w:t>地</w:t>
            </w:r>
            <w:r>
              <w:rPr>
                <w:rFonts w:hint="default"/>
              </w:rPr>
              <w:t>控制污染及资源利用水平，确保企业清洁生产达到国内先进水平。项目资源消耗量相对区域资源利用总量较小，项目运营期资源利用不会突破区域资源利用</w:t>
            </w:r>
            <w:r>
              <w:rPr>
                <w:rFonts w:hint="eastAsia"/>
                <w:lang w:eastAsia="zh-CN"/>
              </w:rPr>
              <w:t>上限</w:t>
            </w:r>
            <w:r>
              <w:rPr>
                <w:rFonts w:hint="default"/>
              </w:rPr>
              <w:t>。</w:t>
            </w:r>
          </w:p>
          <w:p>
            <w:pPr>
              <w:pStyle w:val="8"/>
              <w:numPr>
                <w:ilvl w:val="0"/>
                <w:numId w:val="5"/>
              </w:numPr>
              <w:rPr>
                <w:rFonts w:hint="default" w:eastAsia="宋体"/>
                <w:lang w:val="en-US" w:eastAsia="zh-CN"/>
              </w:rPr>
            </w:pPr>
            <w:r>
              <w:rPr>
                <w:rFonts w:hint="default"/>
              </w:rPr>
              <w:t>与环境准入清单的符合性分析</w:t>
            </w:r>
          </w:p>
          <w:p>
            <w:pPr>
              <w:pStyle w:val="8"/>
              <w:rPr>
                <w:rFonts w:hint="eastAsia"/>
                <w:lang w:val="en-US" w:eastAsia="zh-CN"/>
              </w:rPr>
            </w:pPr>
            <w:r>
              <w:rPr>
                <w:rFonts w:hint="eastAsia"/>
              </w:rPr>
              <w:t>根据《福州市人民政府关于实施“三线</w:t>
            </w:r>
            <w:r>
              <w:rPr>
                <w:rFonts w:hint="eastAsia"/>
                <w:lang w:val="en-US" w:eastAsia="zh-CN"/>
              </w:rPr>
              <w:t>一</w:t>
            </w:r>
            <w:r>
              <w:rPr>
                <w:rFonts w:hint="eastAsia"/>
              </w:rPr>
              <w:t>单”生态分区管控的通知》</w:t>
            </w:r>
            <w:r>
              <w:rPr>
                <w:rFonts w:hint="eastAsia"/>
                <w:lang w:eastAsia="zh-CN"/>
              </w:rPr>
              <w:t>，</w:t>
            </w:r>
            <w:r>
              <w:rPr>
                <w:rFonts w:hint="eastAsia"/>
                <w:lang w:val="en-US" w:eastAsia="zh-CN"/>
              </w:rPr>
              <w:t>本项目位于</w:t>
            </w:r>
            <w:r>
              <w:rPr>
                <w:rFonts w:hint="default" w:ascii="Times New Roman" w:hAnsi="Times New Roman" w:eastAsia="宋体" w:cs="Times New Roman"/>
                <w:color w:val="auto"/>
                <w:kern w:val="0"/>
                <w:sz w:val="24"/>
                <w:szCs w:val="21"/>
                <w:highlight w:val="none"/>
                <w:lang w:val="en-US" w:eastAsia="zh-CN" w:bidi="ar-SA"/>
              </w:rPr>
              <w:t>福建省</w:t>
            </w:r>
            <w:r>
              <w:rPr>
                <w:rFonts w:hint="eastAsia" w:ascii="Times New Roman" w:hAnsi="Times New Roman" w:eastAsia="宋体" w:cs="Times New Roman"/>
                <w:color w:val="auto"/>
                <w:kern w:val="0"/>
                <w:sz w:val="24"/>
                <w:szCs w:val="21"/>
                <w:highlight w:val="none"/>
                <w:lang w:val="en-US" w:eastAsia="zh-CN" w:bidi="ar-SA"/>
              </w:rPr>
              <w:t>福州</w:t>
            </w:r>
            <w:r>
              <w:rPr>
                <w:rFonts w:hint="default" w:ascii="Times New Roman" w:hAnsi="Times New Roman" w:eastAsia="宋体" w:cs="Times New Roman"/>
                <w:color w:val="auto"/>
                <w:kern w:val="0"/>
                <w:sz w:val="24"/>
                <w:szCs w:val="21"/>
                <w:highlight w:val="none"/>
                <w:lang w:val="en-US" w:eastAsia="zh-CN" w:bidi="ar-SA"/>
              </w:rPr>
              <w:t>市</w:t>
            </w:r>
            <w:r>
              <w:rPr>
                <w:rFonts w:hint="eastAsia" w:ascii="Times New Roman" w:hAnsi="Times New Roman" w:eastAsia="宋体" w:cs="Times New Roman"/>
                <w:color w:val="auto"/>
                <w:kern w:val="0"/>
                <w:sz w:val="24"/>
                <w:szCs w:val="21"/>
                <w:highlight w:val="none"/>
                <w:lang w:val="en-US" w:eastAsia="zh-CN" w:bidi="ar-SA"/>
              </w:rPr>
              <w:t>闽侯县祥谦镇泮洋村祥宏中路20号</w:t>
            </w:r>
            <w:r>
              <w:rPr>
                <w:rFonts w:hint="eastAsia"/>
                <w:lang w:val="en-US" w:eastAsia="zh-CN"/>
              </w:rPr>
              <w:t>，属于一般管控单元（环境管控单元编码：</w:t>
            </w:r>
            <w:r>
              <w:rPr>
                <w:rFonts w:hint="eastAsia"/>
              </w:rPr>
              <w:t>ZH350121</w:t>
            </w:r>
            <w:r>
              <w:rPr>
                <w:rFonts w:hint="eastAsia"/>
                <w:lang w:val="en-US" w:eastAsia="zh-CN"/>
              </w:rPr>
              <w:t>3</w:t>
            </w:r>
            <w:r>
              <w:rPr>
                <w:rFonts w:hint="eastAsia"/>
              </w:rPr>
              <w:t>0001</w:t>
            </w:r>
            <w:r>
              <w:rPr>
                <w:rFonts w:hint="eastAsia"/>
                <w:lang w:val="en-US" w:eastAsia="zh-CN"/>
              </w:rPr>
              <w:t>），符合性分析见下表。</w:t>
            </w:r>
          </w:p>
          <w:p>
            <w:pPr>
              <w:pStyle w:val="30"/>
              <w:numPr>
                <w:ilvl w:val="7"/>
                <w:numId w:val="3"/>
              </w:numPr>
              <w:ind w:left="1440"/>
              <w:jc w:val="center"/>
              <w:rPr>
                <w:rFonts w:hint="default"/>
                <w:lang w:val="en-US" w:eastAsia="zh-CN"/>
              </w:rPr>
            </w:pPr>
            <w:r>
              <w:rPr>
                <w:rFonts w:hint="eastAsia"/>
                <w:lang w:val="en-US" w:eastAsia="zh-CN"/>
              </w:rPr>
              <w:t>生态环境准入清单</w:t>
            </w:r>
          </w:p>
          <w:tbl>
            <w:tblPr>
              <w:tblStyle w:val="25"/>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8"/>
              <w:gridCol w:w="2524"/>
              <w:gridCol w:w="345"/>
              <w:gridCol w:w="2308"/>
              <w:gridCol w:w="90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2672" w:type="pct"/>
                  <w:gridSpan w:val="2"/>
                  <w:vAlign w:val="center"/>
                </w:tcPr>
                <w:p>
                  <w:pPr>
                    <w:pStyle w:val="31"/>
                    <w:bidi w:val="0"/>
                    <w:jc w:val="center"/>
                    <w:rPr>
                      <w:rFonts w:hint="default"/>
                      <w:lang w:val="en-US" w:eastAsia="zh-CN"/>
                    </w:rPr>
                  </w:pPr>
                  <w:r>
                    <w:rPr>
                      <w:rFonts w:hint="eastAsia"/>
                      <w:lang w:val="en-US" w:eastAsia="zh-CN"/>
                    </w:rPr>
                    <w:t>环境管控单元编码</w:t>
                  </w:r>
                </w:p>
              </w:tc>
              <w:tc>
                <w:tcPr>
                  <w:tcW w:w="2327" w:type="pct"/>
                  <w:gridSpan w:val="3"/>
                  <w:vAlign w:val="center"/>
                </w:tcPr>
                <w:p>
                  <w:pPr>
                    <w:pStyle w:val="31"/>
                    <w:bidi w:val="0"/>
                    <w:jc w:val="center"/>
                    <w:rPr>
                      <w:rFonts w:hint="eastAsia"/>
                      <w:lang w:val="en-US" w:eastAsia="zh-CN"/>
                    </w:rPr>
                  </w:pPr>
                  <w:r>
                    <w:rPr>
                      <w:rFonts w:hint="eastAsia"/>
                    </w:rPr>
                    <w:t>ZH350121</w:t>
                  </w:r>
                  <w:r>
                    <w:rPr>
                      <w:rFonts w:hint="eastAsia"/>
                      <w:lang w:val="en-US" w:eastAsia="zh-CN"/>
                    </w:rPr>
                    <w:t>3</w:t>
                  </w:r>
                  <w:r>
                    <w:rPr>
                      <w:rFonts w:hint="eastAsia"/>
                    </w:rPr>
                    <w:t>0001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2672" w:type="pct"/>
                  <w:gridSpan w:val="2"/>
                  <w:vAlign w:val="center"/>
                </w:tcPr>
                <w:p>
                  <w:pPr>
                    <w:pStyle w:val="31"/>
                    <w:bidi w:val="0"/>
                    <w:jc w:val="center"/>
                    <w:rPr>
                      <w:rFonts w:hint="default"/>
                      <w:lang w:val="en-US" w:eastAsia="zh-CN"/>
                    </w:rPr>
                  </w:pPr>
                  <w:r>
                    <w:rPr>
                      <w:rFonts w:hint="eastAsia"/>
                      <w:lang w:val="en-US" w:eastAsia="zh-CN"/>
                    </w:rPr>
                    <w:t>环境管控单元名称</w:t>
                  </w:r>
                </w:p>
              </w:tc>
              <w:tc>
                <w:tcPr>
                  <w:tcW w:w="2327" w:type="pct"/>
                  <w:gridSpan w:val="3"/>
                  <w:vAlign w:val="center"/>
                </w:tcPr>
                <w:p>
                  <w:pPr>
                    <w:pStyle w:val="31"/>
                    <w:bidi w:val="0"/>
                    <w:jc w:val="center"/>
                    <w:rPr>
                      <w:rFonts w:hint="default"/>
                      <w:lang w:val="en-US" w:eastAsia="zh-CN"/>
                    </w:rPr>
                  </w:pPr>
                  <w:r>
                    <w:rPr>
                      <w:rFonts w:hint="eastAsia"/>
                      <w:lang w:val="en-US" w:eastAsia="zh-CN"/>
                    </w:rPr>
                    <w:t>闽侯县一般管控单元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2672" w:type="pct"/>
                  <w:gridSpan w:val="2"/>
                  <w:vAlign w:val="center"/>
                </w:tcPr>
                <w:p>
                  <w:pPr>
                    <w:pStyle w:val="31"/>
                    <w:bidi w:val="0"/>
                    <w:jc w:val="center"/>
                    <w:rPr>
                      <w:rFonts w:hint="default"/>
                      <w:lang w:val="en-US" w:eastAsia="zh-CN"/>
                    </w:rPr>
                  </w:pPr>
                  <w:r>
                    <w:rPr>
                      <w:rFonts w:hint="eastAsia"/>
                      <w:lang w:val="en-US" w:eastAsia="zh-CN"/>
                    </w:rPr>
                    <w:t>管控单元类别</w:t>
                  </w:r>
                </w:p>
              </w:tc>
              <w:tc>
                <w:tcPr>
                  <w:tcW w:w="2327" w:type="pct"/>
                  <w:gridSpan w:val="3"/>
                  <w:vAlign w:val="center"/>
                </w:tcPr>
                <w:p>
                  <w:pPr>
                    <w:pStyle w:val="31"/>
                    <w:bidi w:val="0"/>
                    <w:jc w:val="center"/>
                    <w:rPr>
                      <w:rFonts w:hint="default"/>
                      <w:lang w:val="en-US" w:eastAsia="zh-CN"/>
                    </w:rPr>
                  </w:pPr>
                  <w:r>
                    <w:rPr>
                      <w:rFonts w:hint="eastAsia"/>
                      <w:lang w:val="en-US" w:eastAsia="zh-CN"/>
                    </w:rPr>
                    <w:t>一般管控单元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2898" w:type="pct"/>
                  <w:gridSpan w:val="3"/>
                  <w:vAlign w:val="center"/>
                </w:tcPr>
                <w:p>
                  <w:pPr>
                    <w:pStyle w:val="31"/>
                    <w:bidi w:val="0"/>
                    <w:jc w:val="center"/>
                    <w:rPr>
                      <w:rFonts w:hint="default"/>
                      <w:lang w:val="en-US" w:eastAsia="zh-CN"/>
                    </w:rPr>
                  </w:pPr>
                  <w:r>
                    <w:rPr>
                      <w:rFonts w:hint="eastAsia"/>
                      <w:lang w:val="en-US" w:eastAsia="zh-CN"/>
                    </w:rPr>
                    <w:t>管控要求</w:t>
                  </w:r>
                </w:p>
              </w:tc>
              <w:tc>
                <w:tcPr>
                  <w:tcW w:w="1511" w:type="pct"/>
                  <w:vAlign w:val="center"/>
                </w:tcPr>
                <w:p>
                  <w:pPr>
                    <w:pStyle w:val="31"/>
                    <w:bidi w:val="0"/>
                    <w:jc w:val="center"/>
                    <w:rPr>
                      <w:rFonts w:hint="default"/>
                      <w:lang w:val="en-US" w:eastAsia="zh-CN"/>
                    </w:rPr>
                  </w:pPr>
                  <w:r>
                    <w:rPr>
                      <w:rFonts w:hint="eastAsia"/>
                      <w:lang w:val="en-US" w:eastAsia="zh-CN"/>
                    </w:rPr>
                    <w:t>本项目情况</w:t>
                  </w:r>
                </w:p>
              </w:tc>
              <w:tc>
                <w:tcPr>
                  <w:tcW w:w="589" w:type="pct"/>
                  <w:vAlign w:val="center"/>
                </w:tcPr>
                <w:p>
                  <w:pPr>
                    <w:pStyle w:val="31"/>
                    <w:bidi w:val="0"/>
                    <w:jc w:val="center"/>
                    <w:rPr>
                      <w:rFonts w:hint="default"/>
                      <w:lang w:val="en-US" w:eastAsia="zh-CN"/>
                    </w:rPr>
                  </w:pPr>
                  <w:r>
                    <w:rPr>
                      <w:rFonts w:hint="eastAsia"/>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1020" w:type="pct"/>
                  <w:vAlign w:val="center"/>
                </w:tcPr>
                <w:p>
                  <w:pPr>
                    <w:pStyle w:val="31"/>
                    <w:bidi w:val="0"/>
                    <w:jc w:val="center"/>
                    <w:rPr>
                      <w:rFonts w:hint="eastAsia"/>
                      <w:lang w:val="en-US" w:eastAsia="zh-CN"/>
                    </w:rPr>
                  </w:pPr>
                  <w:r>
                    <w:rPr>
                      <w:rFonts w:hint="eastAsia" w:ascii="宋体" w:hAnsi="宋体" w:eastAsia="宋体" w:cs="宋体"/>
                      <w:kern w:val="0"/>
                      <w:sz w:val="21"/>
                      <w:szCs w:val="21"/>
                    </w:rPr>
                    <w:t>空间布局约束</w:t>
                  </w:r>
                </w:p>
              </w:tc>
              <w:tc>
                <w:tcPr>
                  <w:tcW w:w="1878" w:type="pct"/>
                  <w:gridSpan w:val="2"/>
                  <w:vAlign w:val="center"/>
                </w:tcPr>
                <w:p>
                  <w:pPr>
                    <w:pStyle w:val="31"/>
                    <w:bidi w:val="0"/>
                    <w:jc w:val="center"/>
                    <w:rPr>
                      <w:rFonts w:hint="eastAsia" w:ascii="宋体" w:hAnsi="宋体" w:eastAsia="宋体" w:cs="宋体"/>
                      <w:sz w:val="21"/>
                      <w:szCs w:val="21"/>
                    </w:rPr>
                  </w:pPr>
                  <w:r>
                    <w:rPr>
                      <w:rFonts w:hint="eastAsia" w:ascii="宋体" w:hAnsi="宋体" w:eastAsia="宋体" w:cs="宋体"/>
                      <w:sz w:val="21"/>
                      <w:szCs w:val="21"/>
                    </w:rPr>
                    <w:t>1.一般建设项目不得占用永久基本农田，重大建设项目选址确实难以避让永久基本农田的</w:t>
                  </w:r>
                  <w:r>
                    <w:rPr>
                      <w:rFonts w:hint="eastAsia" w:ascii="宋体" w:hAnsi="宋体" w:cs="宋体"/>
                      <w:sz w:val="21"/>
                      <w:szCs w:val="21"/>
                      <w:lang w:eastAsia="zh-CN"/>
                    </w:rPr>
                    <w:t>，</w:t>
                  </w:r>
                  <w:r>
                    <w:rPr>
                      <w:rFonts w:hint="eastAsia" w:ascii="宋体" w:hAnsi="宋体" w:eastAsia="宋体" w:cs="宋体"/>
                      <w:sz w:val="21"/>
                      <w:szCs w:val="21"/>
                    </w:rPr>
                    <w:t>必须依法依规办理。严禁通过擅自调整县乡国土空间规划，规避占用永久基本农田的审批。</w:t>
                  </w:r>
                </w:p>
                <w:p>
                  <w:pPr>
                    <w:pStyle w:val="31"/>
                    <w:bidi w:val="0"/>
                    <w:jc w:val="center"/>
                    <w:rPr>
                      <w:rFonts w:hint="default"/>
                    </w:rPr>
                  </w:pPr>
                  <w:r>
                    <w:rPr>
                      <w:rFonts w:hint="eastAsia" w:ascii="宋体" w:hAnsi="宋体" w:eastAsia="宋体" w:cs="宋体"/>
                      <w:sz w:val="21"/>
                      <w:szCs w:val="21"/>
                    </w:rPr>
                    <w:t>2.禁止随意砍伐防风固沙林和农田保护林。</w:t>
                  </w:r>
                </w:p>
              </w:tc>
              <w:tc>
                <w:tcPr>
                  <w:tcW w:w="1511" w:type="pct"/>
                  <w:vAlign w:val="center"/>
                </w:tcPr>
                <w:p>
                  <w:pPr>
                    <w:pStyle w:val="31"/>
                    <w:bidi w:val="0"/>
                    <w:jc w:val="center"/>
                    <w:rPr>
                      <w:rFonts w:hint="default"/>
                      <w:lang w:val="en-US" w:eastAsia="zh-CN"/>
                    </w:rPr>
                  </w:pPr>
                  <w:r>
                    <w:rPr>
                      <w:rFonts w:hint="eastAsia"/>
                      <w:lang w:val="en-US" w:eastAsia="zh-CN"/>
                    </w:rPr>
                    <w:t>本项目租赁华源工艺品有限公司二期C栋1层厂房分割部分进行建设，不新增土地，所在厂区用地性质为工业用地，不涉及永久基本农田，不涉及防风固沙林和农田保护林。</w:t>
                  </w:r>
                </w:p>
              </w:tc>
              <w:tc>
                <w:tcPr>
                  <w:tcW w:w="589" w:type="pct"/>
                  <w:vAlign w:val="center"/>
                </w:tcPr>
                <w:p>
                  <w:pPr>
                    <w:pStyle w:val="31"/>
                    <w:bidi w:val="0"/>
                    <w:jc w:val="center"/>
                    <w:rPr>
                      <w:rFonts w:hint="default"/>
                      <w:lang w:val="en-US" w:eastAsia="zh-CN"/>
                    </w:rPr>
                  </w:pPr>
                  <w:r>
                    <w:rPr>
                      <w:rFonts w:hint="eastAsia"/>
                      <w:lang w:val="en-US" w:eastAsia="zh-CN"/>
                    </w:rPr>
                    <w:t>符合</w:t>
                  </w:r>
                </w:p>
              </w:tc>
            </w:tr>
          </w:tbl>
          <w:p>
            <w:pPr>
              <w:pStyle w:val="8"/>
              <w:rPr>
                <w:rFonts w:hint="default"/>
              </w:rPr>
            </w:pPr>
          </w:p>
          <w:p>
            <w:pPr>
              <w:pStyle w:val="8"/>
              <w:rPr>
                <w:rFonts w:hint="default"/>
              </w:rPr>
            </w:pPr>
            <w:r>
              <w:rPr>
                <w:rFonts w:hint="default"/>
              </w:rPr>
              <w:t>综上分析，</w:t>
            </w:r>
            <w:r>
              <w:rPr>
                <w:rFonts w:hint="eastAsia"/>
                <w:lang w:val="en-US" w:eastAsia="zh-CN"/>
              </w:rPr>
              <w:t>本</w:t>
            </w:r>
            <w:r>
              <w:rPr>
                <w:rFonts w:hint="default"/>
              </w:rPr>
              <w:t>项目建设符合</w:t>
            </w:r>
            <w:r>
              <w:rPr>
                <w:rFonts w:hint="eastAsia"/>
                <w:lang w:val="en-US" w:eastAsia="zh-CN"/>
              </w:rPr>
              <w:t>“三线一单”</w:t>
            </w:r>
            <w:r>
              <w:rPr>
                <w:rFonts w:hint="default"/>
              </w:rPr>
              <w:t>要求。</w:t>
            </w:r>
          </w:p>
          <w:p>
            <w:pPr>
              <w:pStyle w:val="4"/>
              <w:numPr>
                <w:ilvl w:val="1"/>
                <w:numId w:val="4"/>
              </w:numPr>
              <w:tabs>
                <w:tab w:val="left" w:pos="420"/>
              </w:tabs>
              <w:rPr>
                <w:rFonts w:hint="default"/>
              </w:rPr>
            </w:pPr>
            <w:r>
              <w:rPr>
                <w:rFonts w:hint="eastAsia"/>
                <w:lang w:val="en-US" w:eastAsia="zh-CN"/>
              </w:rPr>
              <w:t>与危险废物有关控制标准、技术规范的符合性分析</w:t>
            </w:r>
          </w:p>
          <w:p>
            <w:pPr>
              <w:pStyle w:val="8"/>
              <w:numPr>
                <w:ilvl w:val="0"/>
                <w:numId w:val="6"/>
              </w:numPr>
              <w:ind w:firstLine="480" w:firstLineChars="200"/>
              <w:rPr>
                <w:rFonts w:hint="eastAsia"/>
                <w:lang w:val="en-US" w:eastAsia="zh-CN"/>
              </w:rPr>
            </w:pPr>
            <w:r>
              <w:rPr>
                <w:rFonts w:hint="eastAsia"/>
                <w:lang w:val="en-US" w:eastAsia="zh-CN"/>
              </w:rPr>
              <w:t>与《危险废物贮存污染控制标准》（GB18597-2023）的符合性分析</w:t>
            </w:r>
          </w:p>
          <w:p>
            <w:pPr>
              <w:pStyle w:val="30"/>
              <w:bidi w:val="0"/>
              <w:rPr>
                <w:rFonts w:hint="eastAsia"/>
                <w:lang w:val="en-US" w:eastAsia="zh-CN"/>
              </w:rPr>
            </w:pPr>
            <w:bookmarkStart w:id="19" w:name="_Ref13970"/>
            <w:r>
              <w:rPr>
                <w:rFonts w:hint="eastAsia"/>
                <w:lang w:val="en-US" w:eastAsia="zh-CN"/>
              </w:rPr>
              <w:t>《危险废物贮存污染控制标准》符合性分析</w:t>
            </w:r>
            <w:bookmarkEnd w:id="19"/>
          </w:p>
          <w:tbl>
            <w:tblPr>
              <w:tblStyle w:val="25"/>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0"/>
              <w:gridCol w:w="3416"/>
              <w:gridCol w:w="3061"/>
              <w:gridCol w:w="70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Align w:val="center"/>
                </w:tcPr>
                <w:p>
                  <w:pPr>
                    <w:pStyle w:val="31"/>
                    <w:bidi w:val="0"/>
                    <w:jc w:val="center"/>
                    <w:rPr>
                      <w:rFonts w:hint="eastAsia"/>
                      <w:lang w:val="en-US" w:eastAsia="zh-CN"/>
                    </w:rPr>
                  </w:pPr>
                  <w:r>
                    <w:rPr>
                      <w:rFonts w:hint="eastAsia"/>
                      <w:lang w:val="en-US" w:eastAsia="zh-CN"/>
                    </w:rPr>
                    <w:t>项目</w:t>
                  </w:r>
                </w:p>
              </w:tc>
              <w:tc>
                <w:tcPr>
                  <w:tcW w:w="2236" w:type="pct"/>
                  <w:vAlign w:val="center"/>
                </w:tcPr>
                <w:p>
                  <w:pPr>
                    <w:pStyle w:val="31"/>
                    <w:bidi w:val="0"/>
                    <w:jc w:val="center"/>
                    <w:rPr>
                      <w:rFonts w:hint="default"/>
                      <w:lang w:val="en-US" w:eastAsia="zh-CN"/>
                    </w:rPr>
                  </w:pPr>
                  <w:r>
                    <w:rPr>
                      <w:rFonts w:hint="eastAsia"/>
                      <w:lang w:val="en-US" w:eastAsia="zh-CN"/>
                    </w:rPr>
                    <w:t>《危险废物贮存污染控制标准》（GB18597-2023）相关要求</w:t>
                  </w:r>
                </w:p>
              </w:tc>
              <w:tc>
                <w:tcPr>
                  <w:tcW w:w="2004" w:type="pct"/>
                  <w:vAlign w:val="center"/>
                </w:tcPr>
                <w:p>
                  <w:pPr>
                    <w:pStyle w:val="31"/>
                    <w:bidi w:val="0"/>
                    <w:jc w:val="center"/>
                    <w:rPr>
                      <w:rFonts w:hint="default"/>
                      <w:lang w:val="en-US" w:eastAsia="zh-CN"/>
                    </w:rPr>
                  </w:pPr>
                  <w:r>
                    <w:rPr>
                      <w:rFonts w:hint="eastAsia"/>
                      <w:lang w:val="en-US" w:eastAsia="zh-CN"/>
                    </w:rPr>
                    <w:t>本项目情况</w:t>
                  </w:r>
                </w:p>
              </w:tc>
              <w:tc>
                <w:tcPr>
                  <w:tcW w:w="464" w:type="pct"/>
                  <w:vAlign w:val="center"/>
                </w:tcPr>
                <w:p>
                  <w:pPr>
                    <w:pStyle w:val="31"/>
                    <w:bidi w:val="0"/>
                    <w:jc w:val="center"/>
                    <w:rPr>
                      <w:rFonts w:hint="default"/>
                      <w:lang w:val="en-US" w:eastAsia="zh-CN"/>
                    </w:rPr>
                  </w:pPr>
                  <w:r>
                    <w:rPr>
                      <w:rFonts w:hint="eastAsia"/>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Merge w:val="restart"/>
                  <w:vAlign w:val="center"/>
                </w:tcPr>
                <w:p>
                  <w:pPr>
                    <w:pStyle w:val="31"/>
                    <w:bidi w:val="0"/>
                    <w:jc w:val="center"/>
                    <w:rPr>
                      <w:rFonts w:hint="default"/>
                      <w:lang w:val="en-US" w:eastAsia="zh-CN"/>
                    </w:rPr>
                  </w:pPr>
                  <w:r>
                    <w:rPr>
                      <w:rFonts w:hint="eastAsia"/>
                      <w:lang w:val="en-US" w:eastAsia="zh-CN"/>
                    </w:rPr>
                    <w:t>选址要求</w:t>
                  </w:r>
                </w:p>
              </w:tc>
              <w:tc>
                <w:tcPr>
                  <w:tcW w:w="2236" w:type="pct"/>
                  <w:vAlign w:val="center"/>
                </w:tcPr>
                <w:p>
                  <w:pPr>
                    <w:pStyle w:val="31"/>
                    <w:bidi w:val="0"/>
                    <w:jc w:val="center"/>
                    <w:rPr>
                      <w:rFonts w:hint="default"/>
                    </w:rPr>
                  </w:pPr>
                  <w:r>
                    <w:rPr>
                      <w:rFonts w:hint="eastAsia"/>
                      <w:lang w:val="en-US" w:eastAsia="zh-CN"/>
                    </w:rPr>
                    <w:t>贮存设施选址应满足生态环境保护法律法规、规划和“三线一单”生态环境分区管控的要求。</w:t>
                  </w:r>
                </w:p>
              </w:tc>
              <w:tc>
                <w:tcPr>
                  <w:tcW w:w="2004" w:type="pct"/>
                  <w:vAlign w:val="center"/>
                </w:tcPr>
                <w:p>
                  <w:pPr>
                    <w:pStyle w:val="31"/>
                    <w:bidi w:val="0"/>
                    <w:jc w:val="center"/>
                    <w:rPr>
                      <w:rFonts w:hint="default"/>
                      <w:lang w:val="en-US" w:eastAsia="zh-CN"/>
                    </w:rPr>
                  </w:pPr>
                  <w:r>
                    <w:rPr>
                      <w:rFonts w:hint="eastAsia"/>
                      <w:lang w:val="en-US" w:eastAsia="zh-CN"/>
                    </w:rPr>
                    <w:t>本项目选址符合相关法律法规、区域规划和“三线一单”生态环境分区管控的要求。</w:t>
                  </w:r>
                </w:p>
              </w:tc>
              <w:tc>
                <w:tcPr>
                  <w:tcW w:w="464" w:type="pct"/>
                  <w:vAlign w:val="center"/>
                </w:tcPr>
                <w:p>
                  <w:pPr>
                    <w:pStyle w:val="31"/>
                    <w:bidi w:val="0"/>
                    <w:jc w:val="center"/>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Merge w:val="continue"/>
                  <w:vAlign w:val="center"/>
                </w:tcPr>
                <w:p>
                  <w:pPr>
                    <w:pStyle w:val="31"/>
                    <w:bidi w:val="0"/>
                    <w:jc w:val="center"/>
                    <w:rPr>
                      <w:rFonts w:hint="eastAsia"/>
                      <w:lang w:val="en-US" w:eastAsia="zh-CN"/>
                    </w:rPr>
                  </w:pPr>
                </w:p>
              </w:tc>
              <w:tc>
                <w:tcPr>
                  <w:tcW w:w="2236" w:type="pct"/>
                  <w:vAlign w:val="center"/>
                </w:tcPr>
                <w:p>
                  <w:pPr>
                    <w:pStyle w:val="31"/>
                    <w:bidi w:val="0"/>
                    <w:jc w:val="center"/>
                    <w:rPr>
                      <w:rFonts w:hint="default"/>
                    </w:rPr>
                  </w:pPr>
                  <w:r>
                    <w:rPr>
                      <w:rFonts w:hint="eastAsia"/>
                      <w:lang w:val="en-US" w:eastAsia="zh-CN"/>
                    </w:rPr>
                    <w:t>集中贮存设施不应选在生态保护红线区域、永久基本农田和其他需要特别保护的区域内，不应建在溶洞区或易遭受洪水、滑坡、泥石流、潮汐等严重自然灾害影响的地区。</w:t>
                  </w:r>
                </w:p>
              </w:tc>
              <w:tc>
                <w:tcPr>
                  <w:tcW w:w="2004" w:type="pct"/>
                  <w:vAlign w:val="center"/>
                </w:tcPr>
                <w:p>
                  <w:pPr>
                    <w:pStyle w:val="31"/>
                    <w:bidi w:val="0"/>
                    <w:jc w:val="center"/>
                    <w:rPr>
                      <w:rFonts w:hint="default"/>
                      <w:lang w:val="en-US" w:eastAsia="zh-CN"/>
                    </w:rPr>
                  </w:pPr>
                  <w:r>
                    <w:rPr>
                      <w:rFonts w:hint="eastAsia"/>
                      <w:lang w:val="en-US" w:eastAsia="zh-CN"/>
                    </w:rPr>
                    <w:t>本项目用地性质为工业用地，不涉及生态保护红线区、永久基本农田和其他需要特别保护的区域内，所在区域不属于溶洞区和易受自然灾害影响区域。</w:t>
                  </w:r>
                </w:p>
              </w:tc>
              <w:tc>
                <w:tcPr>
                  <w:tcW w:w="464" w:type="pct"/>
                  <w:vAlign w:val="center"/>
                </w:tcPr>
                <w:p>
                  <w:pPr>
                    <w:bidi w:val="0"/>
                    <w:jc w:val="center"/>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Merge w:val="continue"/>
                  <w:vAlign w:val="center"/>
                </w:tcPr>
                <w:p>
                  <w:pPr>
                    <w:pStyle w:val="31"/>
                    <w:bidi w:val="0"/>
                    <w:jc w:val="center"/>
                    <w:rPr>
                      <w:rFonts w:hint="eastAsia"/>
                      <w:lang w:val="en-US" w:eastAsia="zh-CN"/>
                    </w:rPr>
                  </w:pPr>
                </w:p>
              </w:tc>
              <w:tc>
                <w:tcPr>
                  <w:tcW w:w="2236" w:type="pct"/>
                  <w:vAlign w:val="center"/>
                </w:tcPr>
                <w:p>
                  <w:pPr>
                    <w:pStyle w:val="31"/>
                    <w:bidi w:val="0"/>
                    <w:jc w:val="center"/>
                    <w:rPr>
                      <w:rFonts w:hint="default"/>
                    </w:rPr>
                  </w:pPr>
                  <w:r>
                    <w:rPr>
                      <w:rFonts w:hint="eastAsia"/>
                      <w:lang w:val="en-US" w:eastAsia="zh-CN"/>
                    </w:rPr>
                    <w:t>贮存设施不应选在江河、湖泊、运河、渠道、水库及其最高水位线以下的滩地和岸坡，以及法律法规规定禁止贮存危险废物的其他地点。</w:t>
                  </w:r>
                </w:p>
              </w:tc>
              <w:tc>
                <w:tcPr>
                  <w:tcW w:w="2004" w:type="pct"/>
                  <w:vAlign w:val="center"/>
                </w:tcPr>
                <w:p>
                  <w:pPr>
                    <w:pStyle w:val="31"/>
                    <w:bidi w:val="0"/>
                    <w:jc w:val="center"/>
                    <w:rPr>
                      <w:rFonts w:hint="default"/>
                      <w:lang w:val="en-US" w:eastAsia="zh-CN"/>
                    </w:rPr>
                  </w:pPr>
                  <w:r>
                    <w:rPr>
                      <w:rFonts w:hint="eastAsia"/>
                      <w:lang w:val="en-US" w:eastAsia="zh-CN"/>
                    </w:rPr>
                    <w:t>本项目储油罐不在江河、湖泊、运河、渠道、水库及其最高水位线以下的滩地和岸坡，以及法律法规规定禁止贮存危险废物的地点。</w:t>
                  </w:r>
                </w:p>
              </w:tc>
              <w:tc>
                <w:tcPr>
                  <w:tcW w:w="464" w:type="pct"/>
                  <w:vAlign w:val="center"/>
                </w:tcPr>
                <w:p>
                  <w:pPr>
                    <w:bidi w:val="0"/>
                    <w:jc w:val="center"/>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Merge w:val="continue"/>
                  <w:vAlign w:val="center"/>
                </w:tcPr>
                <w:p>
                  <w:pPr>
                    <w:pStyle w:val="31"/>
                    <w:bidi w:val="0"/>
                    <w:jc w:val="center"/>
                    <w:rPr>
                      <w:rFonts w:hint="default"/>
                      <w:lang w:val="en-US" w:eastAsia="zh-CN"/>
                    </w:rPr>
                  </w:pPr>
                </w:p>
              </w:tc>
              <w:tc>
                <w:tcPr>
                  <w:tcW w:w="2236" w:type="pct"/>
                  <w:vAlign w:val="center"/>
                </w:tcPr>
                <w:p>
                  <w:pPr>
                    <w:pStyle w:val="31"/>
                    <w:bidi w:val="0"/>
                    <w:jc w:val="center"/>
                    <w:rPr>
                      <w:rFonts w:hint="default"/>
                    </w:rPr>
                  </w:pPr>
                  <w:r>
                    <w:rPr>
                      <w:rFonts w:hint="eastAsia"/>
                      <w:lang w:val="en-US" w:eastAsia="zh-CN"/>
                    </w:rPr>
                    <w:t>贮存设施场址的位置以及其与周围环境敏感目标的距离应依据环境影响评价文件确定。</w:t>
                  </w:r>
                </w:p>
              </w:tc>
              <w:tc>
                <w:tcPr>
                  <w:tcW w:w="2004" w:type="pct"/>
                  <w:vAlign w:val="center"/>
                </w:tcPr>
                <w:p>
                  <w:pPr>
                    <w:pStyle w:val="31"/>
                    <w:bidi w:val="0"/>
                    <w:rPr>
                      <w:rFonts w:hint="default"/>
                      <w:lang w:val="en-US" w:eastAsia="zh-CN"/>
                    </w:rPr>
                  </w:pPr>
                  <w:r>
                    <w:rPr>
                      <w:rFonts w:hint="eastAsia"/>
                      <w:lang w:val="en-US" w:eastAsia="zh-CN"/>
                    </w:rPr>
                    <w:t>本项目位于</w:t>
                  </w:r>
                  <w:r>
                    <w:rPr>
                      <w:rFonts w:hint="default"/>
                      <w:lang w:val="en-US" w:eastAsia="zh-CN"/>
                    </w:rPr>
                    <w:t>福建省福州市闽侯县祥谦镇泮洋村祥宏中路20号</w:t>
                  </w:r>
                  <w:r>
                    <w:rPr>
                      <w:rFonts w:hint="eastAsia"/>
                      <w:lang w:val="en-US" w:eastAsia="zh-CN"/>
                    </w:rPr>
                    <w:t>，大气防护距离50m内不存在大气环境保护。（详见</w:t>
                  </w:r>
                  <w:r>
                    <w:rPr>
                      <w:rFonts w:hint="eastAsia"/>
                      <w:lang w:val="en-US" w:eastAsia="zh-CN"/>
                    </w:rPr>
                    <w:fldChar w:fldCharType="begin"/>
                  </w:r>
                  <w:r>
                    <w:rPr>
                      <w:rFonts w:hint="eastAsia"/>
                      <w:lang w:val="en-US" w:eastAsia="zh-CN"/>
                    </w:rPr>
                    <w:instrText xml:space="preserve">REF_Ref2355\n\h</w:instrText>
                  </w:r>
                  <w:r>
                    <w:rPr>
                      <w:rFonts w:hint="eastAsia"/>
                      <w:lang w:val="en-US" w:eastAsia="zh-CN"/>
                    </w:rPr>
                    <w:fldChar w:fldCharType="separate"/>
                  </w:r>
                  <w:r>
                    <w:rPr>
                      <w:rFonts w:hint="eastAsia"/>
                      <w:lang w:val="en-US" w:eastAsia="zh-CN"/>
                    </w:rPr>
                    <w:t>图3</w:t>
                  </w:r>
                  <w:r>
                    <w:rPr>
                      <w:rFonts w:hint="eastAsia"/>
                      <w:lang w:val="en-US" w:eastAsia="zh-CN"/>
                    </w:rPr>
                    <w:fldChar w:fldCharType="end"/>
                  </w:r>
                  <w:r>
                    <w:rPr>
                      <w:rFonts w:hint="eastAsia"/>
                      <w:lang w:val="en-US" w:eastAsia="zh-CN"/>
                    </w:rPr>
                    <w:t>）</w:t>
                  </w:r>
                </w:p>
              </w:tc>
              <w:tc>
                <w:tcPr>
                  <w:tcW w:w="464" w:type="pct"/>
                  <w:vAlign w:val="center"/>
                </w:tcPr>
                <w:p>
                  <w:pPr>
                    <w:bidi w:val="0"/>
                    <w:jc w:val="center"/>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Merge w:val="restart"/>
                  <w:vAlign w:val="center"/>
                </w:tcPr>
                <w:p>
                  <w:pPr>
                    <w:pStyle w:val="31"/>
                    <w:bidi w:val="0"/>
                    <w:jc w:val="center"/>
                    <w:rPr>
                      <w:rFonts w:hint="default"/>
                      <w:lang w:val="en-US" w:eastAsia="zh-CN"/>
                    </w:rPr>
                  </w:pPr>
                  <w:r>
                    <w:rPr>
                      <w:rFonts w:hint="eastAsia"/>
                      <w:lang w:val="en-US" w:eastAsia="zh-CN"/>
                    </w:rPr>
                    <w:t>污染控制要求</w:t>
                  </w:r>
                </w:p>
              </w:tc>
              <w:tc>
                <w:tcPr>
                  <w:tcW w:w="2236" w:type="pct"/>
                  <w:vAlign w:val="center"/>
                </w:tcPr>
                <w:p>
                  <w:pPr>
                    <w:pStyle w:val="31"/>
                    <w:bidi w:val="0"/>
                    <w:jc w:val="center"/>
                    <w:rPr>
                      <w:rFonts w:hint="default"/>
                    </w:rPr>
                  </w:pPr>
                  <w:r>
                    <w:rPr>
                      <w:rFonts w:hint="eastAsia"/>
                      <w:lang w:val="en-US" w:eastAsia="zh-CN"/>
                    </w:rPr>
                    <w:t>贮存设施应根据危险废物的形态、物理化学性质、包装形式和污染物迁移途径，采取必要的防风、防晒、防雨、防漏、防渗、防腐以及其他环境污染防治措施，不应露天堆放危险废物。</w:t>
                  </w:r>
                </w:p>
              </w:tc>
              <w:tc>
                <w:tcPr>
                  <w:tcW w:w="2004" w:type="pct"/>
                  <w:vAlign w:val="center"/>
                </w:tcPr>
                <w:p>
                  <w:pPr>
                    <w:pStyle w:val="31"/>
                    <w:bidi w:val="0"/>
                    <w:jc w:val="center"/>
                    <w:rPr>
                      <w:rFonts w:hint="default"/>
                      <w:lang w:val="en-US" w:eastAsia="zh-CN"/>
                    </w:rPr>
                  </w:pPr>
                  <w:r>
                    <w:rPr>
                      <w:rFonts w:hint="eastAsia"/>
                      <w:lang w:val="en-US" w:eastAsia="zh-CN"/>
                    </w:rPr>
                    <w:t>本项目仅收集贮存转运废机油，储油罐位于厂房内，储罐周边拟建设有防渗、围堰、导流管、事故池等必要的环境风险防治措施。</w:t>
                  </w:r>
                </w:p>
              </w:tc>
              <w:tc>
                <w:tcPr>
                  <w:tcW w:w="464" w:type="pct"/>
                  <w:vAlign w:val="center"/>
                </w:tcPr>
                <w:p>
                  <w:pPr>
                    <w:bidi w:val="0"/>
                    <w:jc w:val="center"/>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Merge w:val="continue"/>
                  <w:vAlign w:val="center"/>
                </w:tcPr>
                <w:p>
                  <w:pPr>
                    <w:pStyle w:val="31"/>
                    <w:bidi w:val="0"/>
                    <w:jc w:val="center"/>
                    <w:rPr>
                      <w:rFonts w:hint="default"/>
                      <w:lang w:val="en-US" w:eastAsia="zh-CN"/>
                    </w:rPr>
                  </w:pPr>
                </w:p>
              </w:tc>
              <w:tc>
                <w:tcPr>
                  <w:tcW w:w="2236" w:type="pct"/>
                  <w:vAlign w:val="center"/>
                </w:tcPr>
                <w:p>
                  <w:pPr>
                    <w:pStyle w:val="31"/>
                    <w:bidi w:val="0"/>
                    <w:jc w:val="center"/>
                    <w:rPr>
                      <w:rFonts w:hint="default"/>
                    </w:rPr>
                  </w:pPr>
                  <w:r>
                    <w:rPr>
                      <w:rFonts w:hint="eastAsia"/>
                    </w:rPr>
                    <w:t>贮存设施应根据危险废物的类别、数量、形态、物理化学性质和污染防治等要求设置必要的贮存分区，避免不相容的危险废物接触、混合。</w:t>
                  </w:r>
                </w:p>
              </w:tc>
              <w:tc>
                <w:tcPr>
                  <w:tcW w:w="2004" w:type="pct"/>
                  <w:vAlign w:val="center"/>
                </w:tcPr>
                <w:p>
                  <w:pPr>
                    <w:pStyle w:val="31"/>
                    <w:bidi w:val="0"/>
                    <w:jc w:val="center"/>
                    <w:rPr>
                      <w:rFonts w:hint="default" w:eastAsia="宋体"/>
                      <w:lang w:val="en-US" w:eastAsia="zh-CN"/>
                    </w:rPr>
                  </w:pPr>
                  <w:r>
                    <w:rPr>
                      <w:rFonts w:hint="eastAsia"/>
                      <w:lang w:val="en-US" w:eastAsia="zh-CN"/>
                    </w:rPr>
                    <w:t>本项目仅收集贮存转运废机油，不涉及贮存分区。</w:t>
                  </w:r>
                </w:p>
              </w:tc>
              <w:tc>
                <w:tcPr>
                  <w:tcW w:w="464" w:type="pct"/>
                  <w:vAlign w:val="center"/>
                </w:tcPr>
                <w:p>
                  <w:pPr>
                    <w:bidi w:val="0"/>
                    <w:jc w:val="cente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Merge w:val="continue"/>
                  <w:vAlign w:val="center"/>
                </w:tcPr>
                <w:p>
                  <w:pPr>
                    <w:pStyle w:val="31"/>
                    <w:bidi w:val="0"/>
                    <w:jc w:val="center"/>
                    <w:rPr>
                      <w:rFonts w:hint="eastAsia"/>
                      <w:lang w:val="en-US" w:eastAsia="zh-CN"/>
                    </w:rPr>
                  </w:pPr>
                </w:p>
              </w:tc>
              <w:tc>
                <w:tcPr>
                  <w:tcW w:w="2236" w:type="pct"/>
                  <w:vAlign w:val="center"/>
                </w:tcPr>
                <w:p>
                  <w:pPr>
                    <w:pStyle w:val="31"/>
                    <w:bidi w:val="0"/>
                    <w:jc w:val="center"/>
                    <w:rPr>
                      <w:rFonts w:hint="eastAsia"/>
                      <w:lang w:val="en-US" w:eastAsia="zh-CN"/>
                    </w:rPr>
                  </w:pPr>
                  <w:r>
                    <w:rPr>
                      <w:rFonts w:hint="eastAsia"/>
                    </w:rPr>
                    <w:t>贮存设施或贮存分区内地面、墙面裙脚、堵截泄漏的围堰、</w:t>
                  </w:r>
                  <w:r>
                    <w:rPr>
                      <w:rFonts w:hint="eastAsia"/>
                      <w:lang w:eastAsia="zh-CN"/>
                    </w:rPr>
                    <w:t>接触</w:t>
                  </w:r>
                  <w:r>
                    <w:rPr>
                      <w:rFonts w:hint="eastAsia"/>
                    </w:rPr>
                    <w:t>危险废物的隔板和墙体等应采用坚固的材料建造，表面无裂缝。</w:t>
                  </w:r>
                </w:p>
              </w:tc>
              <w:tc>
                <w:tcPr>
                  <w:tcW w:w="2004" w:type="pct"/>
                  <w:vAlign w:val="center"/>
                </w:tcPr>
                <w:p>
                  <w:pPr>
                    <w:pStyle w:val="31"/>
                    <w:bidi w:val="0"/>
                    <w:jc w:val="center"/>
                    <w:rPr>
                      <w:rFonts w:hint="default" w:eastAsia="宋体"/>
                      <w:lang w:val="en-US" w:eastAsia="zh-CN"/>
                    </w:rPr>
                  </w:pPr>
                  <w:r>
                    <w:rPr>
                      <w:rFonts w:hint="eastAsia"/>
                      <w:lang w:val="en-US" w:eastAsia="zh-CN"/>
                    </w:rPr>
                    <w:t>本项目储罐区域设有围堰、裙角等，拟采取</w:t>
                  </w:r>
                  <w:r>
                    <w:rPr>
                      <w:rFonts w:hint="eastAsia"/>
                      <w:highlight w:val="none"/>
                      <w:lang w:val="en-US" w:eastAsia="zh-CN"/>
                    </w:rPr>
                    <w:t>重点防渗措施。</w:t>
                  </w:r>
                </w:p>
              </w:tc>
              <w:tc>
                <w:tcPr>
                  <w:tcW w:w="464" w:type="pct"/>
                  <w:vAlign w:val="center"/>
                </w:tcPr>
                <w:p>
                  <w:pPr>
                    <w:bidi w:val="0"/>
                    <w:jc w:val="cente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Merge w:val="continue"/>
                  <w:vAlign w:val="center"/>
                </w:tcPr>
                <w:p>
                  <w:pPr>
                    <w:pStyle w:val="31"/>
                    <w:bidi w:val="0"/>
                    <w:jc w:val="center"/>
                    <w:rPr>
                      <w:rFonts w:hint="eastAsia"/>
                      <w:lang w:val="en-US" w:eastAsia="zh-CN"/>
                    </w:rPr>
                  </w:pPr>
                </w:p>
              </w:tc>
              <w:tc>
                <w:tcPr>
                  <w:tcW w:w="2236" w:type="pct"/>
                  <w:vAlign w:val="center"/>
                </w:tcPr>
                <w:p>
                  <w:pPr>
                    <w:pStyle w:val="31"/>
                    <w:bidi w:val="0"/>
                    <w:jc w:val="center"/>
                    <w:rPr>
                      <w:rFonts w:hint="eastAsia"/>
                      <w:lang w:val="en-US" w:eastAsia="zh-CN"/>
                    </w:rPr>
                  </w:pPr>
                  <w:r>
                    <w:rPr>
                      <w:rFonts w:hint="eastAsia"/>
                    </w:rPr>
                    <w:t>贮存设施地面与裙脚应采取表面防渗措施</w:t>
                  </w:r>
                  <w:r>
                    <w:rPr>
                      <w:rFonts w:hint="eastAsia"/>
                      <w:lang w:eastAsia="zh-CN"/>
                    </w:rPr>
                    <w:t>；</w:t>
                  </w:r>
                  <w:r>
                    <w:rPr>
                      <w:rFonts w:hint="eastAsia"/>
                    </w:rPr>
                    <w:t>表面防渗材料应与所接触的物料或污染物相容，可采用抗渗混凝土、高密度聚乙烯膜、钠基膨润土防水毯或其他防渗性能等效的材料。贮存的危险废物直接接触地面的，还应进行基础防渗，防渗层为至少1m厚黏土层</w:t>
                  </w:r>
                  <w:r>
                    <w:rPr>
                      <w:rFonts w:hint="eastAsia"/>
                      <w:lang w:eastAsia="zh-CN"/>
                    </w:rPr>
                    <w:t>（</w:t>
                  </w:r>
                  <w:r>
                    <w:rPr>
                      <w:rFonts w:hint="eastAsia"/>
                    </w:rPr>
                    <w:t>渗透系数不大于10</w:t>
                  </w:r>
                  <w:r>
                    <w:rPr>
                      <w:rFonts w:hint="eastAsia"/>
                      <w:vertAlign w:val="superscript"/>
                      <w:lang w:val="en-US" w:eastAsia="zh-CN"/>
                    </w:rPr>
                    <w:t>-</w:t>
                  </w:r>
                  <w:r>
                    <w:rPr>
                      <w:rFonts w:hint="eastAsia"/>
                      <w:vertAlign w:val="superscript"/>
                    </w:rPr>
                    <w:t>7</w:t>
                  </w:r>
                  <w:r>
                    <w:rPr>
                      <w:rFonts w:hint="eastAsia"/>
                    </w:rPr>
                    <w:t>cm/s</w:t>
                  </w:r>
                  <w:r>
                    <w:rPr>
                      <w:rFonts w:hint="eastAsia"/>
                      <w:lang w:eastAsia="zh-CN"/>
                    </w:rPr>
                    <w:t>）</w:t>
                  </w:r>
                  <w:r>
                    <w:rPr>
                      <w:rFonts w:hint="eastAsia"/>
                    </w:rPr>
                    <w:t>，或至少2mm厚高密度聚乙烯膜等人工防渗材料</w:t>
                  </w:r>
                  <w:r>
                    <w:rPr>
                      <w:rFonts w:hint="eastAsia"/>
                      <w:lang w:eastAsia="zh-CN"/>
                    </w:rPr>
                    <w:t>（</w:t>
                  </w:r>
                  <w:r>
                    <w:rPr>
                      <w:rFonts w:hint="eastAsia"/>
                    </w:rPr>
                    <w:t>渗透系数不大于10</w:t>
                  </w:r>
                  <w:r>
                    <w:rPr>
                      <w:rFonts w:hint="eastAsia"/>
                      <w:vertAlign w:val="superscript"/>
                    </w:rPr>
                    <w:t>-10</w:t>
                  </w:r>
                  <w:r>
                    <w:rPr>
                      <w:rFonts w:hint="eastAsia"/>
                    </w:rPr>
                    <w:t>cm/s</w:t>
                  </w:r>
                  <w:r>
                    <w:rPr>
                      <w:rFonts w:hint="eastAsia"/>
                      <w:lang w:eastAsia="zh-CN"/>
                    </w:rPr>
                    <w:t>）</w:t>
                  </w:r>
                  <w:r>
                    <w:rPr>
                      <w:rFonts w:hint="eastAsia"/>
                    </w:rPr>
                    <w:t>，或其他防渗性能等效的材料。</w:t>
                  </w:r>
                </w:p>
              </w:tc>
              <w:tc>
                <w:tcPr>
                  <w:tcW w:w="2004" w:type="pct"/>
                  <w:vAlign w:val="center"/>
                </w:tcPr>
                <w:p>
                  <w:pPr>
                    <w:pStyle w:val="31"/>
                    <w:bidi w:val="0"/>
                    <w:jc w:val="center"/>
                    <w:rPr>
                      <w:rFonts w:hint="default" w:eastAsia="宋体"/>
                      <w:lang w:val="en-US" w:eastAsia="zh-CN"/>
                    </w:rPr>
                  </w:pPr>
                  <w:r>
                    <w:rPr>
                      <w:rFonts w:hint="eastAsia"/>
                      <w:lang w:val="en-US" w:eastAsia="zh-CN"/>
                    </w:rPr>
                    <w:t>本项目储罐区域设有围堰、裙角等，拟采取</w:t>
                  </w:r>
                  <w:r>
                    <w:rPr>
                      <w:rFonts w:hint="eastAsia"/>
                      <w:highlight w:val="none"/>
                      <w:lang w:val="en-US" w:eastAsia="zh-CN"/>
                    </w:rPr>
                    <w:t>重点防渗措施</w:t>
                  </w:r>
                  <w:r>
                    <w:rPr>
                      <w:rFonts w:hint="eastAsia"/>
                      <w:lang w:val="en-US" w:eastAsia="zh-CN"/>
                    </w:rPr>
                    <w:t>，</w:t>
                  </w:r>
                  <w:r>
                    <w:rPr>
                      <w:rFonts w:hint="eastAsia"/>
                    </w:rPr>
                    <w:t>防渗层为至少1m厚黏土层</w:t>
                  </w:r>
                  <w:r>
                    <w:rPr>
                      <w:rFonts w:hint="eastAsia"/>
                      <w:lang w:eastAsia="zh-CN"/>
                    </w:rPr>
                    <w:t>（</w:t>
                  </w:r>
                  <w:r>
                    <w:rPr>
                      <w:rFonts w:hint="eastAsia"/>
                    </w:rPr>
                    <w:t>渗透系数不大于10</w:t>
                  </w:r>
                  <w:r>
                    <w:rPr>
                      <w:rFonts w:hint="eastAsia"/>
                      <w:vertAlign w:val="superscript"/>
                      <w:lang w:val="en-US" w:eastAsia="zh-CN"/>
                    </w:rPr>
                    <w:t>-</w:t>
                  </w:r>
                  <w:r>
                    <w:rPr>
                      <w:rFonts w:hint="eastAsia"/>
                      <w:vertAlign w:val="superscript"/>
                    </w:rPr>
                    <w:t>7</w:t>
                  </w:r>
                  <w:r>
                    <w:rPr>
                      <w:rFonts w:hint="eastAsia"/>
                    </w:rPr>
                    <w:t>cm/s</w:t>
                  </w:r>
                  <w:r>
                    <w:rPr>
                      <w:rFonts w:hint="eastAsia"/>
                      <w:lang w:eastAsia="zh-CN"/>
                    </w:rPr>
                    <w:t>）</w:t>
                  </w:r>
                  <w:r>
                    <w:rPr>
                      <w:rFonts w:hint="eastAsia"/>
                    </w:rPr>
                    <w:t>，或至少2mm厚高密度聚乙烯膜等人工防渗材料</w:t>
                  </w:r>
                  <w:r>
                    <w:rPr>
                      <w:rFonts w:hint="eastAsia"/>
                      <w:lang w:eastAsia="zh-CN"/>
                    </w:rPr>
                    <w:t>（</w:t>
                  </w:r>
                  <w:r>
                    <w:rPr>
                      <w:rFonts w:hint="eastAsia"/>
                    </w:rPr>
                    <w:t>渗透系数不大于10</w:t>
                  </w:r>
                  <w:r>
                    <w:rPr>
                      <w:rFonts w:hint="eastAsia"/>
                      <w:vertAlign w:val="superscript"/>
                    </w:rPr>
                    <w:t>-10</w:t>
                  </w:r>
                  <w:r>
                    <w:rPr>
                      <w:rFonts w:hint="eastAsia"/>
                    </w:rPr>
                    <w:t>cm/s</w:t>
                  </w:r>
                  <w:r>
                    <w:rPr>
                      <w:rFonts w:hint="eastAsia"/>
                      <w:lang w:eastAsia="zh-CN"/>
                    </w:rPr>
                    <w:t>）</w:t>
                  </w:r>
                  <w:r>
                    <w:rPr>
                      <w:rFonts w:hint="eastAsia"/>
                    </w:rPr>
                    <w:t>，或其他防渗性能等效的材料。</w:t>
                  </w:r>
                </w:p>
              </w:tc>
              <w:tc>
                <w:tcPr>
                  <w:tcW w:w="464" w:type="pct"/>
                  <w:vAlign w:val="center"/>
                </w:tcPr>
                <w:p>
                  <w:pPr>
                    <w:bidi w:val="0"/>
                    <w:jc w:val="center"/>
                    <w:rPr>
                      <w:rFonts w:hint="eastAsia" w:ascii="Times New Roman" w:hAnsi="Times New Roman" w:eastAsia="宋体" w:cs="Times New Roman"/>
                      <w:kern w:val="2"/>
                      <w:sz w:val="21"/>
                      <w:szCs w:val="24"/>
                      <w:lang w:val="en-US" w:eastAsia="zh-CN" w:bidi="ar-SA"/>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Merge w:val="continue"/>
                  <w:vAlign w:val="center"/>
                </w:tcPr>
                <w:p>
                  <w:pPr>
                    <w:pStyle w:val="31"/>
                    <w:bidi w:val="0"/>
                    <w:jc w:val="center"/>
                    <w:rPr>
                      <w:rFonts w:hint="eastAsia"/>
                      <w:lang w:val="en-US" w:eastAsia="zh-CN"/>
                    </w:rPr>
                  </w:pPr>
                </w:p>
              </w:tc>
              <w:tc>
                <w:tcPr>
                  <w:tcW w:w="2236" w:type="pct"/>
                  <w:vAlign w:val="center"/>
                </w:tcPr>
                <w:p>
                  <w:pPr>
                    <w:pStyle w:val="31"/>
                    <w:bidi w:val="0"/>
                    <w:jc w:val="center"/>
                    <w:rPr>
                      <w:rFonts w:hint="eastAsia"/>
                      <w:lang w:val="en-US" w:eastAsia="zh-CN"/>
                    </w:rPr>
                  </w:pPr>
                  <w:r>
                    <w:rPr>
                      <w:rFonts w:hint="eastAsia"/>
                    </w:rPr>
                    <w:t>同一贮存设施宜采用相同的防渗、防腐工艺</w:t>
                  </w:r>
                  <w:r>
                    <w:rPr>
                      <w:rFonts w:hint="eastAsia"/>
                      <w:lang w:eastAsia="zh-CN"/>
                    </w:rPr>
                    <w:t>（</w:t>
                  </w:r>
                  <w:r>
                    <w:rPr>
                      <w:rFonts w:hint="eastAsia"/>
                    </w:rPr>
                    <w:t>包括防渗、防腐结构或材料</w:t>
                  </w:r>
                  <w:r>
                    <w:rPr>
                      <w:rFonts w:hint="eastAsia"/>
                      <w:lang w:eastAsia="zh-CN"/>
                    </w:rPr>
                    <w:t>）</w:t>
                  </w:r>
                  <w:r>
                    <w:rPr>
                      <w:rFonts w:hint="eastAsia"/>
                    </w:rPr>
                    <w:t>，防渗、防腐材料应覆盖所有可能与废物及其渗滤液、渗漏液等接触的构筑物表面</w:t>
                  </w:r>
                  <w:r>
                    <w:rPr>
                      <w:rFonts w:hint="eastAsia"/>
                      <w:lang w:eastAsia="zh-CN"/>
                    </w:rPr>
                    <w:t>；</w:t>
                  </w:r>
                  <w:r>
                    <w:rPr>
                      <w:rFonts w:hint="eastAsia"/>
                    </w:rPr>
                    <w:t>采用不同防渗、防腐工艺应分别建设贮存分区。</w:t>
                  </w:r>
                </w:p>
              </w:tc>
              <w:tc>
                <w:tcPr>
                  <w:tcW w:w="2004" w:type="pct"/>
                  <w:vAlign w:val="center"/>
                </w:tcPr>
                <w:p>
                  <w:pPr>
                    <w:pStyle w:val="31"/>
                    <w:bidi w:val="0"/>
                    <w:jc w:val="center"/>
                    <w:rPr>
                      <w:rFonts w:hint="default" w:eastAsia="宋体"/>
                      <w:lang w:val="en-US" w:eastAsia="zh-CN"/>
                    </w:rPr>
                  </w:pPr>
                  <w:r>
                    <w:rPr>
                      <w:rFonts w:hint="eastAsia"/>
                      <w:highlight w:val="none"/>
                      <w:lang w:val="en-US" w:eastAsia="zh-CN"/>
                    </w:rPr>
                    <w:t>本项目</w:t>
                  </w:r>
                  <w:r>
                    <w:rPr>
                      <w:rFonts w:hint="eastAsia"/>
                      <w:lang w:val="en-US" w:eastAsia="zh-CN"/>
                    </w:rPr>
                    <w:t>危废间、储罐区、事故应急池等拟采取</w:t>
                  </w:r>
                  <w:r>
                    <w:rPr>
                      <w:rFonts w:hint="eastAsia"/>
                      <w:highlight w:val="none"/>
                      <w:lang w:val="en-US" w:eastAsia="zh-CN"/>
                    </w:rPr>
                    <w:t>重点防渗措施</w:t>
                  </w:r>
                  <w:r>
                    <w:rPr>
                      <w:rFonts w:hint="eastAsia"/>
                      <w:lang w:val="en-US" w:eastAsia="zh-CN"/>
                    </w:rPr>
                    <w:t>，其中储油罐位于同一区域，采取相同的防渗、防腐工艺</w:t>
                  </w:r>
                </w:p>
              </w:tc>
              <w:tc>
                <w:tcPr>
                  <w:tcW w:w="464" w:type="pct"/>
                  <w:vAlign w:val="center"/>
                </w:tcPr>
                <w:p>
                  <w:pPr>
                    <w:bidi w:val="0"/>
                    <w:jc w:val="center"/>
                    <w:rPr>
                      <w:rFonts w:hint="eastAsia" w:ascii="Times New Roman" w:hAnsi="Times New Roman" w:eastAsia="宋体" w:cs="Times New Roman"/>
                      <w:kern w:val="2"/>
                      <w:sz w:val="21"/>
                      <w:szCs w:val="24"/>
                      <w:lang w:val="en-US" w:eastAsia="zh-CN" w:bidi="ar-SA"/>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Merge w:val="continue"/>
                  <w:vAlign w:val="center"/>
                </w:tcPr>
                <w:p>
                  <w:pPr>
                    <w:pStyle w:val="31"/>
                    <w:bidi w:val="0"/>
                    <w:jc w:val="center"/>
                    <w:rPr>
                      <w:rFonts w:hint="eastAsia"/>
                      <w:lang w:val="en-US" w:eastAsia="zh-CN"/>
                    </w:rPr>
                  </w:pPr>
                </w:p>
              </w:tc>
              <w:tc>
                <w:tcPr>
                  <w:tcW w:w="2236" w:type="pct"/>
                  <w:vAlign w:val="center"/>
                </w:tcPr>
                <w:p>
                  <w:pPr>
                    <w:pStyle w:val="31"/>
                    <w:bidi w:val="0"/>
                    <w:jc w:val="center"/>
                    <w:rPr>
                      <w:rFonts w:hint="eastAsia"/>
                      <w:lang w:val="en-US" w:eastAsia="zh-CN"/>
                    </w:rPr>
                  </w:pPr>
                  <w:r>
                    <w:rPr>
                      <w:rFonts w:hint="eastAsia"/>
                    </w:rPr>
                    <w:t>贮存设施应采取技术和管理措施防止无关人员进入。</w:t>
                  </w:r>
                </w:p>
              </w:tc>
              <w:tc>
                <w:tcPr>
                  <w:tcW w:w="2004" w:type="pct"/>
                  <w:vAlign w:val="center"/>
                </w:tcPr>
                <w:p>
                  <w:pPr>
                    <w:pStyle w:val="31"/>
                    <w:bidi w:val="0"/>
                    <w:jc w:val="center"/>
                    <w:rPr>
                      <w:rFonts w:hint="default" w:eastAsia="宋体"/>
                      <w:lang w:val="en-US" w:eastAsia="zh-CN"/>
                    </w:rPr>
                  </w:pPr>
                  <w:r>
                    <w:rPr>
                      <w:rFonts w:hint="eastAsia"/>
                    </w:rPr>
                    <w:t>贮存设施</w:t>
                  </w:r>
                  <w:r>
                    <w:rPr>
                      <w:rFonts w:hint="eastAsia"/>
                      <w:lang w:val="en-US" w:eastAsia="zh-CN"/>
                    </w:rPr>
                    <w:t>处拟挂有“无关人员禁止入内”等相关标识</w:t>
                  </w:r>
                </w:p>
              </w:tc>
              <w:tc>
                <w:tcPr>
                  <w:tcW w:w="464" w:type="pct"/>
                  <w:vAlign w:val="center"/>
                </w:tcPr>
                <w:p>
                  <w:pPr>
                    <w:bidi w:val="0"/>
                    <w:jc w:val="cente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Align w:val="center"/>
                </w:tcPr>
                <w:p>
                  <w:pPr>
                    <w:pStyle w:val="31"/>
                    <w:bidi w:val="0"/>
                    <w:jc w:val="center"/>
                    <w:rPr>
                      <w:rFonts w:hint="default"/>
                      <w:lang w:val="en-US" w:eastAsia="zh-CN"/>
                    </w:rPr>
                  </w:pPr>
                  <w:r>
                    <w:rPr>
                      <w:rFonts w:hint="eastAsia"/>
                      <w:lang w:val="en-US" w:eastAsia="zh-CN"/>
                    </w:rPr>
                    <w:t>容器控制要求</w:t>
                  </w:r>
                </w:p>
              </w:tc>
              <w:tc>
                <w:tcPr>
                  <w:tcW w:w="2236" w:type="pct"/>
                  <w:vAlign w:val="center"/>
                </w:tcPr>
                <w:p>
                  <w:pPr>
                    <w:pStyle w:val="31"/>
                    <w:bidi w:val="0"/>
                    <w:jc w:val="center"/>
                    <w:rPr>
                      <w:rFonts w:hint="default" w:eastAsia="宋体"/>
                      <w:lang w:val="en-US" w:eastAsia="zh-CN"/>
                    </w:rPr>
                  </w:pPr>
                  <w:r>
                    <w:rPr>
                      <w:rFonts w:hint="eastAsia"/>
                      <w:lang w:val="en-US" w:eastAsia="zh-CN"/>
                    </w:rPr>
                    <w:t>使用容器盛装液态、半固态危险废物时，容器内部应留有适当的空间，以适应因温度变化等可能引发的收缩和膨胀，防止其导致容器渗漏或永久变形。</w:t>
                  </w:r>
                </w:p>
              </w:tc>
              <w:tc>
                <w:tcPr>
                  <w:tcW w:w="2004" w:type="pct"/>
                  <w:vAlign w:val="center"/>
                </w:tcPr>
                <w:p>
                  <w:pPr>
                    <w:pStyle w:val="31"/>
                    <w:bidi w:val="0"/>
                    <w:jc w:val="center"/>
                    <w:rPr>
                      <w:rFonts w:hint="default" w:eastAsia="宋体"/>
                      <w:lang w:val="en-US" w:eastAsia="zh-CN"/>
                    </w:rPr>
                  </w:pPr>
                  <w:r>
                    <w:rPr>
                      <w:rFonts w:hint="eastAsia"/>
                      <w:lang w:val="en-US" w:eastAsia="zh-CN"/>
                    </w:rPr>
                    <w:t>本项目使用储油罐盛装废机油，留有</w:t>
                  </w:r>
                  <w:r>
                    <w:rPr>
                      <w:rFonts w:hint="eastAsia"/>
                    </w:rPr>
                    <w:t>大于5%的膨胀余量，储油罐上方有呼吸孔</w:t>
                  </w:r>
                  <w:r>
                    <w:rPr>
                      <w:rFonts w:hint="eastAsia"/>
                      <w:lang w:eastAsia="zh-CN"/>
                    </w:rPr>
                    <w:t>。</w:t>
                  </w:r>
                </w:p>
              </w:tc>
              <w:tc>
                <w:tcPr>
                  <w:tcW w:w="464" w:type="pct"/>
                  <w:vAlign w:val="center"/>
                </w:tcPr>
                <w:p>
                  <w:pPr>
                    <w:bidi w:val="0"/>
                    <w:jc w:val="center"/>
                  </w:pPr>
                  <w:r>
                    <w:rPr>
                      <w:rFonts w:hint="eastAsia"/>
                      <w:lang w:val="en-US" w:eastAsia="zh-CN"/>
                    </w:rPr>
                    <w:t>符合</w:t>
                  </w:r>
                </w:p>
              </w:tc>
            </w:tr>
          </w:tbl>
          <w:p>
            <w:pPr>
              <w:pStyle w:val="8"/>
              <w:numPr>
                <w:ilvl w:val="0"/>
                <w:numId w:val="0"/>
              </w:numPr>
              <w:ind w:firstLine="480" w:firstLineChars="200"/>
              <w:rPr>
                <w:rFonts w:hint="default" w:ascii="Times New Roman" w:hAnsi="Times New Roman" w:eastAsia="宋体" w:cs="Times New Roman"/>
                <w:color w:val="000000"/>
                <w:kern w:val="2"/>
                <w:sz w:val="24"/>
                <w:szCs w:val="24"/>
                <w:lang w:val="en-US" w:eastAsia="zh-CN" w:bidi="ar-SA"/>
              </w:rPr>
            </w:pPr>
          </w:p>
          <w:p>
            <w:pPr>
              <w:pStyle w:val="8"/>
              <w:numPr>
                <w:ilvl w:val="0"/>
                <w:numId w:val="6"/>
              </w:numPr>
              <w:ind w:firstLine="480" w:firstLineChars="200"/>
              <w:rPr>
                <w:rFonts w:hint="default"/>
                <w:lang w:val="en-US" w:eastAsia="zh-CN"/>
              </w:rPr>
            </w:pPr>
            <w:r>
              <w:rPr>
                <w:rFonts w:hint="default"/>
                <w:lang w:val="en-US" w:eastAsia="zh-CN"/>
              </w:rPr>
              <w:t>与《废矿物油回收利用污染控制技术规范》（HJ607-2011）符合性分析</w:t>
            </w:r>
          </w:p>
          <w:p>
            <w:pPr>
              <w:pStyle w:val="30"/>
              <w:bidi w:val="0"/>
              <w:rPr>
                <w:rFonts w:hint="eastAsia"/>
                <w:lang w:val="en-US" w:eastAsia="zh-CN"/>
              </w:rPr>
            </w:pPr>
            <w:r>
              <w:rPr>
                <w:rFonts w:hint="default"/>
                <w:lang w:val="en-US" w:eastAsia="zh-CN"/>
              </w:rPr>
              <w:t>《废矿物油回收利用污染控制技术规范》</w:t>
            </w:r>
            <w:r>
              <w:rPr>
                <w:rFonts w:hint="eastAsia"/>
                <w:lang w:val="en-US" w:eastAsia="zh-CN"/>
              </w:rPr>
              <w:t>符合性分析</w:t>
            </w:r>
          </w:p>
          <w:tbl>
            <w:tblPr>
              <w:tblStyle w:val="25"/>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9"/>
              <w:gridCol w:w="3153"/>
              <w:gridCol w:w="3364"/>
              <w:gridCol w:w="67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Align w:val="center"/>
                </w:tcPr>
                <w:p>
                  <w:pPr>
                    <w:pStyle w:val="31"/>
                    <w:bidi w:val="0"/>
                    <w:rPr>
                      <w:rFonts w:hint="eastAsia"/>
                      <w:lang w:val="en-US" w:eastAsia="zh-CN"/>
                    </w:rPr>
                  </w:pPr>
                  <w:r>
                    <w:rPr>
                      <w:rFonts w:hint="eastAsia"/>
                      <w:lang w:val="en-US" w:eastAsia="zh-CN"/>
                    </w:rPr>
                    <w:t>项目</w:t>
                  </w:r>
                </w:p>
              </w:tc>
              <w:tc>
                <w:tcPr>
                  <w:tcW w:w="2064" w:type="pct"/>
                  <w:vAlign w:val="center"/>
                </w:tcPr>
                <w:p>
                  <w:pPr>
                    <w:pStyle w:val="31"/>
                    <w:bidi w:val="0"/>
                    <w:rPr>
                      <w:rFonts w:hint="default"/>
                      <w:lang w:val="en-US" w:eastAsia="zh-CN"/>
                    </w:rPr>
                  </w:pPr>
                  <w:r>
                    <w:rPr>
                      <w:rFonts w:hint="eastAsia"/>
                      <w:lang w:val="en-US" w:eastAsia="zh-CN"/>
                    </w:rPr>
                    <w:t>《废矿物油回收利用污染控制技术规范》相关要求</w:t>
                  </w:r>
                </w:p>
              </w:tc>
              <w:tc>
                <w:tcPr>
                  <w:tcW w:w="2202" w:type="pct"/>
                  <w:vAlign w:val="center"/>
                </w:tcPr>
                <w:p>
                  <w:pPr>
                    <w:pStyle w:val="31"/>
                    <w:bidi w:val="0"/>
                    <w:rPr>
                      <w:rFonts w:hint="default"/>
                      <w:lang w:val="en-US" w:eastAsia="zh-CN"/>
                    </w:rPr>
                  </w:pPr>
                  <w:r>
                    <w:rPr>
                      <w:rFonts w:hint="eastAsia"/>
                      <w:lang w:val="en-US" w:eastAsia="zh-CN"/>
                    </w:rPr>
                    <w:t>本项目情况</w:t>
                  </w:r>
                </w:p>
              </w:tc>
              <w:tc>
                <w:tcPr>
                  <w:tcW w:w="438" w:type="pct"/>
                  <w:vAlign w:val="center"/>
                </w:tcPr>
                <w:p>
                  <w:pPr>
                    <w:pStyle w:val="31"/>
                    <w:bidi w:val="0"/>
                    <w:rPr>
                      <w:rFonts w:hint="default"/>
                      <w:lang w:val="en-US" w:eastAsia="zh-CN"/>
                    </w:rPr>
                  </w:pPr>
                  <w:r>
                    <w:rPr>
                      <w:rFonts w:hint="eastAsia"/>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restart"/>
                  <w:vAlign w:val="center"/>
                </w:tcPr>
                <w:p>
                  <w:pPr>
                    <w:pStyle w:val="31"/>
                    <w:bidi w:val="0"/>
                    <w:rPr>
                      <w:rFonts w:hint="default"/>
                      <w:lang w:val="en-US" w:eastAsia="zh-CN"/>
                    </w:rPr>
                  </w:pPr>
                  <w:r>
                    <w:rPr>
                      <w:rFonts w:hint="eastAsia"/>
                      <w:lang w:val="en-US" w:eastAsia="zh-CN"/>
                    </w:rPr>
                    <w:t>收集</w:t>
                  </w:r>
                </w:p>
              </w:tc>
              <w:tc>
                <w:tcPr>
                  <w:tcW w:w="2064" w:type="pct"/>
                  <w:vAlign w:val="center"/>
                </w:tcPr>
                <w:p>
                  <w:pPr>
                    <w:pStyle w:val="31"/>
                    <w:bidi w:val="0"/>
                    <w:rPr>
                      <w:rFonts w:hint="default"/>
                    </w:rPr>
                  </w:pPr>
                  <w:r>
                    <w:rPr>
                      <w:rFonts w:hint="eastAsia"/>
                      <w:lang w:val="en-US" w:eastAsia="zh-CN"/>
                    </w:rPr>
                    <w:t>废矿物油收集过程产生的废旧容器应按危险废物进行处置，仍可转作他用的，应经过消除污染的处理。</w:t>
                  </w:r>
                </w:p>
              </w:tc>
              <w:tc>
                <w:tcPr>
                  <w:tcW w:w="2202" w:type="pct"/>
                  <w:vAlign w:val="center"/>
                </w:tcPr>
                <w:p>
                  <w:pPr>
                    <w:pStyle w:val="31"/>
                    <w:bidi w:val="0"/>
                    <w:rPr>
                      <w:rFonts w:hint="default"/>
                      <w:lang w:val="en-US" w:eastAsia="zh-CN"/>
                    </w:rPr>
                  </w:pPr>
                  <w:r>
                    <w:rPr>
                      <w:rFonts w:hint="eastAsia"/>
                      <w:lang w:val="en-US" w:eastAsia="zh-CN"/>
                    </w:rPr>
                    <w:t>本项目将产废单位已经收集包装好的废机油进行收集至罐车回来贮存，收集时不产生废旧容器。</w:t>
                  </w:r>
                </w:p>
              </w:tc>
              <w:tc>
                <w:tcPr>
                  <w:tcW w:w="438" w:type="pct"/>
                  <w:vAlign w:val="center"/>
                </w:tcPr>
                <w:p>
                  <w:pPr>
                    <w:pStyle w:val="31"/>
                    <w:bidi w:val="0"/>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1"/>
                    <w:bidi w:val="0"/>
                    <w:rPr>
                      <w:rFonts w:hint="eastAsia"/>
                      <w:lang w:val="en-US" w:eastAsia="zh-CN"/>
                    </w:rPr>
                  </w:pPr>
                </w:p>
              </w:tc>
              <w:tc>
                <w:tcPr>
                  <w:tcW w:w="2064" w:type="pct"/>
                  <w:vAlign w:val="center"/>
                </w:tcPr>
                <w:p>
                  <w:pPr>
                    <w:pStyle w:val="31"/>
                    <w:bidi w:val="0"/>
                    <w:rPr>
                      <w:rFonts w:hint="default"/>
                    </w:rPr>
                  </w:pPr>
                  <w:r>
                    <w:rPr>
                      <w:rFonts w:hint="eastAsia"/>
                      <w:lang w:val="en-US" w:eastAsia="zh-CN"/>
                    </w:rPr>
                    <w:t>废矿物油应在产生源收集，不宜在产生源收集的应设置专用设施集中收集。</w:t>
                  </w:r>
                </w:p>
              </w:tc>
              <w:tc>
                <w:tcPr>
                  <w:tcW w:w="2202" w:type="pct"/>
                  <w:vAlign w:val="center"/>
                </w:tcPr>
                <w:p>
                  <w:pPr>
                    <w:pStyle w:val="31"/>
                    <w:bidi w:val="0"/>
                    <w:rPr>
                      <w:rFonts w:hint="default"/>
                      <w:lang w:val="en-US" w:eastAsia="zh-CN"/>
                    </w:rPr>
                  </w:pPr>
                  <w:r>
                    <w:rPr>
                      <w:rFonts w:hint="eastAsia"/>
                      <w:lang w:val="en-US" w:eastAsia="zh-CN"/>
                    </w:rPr>
                    <w:t>本项目设置专用储油罐，集中收集</w:t>
                  </w:r>
                  <w:r>
                    <w:rPr>
                      <w:rFonts w:hint="default"/>
                      <w:lang w:val="en-US"/>
                    </w:rPr>
                    <w:t>福州市及其辖区范围内的</w:t>
                  </w:r>
                  <w:r>
                    <w:rPr>
                      <w:rFonts w:hint="eastAsia"/>
                      <w:lang w:val="en-US" w:eastAsia="zh-CN"/>
                    </w:rPr>
                    <w:t>企业产生的废机油。</w:t>
                  </w:r>
                </w:p>
              </w:tc>
              <w:tc>
                <w:tcPr>
                  <w:tcW w:w="438" w:type="pc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2" w:hRule="atLeast"/>
              </w:trPr>
              <w:tc>
                <w:tcPr>
                  <w:tcW w:w="294" w:type="pct"/>
                  <w:vMerge w:val="continue"/>
                  <w:vAlign w:val="center"/>
                </w:tcPr>
                <w:p>
                  <w:pPr>
                    <w:pStyle w:val="31"/>
                    <w:bidi w:val="0"/>
                    <w:rPr>
                      <w:rFonts w:hint="default"/>
                      <w:lang w:val="en-US" w:eastAsia="zh-CN"/>
                    </w:rPr>
                  </w:pPr>
                </w:p>
              </w:tc>
              <w:tc>
                <w:tcPr>
                  <w:tcW w:w="2064" w:type="pct"/>
                  <w:vAlign w:val="center"/>
                </w:tcPr>
                <w:p>
                  <w:pPr>
                    <w:pStyle w:val="31"/>
                    <w:bidi w:val="0"/>
                    <w:rPr>
                      <w:rFonts w:hint="default"/>
                    </w:rPr>
                  </w:pPr>
                  <w:r>
                    <w:rPr>
                      <w:rFonts w:hint="eastAsia"/>
                      <w:lang w:val="en-US" w:eastAsia="zh-CN"/>
                    </w:rPr>
                    <w:t>废矿物油收集过程产生的含油棉、含油毡等含废矿物油废物应一并收集。</w:t>
                  </w:r>
                </w:p>
              </w:tc>
              <w:tc>
                <w:tcPr>
                  <w:tcW w:w="2202" w:type="pct"/>
                  <w:vAlign w:val="center"/>
                </w:tcPr>
                <w:p>
                  <w:pPr>
                    <w:pStyle w:val="31"/>
                    <w:bidi w:val="0"/>
                    <w:rPr>
                      <w:rFonts w:hint="default"/>
                      <w:lang w:val="en-US" w:eastAsia="zh-CN"/>
                    </w:rPr>
                  </w:pPr>
                  <w:r>
                    <w:rPr>
                      <w:rFonts w:hint="eastAsia"/>
                      <w:lang w:val="en-US" w:eastAsia="zh-CN"/>
                    </w:rPr>
                    <w:t>本项目混入生活垃圾的含油劳保用品（900-041-49）属于危废豁免清单的危废，同生活垃圾统一清运。</w:t>
                  </w:r>
                </w:p>
              </w:tc>
              <w:tc>
                <w:tcPr>
                  <w:tcW w:w="438" w:type="pc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restart"/>
                  <w:vAlign w:val="center"/>
                </w:tcPr>
                <w:p>
                  <w:pPr>
                    <w:pStyle w:val="31"/>
                    <w:bidi w:val="0"/>
                    <w:rPr>
                      <w:rFonts w:hint="default"/>
                      <w:lang w:val="en-US" w:eastAsia="zh-CN"/>
                    </w:rPr>
                  </w:pPr>
                  <w:r>
                    <w:rPr>
                      <w:rFonts w:hint="eastAsia"/>
                      <w:lang w:val="en-US" w:eastAsia="zh-CN"/>
                    </w:rPr>
                    <w:t>运输</w:t>
                  </w:r>
                </w:p>
              </w:tc>
              <w:tc>
                <w:tcPr>
                  <w:tcW w:w="2064" w:type="pct"/>
                  <w:vAlign w:val="center"/>
                </w:tcPr>
                <w:p>
                  <w:pPr>
                    <w:pStyle w:val="31"/>
                    <w:bidi w:val="0"/>
                    <w:rPr>
                      <w:rFonts w:hint="default"/>
                    </w:rPr>
                  </w:pPr>
                  <w:r>
                    <w:rPr>
                      <w:rFonts w:hint="eastAsia"/>
                      <w:lang w:val="en-US" w:eastAsia="zh-CN"/>
                    </w:rPr>
                    <w:t>废矿物油的运输转移应按《道路危险货物运输管理规定》、《铁路危险货物运输管理规则》、《水路危险供物运输规则》等的规定执行，转运前应检查转运设备盛装容器的稳定性、严密性，确保运输途中不会破裂、倾倒和溢流。</w:t>
                  </w:r>
                </w:p>
              </w:tc>
              <w:tc>
                <w:tcPr>
                  <w:tcW w:w="2202" w:type="pct"/>
                  <w:vAlign w:val="center"/>
                </w:tcPr>
                <w:p>
                  <w:pPr>
                    <w:pStyle w:val="31"/>
                    <w:bidi w:val="0"/>
                    <w:rPr>
                      <w:rFonts w:hint="eastAsia"/>
                      <w:lang w:val="en-US" w:eastAsia="zh-CN"/>
                    </w:rPr>
                  </w:pPr>
                  <w:r>
                    <w:rPr>
                      <w:rFonts w:hint="eastAsia"/>
                      <w:b w:val="0"/>
                      <w:bCs w:val="0"/>
                      <w:highlight w:val="none"/>
                      <w:lang w:val="en-US" w:eastAsia="zh-CN"/>
                    </w:rPr>
                    <w:t>本项目废机油的收集委托福建省昊辰物流有限公司进行危废运输（收集运输合同见附件8）；</w:t>
                  </w:r>
                  <w:r>
                    <w:rPr>
                      <w:rFonts w:hint="eastAsia"/>
                      <w:lang w:val="en-US" w:eastAsia="zh-CN"/>
                    </w:rPr>
                    <w:t>废机油最终危废处置单位为</w:t>
                  </w:r>
                  <w:r>
                    <w:rPr>
                      <w:rFonts w:hint="eastAsia"/>
                      <w:highlight w:val="none"/>
                      <w:lang w:val="en-US" w:eastAsia="zh-CN"/>
                    </w:rPr>
                    <w:t>尤溪县鑫辉润滑油再生利用有限公司（废机油转运由其</w:t>
                  </w:r>
                  <w:r>
                    <w:rPr>
                      <w:rFonts w:hint="eastAsia"/>
                      <w:lang w:val="en-US" w:eastAsia="zh-CN"/>
                    </w:rPr>
                    <w:t>委托</w:t>
                  </w:r>
                  <w:r>
                    <w:rPr>
                      <w:rFonts w:hint="eastAsia"/>
                      <w:highlight w:val="none"/>
                      <w:lang w:val="en-US" w:eastAsia="zh-CN"/>
                    </w:rPr>
                    <w:t>尤溪县鸿达物流有限公司，详见附件6、附件7）</w:t>
                  </w:r>
                </w:p>
              </w:tc>
              <w:tc>
                <w:tcPr>
                  <w:tcW w:w="438" w:type="pc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1"/>
                    <w:bidi w:val="0"/>
                    <w:rPr>
                      <w:rFonts w:hint="default"/>
                      <w:lang w:val="en-US" w:eastAsia="zh-CN"/>
                    </w:rPr>
                  </w:pPr>
                </w:p>
              </w:tc>
              <w:tc>
                <w:tcPr>
                  <w:tcW w:w="2064" w:type="pct"/>
                  <w:vAlign w:val="center"/>
                </w:tcPr>
                <w:p>
                  <w:pPr>
                    <w:pStyle w:val="31"/>
                    <w:bidi w:val="0"/>
                    <w:rPr>
                      <w:rFonts w:hint="default"/>
                    </w:rPr>
                  </w:pPr>
                  <w:r>
                    <w:rPr>
                      <w:rFonts w:hint="eastAsia"/>
                      <w:lang w:val="en-US" w:eastAsia="zh-CN"/>
                    </w:rPr>
                    <w:t>废矿物油的运输转移过程控制应按《危险废物转移联单管理办法》的规定执行，转运前应检查危险废物转移联单，核对品名、数量和标志等。</w:t>
                  </w:r>
                </w:p>
              </w:tc>
              <w:tc>
                <w:tcPr>
                  <w:tcW w:w="2202" w:type="pct"/>
                  <w:vAlign w:val="center"/>
                </w:tcPr>
                <w:p>
                  <w:pPr>
                    <w:pStyle w:val="31"/>
                    <w:bidi w:val="0"/>
                    <w:rPr>
                      <w:rFonts w:hint="eastAsia"/>
                      <w:lang w:val="en-US" w:eastAsia="zh-CN"/>
                    </w:rPr>
                  </w:pPr>
                  <w:r>
                    <w:rPr>
                      <w:rFonts w:hint="eastAsia"/>
                      <w:lang w:val="en-US" w:eastAsia="zh-CN"/>
                    </w:rPr>
                    <w:t>本评价要求建设单位实施危险废物转移联单制度，转运废机油前检查危险废物转移联单，核对品名、数量和标志等。</w:t>
                  </w:r>
                </w:p>
              </w:tc>
              <w:tc>
                <w:tcPr>
                  <w:tcW w:w="438" w:type="pc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1"/>
                    <w:bidi w:val="0"/>
                    <w:rPr>
                      <w:rFonts w:hint="default"/>
                      <w:lang w:val="en-US" w:eastAsia="zh-CN"/>
                    </w:rPr>
                  </w:pPr>
                </w:p>
              </w:tc>
              <w:tc>
                <w:tcPr>
                  <w:tcW w:w="2064" w:type="pct"/>
                  <w:vAlign w:val="center"/>
                </w:tcPr>
                <w:p>
                  <w:pPr>
                    <w:pStyle w:val="31"/>
                    <w:bidi w:val="0"/>
                    <w:rPr>
                      <w:rFonts w:hint="default"/>
                    </w:rPr>
                  </w:pPr>
                  <w:r>
                    <w:rPr>
                      <w:rFonts w:hint="eastAsia"/>
                      <w:lang w:val="en-US" w:eastAsia="zh-CN"/>
                    </w:rPr>
                    <w:t>废矿物油转运前应制定突发环境事件应急预案。</w:t>
                  </w:r>
                </w:p>
              </w:tc>
              <w:tc>
                <w:tcPr>
                  <w:tcW w:w="2202" w:type="pct"/>
                  <w:vAlign w:val="center"/>
                </w:tcPr>
                <w:p>
                  <w:pPr>
                    <w:pStyle w:val="31"/>
                    <w:bidi w:val="0"/>
                    <w:rPr>
                      <w:rFonts w:hint="eastAsia"/>
                      <w:lang w:val="en-US" w:eastAsia="zh-CN"/>
                    </w:rPr>
                  </w:pPr>
                  <w:r>
                    <w:rPr>
                      <w:rFonts w:hint="eastAsia"/>
                      <w:lang w:val="en-US" w:eastAsia="zh-CN"/>
                    </w:rPr>
                    <w:t>本评价要求项目转运前完成突发环境事件应急预案的编制。</w:t>
                  </w:r>
                </w:p>
              </w:tc>
              <w:tc>
                <w:tcPr>
                  <w:tcW w:w="438" w:type="pc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1"/>
                    <w:bidi w:val="0"/>
                    <w:rPr>
                      <w:rFonts w:hint="default"/>
                      <w:lang w:val="en-US" w:eastAsia="zh-CN"/>
                    </w:rPr>
                  </w:pPr>
                </w:p>
              </w:tc>
              <w:tc>
                <w:tcPr>
                  <w:tcW w:w="2064" w:type="pct"/>
                  <w:vAlign w:val="center"/>
                </w:tcPr>
                <w:p>
                  <w:pPr>
                    <w:pStyle w:val="31"/>
                    <w:bidi w:val="0"/>
                    <w:rPr>
                      <w:rFonts w:hint="eastAsia" w:eastAsia="宋体"/>
                      <w:lang w:eastAsia="zh-CN"/>
                    </w:rPr>
                  </w:pPr>
                  <w:r>
                    <w:rPr>
                      <w:rFonts w:hint="eastAsia"/>
                    </w:rPr>
                    <w:t>废矿物油在转运过程中应设专人看护</w:t>
                  </w:r>
                  <w:r>
                    <w:rPr>
                      <w:rFonts w:hint="eastAsia"/>
                      <w:lang w:eastAsia="zh-CN"/>
                    </w:rPr>
                    <w:t>。</w:t>
                  </w:r>
                </w:p>
              </w:tc>
              <w:tc>
                <w:tcPr>
                  <w:tcW w:w="2202" w:type="pct"/>
                  <w:vAlign w:val="center"/>
                </w:tcPr>
                <w:p>
                  <w:pPr>
                    <w:pStyle w:val="31"/>
                    <w:bidi w:val="0"/>
                    <w:rPr>
                      <w:rFonts w:hint="default" w:eastAsia="宋体"/>
                      <w:lang w:val="en-US" w:eastAsia="zh-CN"/>
                    </w:rPr>
                  </w:pPr>
                  <w:r>
                    <w:rPr>
                      <w:rFonts w:hint="eastAsia"/>
                      <w:highlight w:val="none"/>
                    </w:rPr>
                    <w:t>本</w:t>
                  </w:r>
                  <w:r>
                    <w:rPr>
                      <w:rFonts w:hint="eastAsia"/>
                      <w:highlight w:val="none"/>
                      <w:lang w:val="en-US" w:eastAsia="zh-CN"/>
                    </w:rPr>
                    <w:t>评价要求转运过程有专人跟车押运。</w:t>
                  </w:r>
                </w:p>
              </w:tc>
              <w:tc>
                <w:tcPr>
                  <w:tcW w:w="438" w:type="pct"/>
                  <w:vAlign w:val="center"/>
                </w:tcPr>
                <w:p>
                  <w:pPr>
                    <w:pStyle w:val="31"/>
                    <w:bidi w:val="0"/>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restart"/>
                  <w:vAlign w:val="center"/>
                </w:tcPr>
                <w:p>
                  <w:pPr>
                    <w:pStyle w:val="31"/>
                    <w:bidi w:val="0"/>
                    <w:rPr>
                      <w:rFonts w:hint="default"/>
                      <w:lang w:val="en-US" w:eastAsia="zh-CN"/>
                    </w:rPr>
                  </w:pPr>
                  <w:r>
                    <w:rPr>
                      <w:rFonts w:hint="eastAsia"/>
                      <w:lang w:val="en-US" w:eastAsia="zh-CN"/>
                    </w:rPr>
                    <w:t>贮存</w:t>
                  </w:r>
                </w:p>
              </w:tc>
              <w:tc>
                <w:tcPr>
                  <w:tcW w:w="2064" w:type="pct"/>
                  <w:vAlign w:val="center"/>
                </w:tcPr>
                <w:p>
                  <w:pPr>
                    <w:pStyle w:val="31"/>
                    <w:bidi w:val="0"/>
                    <w:rPr>
                      <w:rFonts w:hint="eastAsia" w:eastAsia="宋体"/>
                      <w:lang w:val="en-US" w:eastAsia="zh-CN"/>
                    </w:rPr>
                  </w:pPr>
                  <w:r>
                    <w:rPr>
                      <w:rFonts w:hint="eastAsia"/>
                    </w:rPr>
                    <w:t>废矿物油贮存污染控制应符合</w:t>
                  </w:r>
                  <w:r>
                    <w:rPr>
                      <w:rFonts w:hint="eastAsia"/>
                      <w:lang w:eastAsia="zh-CN"/>
                    </w:rPr>
                    <w:t>（</w:t>
                  </w:r>
                  <w:r>
                    <w:rPr>
                      <w:rFonts w:hint="eastAsia"/>
                    </w:rPr>
                    <w:t>GB18597</w:t>
                  </w:r>
                  <w:r>
                    <w:rPr>
                      <w:rFonts w:hint="eastAsia"/>
                      <w:lang w:eastAsia="zh-CN"/>
                    </w:rPr>
                    <w:t>）</w:t>
                  </w:r>
                  <w:r>
                    <w:rPr>
                      <w:rFonts w:hint="eastAsia"/>
                    </w:rPr>
                    <w:t>中的有关规定</w:t>
                  </w:r>
                  <w:r>
                    <w:rPr>
                      <w:rFonts w:hint="eastAsia"/>
                      <w:lang w:eastAsia="zh-CN"/>
                    </w:rPr>
                    <w:t>。</w:t>
                  </w:r>
                </w:p>
              </w:tc>
              <w:tc>
                <w:tcPr>
                  <w:tcW w:w="2202" w:type="pct"/>
                  <w:vAlign w:val="center"/>
                </w:tcPr>
                <w:p>
                  <w:pPr>
                    <w:pStyle w:val="31"/>
                    <w:bidi w:val="0"/>
                    <w:rPr>
                      <w:rFonts w:hint="eastAsia" w:eastAsia="宋体"/>
                      <w:lang w:eastAsia="zh-CN"/>
                    </w:rPr>
                  </w:pPr>
                  <w:r>
                    <w:rPr>
                      <w:rFonts w:hint="eastAsia"/>
                    </w:rPr>
                    <w:t>本评价要求建设单位按《危险废物贮存污染控制准》（GB18597）中的有关规定贮存</w:t>
                  </w:r>
                  <w:r>
                    <w:rPr>
                      <w:rFonts w:hint="eastAsia"/>
                      <w:lang w:eastAsia="zh-CN"/>
                    </w:rPr>
                    <w:t>，</w:t>
                  </w:r>
                  <w:r>
                    <w:rPr>
                      <w:rFonts w:hint="eastAsia"/>
                      <w:lang w:val="en-US" w:eastAsia="zh-CN"/>
                    </w:rPr>
                    <w:t>见</w:t>
                  </w:r>
                  <w:r>
                    <w:rPr>
                      <w:rFonts w:hint="eastAsia"/>
                      <w:lang w:val="en-US" w:eastAsia="zh-CN"/>
                    </w:rPr>
                    <w:fldChar w:fldCharType="begin"/>
                  </w:r>
                  <w:r>
                    <w:rPr>
                      <w:rFonts w:hint="eastAsia"/>
                      <w:lang w:val="en-US" w:eastAsia="zh-CN"/>
                    </w:rPr>
                    <w:instrText xml:space="preserve">REF_Ref13970\n\h</w:instrText>
                  </w:r>
                  <w:r>
                    <w:rPr>
                      <w:rFonts w:hint="eastAsia"/>
                      <w:lang w:val="en-US" w:eastAsia="zh-CN"/>
                    </w:rPr>
                    <w:fldChar w:fldCharType="separate"/>
                  </w:r>
                  <w:r>
                    <w:rPr>
                      <w:rFonts w:hint="eastAsia"/>
                      <w:lang w:val="en-US" w:eastAsia="zh-CN"/>
                    </w:rPr>
                    <w:t>表4</w:t>
                  </w:r>
                  <w:r>
                    <w:rPr>
                      <w:rFonts w:hint="eastAsia"/>
                      <w:lang w:val="en-US" w:eastAsia="zh-CN"/>
                    </w:rPr>
                    <w:fldChar w:fldCharType="end"/>
                  </w:r>
                  <w:r>
                    <w:rPr>
                      <w:rFonts w:hint="eastAsia"/>
                      <w:lang w:val="en-US" w:eastAsia="zh-CN"/>
                    </w:rPr>
                    <w:t>分析</w:t>
                  </w:r>
                  <w:r>
                    <w:rPr>
                      <w:rFonts w:hint="eastAsia"/>
                      <w:lang w:eastAsia="zh-CN"/>
                    </w:rPr>
                    <w:t>。</w:t>
                  </w:r>
                </w:p>
              </w:tc>
              <w:tc>
                <w:tcPr>
                  <w:tcW w:w="438" w:type="pct"/>
                  <w:vAlign w:val="center"/>
                </w:tcPr>
                <w:p>
                  <w:pPr>
                    <w:pStyle w:val="31"/>
                    <w:bidi w:val="0"/>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1"/>
                    <w:bidi w:val="0"/>
                    <w:rPr>
                      <w:rFonts w:hint="eastAsia"/>
                      <w:lang w:val="en-US" w:eastAsia="zh-CN"/>
                    </w:rPr>
                  </w:pPr>
                </w:p>
              </w:tc>
              <w:tc>
                <w:tcPr>
                  <w:tcW w:w="2064" w:type="pct"/>
                  <w:vAlign w:val="center"/>
                </w:tcPr>
                <w:p>
                  <w:pPr>
                    <w:pStyle w:val="31"/>
                    <w:bidi w:val="0"/>
                    <w:rPr>
                      <w:rFonts w:hint="eastAsia" w:eastAsia="宋体"/>
                      <w:lang w:val="en-US" w:eastAsia="zh-CN"/>
                    </w:rPr>
                  </w:pPr>
                  <w:r>
                    <w:rPr>
                      <w:rFonts w:hint="eastAsia"/>
                    </w:rPr>
                    <w:t>废矿物油贮存设施的设计、建设除符合危险废物贮存设计原则外，还应符合有关消防和危险品贮存设计规范</w:t>
                  </w:r>
                  <w:r>
                    <w:rPr>
                      <w:rFonts w:hint="eastAsia"/>
                      <w:lang w:eastAsia="zh-CN"/>
                    </w:rPr>
                    <w:t>。</w:t>
                  </w:r>
                </w:p>
              </w:tc>
              <w:tc>
                <w:tcPr>
                  <w:tcW w:w="2202" w:type="pct"/>
                  <w:vAlign w:val="center"/>
                </w:tcPr>
                <w:p>
                  <w:pPr>
                    <w:pStyle w:val="31"/>
                    <w:bidi w:val="0"/>
                    <w:rPr>
                      <w:rFonts w:hint="eastAsia" w:eastAsia="宋体"/>
                      <w:lang w:eastAsia="zh-CN"/>
                    </w:rPr>
                  </w:pPr>
                  <w:r>
                    <w:rPr>
                      <w:rFonts w:hint="eastAsia"/>
                      <w:highlight w:val="none"/>
                    </w:rPr>
                    <w:t>本项目废</w:t>
                  </w:r>
                  <w:r>
                    <w:rPr>
                      <w:rFonts w:hint="eastAsia"/>
                      <w:highlight w:val="none"/>
                      <w:lang w:val="en-US" w:eastAsia="zh-CN"/>
                    </w:rPr>
                    <w:t>机</w:t>
                  </w:r>
                  <w:r>
                    <w:rPr>
                      <w:rFonts w:hint="eastAsia"/>
                      <w:highlight w:val="none"/>
                    </w:rPr>
                    <w:t>油储存</w:t>
                  </w:r>
                  <w:r>
                    <w:rPr>
                      <w:rFonts w:hint="eastAsia"/>
                      <w:highlight w:val="none"/>
                      <w:lang w:val="en-US" w:eastAsia="zh-CN"/>
                    </w:rPr>
                    <w:t>罐</w:t>
                  </w:r>
                  <w:r>
                    <w:rPr>
                      <w:rFonts w:hint="eastAsia"/>
                      <w:highlight w:val="none"/>
                    </w:rPr>
                    <w:t>的设计、建设符合有关消防和危险品贮存设计规范</w:t>
                  </w:r>
                  <w:r>
                    <w:rPr>
                      <w:rFonts w:hint="eastAsia"/>
                      <w:highlight w:val="none"/>
                      <w:lang w:val="en-US" w:eastAsia="zh-CN"/>
                    </w:rPr>
                    <w:t>的</w:t>
                  </w:r>
                  <w:r>
                    <w:rPr>
                      <w:rFonts w:hint="eastAsia"/>
                      <w:highlight w:val="none"/>
                    </w:rPr>
                    <w:t>要求</w:t>
                  </w:r>
                  <w:r>
                    <w:rPr>
                      <w:rFonts w:hint="eastAsia"/>
                      <w:highlight w:val="none"/>
                      <w:lang w:eastAsia="zh-CN"/>
                    </w:rPr>
                    <w:t>。</w:t>
                  </w:r>
                </w:p>
              </w:tc>
              <w:tc>
                <w:tcPr>
                  <w:tcW w:w="438" w:type="pct"/>
                  <w:vAlign w:val="center"/>
                </w:tcPr>
                <w:p>
                  <w:pPr>
                    <w:pStyle w:val="31"/>
                    <w:bidi w:val="0"/>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1"/>
                    <w:bidi w:val="0"/>
                    <w:rPr>
                      <w:rFonts w:hint="eastAsia"/>
                      <w:lang w:val="en-US" w:eastAsia="zh-CN"/>
                    </w:rPr>
                  </w:pPr>
                </w:p>
              </w:tc>
              <w:tc>
                <w:tcPr>
                  <w:tcW w:w="2064" w:type="pct"/>
                  <w:vAlign w:val="center"/>
                </w:tcPr>
                <w:p>
                  <w:pPr>
                    <w:pStyle w:val="31"/>
                    <w:bidi w:val="0"/>
                    <w:rPr>
                      <w:rFonts w:hint="eastAsia" w:eastAsia="宋体"/>
                      <w:lang w:val="en-US" w:eastAsia="zh-CN"/>
                    </w:rPr>
                  </w:pPr>
                  <w:r>
                    <w:rPr>
                      <w:rFonts w:hint="eastAsia"/>
                    </w:rPr>
                    <w:t>废矿物油贮存设施应远离火源，并避免高温和阳光直射</w:t>
                  </w:r>
                  <w:r>
                    <w:rPr>
                      <w:rFonts w:hint="eastAsia"/>
                      <w:lang w:eastAsia="zh-CN"/>
                    </w:rPr>
                    <w:t>。</w:t>
                  </w:r>
                </w:p>
              </w:tc>
              <w:tc>
                <w:tcPr>
                  <w:tcW w:w="2202" w:type="pct"/>
                  <w:vAlign w:val="center"/>
                </w:tcPr>
                <w:p>
                  <w:pPr>
                    <w:pStyle w:val="31"/>
                    <w:bidi w:val="0"/>
                    <w:rPr>
                      <w:rFonts w:hint="eastAsia" w:eastAsia="宋体"/>
                      <w:lang w:eastAsia="zh-CN"/>
                    </w:rPr>
                  </w:pPr>
                  <w:r>
                    <w:rPr>
                      <w:rFonts w:hint="eastAsia"/>
                    </w:rPr>
                    <w:t>本项目储</w:t>
                  </w:r>
                  <w:r>
                    <w:rPr>
                      <w:rFonts w:hint="eastAsia"/>
                      <w:lang w:val="en-US" w:eastAsia="zh-CN"/>
                    </w:rPr>
                    <w:t>罐区</w:t>
                  </w:r>
                  <w:r>
                    <w:rPr>
                      <w:rFonts w:hint="eastAsia"/>
                    </w:rPr>
                    <w:t>周围无火源，于厂房内储存，</w:t>
                  </w:r>
                  <w:r>
                    <w:rPr>
                      <w:rFonts w:hint="eastAsia"/>
                      <w:lang w:val="en-US" w:eastAsia="zh-CN"/>
                    </w:rPr>
                    <w:t>避免</w:t>
                  </w:r>
                  <w:r>
                    <w:rPr>
                      <w:rFonts w:hint="eastAsia"/>
                    </w:rPr>
                    <w:t>高温和阳光直射</w:t>
                  </w:r>
                  <w:r>
                    <w:rPr>
                      <w:rFonts w:hint="eastAsia"/>
                      <w:lang w:eastAsia="zh-CN"/>
                    </w:rPr>
                    <w:t>。</w:t>
                  </w:r>
                </w:p>
              </w:tc>
              <w:tc>
                <w:tcPr>
                  <w:tcW w:w="438" w:type="pct"/>
                  <w:vAlign w:val="center"/>
                </w:tcPr>
                <w:p>
                  <w:pPr>
                    <w:pStyle w:val="31"/>
                    <w:bidi w:val="0"/>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1"/>
                    <w:bidi w:val="0"/>
                    <w:rPr>
                      <w:rFonts w:hint="eastAsia"/>
                      <w:lang w:val="en-US" w:eastAsia="zh-CN"/>
                    </w:rPr>
                  </w:pPr>
                </w:p>
              </w:tc>
              <w:tc>
                <w:tcPr>
                  <w:tcW w:w="2064" w:type="pct"/>
                  <w:vAlign w:val="center"/>
                </w:tcPr>
                <w:p>
                  <w:pPr>
                    <w:pStyle w:val="31"/>
                    <w:bidi w:val="0"/>
                    <w:rPr>
                      <w:rFonts w:hint="eastAsia" w:eastAsia="宋体"/>
                      <w:lang w:eastAsia="zh-CN"/>
                    </w:rPr>
                  </w:pPr>
                  <w:r>
                    <w:rPr>
                      <w:rFonts w:hint="eastAsia"/>
                    </w:rPr>
                    <w:t>废矿物油应使用专用设施贮存，贮存前应进行检验，不应与不相容的废物混合，实行分类存放</w:t>
                  </w:r>
                  <w:r>
                    <w:rPr>
                      <w:rFonts w:hint="eastAsia"/>
                      <w:lang w:eastAsia="zh-CN"/>
                    </w:rPr>
                    <w:t>。</w:t>
                  </w:r>
                </w:p>
              </w:tc>
              <w:tc>
                <w:tcPr>
                  <w:tcW w:w="2202" w:type="pct"/>
                  <w:vAlign w:val="center"/>
                </w:tcPr>
                <w:p>
                  <w:pPr>
                    <w:pStyle w:val="31"/>
                    <w:bidi w:val="0"/>
                    <w:rPr>
                      <w:rFonts w:hint="default" w:eastAsia="宋体"/>
                      <w:lang w:val="en-US" w:eastAsia="zh-CN"/>
                    </w:rPr>
                  </w:pPr>
                  <w:r>
                    <w:rPr>
                      <w:rFonts w:hint="eastAsia"/>
                    </w:rPr>
                    <w:t>本项目</w:t>
                  </w:r>
                  <w:r>
                    <w:rPr>
                      <w:rFonts w:hint="eastAsia"/>
                      <w:lang w:val="en-US" w:eastAsia="zh-CN"/>
                    </w:rPr>
                    <w:t>废机油采用储油罐进行储存，储油罐仅储存废机油。</w:t>
                  </w:r>
                </w:p>
              </w:tc>
              <w:tc>
                <w:tcPr>
                  <w:tcW w:w="438" w:type="pct"/>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1"/>
                    <w:bidi w:val="0"/>
                    <w:rPr>
                      <w:rFonts w:hint="eastAsia"/>
                      <w:lang w:val="en-US" w:eastAsia="zh-CN"/>
                    </w:rPr>
                  </w:pPr>
                </w:p>
              </w:tc>
              <w:tc>
                <w:tcPr>
                  <w:tcW w:w="2064" w:type="pct"/>
                  <w:vAlign w:val="center"/>
                </w:tcPr>
                <w:p>
                  <w:pPr>
                    <w:pStyle w:val="31"/>
                    <w:bidi w:val="0"/>
                    <w:rPr>
                      <w:rFonts w:hint="eastAsia"/>
                    </w:rPr>
                  </w:pPr>
                  <w:r>
                    <w:rPr>
                      <w:rFonts w:hint="eastAsia"/>
                    </w:rPr>
                    <w:t>废矿物油贮存设施内地面应作防渗处理，并建设废矿物油收集和导流系统，用于收集不慎泄漏的废矿物油。</w:t>
                  </w:r>
                </w:p>
              </w:tc>
              <w:tc>
                <w:tcPr>
                  <w:tcW w:w="2202" w:type="pct"/>
                  <w:vAlign w:val="center"/>
                </w:tcPr>
                <w:p>
                  <w:pPr>
                    <w:pStyle w:val="31"/>
                    <w:bidi w:val="0"/>
                    <w:rPr>
                      <w:rFonts w:hint="eastAsia"/>
                    </w:rPr>
                  </w:pPr>
                  <w:r>
                    <w:rPr>
                      <w:rFonts w:hint="eastAsia"/>
                      <w:lang w:val="en-US" w:eastAsia="zh-CN"/>
                    </w:rPr>
                    <w:t>本项目储罐区拟采取</w:t>
                  </w:r>
                  <w:r>
                    <w:rPr>
                      <w:rFonts w:hint="eastAsia"/>
                      <w:highlight w:val="none"/>
                      <w:lang w:val="en-US" w:eastAsia="zh-CN"/>
                    </w:rPr>
                    <w:t>重点防渗措施，并拟建设有事故应急池、围堰、导流管等环境风险防范措施</w:t>
                  </w:r>
                  <w:r>
                    <w:rPr>
                      <w:rFonts w:hint="eastAsia"/>
                      <w:lang w:val="en-US" w:eastAsia="zh-CN"/>
                    </w:rPr>
                    <w:t>。</w:t>
                  </w:r>
                </w:p>
              </w:tc>
              <w:tc>
                <w:tcPr>
                  <w:tcW w:w="438" w:type="pct"/>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 w:type="pct"/>
                  <w:vMerge w:val="continue"/>
                  <w:vAlign w:val="center"/>
                </w:tcPr>
                <w:p>
                  <w:pPr>
                    <w:pStyle w:val="31"/>
                    <w:bidi w:val="0"/>
                    <w:rPr>
                      <w:rFonts w:hint="eastAsia"/>
                      <w:lang w:val="en-US" w:eastAsia="zh-CN"/>
                    </w:rPr>
                  </w:pPr>
                </w:p>
              </w:tc>
              <w:tc>
                <w:tcPr>
                  <w:tcW w:w="2064" w:type="pct"/>
                  <w:vAlign w:val="center"/>
                </w:tcPr>
                <w:p>
                  <w:pPr>
                    <w:pStyle w:val="31"/>
                    <w:bidi w:val="0"/>
                    <w:rPr>
                      <w:rFonts w:hint="eastAsia" w:eastAsia="宋体"/>
                      <w:lang w:eastAsia="zh-CN"/>
                    </w:rPr>
                  </w:pPr>
                  <w:r>
                    <w:rPr>
                      <w:rFonts w:hint="eastAsia"/>
                    </w:rPr>
                    <w:t>废矿物油容器盛装液体废矿物油时，应留有足够的膨胀余量，预留容积应不少于总容积的5%，已盛装废矿物油的容器应密封，贮油油罐应设置呼吸孔，防止气体膨胀，并安装防护罩，防止杂质落入</w:t>
                  </w:r>
                  <w:r>
                    <w:rPr>
                      <w:rFonts w:hint="eastAsia"/>
                      <w:lang w:eastAsia="zh-CN"/>
                    </w:rPr>
                    <w:t>。</w:t>
                  </w:r>
                </w:p>
              </w:tc>
              <w:tc>
                <w:tcPr>
                  <w:tcW w:w="2202" w:type="pct"/>
                  <w:vAlign w:val="center"/>
                </w:tcPr>
                <w:p>
                  <w:pPr>
                    <w:pStyle w:val="31"/>
                    <w:bidi w:val="0"/>
                    <w:rPr>
                      <w:rFonts w:hint="eastAsia" w:eastAsia="宋体"/>
                      <w:lang w:eastAsia="zh-CN"/>
                    </w:rPr>
                  </w:pPr>
                  <w:r>
                    <w:rPr>
                      <w:rFonts w:hint="eastAsia"/>
                    </w:rPr>
                    <w:t>本项目用储油罐盛装液体废</w:t>
                  </w:r>
                  <w:r>
                    <w:rPr>
                      <w:rFonts w:hint="eastAsia"/>
                      <w:lang w:val="en-US" w:eastAsia="zh-CN"/>
                    </w:rPr>
                    <w:t>机</w:t>
                  </w:r>
                  <w:r>
                    <w:rPr>
                      <w:rFonts w:hint="eastAsia"/>
                    </w:rPr>
                    <w:t>油，留有大于5%的膨胀余量，储油罐上方有呼吸孔，安装防护罩</w:t>
                  </w:r>
                  <w:r>
                    <w:rPr>
                      <w:rFonts w:hint="eastAsia"/>
                      <w:lang w:eastAsia="zh-CN"/>
                    </w:rPr>
                    <w:t>。</w:t>
                  </w:r>
                </w:p>
              </w:tc>
              <w:tc>
                <w:tcPr>
                  <w:tcW w:w="438" w:type="pct"/>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符合</w:t>
                  </w:r>
                </w:p>
              </w:tc>
            </w:tr>
          </w:tbl>
          <w:p>
            <w:pPr>
              <w:pStyle w:val="8"/>
              <w:numPr>
                <w:ilvl w:val="0"/>
                <w:numId w:val="0"/>
              </w:numPr>
              <w:ind w:firstLine="480" w:firstLineChars="200"/>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由上表可知，项目选址符合《废矿物油回收利用污染控制技术规范》（HJ607-2011）的相关要求。</w:t>
            </w:r>
          </w:p>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Style w:val="40"/>
              </w:rPr>
            </w:pPr>
            <w:r>
              <w:rPr>
                <w:rFonts w:hint="default" w:ascii="Times New Roman" w:hAnsi="Times New Roman" w:eastAsia="宋体" w:cs="Times New Roman"/>
                <w:color w:val="000000"/>
                <w:kern w:val="2"/>
                <w:sz w:val="24"/>
                <w:szCs w:val="24"/>
                <w:lang w:val="en-US" w:eastAsia="zh-CN" w:bidi="ar-SA"/>
              </w:rPr>
              <w:t>（</w:t>
            </w:r>
            <w:r>
              <w:rPr>
                <w:rFonts w:hint="eastAsia" w:cs="Times New Roman"/>
                <w:color w:val="000000"/>
                <w:kern w:val="2"/>
                <w:sz w:val="24"/>
                <w:szCs w:val="24"/>
                <w:lang w:val="en-US" w:eastAsia="zh-CN" w:bidi="ar-SA"/>
              </w:rPr>
              <w:t>3</w:t>
            </w:r>
            <w:r>
              <w:rPr>
                <w:rFonts w:hint="default" w:ascii="Times New Roman" w:hAnsi="Times New Roman" w:eastAsia="宋体" w:cs="Times New Roman"/>
                <w:color w:val="000000"/>
                <w:kern w:val="2"/>
                <w:sz w:val="24"/>
                <w:szCs w:val="24"/>
                <w:lang w:val="en-US" w:eastAsia="zh-CN" w:bidi="ar-SA"/>
              </w:rPr>
              <w:t>）</w:t>
            </w:r>
            <w:r>
              <w:rPr>
                <w:rStyle w:val="40"/>
                <w:rFonts w:hint="eastAsia"/>
                <w:lang w:val="en-US" w:eastAsia="zh-CN"/>
              </w:rPr>
              <w:t>与《危险废物收集、贮存、运输技术规范》（</w:t>
            </w:r>
            <w:r>
              <w:rPr>
                <w:rStyle w:val="40"/>
                <w:rFonts w:hint="default"/>
                <w:lang w:val="en-US" w:eastAsia="zh-CN"/>
              </w:rPr>
              <w:t>HJ2025-2012</w:t>
            </w:r>
            <w:r>
              <w:rPr>
                <w:rStyle w:val="40"/>
                <w:rFonts w:hint="eastAsia"/>
                <w:lang w:val="en-US" w:eastAsia="zh-CN"/>
              </w:rPr>
              <w:t>）的符合性分析</w:t>
            </w:r>
          </w:p>
          <w:p>
            <w:pPr>
              <w:pStyle w:val="30"/>
              <w:bidi w:val="0"/>
              <w:jc w:val="center"/>
              <w:rPr>
                <w:rFonts w:hint="eastAsia"/>
                <w:highlight w:val="none"/>
                <w:lang w:val="en-US" w:eastAsia="zh-CN"/>
              </w:rPr>
            </w:pPr>
            <w:r>
              <w:rPr>
                <w:rFonts w:hint="eastAsia"/>
                <w:highlight w:val="none"/>
                <w:lang w:val="en-US" w:eastAsia="zh-CN"/>
              </w:rPr>
              <w:t>《</w:t>
            </w:r>
            <w:r>
              <w:rPr>
                <w:rStyle w:val="40"/>
                <w:rFonts w:hint="eastAsia"/>
                <w:highlight w:val="none"/>
                <w:lang w:val="en-US" w:eastAsia="zh-CN"/>
              </w:rPr>
              <w:t>危险废物收集、贮存、运输技术规范</w:t>
            </w:r>
            <w:r>
              <w:rPr>
                <w:rFonts w:hint="eastAsia"/>
                <w:highlight w:val="none"/>
                <w:lang w:val="en-US" w:eastAsia="zh-CN"/>
              </w:rPr>
              <w:t>》符合性分析</w:t>
            </w:r>
          </w:p>
          <w:tbl>
            <w:tblPr>
              <w:tblStyle w:val="25"/>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1"/>
              <w:gridCol w:w="3581"/>
              <w:gridCol w:w="2880"/>
              <w:gridCol w:w="72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Align w:val="center"/>
                </w:tcPr>
                <w:p>
                  <w:pPr>
                    <w:pStyle w:val="31"/>
                    <w:bidi w:val="0"/>
                    <w:rPr>
                      <w:rFonts w:hint="eastAsia"/>
                      <w:lang w:val="en-US" w:eastAsia="zh-CN"/>
                    </w:rPr>
                  </w:pPr>
                  <w:r>
                    <w:rPr>
                      <w:rFonts w:hint="eastAsia"/>
                      <w:lang w:val="en-US" w:eastAsia="zh-CN"/>
                    </w:rPr>
                    <w:t>序号</w:t>
                  </w:r>
                </w:p>
              </w:tc>
              <w:tc>
                <w:tcPr>
                  <w:tcW w:w="2344" w:type="pct"/>
                  <w:vAlign w:val="center"/>
                </w:tcPr>
                <w:p>
                  <w:pPr>
                    <w:pStyle w:val="31"/>
                    <w:bidi w:val="0"/>
                    <w:rPr>
                      <w:rFonts w:hint="default"/>
                      <w:lang w:val="en-US" w:eastAsia="zh-CN"/>
                    </w:rPr>
                  </w:pPr>
                  <w:r>
                    <w:rPr>
                      <w:rFonts w:hint="eastAsia"/>
                      <w:lang w:val="en-US" w:eastAsia="zh-CN"/>
                    </w:rPr>
                    <w:t>《危险废物收集、贮存、运输技术规范》（</w:t>
                  </w:r>
                  <w:r>
                    <w:rPr>
                      <w:rFonts w:hint="default"/>
                      <w:lang w:val="en-US" w:eastAsia="zh-CN"/>
                    </w:rPr>
                    <w:t>HJ 2025-2012</w:t>
                  </w:r>
                  <w:r>
                    <w:rPr>
                      <w:rFonts w:hint="eastAsia"/>
                      <w:lang w:val="en-US" w:eastAsia="zh-CN"/>
                    </w:rPr>
                    <w:t>）相关要求</w:t>
                  </w:r>
                </w:p>
              </w:tc>
              <w:tc>
                <w:tcPr>
                  <w:tcW w:w="1885" w:type="pct"/>
                  <w:vAlign w:val="center"/>
                </w:tcPr>
                <w:p>
                  <w:pPr>
                    <w:pStyle w:val="31"/>
                    <w:bidi w:val="0"/>
                    <w:rPr>
                      <w:rFonts w:hint="default"/>
                      <w:lang w:val="en-US" w:eastAsia="zh-CN"/>
                    </w:rPr>
                  </w:pPr>
                  <w:r>
                    <w:rPr>
                      <w:rFonts w:hint="eastAsia"/>
                      <w:lang w:val="en-US" w:eastAsia="zh-CN"/>
                    </w:rPr>
                    <w:t>本项目情况</w:t>
                  </w:r>
                </w:p>
              </w:tc>
              <w:tc>
                <w:tcPr>
                  <w:tcW w:w="474" w:type="pct"/>
                  <w:vAlign w:val="center"/>
                </w:tcPr>
                <w:p>
                  <w:pPr>
                    <w:pStyle w:val="31"/>
                    <w:bidi w:val="0"/>
                    <w:rPr>
                      <w:rFonts w:hint="default"/>
                      <w:lang w:val="en-US" w:eastAsia="zh-CN"/>
                    </w:rPr>
                  </w:pPr>
                  <w:r>
                    <w:rPr>
                      <w:rFonts w:hint="eastAsia"/>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Align w:val="center"/>
                </w:tcPr>
                <w:p>
                  <w:pPr>
                    <w:pStyle w:val="31"/>
                    <w:bidi w:val="0"/>
                    <w:rPr>
                      <w:rFonts w:hint="default"/>
                      <w:lang w:val="en-US" w:eastAsia="zh-CN"/>
                    </w:rPr>
                  </w:pPr>
                  <w:r>
                    <w:rPr>
                      <w:rFonts w:hint="eastAsia"/>
                      <w:lang w:val="en-US" w:eastAsia="zh-CN"/>
                    </w:rPr>
                    <w:t>1</w:t>
                  </w:r>
                </w:p>
              </w:tc>
              <w:tc>
                <w:tcPr>
                  <w:tcW w:w="2344" w:type="pct"/>
                  <w:vAlign w:val="center"/>
                </w:tcPr>
                <w:p>
                  <w:pPr>
                    <w:pStyle w:val="31"/>
                    <w:bidi w:val="0"/>
                    <w:rPr>
                      <w:rFonts w:hint="default"/>
                    </w:rPr>
                  </w:pPr>
                  <w:r>
                    <w:rPr>
                      <w:rFonts w:hint="eastAsia"/>
                      <w:lang w:val="en-US" w:eastAsia="zh-CN"/>
                    </w:rPr>
                    <w:t>危险废物转移过程应严格按照《危险废物转移联单管理办法》执行</w:t>
                  </w:r>
                </w:p>
              </w:tc>
              <w:tc>
                <w:tcPr>
                  <w:tcW w:w="1885" w:type="pct"/>
                  <w:vAlign w:val="center"/>
                </w:tcPr>
                <w:p>
                  <w:pPr>
                    <w:pStyle w:val="31"/>
                    <w:bidi w:val="0"/>
                    <w:rPr>
                      <w:rFonts w:hint="eastAsia"/>
                      <w:lang w:val="en-US" w:eastAsia="zh-CN"/>
                    </w:rPr>
                  </w:pPr>
                  <w:r>
                    <w:rPr>
                      <w:rFonts w:hint="eastAsia"/>
                      <w:lang w:val="en-US" w:eastAsia="zh-CN"/>
                    </w:rPr>
                    <w:t>本评价要求建设单位在进行危废的收集、储运过程中，严格执行危险废物转移联单制度，按照规定填写危险废物转移联单，并做好危废记录</w:t>
                  </w:r>
                </w:p>
              </w:tc>
              <w:tc>
                <w:tcPr>
                  <w:tcW w:w="474" w:type="pct"/>
                  <w:vAlign w:val="center"/>
                </w:tcPr>
                <w:p>
                  <w:pPr>
                    <w:pStyle w:val="31"/>
                    <w:bidi w:val="0"/>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Align w:val="center"/>
                </w:tcPr>
                <w:p>
                  <w:pPr>
                    <w:pStyle w:val="31"/>
                    <w:bidi w:val="0"/>
                    <w:rPr>
                      <w:rFonts w:hint="default"/>
                      <w:lang w:val="en-US" w:eastAsia="zh-CN"/>
                    </w:rPr>
                  </w:pPr>
                  <w:r>
                    <w:rPr>
                      <w:rFonts w:hint="eastAsia"/>
                      <w:lang w:val="en-US" w:eastAsia="zh-CN"/>
                    </w:rPr>
                    <w:t>2</w:t>
                  </w:r>
                </w:p>
              </w:tc>
              <w:tc>
                <w:tcPr>
                  <w:tcW w:w="2344" w:type="pct"/>
                  <w:vAlign w:val="center"/>
                </w:tcPr>
                <w:p>
                  <w:pPr>
                    <w:pStyle w:val="31"/>
                    <w:bidi w:val="0"/>
                    <w:rPr>
                      <w:rFonts w:hint="default"/>
                    </w:rPr>
                  </w:pPr>
                  <w:r>
                    <w:rPr>
                      <w:rFonts w:hint="eastAsia"/>
                      <w:lang w:val="en-US" w:eastAsia="zh-CN"/>
                    </w:rPr>
                    <w:t>危险废物的收集、储存、运输单位应建立规范的管理和技术人员培训制度，定期针对管理和技术人员培训制度进行培训。培训内容至少应包括危险废物鉴别要求、危险废物经营许可证管理、危险废物转移联单管理、危险废物包装和标识、危险废物运输要求、危险废物事故应急方法等</w:t>
                  </w:r>
                </w:p>
              </w:tc>
              <w:tc>
                <w:tcPr>
                  <w:tcW w:w="1885" w:type="pct"/>
                  <w:vAlign w:val="center"/>
                </w:tcPr>
                <w:p>
                  <w:pPr>
                    <w:pStyle w:val="31"/>
                    <w:bidi w:val="0"/>
                    <w:rPr>
                      <w:rFonts w:hint="eastAsia"/>
                      <w:lang w:val="en-US" w:eastAsia="zh-CN"/>
                    </w:rPr>
                  </w:pPr>
                  <w:r>
                    <w:rPr>
                      <w:rFonts w:hint="eastAsia"/>
                      <w:lang w:val="en-US" w:eastAsia="zh-CN"/>
                    </w:rPr>
                    <w:t>本评价要求建设单位建立定期培训制度，对管理和技术人员及时开展关于危险废物鉴别、管理、应急等方面的培训，使工作人员能够掌握危险废物的相关知识。</w:t>
                  </w:r>
                </w:p>
              </w:tc>
              <w:tc>
                <w:tcPr>
                  <w:tcW w:w="474" w:type="pc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Align w:val="center"/>
                </w:tcPr>
                <w:p>
                  <w:pPr>
                    <w:pStyle w:val="31"/>
                    <w:bidi w:val="0"/>
                    <w:rPr>
                      <w:rFonts w:hint="default"/>
                      <w:lang w:val="en-US" w:eastAsia="zh-CN"/>
                    </w:rPr>
                  </w:pPr>
                  <w:r>
                    <w:rPr>
                      <w:rFonts w:hint="eastAsia"/>
                      <w:lang w:val="en-US" w:eastAsia="zh-CN"/>
                    </w:rPr>
                    <w:t>3</w:t>
                  </w:r>
                </w:p>
              </w:tc>
              <w:tc>
                <w:tcPr>
                  <w:tcW w:w="2344" w:type="pct"/>
                  <w:vAlign w:val="center"/>
                </w:tcPr>
                <w:p>
                  <w:pPr>
                    <w:pStyle w:val="31"/>
                    <w:bidi w:val="0"/>
                    <w:rPr>
                      <w:rFonts w:hint="default"/>
                    </w:rPr>
                  </w:pPr>
                  <w:r>
                    <w:rPr>
                      <w:rFonts w:hint="eastAsia"/>
                      <w:lang w:val="en-US" w:eastAsia="zh-CN"/>
                    </w:rPr>
                    <w:t>危险废物收集、储存、运输单位应编制应急预案。应急预案编制可参照《危险废物经营单位编制应急预案指南》，涉及运输的相关内容还应符合交通行政主管部门的有关规定。针对危险废物收集、储存、运输过程中的事故易发环节定期组织应急演练</w:t>
                  </w:r>
                </w:p>
              </w:tc>
              <w:tc>
                <w:tcPr>
                  <w:tcW w:w="1885" w:type="pct"/>
                  <w:vAlign w:val="center"/>
                </w:tcPr>
                <w:p>
                  <w:pPr>
                    <w:pStyle w:val="31"/>
                    <w:bidi w:val="0"/>
                    <w:rPr>
                      <w:rFonts w:hint="eastAsia"/>
                      <w:lang w:val="en-US" w:eastAsia="zh-CN"/>
                    </w:rPr>
                  </w:pPr>
                  <w:r>
                    <w:rPr>
                      <w:rFonts w:hint="eastAsia"/>
                      <w:lang w:val="en-US" w:eastAsia="zh-CN"/>
                    </w:rPr>
                    <w:t>本评价要求建设单位尽快编制全厂突发环境事件应急预案，并加强演练。</w:t>
                  </w:r>
                </w:p>
              </w:tc>
              <w:tc>
                <w:tcPr>
                  <w:tcW w:w="474" w:type="pc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Align w:val="center"/>
                </w:tcPr>
                <w:p>
                  <w:pPr>
                    <w:pStyle w:val="31"/>
                    <w:bidi w:val="0"/>
                    <w:rPr>
                      <w:rFonts w:hint="default"/>
                      <w:lang w:val="en-US" w:eastAsia="zh-CN"/>
                    </w:rPr>
                  </w:pPr>
                  <w:r>
                    <w:rPr>
                      <w:rFonts w:hint="eastAsia"/>
                      <w:lang w:val="en-US" w:eastAsia="zh-CN"/>
                    </w:rPr>
                    <w:t>4</w:t>
                  </w:r>
                </w:p>
              </w:tc>
              <w:tc>
                <w:tcPr>
                  <w:tcW w:w="2344" w:type="pct"/>
                  <w:vAlign w:val="center"/>
                </w:tcPr>
                <w:p>
                  <w:pPr>
                    <w:pStyle w:val="31"/>
                    <w:bidi w:val="0"/>
                    <w:rPr>
                      <w:rFonts w:hint="default"/>
                    </w:rPr>
                  </w:pPr>
                  <w:r>
                    <w:rPr>
                      <w:rFonts w:hint="eastAsia"/>
                      <w:lang w:val="en-US" w:eastAsia="zh-CN"/>
                    </w:rPr>
                    <w:t>危险废物收集、贮存、运输时应按腐蚀性、毒性、易燃性、反应性和感染性等危险特性对危险废物进行分类、包装并设置相应的标志及标签。</w:t>
                  </w:r>
                </w:p>
              </w:tc>
              <w:tc>
                <w:tcPr>
                  <w:tcW w:w="1885" w:type="pct"/>
                  <w:vAlign w:val="center"/>
                </w:tcPr>
                <w:p>
                  <w:pPr>
                    <w:pStyle w:val="31"/>
                    <w:bidi w:val="0"/>
                    <w:rPr>
                      <w:rFonts w:hint="default" w:eastAsia="宋体"/>
                      <w:lang w:val="en-US" w:eastAsia="zh-CN"/>
                    </w:rPr>
                  </w:pPr>
                  <w:r>
                    <w:rPr>
                      <w:rFonts w:hint="eastAsia"/>
                    </w:rPr>
                    <w:t>项目仅</w:t>
                  </w:r>
                  <w:r>
                    <w:rPr>
                      <w:rFonts w:hint="eastAsia"/>
                      <w:lang w:val="en-US" w:eastAsia="zh-CN"/>
                    </w:rPr>
                    <w:t>收集</w:t>
                  </w:r>
                  <w:r>
                    <w:rPr>
                      <w:rFonts w:hint="eastAsia"/>
                    </w:rPr>
                    <w:t>贮存废机油</w:t>
                  </w:r>
                  <w:r>
                    <w:rPr>
                      <w:rFonts w:hint="eastAsia"/>
                      <w:lang w:val="en-US" w:eastAsia="zh-CN"/>
                    </w:rPr>
                    <w:t>于储罐内，并单独设有储罐区。</w:t>
                  </w:r>
                </w:p>
              </w:tc>
              <w:tc>
                <w:tcPr>
                  <w:tcW w:w="474" w:type="pc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Align w:val="center"/>
                </w:tcPr>
                <w:p>
                  <w:pPr>
                    <w:pStyle w:val="31"/>
                    <w:bidi w:val="0"/>
                    <w:rPr>
                      <w:rFonts w:hint="default"/>
                      <w:lang w:val="en-US" w:eastAsia="zh-CN"/>
                    </w:rPr>
                  </w:pPr>
                  <w:r>
                    <w:rPr>
                      <w:rFonts w:hint="eastAsia"/>
                      <w:lang w:val="en-US" w:eastAsia="zh-CN"/>
                    </w:rPr>
                    <w:t>5</w:t>
                  </w:r>
                </w:p>
              </w:tc>
              <w:tc>
                <w:tcPr>
                  <w:tcW w:w="2344" w:type="pct"/>
                  <w:vAlign w:val="center"/>
                </w:tcPr>
                <w:p>
                  <w:pPr>
                    <w:pStyle w:val="31"/>
                    <w:bidi w:val="0"/>
                    <w:rPr>
                      <w:rFonts w:hint="default"/>
                    </w:rPr>
                  </w:pPr>
                  <w:r>
                    <w:rPr>
                      <w:rFonts w:hint="eastAsia"/>
                      <w:lang w:val="en-US" w:eastAsia="zh-CN"/>
                    </w:rPr>
                    <w:t>危险废物贮存设施应配备通讯设备、照明设施和消防设施。</w:t>
                  </w:r>
                </w:p>
              </w:tc>
              <w:tc>
                <w:tcPr>
                  <w:tcW w:w="1885" w:type="pct"/>
                  <w:vAlign w:val="center"/>
                </w:tcPr>
                <w:p>
                  <w:pPr>
                    <w:pStyle w:val="31"/>
                    <w:bidi w:val="0"/>
                    <w:rPr>
                      <w:rFonts w:hint="eastAsia"/>
                      <w:lang w:val="en-US" w:eastAsia="zh-CN"/>
                    </w:rPr>
                  </w:pPr>
                  <w:r>
                    <w:rPr>
                      <w:rFonts w:hint="eastAsia"/>
                      <w:lang w:val="en-US" w:eastAsia="zh-CN"/>
                    </w:rPr>
                    <w:t>项目场地拟配备通讯设备、照明设施和消防设施。</w:t>
                  </w:r>
                </w:p>
              </w:tc>
              <w:tc>
                <w:tcPr>
                  <w:tcW w:w="474" w:type="pc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Align w:val="center"/>
                </w:tcPr>
                <w:p>
                  <w:pPr>
                    <w:pStyle w:val="31"/>
                    <w:bidi w:val="0"/>
                    <w:rPr>
                      <w:rFonts w:hint="default"/>
                      <w:lang w:val="en-US" w:eastAsia="zh-CN"/>
                    </w:rPr>
                  </w:pPr>
                  <w:r>
                    <w:rPr>
                      <w:rFonts w:hint="eastAsia"/>
                      <w:lang w:val="en-US" w:eastAsia="zh-CN"/>
                    </w:rPr>
                    <w:t>6</w:t>
                  </w:r>
                </w:p>
              </w:tc>
              <w:tc>
                <w:tcPr>
                  <w:tcW w:w="2344" w:type="pct"/>
                  <w:vAlign w:val="center"/>
                </w:tcPr>
                <w:p>
                  <w:pPr>
                    <w:pStyle w:val="31"/>
                    <w:bidi w:val="0"/>
                    <w:rPr>
                      <w:rFonts w:hint="default"/>
                    </w:rPr>
                  </w:pPr>
                  <w:r>
                    <w:rPr>
                      <w:rFonts w:hint="eastAsia"/>
                      <w:lang w:val="en-US" w:eastAsia="zh-CN"/>
                    </w:rPr>
                    <w:t>贮存危险废物时应按危险废物的种类和特性进行分区贮存，每个贮存区域之间宜设置挡墙间隔，并应设置防雨、防火、防雷、防扬尘装置。</w:t>
                  </w:r>
                </w:p>
              </w:tc>
              <w:tc>
                <w:tcPr>
                  <w:tcW w:w="1885" w:type="pct"/>
                  <w:vAlign w:val="center"/>
                </w:tcPr>
                <w:p>
                  <w:pPr>
                    <w:pStyle w:val="31"/>
                    <w:bidi w:val="0"/>
                    <w:rPr>
                      <w:rFonts w:hint="default"/>
                      <w:lang w:val="en-US" w:eastAsia="zh-CN"/>
                    </w:rPr>
                  </w:pPr>
                  <w:r>
                    <w:rPr>
                      <w:rFonts w:hint="eastAsia"/>
                      <w:lang w:val="en-US" w:eastAsia="zh-CN"/>
                    </w:rPr>
                    <w:t>项目仅收集贮存废机油于储罐内，储罐位于车间内，</w:t>
                  </w:r>
                  <w:r>
                    <w:rPr>
                      <w:rFonts w:hint="eastAsia"/>
                    </w:rPr>
                    <w:t>防雨、防火、防雷、防扬尘装置。</w:t>
                  </w:r>
                </w:p>
              </w:tc>
              <w:tc>
                <w:tcPr>
                  <w:tcW w:w="474" w:type="pc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Align w:val="center"/>
                </w:tcPr>
                <w:p>
                  <w:pPr>
                    <w:pStyle w:val="31"/>
                    <w:bidi w:val="0"/>
                    <w:rPr>
                      <w:rFonts w:hint="default"/>
                      <w:lang w:val="en-US" w:eastAsia="zh-CN"/>
                    </w:rPr>
                  </w:pPr>
                  <w:r>
                    <w:rPr>
                      <w:rFonts w:hint="eastAsia"/>
                      <w:lang w:val="en-US" w:eastAsia="zh-CN"/>
                    </w:rPr>
                    <w:t>7</w:t>
                  </w:r>
                </w:p>
              </w:tc>
              <w:tc>
                <w:tcPr>
                  <w:tcW w:w="2344" w:type="pct"/>
                  <w:vAlign w:val="center"/>
                </w:tcPr>
                <w:p>
                  <w:pPr>
                    <w:pStyle w:val="31"/>
                    <w:bidi w:val="0"/>
                    <w:rPr>
                      <w:rFonts w:hint="default"/>
                    </w:rPr>
                  </w:pPr>
                  <w:r>
                    <w:rPr>
                      <w:rFonts w:hint="eastAsia"/>
                      <w:lang w:val="en-US" w:eastAsia="zh-CN"/>
                    </w:rPr>
                    <w:t>贮存易燃易爆危险废物应配置可燃气体报警、火灾报警装置和导出静电的接地装置。</w:t>
                  </w:r>
                </w:p>
              </w:tc>
              <w:tc>
                <w:tcPr>
                  <w:tcW w:w="1885" w:type="pct"/>
                  <w:vAlign w:val="center"/>
                </w:tcPr>
                <w:p>
                  <w:pPr>
                    <w:pStyle w:val="31"/>
                    <w:bidi w:val="0"/>
                    <w:rPr>
                      <w:rFonts w:hint="eastAsia"/>
                      <w:lang w:val="en-US" w:eastAsia="zh-CN"/>
                    </w:rPr>
                  </w:pPr>
                  <w:r>
                    <w:rPr>
                      <w:rFonts w:hint="eastAsia"/>
                      <w:lang w:val="en-US" w:eastAsia="zh-CN"/>
                    </w:rPr>
                    <w:t>项目拟配置火灾报警装置和导出静电的接地装置。</w:t>
                  </w:r>
                </w:p>
              </w:tc>
              <w:tc>
                <w:tcPr>
                  <w:tcW w:w="474" w:type="pc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vAlign w:val="center"/>
                </w:tcPr>
                <w:p>
                  <w:pPr>
                    <w:pStyle w:val="31"/>
                    <w:bidi w:val="0"/>
                    <w:rPr>
                      <w:rFonts w:hint="default"/>
                      <w:lang w:val="en-US" w:eastAsia="zh-CN"/>
                    </w:rPr>
                  </w:pPr>
                  <w:r>
                    <w:rPr>
                      <w:rFonts w:hint="eastAsia"/>
                      <w:lang w:val="en-US" w:eastAsia="zh-CN"/>
                    </w:rPr>
                    <w:t>8</w:t>
                  </w:r>
                </w:p>
              </w:tc>
              <w:tc>
                <w:tcPr>
                  <w:tcW w:w="2344" w:type="pct"/>
                  <w:vAlign w:val="center"/>
                </w:tcPr>
                <w:p>
                  <w:pPr>
                    <w:pStyle w:val="31"/>
                    <w:bidi w:val="0"/>
                    <w:rPr>
                      <w:rFonts w:hint="default"/>
                    </w:rPr>
                  </w:pPr>
                  <w:r>
                    <w:rPr>
                      <w:rFonts w:hint="eastAsia"/>
                      <w:lang w:val="en-US" w:eastAsia="zh-CN"/>
                    </w:rPr>
                    <w:t>危险废物贮存单位应建立危险废物贮存的台账制度，危险废物贮存设施应根据贮存的废物种类和特性按照</w:t>
                  </w:r>
                  <w:r>
                    <w:rPr>
                      <w:rFonts w:hint="default"/>
                      <w:lang w:val="en-US" w:eastAsia="zh-CN"/>
                    </w:rPr>
                    <w:t>GB18597</w:t>
                  </w:r>
                  <w:r>
                    <w:rPr>
                      <w:rFonts w:hint="eastAsia"/>
                      <w:lang w:val="en-US" w:eastAsia="zh-CN"/>
                    </w:rPr>
                    <w:t>附录</w:t>
                  </w:r>
                  <w:r>
                    <w:rPr>
                      <w:rFonts w:hint="default"/>
                      <w:lang w:val="en-US" w:eastAsia="zh-CN"/>
                    </w:rPr>
                    <w:t>A</w:t>
                  </w:r>
                  <w:r>
                    <w:rPr>
                      <w:rFonts w:hint="eastAsia"/>
                      <w:lang w:val="en-US" w:eastAsia="zh-CN"/>
                    </w:rPr>
                    <w:t>设置标志。</w:t>
                  </w:r>
                </w:p>
              </w:tc>
              <w:tc>
                <w:tcPr>
                  <w:tcW w:w="1885" w:type="pct"/>
                  <w:vAlign w:val="center"/>
                </w:tcPr>
                <w:p>
                  <w:pPr>
                    <w:pStyle w:val="31"/>
                    <w:bidi w:val="0"/>
                  </w:pPr>
                  <w:r>
                    <w:rPr>
                      <w:rFonts w:hint="eastAsia"/>
                      <w:lang w:val="en-US" w:eastAsia="zh-CN"/>
                    </w:rPr>
                    <w:t>项目进行危险废物储存时进行危险废物台账登记及进出库登记报备，并设置相应的标志</w:t>
                  </w:r>
                </w:p>
              </w:tc>
              <w:tc>
                <w:tcPr>
                  <w:tcW w:w="474" w:type="pct"/>
                  <w:vAlign w:val="center"/>
                </w:tcPr>
                <w:p>
                  <w:pPr>
                    <w:pStyle w:val="31"/>
                    <w:bidi w:val="0"/>
                  </w:pPr>
                  <w:r>
                    <w:rPr>
                      <w:rFonts w:hint="eastAsia"/>
                      <w:lang w:val="en-US" w:eastAsia="zh-CN"/>
                    </w:rPr>
                    <w:t>符合</w:t>
                  </w:r>
                </w:p>
              </w:tc>
            </w:tr>
          </w:tbl>
          <w:p>
            <w:pPr>
              <w:pStyle w:val="8"/>
              <w:bidi w:val="0"/>
              <w:rPr>
                <w:rFonts w:hint="default"/>
                <w:lang w:val="en-US" w:eastAsia="zh-CN"/>
              </w:rPr>
            </w:pPr>
          </w:p>
          <w:p>
            <w:pPr>
              <w:pStyle w:val="8"/>
              <w:bidi w:val="0"/>
            </w:pPr>
            <w:r>
              <w:rPr>
                <w:rFonts w:hint="default"/>
                <w:lang w:val="en-US" w:eastAsia="zh-CN"/>
              </w:rPr>
              <w:t>由上表可知，项目选址符合《危险废物收集、贮存、运输集技术规范》（HJ2025-2012）的相关要求。</w:t>
            </w:r>
          </w:p>
          <w:p>
            <w:pPr>
              <w:pStyle w:val="8"/>
              <w:bidi w:val="0"/>
              <w:rPr>
                <w:rFonts w:hint="eastAsia"/>
                <w:lang w:val="en-US" w:eastAsia="zh-CN"/>
              </w:rPr>
            </w:pPr>
            <w:r>
              <w:rPr>
                <w:rFonts w:hint="eastAsia"/>
                <w:lang w:val="en-US" w:eastAsia="zh-CN"/>
              </w:rPr>
              <w:t>（4）与《危险废物污染防治技术政策》（环发[2001]199号）的符合性分析</w:t>
            </w:r>
          </w:p>
          <w:p>
            <w:pPr>
              <w:pStyle w:val="30"/>
              <w:bidi w:val="0"/>
              <w:rPr>
                <w:rFonts w:hint="eastAsia"/>
                <w:highlight w:val="none"/>
                <w:lang w:val="en-US" w:eastAsia="zh-CN"/>
              </w:rPr>
            </w:pPr>
            <w:r>
              <w:rPr>
                <w:rFonts w:hint="eastAsia"/>
                <w:highlight w:val="none"/>
                <w:lang w:val="en-US" w:eastAsia="zh-CN"/>
              </w:rPr>
              <w:t>《</w:t>
            </w:r>
            <w:r>
              <w:rPr>
                <w:rFonts w:hint="eastAsia"/>
                <w:lang w:val="en-US" w:eastAsia="zh-CN"/>
              </w:rPr>
              <w:t>危险废物污染防治技术政策</w:t>
            </w:r>
            <w:r>
              <w:rPr>
                <w:rFonts w:hint="eastAsia"/>
                <w:highlight w:val="none"/>
                <w:lang w:val="en-US" w:eastAsia="zh-CN"/>
              </w:rPr>
              <w:t>》符合性分析</w:t>
            </w:r>
          </w:p>
          <w:tbl>
            <w:tblPr>
              <w:tblStyle w:val="25"/>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7"/>
              <w:gridCol w:w="3512"/>
              <w:gridCol w:w="2923"/>
              <w:gridCol w:w="65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8" w:type="pct"/>
                  <w:vAlign w:val="center"/>
                </w:tcPr>
                <w:p>
                  <w:pPr>
                    <w:pStyle w:val="31"/>
                    <w:bidi w:val="0"/>
                    <w:rPr>
                      <w:rFonts w:hint="eastAsia"/>
                      <w:lang w:val="en-US" w:eastAsia="zh-CN"/>
                    </w:rPr>
                  </w:pPr>
                  <w:r>
                    <w:rPr>
                      <w:rFonts w:hint="eastAsia"/>
                      <w:lang w:val="en-US" w:eastAsia="zh-CN"/>
                    </w:rPr>
                    <w:t>类别</w:t>
                  </w:r>
                </w:p>
              </w:tc>
              <w:tc>
                <w:tcPr>
                  <w:tcW w:w="2299" w:type="pct"/>
                  <w:vAlign w:val="center"/>
                </w:tcPr>
                <w:p>
                  <w:pPr>
                    <w:pStyle w:val="31"/>
                    <w:bidi w:val="0"/>
                    <w:rPr>
                      <w:rFonts w:hint="default"/>
                      <w:lang w:val="en-US" w:eastAsia="zh-CN"/>
                    </w:rPr>
                  </w:pPr>
                  <w:r>
                    <w:rPr>
                      <w:rFonts w:hint="eastAsia"/>
                      <w:lang w:val="en-US" w:eastAsia="zh-CN"/>
                    </w:rPr>
                    <w:t>《危险废物污染防治技术政策》（环发[2001]199号）相关要求</w:t>
                  </w:r>
                </w:p>
              </w:tc>
              <w:tc>
                <w:tcPr>
                  <w:tcW w:w="1913" w:type="pct"/>
                  <w:vAlign w:val="center"/>
                </w:tcPr>
                <w:p>
                  <w:pPr>
                    <w:pStyle w:val="31"/>
                    <w:bidi w:val="0"/>
                    <w:rPr>
                      <w:rFonts w:hint="default"/>
                      <w:lang w:val="en-US" w:eastAsia="zh-CN"/>
                    </w:rPr>
                  </w:pPr>
                  <w:r>
                    <w:rPr>
                      <w:rFonts w:hint="eastAsia"/>
                      <w:lang w:val="en-US" w:eastAsia="zh-CN"/>
                    </w:rPr>
                    <w:t>本项目情况</w:t>
                  </w:r>
                </w:p>
              </w:tc>
              <w:tc>
                <w:tcPr>
                  <w:tcW w:w="428" w:type="pct"/>
                  <w:vAlign w:val="center"/>
                </w:tcPr>
                <w:p>
                  <w:pPr>
                    <w:pStyle w:val="31"/>
                    <w:bidi w:val="0"/>
                    <w:rPr>
                      <w:rFonts w:hint="default"/>
                      <w:lang w:val="en-US" w:eastAsia="zh-CN"/>
                    </w:rPr>
                  </w:pPr>
                  <w:r>
                    <w:rPr>
                      <w:rFonts w:hint="eastAsia"/>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8" w:type="pct"/>
                  <w:vMerge w:val="restart"/>
                  <w:vAlign w:val="center"/>
                </w:tcPr>
                <w:p>
                  <w:pPr>
                    <w:pStyle w:val="31"/>
                    <w:bidi w:val="0"/>
                    <w:rPr>
                      <w:rFonts w:hint="default"/>
                      <w:lang w:val="en-US" w:eastAsia="zh-CN"/>
                    </w:rPr>
                  </w:pPr>
                  <w:r>
                    <w:rPr>
                      <w:rFonts w:hint="eastAsia"/>
                      <w:lang w:val="en-US" w:eastAsia="zh-CN"/>
                    </w:rPr>
                    <w:t>危险废物的收集运输</w:t>
                  </w:r>
                </w:p>
              </w:tc>
              <w:tc>
                <w:tcPr>
                  <w:tcW w:w="2299" w:type="pct"/>
                  <w:vAlign w:val="center"/>
                </w:tcPr>
                <w:p>
                  <w:pPr>
                    <w:pStyle w:val="31"/>
                    <w:bidi w:val="0"/>
                    <w:rPr>
                      <w:rFonts w:hint="eastAsia" w:eastAsia="宋体"/>
                      <w:lang w:eastAsia="zh-CN"/>
                    </w:rPr>
                  </w:pPr>
                  <w:r>
                    <w:rPr>
                      <w:rFonts w:hint="default"/>
                    </w:rPr>
                    <w:t>危险废物要根据其成分，用符合国家标准的专门容器分类收集</w:t>
                  </w:r>
                  <w:r>
                    <w:rPr>
                      <w:rFonts w:hint="eastAsia"/>
                      <w:lang w:eastAsia="zh-CN"/>
                    </w:rPr>
                    <w:t>。</w:t>
                  </w:r>
                </w:p>
                <w:p>
                  <w:pPr>
                    <w:pStyle w:val="31"/>
                    <w:bidi w:val="0"/>
                    <w:rPr>
                      <w:rFonts w:hint="default"/>
                    </w:rPr>
                  </w:pPr>
                  <w:r>
                    <w:rPr>
                      <w:rFonts w:hint="default"/>
                    </w:rPr>
                    <w:t>装运危险废物的容器应根据危险废物的不同特性而设计，不易破损、变形、老化，能有效地防止渗漏、扩散</w:t>
                  </w:r>
                  <w:r>
                    <w:rPr>
                      <w:rFonts w:hint="eastAsia"/>
                      <w:lang w:eastAsia="zh-CN"/>
                    </w:rPr>
                    <w:t>。</w:t>
                  </w:r>
                  <w:r>
                    <w:rPr>
                      <w:rFonts w:hint="default"/>
                    </w:rPr>
                    <w:t>装有危险废物的容器必须贴有标签，在标签上详细标明危险废物的名称、重量、成分、特性以及发生泄漏、扩散污染事故时的应急措施和补救方法。</w:t>
                  </w:r>
                </w:p>
              </w:tc>
              <w:tc>
                <w:tcPr>
                  <w:tcW w:w="1913" w:type="pct"/>
                  <w:vAlign w:val="center"/>
                </w:tcPr>
                <w:p>
                  <w:pPr>
                    <w:pStyle w:val="31"/>
                    <w:bidi w:val="0"/>
                    <w:rPr>
                      <w:rFonts w:hint="default"/>
                      <w:lang w:val="en-US" w:eastAsia="zh-CN"/>
                    </w:rPr>
                  </w:pPr>
                  <w:r>
                    <w:rPr>
                      <w:rFonts w:hint="eastAsia"/>
                    </w:rPr>
                    <w:t>项目仅</w:t>
                  </w:r>
                  <w:r>
                    <w:rPr>
                      <w:rFonts w:hint="eastAsia"/>
                      <w:lang w:val="en-US" w:eastAsia="zh-CN"/>
                    </w:rPr>
                    <w:t>收集</w:t>
                  </w:r>
                  <w:r>
                    <w:rPr>
                      <w:rFonts w:hint="eastAsia"/>
                    </w:rPr>
                    <w:t>贮存废机油</w:t>
                  </w:r>
                  <w:r>
                    <w:rPr>
                      <w:rFonts w:hint="eastAsia"/>
                      <w:lang w:val="en-US" w:eastAsia="zh-CN"/>
                    </w:rPr>
                    <w:t>于专用储罐内，并单独设有储罐区。危废运输单位采用专门的油罐车进行运输。油罐车上设有相应的危废标识，危废运输人员具有相应资质证明，具备处置应急事故的能力。</w:t>
                  </w:r>
                </w:p>
              </w:tc>
              <w:tc>
                <w:tcPr>
                  <w:tcW w:w="428" w:type="pct"/>
                  <w:vAlign w:val="center"/>
                </w:tcPr>
                <w:p>
                  <w:pPr>
                    <w:pStyle w:val="31"/>
                    <w:bidi w:val="0"/>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8" w:type="pct"/>
                  <w:vMerge w:val="continue"/>
                  <w:vAlign w:val="center"/>
                </w:tcPr>
                <w:p>
                  <w:pPr>
                    <w:pStyle w:val="31"/>
                    <w:bidi w:val="0"/>
                    <w:rPr>
                      <w:rFonts w:hint="default"/>
                      <w:lang w:val="en-US" w:eastAsia="zh-CN"/>
                    </w:rPr>
                  </w:pPr>
                </w:p>
              </w:tc>
              <w:tc>
                <w:tcPr>
                  <w:tcW w:w="2299" w:type="pct"/>
                  <w:vAlign w:val="center"/>
                </w:tcPr>
                <w:p>
                  <w:pPr>
                    <w:pStyle w:val="31"/>
                    <w:bidi w:val="0"/>
                    <w:rPr>
                      <w:rFonts w:hint="default"/>
                    </w:rPr>
                  </w:pPr>
                  <w:r>
                    <w:rPr>
                      <w:rFonts w:hint="default"/>
                    </w:rPr>
                    <w:t>居民生活、办公和第三产业产生的危险废物</w:t>
                  </w:r>
                  <w:r>
                    <w:rPr>
                      <w:rFonts w:hint="eastAsia"/>
                      <w:lang w:eastAsia="zh-CN"/>
                    </w:rPr>
                    <w:t>（</w:t>
                  </w:r>
                  <w:r>
                    <w:rPr>
                      <w:rFonts w:hint="default"/>
                    </w:rPr>
                    <w:t>如废电池、废日光灯管等</w:t>
                  </w:r>
                  <w:r>
                    <w:rPr>
                      <w:rFonts w:hint="eastAsia"/>
                      <w:lang w:eastAsia="zh-CN"/>
                    </w:rPr>
                    <w:t>）</w:t>
                  </w:r>
                  <w:r>
                    <w:rPr>
                      <w:rFonts w:hint="default"/>
                    </w:rPr>
                    <w:t>应与生活垃圾分类收集，通过分类收集提高其回收利用和无害化处理处置，逐步建立和完善社会源危险废物的回收网络。</w:t>
                  </w:r>
                </w:p>
              </w:tc>
              <w:tc>
                <w:tcPr>
                  <w:tcW w:w="1913" w:type="pct"/>
                  <w:vAlign w:val="center"/>
                </w:tcPr>
                <w:p>
                  <w:pPr>
                    <w:pStyle w:val="31"/>
                    <w:bidi w:val="0"/>
                    <w:rPr>
                      <w:rFonts w:hint="eastAsia"/>
                      <w:lang w:val="en-US" w:eastAsia="zh-CN"/>
                    </w:rPr>
                  </w:pPr>
                  <w:r>
                    <w:rPr>
                      <w:rFonts w:hint="eastAsia"/>
                      <w:lang w:val="en-US" w:eastAsia="zh-CN"/>
                    </w:rPr>
                    <w:t>本项目混入生活垃圾的含油劳保用品（900-041-49）同生活垃圾统一清运，属于危废豁免清单的危废，</w:t>
                  </w:r>
                  <w:r>
                    <w:rPr>
                      <w:rFonts w:hint="default" w:cs="Times New Roman"/>
                      <w:color w:val="auto"/>
                      <w:highlight w:val="none"/>
                      <w:lang w:val="en-US" w:eastAsia="zh-CN"/>
                    </w:rPr>
                    <w:t>全过程不按照危险废物进行管理</w:t>
                  </w:r>
                  <w:r>
                    <w:rPr>
                      <w:rFonts w:hint="eastAsia"/>
                      <w:lang w:val="en-US" w:eastAsia="zh-CN"/>
                    </w:rPr>
                    <w:t>。</w:t>
                  </w:r>
                </w:p>
              </w:tc>
              <w:tc>
                <w:tcPr>
                  <w:tcW w:w="428" w:type="pc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8" w:type="pct"/>
                  <w:vMerge w:val="restart"/>
                  <w:vAlign w:val="center"/>
                </w:tcPr>
                <w:p>
                  <w:pPr>
                    <w:pStyle w:val="31"/>
                    <w:bidi w:val="0"/>
                    <w:rPr>
                      <w:rFonts w:hint="default"/>
                      <w:lang w:val="en-US" w:eastAsia="zh-CN"/>
                    </w:rPr>
                  </w:pPr>
                  <w:r>
                    <w:rPr>
                      <w:rFonts w:hint="eastAsia"/>
                      <w:lang w:val="en-US" w:eastAsia="zh-CN"/>
                    </w:rPr>
                    <w:t>危险废物的贮存</w:t>
                  </w:r>
                </w:p>
              </w:tc>
              <w:tc>
                <w:tcPr>
                  <w:tcW w:w="2299" w:type="pct"/>
                  <w:vAlign w:val="center"/>
                </w:tcPr>
                <w:p>
                  <w:pPr>
                    <w:pStyle w:val="31"/>
                    <w:bidi w:val="0"/>
                    <w:rPr>
                      <w:rFonts w:hint="default"/>
                    </w:rPr>
                  </w:pPr>
                  <w:r>
                    <w:rPr>
                      <w:rFonts w:hint="eastAsia"/>
                    </w:rPr>
                    <w:t>对已产生的危险废物，若暂时不能回收利用或进行处理处置的，其产生单位须建设专门的危险废物贮存设施进行贮存，并设立危险废物标志，或委托具有专门危险废物贮存设施的单位进行贮存，贮存期限不得超过国家规定。贮存危险废物的单位需拥有相应的许可证。</w:t>
                  </w:r>
                </w:p>
              </w:tc>
              <w:tc>
                <w:tcPr>
                  <w:tcW w:w="1913" w:type="pct"/>
                  <w:vAlign w:val="center"/>
                </w:tcPr>
                <w:p>
                  <w:pPr>
                    <w:pStyle w:val="31"/>
                    <w:rPr>
                      <w:rFonts w:hint="default"/>
                      <w:lang w:val="en-US" w:eastAsia="zh-CN"/>
                    </w:rPr>
                  </w:pPr>
                  <w:r>
                    <w:rPr>
                      <w:rFonts w:hint="eastAsia"/>
                      <w:lang w:val="en-US" w:eastAsia="zh-CN"/>
                    </w:rPr>
                    <w:t>本项目设有危废暂存间，贮存运营期产生的其他危险废物，同时拟在取得环评批复后，向环境主管部门申请贮存废机油的危废经营许可证。</w:t>
                  </w:r>
                </w:p>
              </w:tc>
              <w:tc>
                <w:tcPr>
                  <w:tcW w:w="428" w:type="pct"/>
                  <w:vMerge w:val="restar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8" w:type="pct"/>
                  <w:vMerge w:val="continue"/>
                  <w:vAlign w:val="center"/>
                </w:tcPr>
                <w:p>
                  <w:pPr>
                    <w:pStyle w:val="31"/>
                    <w:bidi w:val="0"/>
                  </w:pPr>
                </w:p>
              </w:tc>
              <w:tc>
                <w:tcPr>
                  <w:tcW w:w="2299" w:type="pct"/>
                  <w:vAlign w:val="center"/>
                </w:tcPr>
                <w:p>
                  <w:pPr>
                    <w:pStyle w:val="31"/>
                    <w:bidi w:val="0"/>
                    <w:rPr>
                      <w:rFonts w:hint="eastAsia"/>
                    </w:rPr>
                  </w:pPr>
                  <w:r>
                    <w:rPr>
                      <w:rFonts w:hint="eastAsia"/>
                    </w:rPr>
                    <w:t>禁止将危险废物以任何形式转移给无许可证的单位，或转移到非危险废物贮存设施中。</w:t>
                  </w:r>
                </w:p>
              </w:tc>
              <w:tc>
                <w:tcPr>
                  <w:tcW w:w="1913" w:type="pct"/>
                  <w:vAlign w:val="center"/>
                </w:tcPr>
                <w:p>
                  <w:pPr>
                    <w:pStyle w:val="31"/>
                    <w:bidi w:val="0"/>
                    <w:rPr>
                      <w:rFonts w:hint="eastAsia"/>
                    </w:rPr>
                  </w:pPr>
                  <w:r>
                    <w:rPr>
                      <w:rFonts w:hint="eastAsia"/>
                      <w:highlight w:val="none"/>
                      <w:lang w:val="en-US" w:eastAsia="zh-CN"/>
                    </w:rPr>
                    <w:t>本项目废机油的收集转运</w:t>
                  </w:r>
                  <w:r>
                    <w:rPr>
                      <w:rFonts w:hint="eastAsia"/>
                      <w:lang w:val="en-US" w:eastAsia="zh-CN"/>
                    </w:rPr>
                    <w:t>及最终处置单位均为有资质单位（详见附件6~附件8）</w:t>
                  </w:r>
                </w:p>
              </w:tc>
              <w:tc>
                <w:tcPr>
                  <w:tcW w:w="428" w:type="pct"/>
                  <w:vMerge w:val="continue"/>
                  <w:vAlign w:val="center"/>
                </w:tcPr>
                <w:p>
                  <w:pPr>
                    <w:pStyle w:val="31"/>
                    <w:bidi w:val="0"/>
                    <w:rPr>
                      <w:rFonts w:hint="eastAsi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8" w:type="pct"/>
                  <w:vMerge w:val="continue"/>
                  <w:vAlign w:val="center"/>
                </w:tcPr>
                <w:p>
                  <w:pPr>
                    <w:pStyle w:val="31"/>
                    <w:bidi w:val="0"/>
                    <w:rPr>
                      <w:rFonts w:hint="eastAsia"/>
                    </w:rPr>
                  </w:pPr>
                </w:p>
              </w:tc>
              <w:tc>
                <w:tcPr>
                  <w:tcW w:w="2299" w:type="pct"/>
                  <w:vAlign w:val="center"/>
                </w:tcPr>
                <w:p>
                  <w:pPr>
                    <w:pStyle w:val="31"/>
                    <w:bidi w:val="0"/>
                    <w:rPr>
                      <w:rFonts w:hint="eastAsia"/>
                    </w:rPr>
                  </w:pPr>
                  <w:r>
                    <w:rPr>
                      <w:rFonts w:hint="eastAsia"/>
                    </w:rPr>
                    <w:t>危险废物贮存设施应有相应的配套设施并按有关规定进行管理。</w:t>
                  </w:r>
                </w:p>
              </w:tc>
              <w:tc>
                <w:tcPr>
                  <w:tcW w:w="1913" w:type="pct"/>
                  <w:vAlign w:val="center"/>
                </w:tcPr>
                <w:p>
                  <w:pPr>
                    <w:pStyle w:val="31"/>
                    <w:bidi w:val="0"/>
                    <w:rPr>
                      <w:rFonts w:hint="eastAsia"/>
                    </w:rPr>
                  </w:pPr>
                  <w:r>
                    <w:rPr>
                      <w:rFonts w:hint="eastAsia"/>
                      <w:b w:val="0"/>
                      <w:bCs w:val="0"/>
                      <w:highlight w:val="none"/>
                      <w:lang w:val="en-US" w:eastAsia="zh-CN"/>
                    </w:rPr>
                    <w:t>本项目储罐区拟配有相应的配套设施，如事故应急池、导流管、围堰等环境防范防治措施，如活性炭吸附装置、幕帘等废气治理措施。</w:t>
                  </w:r>
                </w:p>
              </w:tc>
              <w:tc>
                <w:tcPr>
                  <w:tcW w:w="428" w:type="pct"/>
                  <w:vMerge w:val="continue"/>
                  <w:vAlign w:val="center"/>
                </w:tcPr>
                <w:p>
                  <w:pPr>
                    <w:pStyle w:val="31"/>
                    <w:bidi w:val="0"/>
                    <w:rPr>
                      <w:rFonts w:hint="eastAsi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8" w:type="pct"/>
                  <w:vMerge w:val="restart"/>
                  <w:vAlign w:val="center"/>
                </w:tcPr>
                <w:p>
                  <w:pPr>
                    <w:pStyle w:val="31"/>
                    <w:bidi w:val="0"/>
                    <w:rPr>
                      <w:rFonts w:hint="default"/>
                      <w:lang w:val="en-US" w:eastAsia="zh-CN"/>
                    </w:rPr>
                  </w:pPr>
                  <w:r>
                    <w:rPr>
                      <w:rFonts w:hint="eastAsia"/>
                      <w:lang w:val="en-US" w:eastAsia="zh-CN"/>
                    </w:rPr>
                    <w:t>废矿物油污染防治</w:t>
                  </w:r>
                </w:p>
              </w:tc>
              <w:tc>
                <w:tcPr>
                  <w:tcW w:w="2299" w:type="pct"/>
                  <w:vAlign w:val="center"/>
                </w:tcPr>
                <w:p>
                  <w:pPr>
                    <w:pStyle w:val="31"/>
                    <w:bidi w:val="0"/>
                    <w:rPr>
                      <w:rFonts w:hint="default"/>
                    </w:rPr>
                  </w:pPr>
                  <w:r>
                    <w:rPr>
                      <w:rFonts w:hint="eastAsia"/>
                    </w:rPr>
                    <w:t>鼓励建立废矿物油收集体系，禁止将废矿物油任意抛洒、掩埋或倒入下水道以及用作建筑脱模油，禁止继续使用硫酸/白土法再生废矿物油。</w:t>
                  </w:r>
                </w:p>
              </w:tc>
              <w:tc>
                <w:tcPr>
                  <w:tcW w:w="1913" w:type="pct"/>
                  <w:vAlign w:val="center"/>
                </w:tcPr>
                <w:p>
                  <w:pPr>
                    <w:pStyle w:val="31"/>
                    <w:bidi w:val="0"/>
                    <w:rPr>
                      <w:rFonts w:hint="default"/>
                      <w:lang w:val="en-US" w:eastAsia="zh-CN"/>
                    </w:rPr>
                  </w:pPr>
                  <w:r>
                    <w:rPr>
                      <w:rFonts w:hint="eastAsia"/>
                      <w:lang w:val="en-US" w:eastAsia="zh-CN"/>
                    </w:rPr>
                    <w:t>本项目收集范围以</w:t>
                  </w:r>
                  <w:r>
                    <w:rPr>
                      <w:rFonts w:hint="default"/>
                      <w:lang w:val="en-US"/>
                    </w:rPr>
                    <w:t>福州市及其辖区范围内的企业</w:t>
                  </w:r>
                  <w:r>
                    <w:rPr>
                      <w:rFonts w:hint="eastAsia"/>
                      <w:lang w:val="en-US" w:eastAsia="zh-CN"/>
                    </w:rPr>
                    <w:t>，并委托尤溪县鑫辉润滑油再生利用有限公司进行处置，提高废矿物油的处理效率。</w:t>
                  </w:r>
                </w:p>
              </w:tc>
              <w:tc>
                <w:tcPr>
                  <w:tcW w:w="428" w:type="pc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8" w:type="pct"/>
                  <w:vMerge w:val="continue"/>
                  <w:vAlign w:val="center"/>
                </w:tcPr>
                <w:p>
                  <w:pPr>
                    <w:pStyle w:val="31"/>
                    <w:bidi w:val="0"/>
                    <w:rPr>
                      <w:rFonts w:hint="default"/>
                      <w:lang w:val="en-US" w:eastAsia="zh-CN"/>
                    </w:rPr>
                  </w:pPr>
                </w:p>
              </w:tc>
              <w:tc>
                <w:tcPr>
                  <w:tcW w:w="2299" w:type="pct"/>
                  <w:vAlign w:val="center"/>
                </w:tcPr>
                <w:p>
                  <w:pPr>
                    <w:pStyle w:val="31"/>
                    <w:bidi w:val="0"/>
                    <w:rPr>
                      <w:rFonts w:hint="default"/>
                    </w:rPr>
                  </w:pPr>
                  <w:r>
                    <w:rPr>
                      <w:rFonts w:hint="eastAsia"/>
                    </w:rPr>
                    <w:t>废矿物油的管理应遵循《废润滑油回收与再生利用技术导则》等有关规定，鼓励采用无酸废油再生技术，采用新的油水分离设施或活性酶对废油进行回收利用，鼓励重点城市建设区域性的废矿物油回收设施，为所在区域的废矿物油产生者提供服务</w:t>
                  </w:r>
                </w:p>
              </w:tc>
              <w:tc>
                <w:tcPr>
                  <w:tcW w:w="1913" w:type="pct"/>
                  <w:vAlign w:val="center"/>
                </w:tcPr>
                <w:p>
                  <w:pPr>
                    <w:pStyle w:val="31"/>
                    <w:bidi w:val="0"/>
                    <w:rPr>
                      <w:rFonts w:hint="default"/>
                      <w:lang w:val="en-US" w:eastAsia="zh-CN"/>
                    </w:rPr>
                  </w:pPr>
                  <w:r>
                    <w:rPr>
                      <w:rFonts w:hint="eastAsia"/>
                      <w:lang w:val="en-US" w:eastAsia="zh-CN"/>
                    </w:rPr>
                    <w:t>本项目委托尤溪县鑫辉润滑油再生利用有限公司处置，处置工艺为减压蒸馏工艺；</w:t>
                  </w:r>
                </w:p>
                <w:p>
                  <w:pPr>
                    <w:pStyle w:val="31"/>
                    <w:bidi w:val="0"/>
                    <w:rPr>
                      <w:rFonts w:hint="default"/>
                      <w:lang w:val="en-US" w:eastAsia="zh-CN"/>
                    </w:rPr>
                  </w:pPr>
                  <w:r>
                    <w:rPr>
                      <w:rFonts w:hint="eastAsia"/>
                      <w:lang w:val="en-US" w:eastAsia="zh-CN"/>
                    </w:rPr>
                    <w:t>本项目收集范围以</w:t>
                  </w:r>
                  <w:r>
                    <w:rPr>
                      <w:rFonts w:hint="default"/>
                      <w:lang w:val="en-US"/>
                    </w:rPr>
                    <w:t>福州市及其辖区范围内的企业</w:t>
                  </w:r>
                  <w:r>
                    <w:rPr>
                      <w:rFonts w:hint="eastAsia"/>
                      <w:lang w:val="en-US" w:eastAsia="zh-CN"/>
                    </w:rPr>
                    <w:t>，集中收集贮存转运废机油，实现区域性废机油的收集转运。</w:t>
                  </w:r>
                </w:p>
              </w:tc>
              <w:tc>
                <w:tcPr>
                  <w:tcW w:w="428" w:type="pct"/>
                  <w:vAlign w:val="center"/>
                </w:tcPr>
                <w:p>
                  <w:pPr>
                    <w:pStyle w:val="31"/>
                    <w:bidi w:val="0"/>
                    <w:rPr>
                      <w:rFonts w:hint="eastAsia"/>
                      <w:lang w:val="en-US" w:eastAsia="zh-CN"/>
                    </w:rPr>
                  </w:pPr>
                  <w:r>
                    <w:rPr>
                      <w:rFonts w:hint="eastAsia"/>
                      <w:lang w:val="en-US" w:eastAsia="zh-CN"/>
                    </w:rPr>
                    <w:t>符合</w:t>
                  </w:r>
                </w:p>
              </w:tc>
            </w:tr>
          </w:tbl>
          <w:p>
            <w:pPr>
              <w:pStyle w:val="8"/>
              <w:numPr>
                <w:ilvl w:val="-1"/>
                <w:numId w:val="0"/>
              </w:numPr>
              <w:bidi w:val="0"/>
              <w:ind w:firstLine="0" w:firstLineChars="0"/>
              <w:rPr>
                <w:rFonts w:hint="eastAsia"/>
                <w:lang w:val="en-US" w:eastAsia="zh-CN"/>
              </w:rPr>
            </w:pPr>
          </w:p>
          <w:p>
            <w:pPr>
              <w:pStyle w:val="8"/>
              <w:numPr>
                <w:ilvl w:val="-1"/>
                <w:numId w:val="0"/>
              </w:numPr>
              <w:bidi w:val="0"/>
              <w:ind w:firstLine="480" w:firstLineChars="200"/>
              <w:rPr>
                <w:rFonts w:hint="default"/>
                <w:lang w:val="en-US" w:eastAsia="zh-CN"/>
              </w:rPr>
            </w:pPr>
            <w:r>
              <w:rPr>
                <w:rFonts w:hint="eastAsia"/>
                <w:lang w:val="en-US" w:eastAsia="zh-CN"/>
              </w:rPr>
              <w:t>（5）与《</w:t>
            </w:r>
            <w:r>
              <w:rPr>
                <w:rFonts w:hint="eastAsia"/>
              </w:rPr>
              <w:t>福建省危险废物规范化环境管理工作指南</w:t>
            </w:r>
            <w:r>
              <w:rPr>
                <w:rFonts w:hint="eastAsia"/>
                <w:lang w:val="en-US" w:eastAsia="zh-CN"/>
              </w:rPr>
              <w:t>》符合性分析</w:t>
            </w:r>
          </w:p>
          <w:p>
            <w:pPr>
              <w:pStyle w:val="30"/>
              <w:bidi w:val="0"/>
              <w:rPr>
                <w:rFonts w:hint="eastAsia"/>
                <w:highlight w:val="none"/>
                <w:lang w:val="en-US" w:eastAsia="zh-CN"/>
              </w:rPr>
            </w:pPr>
            <w:r>
              <w:rPr>
                <w:rFonts w:hint="eastAsia"/>
                <w:lang w:val="en-US" w:eastAsia="zh-CN"/>
              </w:rPr>
              <w:t>《</w:t>
            </w:r>
            <w:r>
              <w:rPr>
                <w:rFonts w:hint="eastAsia"/>
              </w:rPr>
              <w:t>福建省危险废物规范化环境管理工作指南</w:t>
            </w:r>
            <w:r>
              <w:rPr>
                <w:rFonts w:hint="eastAsia"/>
                <w:lang w:val="en-US" w:eastAsia="zh-CN"/>
              </w:rPr>
              <w:t>》</w:t>
            </w:r>
            <w:r>
              <w:rPr>
                <w:rFonts w:hint="eastAsia"/>
                <w:highlight w:val="none"/>
                <w:lang w:val="en-US" w:eastAsia="zh-CN"/>
              </w:rPr>
              <w:t>符合性分析</w:t>
            </w:r>
          </w:p>
          <w:tbl>
            <w:tblPr>
              <w:tblStyle w:val="25"/>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83"/>
              <w:gridCol w:w="3170"/>
              <w:gridCol w:w="68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7" w:type="pct"/>
                  <w:vAlign w:val="center"/>
                </w:tcPr>
                <w:p>
                  <w:pPr>
                    <w:pStyle w:val="31"/>
                    <w:bidi w:val="0"/>
                    <w:rPr>
                      <w:rFonts w:hint="default"/>
                      <w:lang w:val="en-US" w:eastAsia="zh-CN"/>
                    </w:rPr>
                  </w:pPr>
                  <w:r>
                    <w:rPr>
                      <w:rFonts w:hint="eastAsia"/>
                      <w:lang w:val="en-US" w:eastAsia="zh-CN"/>
                    </w:rPr>
                    <w:t>指南要求</w:t>
                  </w:r>
                </w:p>
              </w:tc>
              <w:tc>
                <w:tcPr>
                  <w:tcW w:w="2075" w:type="pct"/>
                  <w:vAlign w:val="center"/>
                </w:tcPr>
                <w:p>
                  <w:pPr>
                    <w:pStyle w:val="31"/>
                    <w:bidi w:val="0"/>
                    <w:rPr>
                      <w:rFonts w:hint="default"/>
                      <w:lang w:val="en-US" w:eastAsia="zh-CN"/>
                    </w:rPr>
                  </w:pPr>
                  <w:r>
                    <w:rPr>
                      <w:rFonts w:hint="eastAsia"/>
                      <w:lang w:val="en-US" w:eastAsia="zh-CN"/>
                    </w:rPr>
                    <w:t>本项目情况</w:t>
                  </w:r>
                </w:p>
              </w:tc>
              <w:tc>
                <w:tcPr>
                  <w:tcW w:w="447" w:type="pct"/>
                  <w:vAlign w:val="center"/>
                </w:tcPr>
                <w:p>
                  <w:pPr>
                    <w:pStyle w:val="31"/>
                    <w:bidi w:val="0"/>
                    <w:rPr>
                      <w:rFonts w:hint="default"/>
                      <w:lang w:val="en-US" w:eastAsia="zh-CN"/>
                    </w:rPr>
                  </w:pPr>
                  <w:r>
                    <w:rPr>
                      <w:rFonts w:hint="eastAsia"/>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7" w:type="pct"/>
                  <w:vAlign w:val="center"/>
                </w:tcPr>
                <w:p>
                  <w:pPr>
                    <w:pStyle w:val="31"/>
                    <w:bidi w:val="0"/>
                    <w:rPr>
                      <w:rFonts w:hint="default" w:eastAsia="宋体"/>
                      <w:lang w:val="en-US" w:eastAsia="zh-CN"/>
                    </w:rPr>
                  </w:pPr>
                  <w:r>
                    <w:rPr>
                      <w:rFonts w:hint="eastAsia"/>
                      <w:lang w:val="en-US" w:eastAsia="zh-CN"/>
                    </w:rPr>
                    <w:t>沾染矿物油的废弃包装物属于危险废物（900-249-08）</w:t>
                  </w:r>
                </w:p>
              </w:tc>
              <w:tc>
                <w:tcPr>
                  <w:tcW w:w="2075" w:type="pct"/>
                  <w:vAlign w:val="center"/>
                </w:tcPr>
                <w:p>
                  <w:pPr>
                    <w:pStyle w:val="31"/>
                    <w:bidi w:val="0"/>
                    <w:rPr>
                      <w:rFonts w:hint="default"/>
                      <w:lang w:val="en-US" w:eastAsia="zh-CN"/>
                    </w:rPr>
                  </w:pPr>
                  <w:r>
                    <w:rPr>
                      <w:rFonts w:hint="eastAsia"/>
                      <w:lang w:val="en-US" w:eastAsia="zh-CN"/>
                    </w:rPr>
                    <w:t>本项目废油泥按危险废物处理，暂存于危废间，定期委托有资质单位处置</w:t>
                  </w:r>
                </w:p>
              </w:tc>
              <w:tc>
                <w:tcPr>
                  <w:tcW w:w="447" w:type="pct"/>
                  <w:vAlign w:val="center"/>
                </w:tcPr>
                <w:p>
                  <w:pPr>
                    <w:pStyle w:val="31"/>
                    <w:bidi w:val="0"/>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7" w:type="pct"/>
                  <w:vAlign w:val="center"/>
                </w:tcPr>
                <w:p>
                  <w:pPr>
                    <w:pStyle w:val="31"/>
                    <w:bidi w:val="0"/>
                    <w:rPr>
                      <w:rFonts w:hint="default" w:eastAsia="宋体"/>
                      <w:lang w:val="en-US" w:eastAsia="zh-CN"/>
                    </w:rPr>
                  </w:pPr>
                  <w:r>
                    <w:rPr>
                      <w:rFonts w:hint="eastAsia"/>
                      <w:lang w:val="en-US" w:eastAsia="zh-CN"/>
                    </w:rPr>
                    <w:t>废弃的含油抹布、劳保用品等应按照国家有关法律法规要求进行分类收集。同时，为解决不具备分类收集条件且混入少量危险废物的生活垃圾处理问题，《国家危险废物名录》规定已经混入生活垃圾的含油抹布、劳保用品等实施全过程豁免。</w:t>
                  </w:r>
                </w:p>
              </w:tc>
              <w:tc>
                <w:tcPr>
                  <w:tcW w:w="2075" w:type="pct"/>
                  <w:vAlign w:val="center"/>
                </w:tcPr>
                <w:p>
                  <w:pPr>
                    <w:pStyle w:val="31"/>
                    <w:bidi w:val="0"/>
                    <w:rPr>
                      <w:rFonts w:hint="eastAsia"/>
                      <w:lang w:val="en-US" w:eastAsia="zh-CN"/>
                    </w:rPr>
                  </w:pPr>
                  <w:r>
                    <w:rPr>
                      <w:rFonts w:hint="eastAsia" w:cs="Times New Roman"/>
                      <w:color w:val="auto"/>
                      <w:highlight w:val="none"/>
                      <w:lang w:val="en-US" w:eastAsia="zh-CN"/>
                    </w:rPr>
                    <w:t>本</w:t>
                  </w:r>
                  <w:r>
                    <w:rPr>
                      <w:rFonts w:hint="default" w:cs="Times New Roman"/>
                      <w:color w:val="auto"/>
                      <w:highlight w:val="none"/>
                      <w:lang w:val="en-US" w:eastAsia="zh-CN"/>
                    </w:rPr>
                    <w:t>项目</w:t>
                  </w:r>
                  <w:r>
                    <w:rPr>
                      <w:rFonts w:hint="eastAsia" w:cs="Times New Roman"/>
                      <w:color w:val="auto"/>
                      <w:highlight w:val="none"/>
                      <w:lang w:val="en-US" w:eastAsia="zh-CN"/>
                    </w:rPr>
                    <w:t>混入生活垃圾的含油劳保用品（900-041-49）由环卫部门统一清运，</w:t>
                  </w:r>
                  <w:r>
                    <w:rPr>
                      <w:rFonts w:hint="default" w:cs="Times New Roman"/>
                      <w:color w:val="auto"/>
                      <w:highlight w:val="none"/>
                      <w:lang w:val="en-US" w:eastAsia="zh-CN"/>
                    </w:rPr>
                    <w:t>属于危险废物豁免管理清单中的危废，全过程不按照危险废物进行管理。</w:t>
                  </w:r>
                </w:p>
              </w:tc>
              <w:tc>
                <w:tcPr>
                  <w:tcW w:w="447" w:type="pc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7" w:type="pct"/>
                  <w:vAlign w:val="center"/>
                </w:tcPr>
                <w:p>
                  <w:pPr>
                    <w:pStyle w:val="31"/>
                    <w:bidi w:val="0"/>
                    <w:rPr>
                      <w:rFonts w:hint="default"/>
                    </w:rPr>
                  </w:pPr>
                  <w:r>
                    <w:rPr>
                      <w:rFonts w:hint="default"/>
                    </w:rPr>
                    <w:t>必须有泄漏液体收集装置、气体导出口及气体净化装置。</w:t>
                  </w:r>
                </w:p>
              </w:tc>
              <w:tc>
                <w:tcPr>
                  <w:tcW w:w="2075" w:type="pct"/>
                  <w:vAlign w:val="center"/>
                </w:tcPr>
                <w:p>
                  <w:pPr>
                    <w:pStyle w:val="31"/>
                    <w:bidi w:val="0"/>
                    <w:rPr>
                      <w:rFonts w:hint="default" w:eastAsia="宋体"/>
                      <w:lang w:val="en-US" w:eastAsia="zh-CN"/>
                    </w:rPr>
                  </w:pPr>
                  <w:r>
                    <w:rPr>
                      <w:rFonts w:hint="eastAsia"/>
                      <w:b w:val="0"/>
                      <w:bCs w:val="0"/>
                      <w:highlight w:val="none"/>
                      <w:lang w:val="en-US" w:eastAsia="zh-CN"/>
                    </w:rPr>
                    <w:t>项目拟设置活性炭吸附装置、幕帘等废气治理措施。</w:t>
                  </w:r>
                </w:p>
              </w:tc>
              <w:tc>
                <w:tcPr>
                  <w:tcW w:w="447" w:type="pc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7" w:type="pct"/>
                  <w:vAlign w:val="center"/>
                </w:tcPr>
                <w:p>
                  <w:pPr>
                    <w:pStyle w:val="31"/>
                    <w:bidi w:val="0"/>
                    <w:rPr>
                      <w:rFonts w:hint="default"/>
                    </w:rPr>
                  </w:pPr>
                  <w:r>
                    <w:rPr>
                      <w:rFonts w:hint="default"/>
                    </w:rPr>
                    <w:t>设施内要有安全照明设施和观察窗口。</w:t>
                  </w:r>
                </w:p>
              </w:tc>
              <w:tc>
                <w:tcPr>
                  <w:tcW w:w="2075" w:type="pct"/>
                  <w:vAlign w:val="center"/>
                </w:tcPr>
                <w:p>
                  <w:pPr>
                    <w:jc w:val="center"/>
                    <w:rPr>
                      <w:rFonts w:hint="default"/>
                      <w:lang w:val="en-US" w:eastAsia="zh-CN"/>
                    </w:rPr>
                  </w:pPr>
                  <w:r>
                    <w:rPr>
                      <w:rFonts w:hint="eastAsia"/>
                      <w:lang w:val="en-US" w:eastAsia="zh-CN"/>
                    </w:rPr>
                    <w:t>项目场地拟配备通讯设备、照明设施和消防设施。</w:t>
                  </w:r>
                </w:p>
              </w:tc>
              <w:tc>
                <w:tcPr>
                  <w:tcW w:w="447" w:type="pct"/>
                  <w:vAlign w:val="center"/>
                </w:tcPr>
                <w:p>
                  <w:pPr>
                    <w:pStyle w:val="31"/>
                    <w:bidi w:val="0"/>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77" w:type="pct"/>
                  <w:vAlign w:val="center"/>
                </w:tcPr>
                <w:p>
                  <w:pPr>
                    <w:pStyle w:val="31"/>
                    <w:bidi w:val="0"/>
                    <w:rPr>
                      <w:rFonts w:hint="default"/>
                    </w:rPr>
                  </w:pPr>
                  <w:r>
                    <w:rPr>
                      <w:rFonts w:hint="default"/>
                    </w:rPr>
                    <w:t>用以存放装载液体、半固体危险废物容器的地方</w:t>
                  </w:r>
                  <w:r>
                    <w:rPr>
                      <w:rFonts w:hint="eastAsia"/>
                      <w:lang w:eastAsia="zh-CN"/>
                    </w:rPr>
                    <w:t>，</w:t>
                  </w:r>
                  <w:r>
                    <w:rPr>
                      <w:rFonts w:hint="default"/>
                    </w:rPr>
                    <w:t>必须有耐腐蚀的硬化地面，且表面无裂隙。</w:t>
                  </w:r>
                </w:p>
              </w:tc>
              <w:tc>
                <w:tcPr>
                  <w:tcW w:w="2075" w:type="pct"/>
                  <w:vAlign w:val="center"/>
                </w:tcPr>
                <w:p>
                  <w:pPr>
                    <w:pStyle w:val="31"/>
                    <w:bidi w:val="0"/>
                    <w:rPr>
                      <w:rFonts w:hint="default"/>
                      <w:lang w:val="en-US" w:eastAsia="zh-CN"/>
                    </w:rPr>
                  </w:pPr>
                  <w:r>
                    <w:rPr>
                      <w:rFonts w:hint="eastAsia"/>
                      <w:lang w:val="en-US" w:eastAsia="zh-CN"/>
                    </w:rPr>
                    <w:t>项目厂房内已采取地面硬化</w:t>
                  </w:r>
                  <w:r>
                    <w:rPr>
                      <w:rFonts w:hint="eastAsia"/>
                      <w:lang w:eastAsia="zh-CN"/>
                    </w:rPr>
                    <w:t>，</w:t>
                  </w:r>
                  <w:r>
                    <w:rPr>
                      <w:rFonts w:hint="eastAsia"/>
                      <w:lang w:val="en-US" w:eastAsia="zh-CN"/>
                    </w:rPr>
                    <w:t>危废间、储罐区、事故应急池等拟采取</w:t>
                  </w:r>
                  <w:r>
                    <w:rPr>
                      <w:rFonts w:hint="eastAsia"/>
                      <w:highlight w:val="none"/>
                      <w:lang w:val="en-US" w:eastAsia="zh-CN"/>
                    </w:rPr>
                    <w:t>重点防渗措施</w:t>
                  </w:r>
                  <w:r>
                    <w:rPr>
                      <w:rFonts w:hint="eastAsia"/>
                      <w:lang w:val="en-US" w:eastAsia="zh-CN"/>
                    </w:rPr>
                    <w:t>。</w:t>
                  </w:r>
                </w:p>
              </w:tc>
              <w:tc>
                <w:tcPr>
                  <w:tcW w:w="447" w:type="pct"/>
                  <w:vAlign w:val="center"/>
                </w:tcPr>
                <w:p>
                  <w:pPr>
                    <w:pStyle w:val="31"/>
                    <w:bidi w:val="0"/>
                    <w:rPr>
                      <w:rFonts w:hint="eastAsia"/>
                      <w:lang w:val="en-US" w:eastAsia="zh-CN"/>
                    </w:rPr>
                  </w:pPr>
                  <w:r>
                    <w:rPr>
                      <w:rFonts w:hint="eastAsia"/>
                      <w:lang w:val="en-US" w:eastAsia="zh-CN"/>
                    </w:rPr>
                    <w:t>符合</w:t>
                  </w:r>
                </w:p>
              </w:tc>
            </w:tr>
          </w:tbl>
          <w:p>
            <w:pPr>
              <w:pStyle w:val="8"/>
              <w:numPr>
                <w:ilvl w:val="0"/>
                <w:numId w:val="0"/>
              </w:numPr>
              <w:bidi w:val="0"/>
              <w:rPr>
                <w:rFonts w:hint="default"/>
                <w:lang w:val="en-US" w:eastAsia="zh-CN"/>
              </w:rPr>
            </w:pPr>
          </w:p>
          <w:p>
            <w:pPr>
              <w:pStyle w:val="4"/>
              <w:numPr>
                <w:ilvl w:val="1"/>
                <w:numId w:val="4"/>
              </w:numPr>
              <w:tabs>
                <w:tab w:val="left" w:pos="420"/>
              </w:tabs>
              <w:rPr>
                <w:rFonts w:hint="default"/>
                <w:highlight w:val="none"/>
              </w:rPr>
            </w:pPr>
            <w:r>
              <w:rPr>
                <w:rFonts w:hint="eastAsia"/>
                <w:highlight w:val="none"/>
                <w:lang w:val="en-US" w:eastAsia="zh-CN"/>
              </w:rPr>
              <w:t>选址可行性分析</w:t>
            </w:r>
          </w:p>
          <w:p>
            <w:pPr>
              <w:pStyle w:val="8"/>
              <w:bidi w:val="0"/>
              <w:rPr>
                <w:rFonts w:hint="eastAsia"/>
                <w:lang w:val="en-US" w:eastAsia="zh-CN"/>
              </w:rPr>
            </w:pPr>
            <w:r>
              <w:rPr>
                <w:rFonts w:hint="default"/>
                <w:lang w:val="en-US" w:eastAsia="zh-CN"/>
              </w:rPr>
              <w:t>本项目位于</w:t>
            </w:r>
            <w:r>
              <w:rPr>
                <w:rFonts w:hint="default" w:ascii="Times New Roman" w:hAnsi="Times New Roman" w:eastAsia="宋体" w:cs="Times New Roman"/>
                <w:color w:val="auto"/>
                <w:kern w:val="0"/>
                <w:sz w:val="24"/>
                <w:szCs w:val="21"/>
                <w:highlight w:val="none"/>
                <w:lang w:val="en-US" w:eastAsia="zh-CN" w:bidi="ar-SA"/>
              </w:rPr>
              <w:t>福建省</w:t>
            </w:r>
            <w:r>
              <w:rPr>
                <w:rFonts w:hint="eastAsia" w:ascii="Times New Roman" w:hAnsi="Times New Roman" w:eastAsia="宋体" w:cs="Times New Roman"/>
                <w:color w:val="auto"/>
                <w:kern w:val="0"/>
                <w:sz w:val="24"/>
                <w:szCs w:val="21"/>
                <w:highlight w:val="none"/>
                <w:lang w:val="en-US" w:eastAsia="zh-CN" w:bidi="ar-SA"/>
              </w:rPr>
              <w:t>福州</w:t>
            </w:r>
            <w:r>
              <w:rPr>
                <w:rFonts w:hint="default" w:ascii="Times New Roman" w:hAnsi="Times New Roman" w:eastAsia="宋体" w:cs="Times New Roman"/>
                <w:color w:val="auto"/>
                <w:kern w:val="0"/>
                <w:sz w:val="24"/>
                <w:szCs w:val="21"/>
                <w:highlight w:val="none"/>
                <w:lang w:val="en-US" w:eastAsia="zh-CN" w:bidi="ar-SA"/>
              </w:rPr>
              <w:t>市</w:t>
            </w:r>
            <w:r>
              <w:rPr>
                <w:rFonts w:hint="eastAsia" w:ascii="Times New Roman" w:hAnsi="Times New Roman" w:eastAsia="宋体" w:cs="Times New Roman"/>
                <w:color w:val="auto"/>
                <w:kern w:val="0"/>
                <w:sz w:val="24"/>
                <w:szCs w:val="21"/>
                <w:highlight w:val="none"/>
                <w:lang w:val="en-US" w:eastAsia="zh-CN" w:bidi="ar-SA"/>
              </w:rPr>
              <w:t>闽侯县祥谦镇泮洋村祥宏中路20号</w:t>
            </w:r>
            <w:r>
              <w:rPr>
                <w:rFonts w:hint="eastAsia"/>
                <w:lang w:val="en-US" w:eastAsia="zh-CN"/>
              </w:rPr>
              <w:t>。根据《</w:t>
            </w:r>
            <w:r>
              <w:rPr>
                <w:rFonts w:hint="eastAsia" w:cs="Times New Roman"/>
                <w:color w:val="auto"/>
                <w:kern w:val="0"/>
                <w:sz w:val="24"/>
                <w:szCs w:val="21"/>
                <w:lang w:val="en-US" w:eastAsia="zh-CN" w:bidi="ar-SA"/>
              </w:rPr>
              <w:t>闽侯县祥谦镇总体规划</w:t>
            </w:r>
            <w:r>
              <w:rPr>
                <w:rFonts w:hint="eastAsia"/>
                <w:lang w:val="en-US" w:eastAsia="zh-CN"/>
              </w:rPr>
              <w:t>》，项目所在位置用地性质为工业用地，符合土地利用规划要求。该规划</w:t>
            </w:r>
            <w:r>
              <w:rPr>
                <w:rFonts w:hint="eastAsia" w:ascii="Times New Roman" w:hAnsi="Times New Roman" w:eastAsia="宋体" w:cs="Times New Roman"/>
                <w:color w:val="auto"/>
                <w:kern w:val="0"/>
                <w:szCs w:val="21"/>
                <w:lang w:val="en-US" w:eastAsia="zh-CN"/>
              </w:rPr>
              <w:t>鼓励与汽车工业、汽车零配件加工等机械加工行业相关的产业进入规划区。</w:t>
            </w:r>
            <w:r>
              <w:rPr>
                <w:rFonts w:hint="eastAsia" w:cs="Times New Roman"/>
                <w:color w:val="auto"/>
                <w:kern w:val="0"/>
                <w:szCs w:val="21"/>
                <w:lang w:val="en-US" w:eastAsia="zh-CN"/>
              </w:rPr>
              <w:t>本</w:t>
            </w:r>
            <w:r>
              <w:rPr>
                <w:rFonts w:hint="eastAsia"/>
                <w:lang w:val="en-US" w:eastAsia="zh-CN"/>
              </w:rPr>
              <w:t>项目</w:t>
            </w:r>
            <w:r>
              <w:rPr>
                <w:rFonts w:hint="eastAsia" w:ascii="Times New Roman" w:hAnsi="Times New Roman" w:eastAsia="宋体" w:cs="Times New Roman"/>
                <w:snapToGrid w:val="0"/>
                <w:color w:val="auto"/>
                <w:kern w:val="18"/>
                <w:sz w:val="24"/>
                <w:szCs w:val="24"/>
                <w:highlight w:val="none"/>
                <w:lang w:val="en-US" w:eastAsia="zh-CN" w:bidi="ar-SA"/>
              </w:rPr>
              <w:t>从事</w:t>
            </w:r>
            <w:r>
              <w:rPr>
                <w:rFonts w:hint="eastAsia"/>
                <w:snapToGrid w:val="0"/>
                <w:color w:val="auto"/>
                <w:kern w:val="18"/>
                <w:sz w:val="24"/>
                <w:highlight w:val="none"/>
                <w:lang w:val="en-US" w:eastAsia="zh-CN"/>
              </w:rPr>
              <w:t>废矿物油</w:t>
            </w:r>
            <w:r>
              <w:rPr>
                <w:rFonts w:hint="eastAsia"/>
                <w:lang w:val="en-US" w:eastAsia="zh-CN"/>
              </w:rPr>
              <w:t>中</w:t>
            </w:r>
            <w:r>
              <w:rPr>
                <w:rFonts w:hint="eastAsia" w:ascii="Times New Roman" w:hAnsi="Times New Roman" w:cs="Times New Roman"/>
                <w:snapToGrid w:val="0"/>
                <w:color w:val="auto"/>
                <w:kern w:val="18"/>
                <w:sz w:val="24"/>
                <w:szCs w:val="24"/>
                <w:highlight w:val="none"/>
                <w:lang w:val="en-US" w:eastAsia="zh-CN" w:bidi="ar-SA"/>
              </w:rPr>
              <w:t>废机油（危废代码：</w:t>
            </w:r>
            <w:r>
              <w:rPr>
                <w:rFonts w:hint="eastAsia" w:cs="Times New Roman"/>
                <w:snapToGrid w:val="0"/>
                <w:color w:val="auto"/>
                <w:kern w:val="18"/>
                <w:sz w:val="24"/>
                <w:szCs w:val="24"/>
                <w:highlight w:val="none"/>
                <w:lang w:val="en-US" w:eastAsia="zh-CN" w:bidi="ar-SA"/>
              </w:rPr>
              <w:t>900-214-08</w:t>
            </w:r>
            <w:r>
              <w:rPr>
                <w:rFonts w:hint="eastAsia" w:ascii="Times New Roman" w:hAnsi="Times New Roman" w:cs="Times New Roman"/>
                <w:snapToGrid w:val="0"/>
                <w:color w:val="auto"/>
                <w:kern w:val="18"/>
                <w:sz w:val="24"/>
                <w:szCs w:val="24"/>
                <w:highlight w:val="none"/>
                <w:lang w:val="en-US" w:eastAsia="zh-CN" w:bidi="ar-SA"/>
              </w:rPr>
              <w:t>）的收集贮存转运</w:t>
            </w:r>
            <w:r>
              <w:rPr>
                <w:rFonts w:hint="eastAsia" w:ascii="Times New Roman" w:hAnsi="Times New Roman" w:eastAsia="宋体" w:cs="Times New Roman"/>
                <w:snapToGrid w:val="0"/>
                <w:color w:val="auto"/>
                <w:kern w:val="18"/>
                <w:sz w:val="24"/>
                <w:szCs w:val="24"/>
                <w:highlight w:val="none"/>
                <w:lang w:val="en-US" w:eastAsia="zh-CN" w:bidi="ar-SA"/>
              </w:rPr>
              <w:t>，</w:t>
            </w:r>
            <w:r>
              <w:rPr>
                <w:rFonts w:hint="eastAsia" w:ascii="Times New Roman" w:hAnsi="Times New Roman" w:cs="Times New Roman"/>
                <w:snapToGrid w:val="0"/>
                <w:color w:val="auto"/>
                <w:kern w:val="18"/>
                <w:sz w:val="24"/>
                <w:szCs w:val="24"/>
                <w:highlight w:val="none"/>
                <w:lang w:val="en-US" w:eastAsia="zh-CN" w:bidi="ar-SA"/>
              </w:rPr>
              <w:t>属于汽车工业发展的配套产业</w:t>
            </w:r>
            <w:r>
              <w:rPr>
                <w:rFonts w:hint="eastAsia" w:cs="Times New Roman"/>
                <w:snapToGrid w:val="0"/>
                <w:color w:val="auto"/>
                <w:kern w:val="18"/>
                <w:sz w:val="24"/>
                <w:szCs w:val="24"/>
                <w:highlight w:val="none"/>
                <w:lang w:val="en-US" w:eastAsia="zh-CN" w:bidi="ar-SA"/>
              </w:rPr>
              <w:t>，因此，本项目选址符合青口汽车工业园区主导产业的发展</w:t>
            </w:r>
            <w:r>
              <w:rPr>
                <w:rFonts w:hint="eastAsia"/>
                <w:lang w:val="en-US" w:eastAsia="zh-CN"/>
              </w:rPr>
              <w:t>。</w:t>
            </w:r>
          </w:p>
          <w:p>
            <w:pPr>
              <w:pStyle w:val="8"/>
              <w:bidi w:val="0"/>
              <w:rPr>
                <w:rFonts w:hint="default"/>
                <w:lang w:val="en-US" w:eastAsia="zh-CN"/>
              </w:rPr>
            </w:pPr>
            <w:r>
              <w:rPr>
                <w:rFonts w:hint="eastAsia"/>
                <w:lang w:val="en-US" w:eastAsia="zh-CN"/>
              </w:rPr>
              <w:t>项目所在楼内，一层其他区域为福州市邦保洁洗涤有限公司，二层为闽侯县群英包装材料有限公司。项目东北侧为福建通隆食品有限公司、福州润禾鞋业有限公司，东南侧为福州鼎盛纸箱彩印包装有限公司、闽侯县华源工艺品有限公司，南侧为福州怡兴纸业有限公司。详见附图4</w:t>
            </w:r>
          </w:p>
          <w:p>
            <w:pPr>
              <w:pStyle w:val="8"/>
              <w:bidi w:val="0"/>
              <w:rPr>
                <w:rFonts w:hint="default"/>
                <w:lang w:val="en-US" w:eastAsia="zh-CN"/>
              </w:rPr>
            </w:pPr>
            <w:r>
              <w:rPr>
                <w:rFonts w:hint="eastAsia"/>
                <w:lang w:val="en-US" w:eastAsia="zh-CN"/>
              </w:rPr>
              <w:t>项目地块不涉及</w:t>
            </w:r>
            <w:r>
              <w:rPr>
                <w:rFonts w:hint="eastAsia"/>
              </w:rPr>
              <w:t>自然保护区、风景名胜区、</w:t>
            </w:r>
            <w:r>
              <w:rPr>
                <w:rFonts w:hint="eastAsia"/>
                <w:lang w:val="en-US" w:eastAsia="zh-CN"/>
              </w:rPr>
              <w:t>基本农田保护区、</w:t>
            </w:r>
            <w:r>
              <w:rPr>
                <w:rFonts w:hint="eastAsia"/>
              </w:rPr>
              <w:t>饮用水源保护区等生态红线</w:t>
            </w:r>
            <w:r>
              <w:rPr>
                <w:rFonts w:hint="eastAsia"/>
                <w:lang w:val="en-US" w:eastAsia="zh-CN"/>
              </w:rPr>
              <w:t>。闽侯地区常年主导风向为东南风，大气评价范围500m内有2处居民点及1处政府办公地点。其中距离最近的60m泮洋村居民点位于项目上风向，距离212m泮洋村居民区位于项目西北侧的下风向，距离233m祥谦镇人民政府位于项目东侧的侧风向，因此，周边居民点受大气污染物影响较小。</w:t>
            </w:r>
          </w:p>
          <w:p>
            <w:pPr>
              <w:pStyle w:val="8"/>
              <w:bidi w:val="0"/>
              <w:rPr>
                <w:rFonts w:hint="default"/>
                <w:lang w:val="en-US"/>
              </w:rPr>
            </w:pPr>
            <w:r>
              <w:rPr>
                <w:rFonts w:hint="default"/>
              </w:rPr>
              <w:t>项目</w:t>
            </w:r>
            <w:r>
              <w:rPr>
                <w:rFonts w:hint="eastAsia"/>
                <w:lang w:val="en-US" w:eastAsia="zh-CN"/>
              </w:rPr>
              <w:t>仅生活废水排放，无生产废水排放</w:t>
            </w:r>
            <w:r>
              <w:rPr>
                <w:rFonts w:hint="default"/>
              </w:rPr>
              <w:t>；废气</w:t>
            </w:r>
            <w:r>
              <w:rPr>
                <w:rFonts w:hint="eastAsia"/>
                <w:lang w:val="en-US" w:eastAsia="zh-CN"/>
              </w:rPr>
              <w:t>负压收集后经</w:t>
            </w:r>
            <w:r>
              <w:rPr>
                <w:rFonts w:hint="default"/>
              </w:rPr>
              <w:t>活性炭吸附处理后达标排放。项目在</w:t>
            </w:r>
            <w:r>
              <w:rPr>
                <w:rFonts w:hint="eastAsia"/>
                <w:lang w:val="en-US" w:eastAsia="zh-CN"/>
              </w:rPr>
              <w:t>收集贮存转运</w:t>
            </w:r>
            <w:r>
              <w:rPr>
                <w:rFonts w:hint="default"/>
              </w:rPr>
              <w:t>过程产生的污染物较小，经处理后可实现达标排放，对环境影响较小，项目与周围环境是相容且相互适应的。</w:t>
            </w:r>
            <w:r>
              <w:rPr>
                <w:rFonts w:hint="eastAsia"/>
                <w:lang w:val="en-US" w:eastAsia="zh-CN"/>
              </w:rPr>
              <w:t>项目通过采取合理环保措施，对环境影响较小，从环境分析角度考虑，本项目的运营选址是可行的。</w:t>
            </w:r>
          </w:p>
          <w:p>
            <w:pPr>
              <w:pStyle w:val="4"/>
              <w:numPr>
                <w:ilvl w:val="1"/>
                <w:numId w:val="4"/>
              </w:numPr>
              <w:tabs>
                <w:tab w:val="left" w:pos="420"/>
              </w:tabs>
              <w:rPr>
                <w:rFonts w:hint="default"/>
              </w:rPr>
            </w:pPr>
            <w:r>
              <w:rPr>
                <w:rFonts w:hint="eastAsia"/>
                <w:lang w:val="en-US" w:eastAsia="zh-CN"/>
              </w:rPr>
              <w:t>周边环境相容</w:t>
            </w:r>
            <w:r>
              <w:rPr>
                <w:rFonts w:hint="default"/>
                <w:lang w:val="en-US" w:eastAsia="zh-CN"/>
              </w:rPr>
              <w:t>性分析</w:t>
            </w:r>
          </w:p>
          <w:p>
            <w:pPr>
              <w:pStyle w:val="8"/>
              <w:bidi w:val="0"/>
              <w:rPr>
                <w:rFonts w:hint="default"/>
              </w:rPr>
            </w:pPr>
            <w:r>
              <w:rPr>
                <w:rFonts w:hint="default"/>
              </w:rPr>
              <w:t>根据现场勘查，项目地理位置优越，交通便捷。项目</w:t>
            </w:r>
            <w:r>
              <w:rPr>
                <w:rFonts w:hint="eastAsia"/>
                <w:lang w:val="en-US" w:eastAsia="zh-CN"/>
              </w:rPr>
              <w:t>位于福州市闽侯县青口汽车城内，属于省级汽车工业园区，园区企业主要以汽车生产基地及配套上下游企业为主，HW08类危险废物产生量较大。项目</w:t>
            </w:r>
            <w:r>
              <w:rPr>
                <w:rFonts w:hint="default"/>
              </w:rPr>
              <w:t>从事</w:t>
            </w:r>
            <w:r>
              <w:rPr>
                <w:rFonts w:hint="eastAsia"/>
                <w:lang w:val="en-US" w:eastAsia="zh-CN"/>
              </w:rPr>
              <w:t>废机油</w:t>
            </w:r>
            <w:r>
              <w:rPr>
                <w:rFonts w:hint="default"/>
              </w:rPr>
              <w:t>的收集贮存中转，</w:t>
            </w:r>
            <w:r>
              <w:rPr>
                <w:rFonts w:hint="eastAsia"/>
                <w:lang w:val="en-US" w:eastAsia="zh-CN"/>
              </w:rPr>
              <w:t>能够适应工业园区固体废物污染的环境保护措施</w:t>
            </w:r>
            <w:r>
              <w:rPr>
                <w:rFonts w:hint="default"/>
              </w:rPr>
              <w:t>。</w:t>
            </w:r>
          </w:p>
          <w:p>
            <w:pPr>
              <w:pStyle w:val="8"/>
              <w:bidi w:val="0"/>
              <w:rPr>
                <w:rFonts w:hint="default"/>
                <w:lang w:val="en-US" w:eastAsia="zh-CN"/>
              </w:rPr>
            </w:pPr>
            <w:r>
              <w:rPr>
                <w:rFonts w:hint="default"/>
              </w:rPr>
              <w:t>因此，项目</w:t>
            </w:r>
            <w:r>
              <w:rPr>
                <w:rFonts w:hint="eastAsia"/>
                <w:lang w:val="en-US" w:eastAsia="zh-CN"/>
              </w:rPr>
              <w:t>建设具有较好的环境相容性</w:t>
            </w:r>
            <w:r>
              <w:rPr>
                <w:rFonts w:hint="default"/>
              </w:rPr>
              <w:t>。</w:t>
            </w:r>
          </w:p>
        </w:tc>
      </w:tr>
    </w:tbl>
    <w:p>
      <w:pPr>
        <w:spacing w:line="360" w:lineRule="auto"/>
        <w:rPr>
          <w:rFonts w:hint="default" w:ascii="Times New Roman" w:hAnsi="Times New Roman" w:eastAsia="黑体" w:cs="Times New Roman"/>
          <w:color w:val="auto"/>
          <w:sz w:val="30"/>
          <w:highlight w:val="none"/>
        </w:rPr>
        <w:sectPr>
          <w:footerReference r:id="rId5" w:type="default"/>
          <w:pgSz w:w="11905" w:h="16838"/>
          <w:pgMar w:top="1417" w:right="1417" w:bottom="1417" w:left="1417" w:header="851" w:footer="1077" w:gutter="0"/>
          <w:pgBorders>
            <w:top w:val="none" w:sz="0" w:space="0"/>
            <w:left w:val="none" w:sz="0" w:space="0"/>
            <w:bottom w:val="none" w:sz="0" w:space="0"/>
            <w:right w:val="none" w:sz="0" w:space="0"/>
          </w:pgBorders>
          <w:pgNumType w:fmt="decimal" w:start="1"/>
          <w:cols w:space="0" w:num="1"/>
          <w:docGrid w:linePitch="312" w:charSpace="0"/>
        </w:sectPr>
      </w:pPr>
    </w:p>
    <w:p>
      <w:pPr>
        <w:pStyle w:val="3"/>
        <w:numPr>
          <w:ilvl w:val="0"/>
          <w:numId w:val="4"/>
        </w:numPr>
        <w:rPr>
          <w:rFonts w:hint="default" w:ascii="Times New Roman" w:hAnsi="Times New Roman" w:cs="Times New Roman"/>
          <w:color w:val="auto"/>
          <w:highlight w:val="none"/>
        </w:rPr>
      </w:pPr>
      <w:bookmarkStart w:id="20" w:name="_Toc2604"/>
      <w:bookmarkStart w:id="21" w:name="_Toc12393"/>
      <w:bookmarkStart w:id="22" w:name="_Toc1942"/>
      <w:bookmarkStart w:id="23" w:name="_Toc14869"/>
      <w:bookmarkStart w:id="24" w:name="_Toc14426"/>
      <w:bookmarkStart w:id="25" w:name="_Toc2862"/>
      <w:bookmarkStart w:id="26" w:name="_Toc29760"/>
      <w:bookmarkStart w:id="27" w:name="_Toc9730"/>
      <w:bookmarkStart w:id="28" w:name="_Toc22239"/>
      <w:r>
        <w:rPr>
          <w:rFonts w:hint="default" w:ascii="Times New Roman" w:hAnsi="Times New Roman" w:cs="Times New Roman"/>
          <w:color w:val="auto"/>
          <w:highlight w:val="none"/>
        </w:rPr>
        <w:t>建设项目工程分析</w:t>
      </w:r>
      <w:bookmarkEnd w:id="20"/>
      <w:bookmarkEnd w:id="21"/>
      <w:bookmarkEnd w:id="22"/>
      <w:bookmarkEnd w:id="23"/>
      <w:bookmarkEnd w:id="24"/>
      <w:bookmarkEnd w:id="25"/>
      <w:bookmarkEnd w:id="26"/>
      <w:bookmarkEnd w:id="27"/>
      <w:bookmarkEnd w:id="28"/>
    </w:p>
    <w:tbl>
      <w:tblPr>
        <w:tblStyle w:val="24"/>
        <w:tblW w:w="928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8"/>
        <w:gridCol w:w="85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31" w:hRule="atLeast"/>
          <w:jc w:val="center"/>
        </w:trPr>
        <w:tc>
          <w:tcPr>
            <w:tcW w:w="698" w:type="dxa"/>
            <w:vAlign w:val="center"/>
          </w:tcPr>
          <w:p>
            <w:pPr>
              <w:adjustRightInd w:val="0"/>
              <w:snapToGrid w:val="0"/>
              <w:spacing w:before="0" w:beforeAutospacing="0" w:after="0" w:afterAutospacing="0"/>
              <w:jc w:val="center"/>
              <w:rPr>
                <w:rFonts w:hint="default" w:ascii="Times New Roman" w:hAnsi="Times New Roman" w:cs="Times New Roman"/>
                <w:color w:val="auto"/>
                <w:sz w:val="21"/>
                <w:szCs w:val="21"/>
                <w:highlight w:val="none"/>
              </w:rPr>
            </w:pPr>
            <w:bookmarkStart w:id="29" w:name="_Hlk86096164"/>
            <w:r>
              <w:rPr>
                <w:rFonts w:hint="default" w:ascii="Times New Roman" w:hAnsi="Times New Roman" w:cs="Times New Roman"/>
                <w:color w:val="auto"/>
                <w:sz w:val="21"/>
                <w:szCs w:val="21"/>
                <w:highlight w:val="none"/>
              </w:rPr>
              <w:t>建设内容</w:t>
            </w:r>
          </w:p>
        </w:tc>
        <w:tc>
          <w:tcPr>
            <w:tcW w:w="8589" w:type="dxa"/>
          </w:tcPr>
          <w:p>
            <w:pPr>
              <w:pStyle w:val="4"/>
              <w:numPr>
                <w:ilvl w:val="1"/>
                <w:numId w:val="4"/>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项目由来</w:t>
            </w:r>
          </w:p>
          <w:p>
            <w:pPr>
              <w:pStyle w:val="8"/>
              <w:ind w:firstLine="480"/>
              <w:rPr>
                <w:rFonts w:hint="default" w:ascii="Times New Roman" w:hAnsi="Times New Roman" w:cs="Times New Roman"/>
                <w:color w:val="auto"/>
                <w:highlight w:val="none"/>
                <w:lang w:val="en-US" w:eastAsia="zh-CN"/>
              </w:rPr>
            </w:pPr>
            <w:r>
              <w:rPr>
                <w:rFonts w:hint="eastAsia" w:eastAsia="宋体" w:cs="Times New Roman"/>
                <w:color w:val="auto"/>
                <w:highlight w:val="none"/>
                <w:lang w:val="en-US" w:eastAsia="zh-CN"/>
              </w:rPr>
              <w:t>福建旺捷生态环保科技有限公司</w:t>
            </w:r>
            <w:r>
              <w:rPr>
                <w:rFonts w:hint="default" w:eastAsia="宋体" w:cs="Times New Roman"/>
                <w:color w:val="auto"/>
                <w:highlight w:val="none"/>
                <w:lang w:val="en-US" w:eastAsia="zh-CN"/>
              </w:rPr>
              <w:t>位于</w:t>
            </w:r>
            <w:r>
              <w:rPr>
                <w:rFonts w:hint="default" w:ascii="Times New Roman" w:hAnsi="Times New Roman" w:eastAsia="宋体" w:cs="Times New Roman"/>
                <w:color w:val="auto"/>
                <w:kern w:val="0"/>
                <w:sz w:val="24"/>
                <w:szCs w:val="21"/>
                <w:highlight w:val="none"/>
                <w:lang w:val="en-US" w:eastAsia="zh-CN" w:bidi="ar-SA"/>
              </w:rPr>
              <w:t>福建省</w:t>
            </w:r>
            <w:r>
              <w:rPr>
                <w:rFonts w:hint="eastAsia" w:ascii="Times New Roman" w:hAnsi="Times New Roman" w:eastAsia="宋体" w:cs="Times New Roman"/>
                <w:color w:val="auto"/>
                <w:kern w:val="0"/>
                <w:sz w:val="24"/>
                <w:szCs w:val="21"/>
                <w:highlight w:val="none"/>
                <w:lang w:val="en-US" w:eastAsia="zh-CN" w:bidi="ar-SA"/>
              </w:rPr>
              <w:t>福州</w:t>
            </w:r>
            <w:r>
              <w:rPr>
                <w:rFonts w:hint="default" w:ascii="Times New Roman" w:hAnsi="Times New Roman" w:eastAsia="宋体" w:cs="Times New Roman"/>
                <w:color w:val="auto"/>
                <w:kern w:val="0"/>
                <w:sz w:val="24"/>
                <w:szCs w:val="21"/>
                <w:highlight w:val="none"/>
                <w:lang w:val="en-US" w:eastAsia="zh-CN" w:bidi="ar-SA"/>
              </w:rPr>
              <w:t>市</w:t>
            </w:r>
            <w:r>
              <w:rPr>
                <w:rFonts w:hint="eastAsia" w:ascii="Times New Roman" w:hAnsi="Times New Roman" w:eastAsia="宋体" w:cs="Times New Roman"/>
                <w:color w:val="auto"/>
                <w:kern w:val="0"/>
                <w:sz w:val="24"/>
                <w:szCs w:val="21"/>
                <w:highlight w:val="none"/>
                <w:lang w:val="en-US" w:eastAsia="zh-CN" w:bidi="ar-SA"/>
              </w:rPr>
              <w:t>闽侯县祥谦镇泮洋村祥宏中路20号</w:t>
            </w:r>
            <w:r>
              <w:rPr>
                <w:rFonts w:hint="eastAsia" w:cs="Times New Roman"/>
                <w:color w:val="auto"/>
                <w:highlight w:val="none"/>
                <w:lang w:val="en-US" w:eastAsia="zh-CN"/>
              </w:rPr>
              <w:t>。本项目拟投资200万元，</w:t>
            </w:r>
            <w:r>
              <w:rPr>
                <w:rFonts w:hint="eastAsia"/>
                <w:lang w:val="en-US" w:eastAsia="zh-CN"/>
              </w:rPr>
              <w:t>租赁华源工艺品有限公司二期C栋1层厂房分割部分进行建设</w:t>
            </w:r>
            <w:r>
              <w:rPr>
                <w:rFonts w:hint="eastAsia" w:cs="Times New Roman"/>
                <w:color w:val="auto"/>
                <w:highlight w:val="none"/>
                <w:lang w:val="en-US" w:eastAsia="zh-CN"/>
              </w:rPr>
              <w:t>，从事废机油（危废代码：900-214-08）的收集贮存转运，年收集转运废机油8000吨</w:t>
            </w:r>
            <w:r>
              <w:rPr>
                <w:rFonts w:hint="default" w:cs="Times New Roman"/>
                <w:color w:val="auto"/>
                <w:highlight w:val="none"/>
                <w:lang w:eastAsia="zh-CN"/>
              </w:rPr>
              <w:t>。</w:t>
            </w:r>
            <w:r>
              <w:rPr>
                <w:rFonts w:hint="eastAsia" w:cs="Times New Roman"/>
                <w:color w:val="auto"/>
                <w:highlight w:val="none"/>
                <w:lang w:val="en-US" w:eastAsia="zh-CN"/>
              </w:rPr>
              <w:t>本项目属于收集、贮存、转运，属流通领域，不属于固定资产投资项目，无备案，</w:t>
            </w:r>
            <w:r>
              <w:rPr>
                <w:rFonts w:hint="eastAsia"/>
                <w:color w:val="auto"/>
                <w:highlight w:val="none"/>
              </w:rPr>
              <w:t>仅提供备案说明和信息，</w:t>
            </w:r>
            <w:r>
              <w:rPr>
                <w:rFonts w:hint="eastAsia"/>
                <w:lang w:val="en-US" w:eastAsia="zh-CN"/>
              </w:rPr>
              <w:t>详</w:t>
            </w:r>
            <w:r>
              <w:rPr>
                <w:rFonts w:hint="eastAsia" w:cs="Times New Roman"/>
                <w:color w:val="auto"/>
                <w:highlight w:val="none"/>
                <w:lang w:val="en-US" w:eastAsia="zh-CN"/>
              </w:rPr>
              <w:t>见附件2。</w:t>
            </w:r>
          </w:p>
          <w:p>
            <w:pPr>
              <w:pStyle w:val="8"/>
              <w:bidi w:val="0"/>
            </w:pPr>
            <w:r>
              <w:rPr>
                <w:rFonts w:hint="default"/>
              </w:rPr>
              <w:t>根据《中华人民共和国环境影响评价法》</w:t>
            </w:r>
            <w:r>
              <w:rPr>
                <w:rFonts w:hint="eastAsia"/>
                <w:lang w:eastAsia="zh-CN"/>
              </w:rPr>
              <w:t>（</w:t>
            </w:r>
            <w:r>
              <w:rPr>
                <w:rFonts w:hint="default"/>
              </w:rPr>
              <w:t>2018年12月29日修订</w:t>
            </w:r>
            <w:r>
              <w:rPr>
                <w:rFonts w:hint="default"/>
                <w:lang w:eastAsia="zh-CN"/>
              </w:rPr>
              <w:t>）</w:t>
            </w:r>
            <w:r>
              <w:rPr>
                <w:rFonts w:hint="default"/>
              </w:rPr>
              <w:t>、《建设项目环境影响评价分类管理名录》</w:t>
            </w:r>
            <w:r>
              <w:rPr>
                <w:rFonts w:hint="eastAsia"/>
                <w:lang w:eastAsia="zh-CN"/>
              </w:rPr>
              <w:t>（</w:t>
            </w:r>
            <w:r>
              <w:rPr>
                <w:rFonts w:hint="default"/>
              </w:rPr>
              <w:t>2021</w:t>
            </w:r>
            <w:r>
              <w:rPr>
                <w:rFonts w:hint="eastAsia"/>
                <w:lang w:eastAsia="zh-CN"/>
              </w:rPr>
              <w:t>）</w:t>
            </w:r>
            <w:r>
              <w:rPr>
                <w:rFonts w:hint="default"/>
              </w:rPr>
              <w:t>，建设项目属于</w:t>
            </w:r>
            <w:r>
              <w:rPr>
                <w:rFonts w:hint="eastAsia"/>
                <w:lang w:eastAsia="zh-CN"/>
              </w:rPr>
              <w:t>“</w:t>
            </w:r>
            <w:r>
              <w:rPr>
                <w:rFonts w:hint="eastAsia"/>
                <w:lang w:val="en-US" w:eastAsia="zh-CN"/>
              </w:rPr>
              <w:t>五十三、装卸搬运和仓储业59：149、危险品仓储594（不含加油站的油库；不含加气站的气库）：其他（含有毒、有害、危险品的仓储；含液化天然气库）</w:t>
            </w:r>
            <w:r>
              <w:rPr>
                <w:rFonts w:hint="eastAsia"/>
                <w:lang w:eastAsia="zh-CN"/>
              </w:rPr>
              <w:t>”</w:t>
            </w:r>
            <w:r>
              <w:rPr>
                <w:rFonts w:hint="default"/>
              </w:rPr>
              <w:t>，</w:t>
            </w:r>
            <w:r>
              <w:rPr>
                <w:rFonts w:hint="eastAsia"/>
                <w:lang w:val="en-US" w:eastAsia="zh-CN"/>
              </w:rPr>
              <w:t>本项目属于其他（含有毒、有害、危险品的仓储；含液化天然气库），</w:t>
            </w:r>
            <w:r>
              <w:rPr>
                <w:rFonts w:hint="eastAsia" w:eastAsia="宋体"/>
                <w:color w:val="auto"/>
                <w:sz w:val="24"/>
                <w:lang w:val="en-US" w:eastAsia="zh-CN"/>
              </w:rPr>
              <w:t>年收集</w:t>
            </w:r>
            <w:r>
              <w:rPr>
                <w:rFonts w:hint="eastAsia"/>
                <w:color w:val="auto"/>
                <w:sz w:val="24"/>
                <w:lang w:val="en-US" w:eastAsia="zh-CN"/>
              </w:rPr>
              <w:t>贮存</w:t>
            </w:r>
            <w:r>
              <w:rPr>
                <w:rFonts w:hint="eastAsia" w:eastAsia="宋体"/>
                <w:color w:val="auto"/>
                <w:sz w:val="24"/>
                <w:lang w:val="en-US" w:eastAsia="zh-CN"/>
              </w:rPr>
              <w:t>转运8000吨废机油项目</w:t>
            </w:r>
            <w:r>
              <w:rPr>
                <w:rFonts w:hint="eastAsia"/>
                <w:lang w:eastAsia="zh-CN"/>
              </w:rPr>
              <w:t>，</w:t>
            </w:r>
            <w:r>
              <w:rPr>
                <w:rFonts w:hint="default"/>
              </w:rPr>
              <w:t>应编制环境影响报告表。</w:t>
            </w:r>
            <w:r>
              <w:rPr>
                <w:rFonts w:hint="default"/>
                <w:highlight w:val="none"/>
              </w:rPr>
              <w:t>202</w:t>
            </w:r>
            <w:r>
              <w:rPr>
                <w:rFonts w:hint="eastAsia"/>
                <w:highlight w:val="none"/>
                <w:lang w:val="en-US" w:eastAsia="zh-CN"/>
              </w:rPr>
              <w:t>3</w:t>
            </w:r>
            <w:r>
              <w:rPr>
                <w:rFonts w:hint="default"/>
                <w:highlight w:val="none"/>
              </w:rPr>
              <w:t>年</w:t>
            </w:r>
            <w:r>
              <w:rPr>
                <w:rFonts w:hint="eastAsia"/>
                <w:highlight w:val="none"/>
                <w:lang w:val="en-US" w:eastAsia="zh-CN"/>
              </w:rPr>
              <w:t>6</w:t>
            </w:r>
            <w:r>
              <w:rPr>
                <w:rFonts w:hint="default"/>
                <w:highlight w:val="none"/>
              </w:rPr>
              <w:t>月</w:t>
            </w:r>
            <w:r>
              <w:rPr>
                <w:rFonts w:hint="eastAsia"/>
                <w:highlight w:val="none"/>
                <w:lang w:eastAsia="zh-CN"/>
              </w:rPr>
              <w:t>，</w:t>
            </w:r>
            <w:r>
              <w:rPr>
                <w:rFonts w:hint="eastAsia" w:eastAsia="宋体" w:cs="Times New Roman"/>
                <w:color w:val="auto"/>
                <w:highlight w:val="none"/>
                <w:lang w:val="en-US" w:eastAsia="zh-CN"/>
              </w:rPr>
              <w:t>福建旺捷生态环保科技有限公司</w:t>
            </w:r>
            <w:r>
              <w:rPr>
                <w:rFonts w:hint="default"/>
              </w:rPr>
              <w:t>委托福建省闽创环保科技有限公司对</w:t>
            </w:r>
            <w:r>
              <w:rPr>
                <w:rFonts w:hint="default"/>
                <w:lang w:val="en-US" w:eastAsia="zh-CN"/>
              </w:rPr>
              <w:t>该建设</w:t>
            </w:r>
            <w:r>
              <w:rPr>
                <w:rFonts w:hint="default"/>
              </w:rPr>
              <w:t>项目进行环境影响评价（委托书详见附件1）</w:t>
            </w:r>
            <w:r>
              <w:rPr>
                <w:rFonts w:hint="default"/>
                <w:lang w:eastAsia="zh-CN"/>
              </w:rPr>
              <w:t>。</w:t>
            </w:r>
          </w:p>
          <w:p>
            <w:pPr>
              <w:pStyle w:val="30"/>
            </w:pPr>
            <w:r>
              <w:rPr>
                <w:rFonts w:hint="eastAsia"/>
                <w:lang w:val="en-US" w:eastAsia="zh-CN"/>
              </w:rPr>
              <w:t>建设项目环境影响评价分类管理目录（摘录）</w:t>
            </w:r>
          </w:p>
          <w:tbl>
            <w:tblPr>
              <w:tblStyle w:val="25"/>
              <w:tblW w:w="8098" w:type="dxa"/>
              <w:jc w:val="center"/>
              <w:tblBorders>
                <w:top w:val="single" w:color="000000" w:themeColor="text1" w:sz="8" w:space="0"/>
                <w:left w:val="none" w:color="auto" w:sz="0" w:space="0"/>
                <w:bottom w:val="single" w:color="000000" w:themeColor="text1" w:sz="8" w:space="0"/>
                <w:right w:val="none" w:color="auto" w:sz="0" w:space="0"/>
                <w:insideH w:val="none" w:color="auto" w:sz="0" w:space="0"/>
                <w:insideV w:val="single" w:color="000000" w:themeColor="text1" w:sz="8" w:space="0"/>
              </w:tblBorders>
              <w:tblLayout w:type="fixed"/>
              <w:tblCellMar>
                <w:top w:w="0" w:type="dxa"/>
                <w:left w:w="108" w:type="dxa"/>
                <w:bottom w:w="0" w:type="dxa"/>
                <w:right w:w="108" w:type="dxa"/>
              </w:tblCellMar>
            </w:tblPr>
            <w:tblGrid>
              <w:gridCol w:w="673"/>
              <w:gridCol w:w="2187"/>
              <w:gridCol w:w="2240"/>
              <w:gridCol w:w="2100"/>
              <w:gridCol w:w="898"/>
            </w:tblGrid>
            <w:tr>
              <w:tblPrEx>
                <w:tblBorders>
                  <w:top w:val="single" w:color="000000" w:themeColor="text1" w:sz="8" w:space="0"/>
                  <w:left w:val="none" w:color="auto" w:sz="0" w:space="0"/>
                  <w:bottom w:val="single" w:color="000000" w:themeColor="text1" w:sz="8" w:space="0"/>
                  <w:right w:val="none" w:color="auto" w:sz="0" w:space="0"/>
                  <w:insideH w:val="none" w:color="auto" w:sz="0" w:space="0"/>
                  <w:insideV w:val="single" w:color="000000" w:themeColor="text1" w:sz="8" w:space="0"/>
                </w:tblBorders>
                <w:tblCellMar>
                  <w:top w:w="0" w:type="dxa"/>
                  <w:left w:w="108" w:type="dxa"/>
                  <w:bottom w:w="0" w:type="dxa"/>
                  <w:right w:w="108" w:type="dxa"/>
                </w:tblCellMar>
              </w:tblPrEx>
              <w:trPr>
                <w:trHeight w:val="628" w:hRule="atLeast"/>
                <w:jc w:val="center"/>
              </w:trPr>
              <w:tc>
                <w:tcPr>
                  <w:tcW w:w="2860" w:type="dxa"/>
                  <w:gridSpan w:val="2"/>
                  <w:tcBorders>
                    <w:bottom w:val="single" w:color="auto" w:sz="4" w:space="0"/>
                    <w:tl2br w:val="nil"/>
                    <w:tr2bl w:val="nil"/>
                  </w:tcBorders>
                  <w:shd w:val="clear" w:color="auto" w:fill="FFFFFF"/>
                  <w:vAlign w:val="center"/>
                  <mc:AlternateContent>
                    <mc:Choice Requires="wpsCustomData">
                      <wpsCustomData:diagonals>
                        <wpsCustomData:diagonal from="10000" to="30000">
                          <wpsCustomData:border w:val="single" w:color="000000" w:themeColor="text1" w:sz="8" w:space="0"/>
                        </wpsCustomData:diagonal>
                      </wpsCustomData:diagonals>
                    </mc:Choice>
                  </mc:AlternateContent>
                </w:tcPr>
                <w:p>
                  <w:pPr>
                    <w:pStyle w:val="31"/>
                    <w:snapToGrid w:val="0"/>
                    <w:rPr>
                      <w:rFonts w:hint="eastAsia"/>
                      <w:color w:val="000000"/>
                      <w:lang w:val="en-US" w:eastAsia="zh-CN"/>
                    </w:rPr>
                  </w:pPr>
                </w:p>
                <w:p>
                  <w:pPr>
                    <w:pStyle w:val="31"/>
                    <w:snapToGrid w:val="0"/>
                    <mc:AlternateContent>
                      <mc:Choice Requires="wpsCustomData">
                        <wpsCustomData:diagonalParaType/>
                      </mc:Choice>
                    </mc:AlternateContent>
                    <w:rPr>
                      <w:rFonts w:hint="default"/>
                      <w:color w:val="000000"/>
                      <w:lang w:val="en-US" w:eastAsia="zh-CN"/>
                    </w:rPr>
                  </w:pPr>
                  <w:r>
                    <w:rPr>
                      <w:rFonts w:hint="eastAsia"/>
                      <w:color w:val="000000"/>
                      <w:lang w:val="en-US" w:eastAsia="zh-CN"/>
                    </w:rPr>
                    <w:t>项目类别</w:t>
                  </w:r>
                </w:p>
                <w:p>
                  <w:pPr>
                    <w:pStyle w:val="31"/>
                    <w:rPr>
                      <w:rFonts w:hint="default"/>
                      <w:color w:val="000000"/>
                      <w:lang w:val="en-US" w:eastAsia="zh-CN"/>
                    </w:rPr>
                  </w:pPr>
                  <w:r>
                    <w:rPr>
                      <w:rFonts w:hint="eastAsia"/>
                      <w:color w:val="000000"/>
                      <w:lang w:val="en-US" w:eastAsia="zh-CN"/>
                    </w:rPr>
                    <w:t>环评类别</w:t>
                  </w:r>
                </w:p>
              </w:tc>
              <w:tc>
                <w:tcPr>
                  <w:tcW w:w="2240" w:type="dxa"/>
                  <w:tcBorders>
                    <w:bottom w:val="single" w:color="auto" w:sz="4" w:space="0"/>
                    <w:tl2br w:val="nil"/>
                    <w:tr2bl w:val="nil"/>
                  </w:tcBorders>
                  <w:shd w:val="clear" w:color="auto" w:fill="FFFFFF"/>
                  <w:vAlign w:val="center"/>
                </w:tcPr>
                <w:p>
                  <w:pPr>
                    <w:pStyle w:val="31"/>
                    <w:rPr>
                      <w:rFonts w:hint="default"/>
                      <w:color w:val="000000"/>
                      <w:lang w:val="en-US" w:eastAsia="zh-CN"/>
                    </w:rPr>
                  </w:pPr>
                  <w:r>
                    <w:rPr>
                      <w:rFonts w:hint="eastAsia"/>
                      <w:color w:val="000000"/>
                      <w:lang w:val="en-US" w:eastAsia="zh-CN"/>
                    </w:rPr>
                    <w:t>报告书</w:t>
                  </w:r>
                </w:p>
              </w:tc>
              <w:tc>
                <w:tcPr>
                  <w:tcW w:w="2100" w:type="dxa"/>
                  <w:tcBorders>
                    <w:bottom w:val="single" w:color="auto" w:sz="4" w:space="0"/>
                    <w:tl2br w:val="nil"/>
                    <w:tr2bl w:val="nil"/>
                  </w:tcBorders>
                  <w:shd w:val="clear" w:color="auto" w:fill="FFFFFF"/>
                  <w:vAlign w:val="center"/>
                </w:tcPr>
                <w:p>
                  <w:pPr>
                    <w:pStyle w:val="31"/>
                    <w:rPr>
                      <w:rFonts w:hint="default"/>
                      <w:color w:val="000000"/>
                      <w:lang w:val="en-US" w:eastAsia="zh-CN"/>
                    </w:rPr>
                  </w:pPr>
                  <w:r>
                    <w:rPr>
                      <w:rFonts w:hint="eastAsia"/>
                      <w:b/>
                      <w:bCs/>
                      <w:color w:val="000000"/>
                      <w:lang w:val="en-US" w:eastAsia="zh-CN"/>
                    </w:rPr>
                    <w:t>报告表</w:t>
                  </w:r>
                </w:p>
              </w:tc>
              <w:tc>
                <w:tcPr>
                  <w:tcW w:w="898" w:type="dxa"/>
                  <w:tcBorders>
                    <w:bottom w:val="single" w:color="auto" w:sz="4" w:space="0"/>
                    <w:tl2br w:val="nil"/>
                    <w:tr2bl w:val="nil"/>
                  </w:tcBorders>
                  <w:shd w:val="clear" w:color="auto" w:fill="FFFFFF"/>
                  <w:vAlign w:val="center"/>
                </w:tcPr>
                <w:p>
                  <w:pPr>
                    <w:pStyle w:val="31"/>
                    <w:rPr>
                      <w:rFonts w:hint="default"/>
                      <w:color w:val="000000"/>
                      <w:lang w:eastAsia="zh-CN"/>
                    </w:rPr>
                  </w:pPr>
                  <w:r>
                    <w:rPr>
                      <w:rFonts w:hint="eastAsia"/>
                      <w:color w:val="000000"/>
                      <w:lang w:val="en-US" w:eastAsia="zh-CN"/>
                    </w:rPr>
                    <w:t>登记表</w:t>
                  </w:r>
                </w:p>
              </w:tc>
            </w:tr>
            <w:tr>
              <w:tblPrEx>
                <w:tblBorders>
                  <w:top w:val="single" w:color="000000" w:themeColor="text1" w:sz="8" w:space="0"/>
                  <w:left w:val="none" w:color="auto" w:sz="0" w:space="0"/>
                  <w:bottom w:val="single" w:color="000000" w:themeColor="text1" w:sz="8" w:space="0"/>
                  <w:right w:val="none" w:color="auto" w:sz="0" w:space="0"/>
                  <w:insideH w:val="none" w:color="auto" w:sz="0" w:space="0"/>
                  <w:insideV w:val="single" w:color="000000" w:themeColor="text1" w:sz="8" w:space="0"/>
                </w:tblBorders>
                <w:tblCellMar>
                  <w:top w:w="0" w:type="dxa"/>
                  <w:left w:w="108" w:type="dxa"/>
                  <w:bottom w:w="0" w:type="dxa"/>
                  <w:right w:w="108" w:type="dxa"/>
                </w:tblCellMar>
              </w:tblPrEx>
              <w:trPr>
                <w:trHeight w:val="381" w:hRule="atLeast"/>
                <w:jc w:val="center"/>
              </w:trPr>
              <w:tc>
                <w:tcPr>
                  <w:tcW w:w="8098" w:type="dxa"/>
                  <w:gridSpan w:val="5"/>
                  <w:tcBorders>
                    <w:top w:val="single" w:color="auto" w:sz="4" w:space="0"/>
                    <w:bottom w:val="single" w:color="auto" w:sz="4" w:space="0"/>
                  </w:tcBorders>
                  <w:shd w:val="clear" w:color="auto" w:fill="FFFFFF" w:themeFill="background1"/>
                  <w:vAlign w:val="center"/>
                </w:tcPr>
                <w:p>
                  <w:pPr>
                    <w:pStyle w:val="31"/>
                    <w:jc w:val="left"/>
                    <w:rPr>
                      <w:rFonts w:hint="default"/>
                      <w:color w:val="000000"/>
                      <w:lang w:val="en-US" w:eastAsia="zh-CN"/>
                    </w:rPr>
                  </w:pPr>
                  <w:r>
                    <w:rPr>
                      <w:rFonts w:hint="eastAsia"/>
                      <w:color w:val="000000"/>
                      <w:lang w:val="en-US" w:eastAsia="zh-CN"/>
                    </w:rPr>
                    <w:t>五十三、装卸搬运和仓储业59</w:t>
                  </w:r>
                </w:p>
              </w:tc>
            </w:tr>
            <w:tr>
              <w:tblPrEx>
                <w:tblBorders>
                  <w:top w:val="single" w:color="000000" w:themeColor="text1" w:sz="8" w:space="0"/>
                  <w:left w:val="none" w:color="auto" w:sz="0" w:space="0"/>
                  <w:bottom w:val="single" w:color="000000" w:themeColor="text1" w:sz="8" w:space="0"/>
                  <w:right w:val="none" w:color="auto" w:sz="0" w:space="0"/>
                  <w:insideH w:val="none" w:color="auto" w:sz="0" w:space="0"/>
                  <w:insideV w:val="single" w:color="000000" w:themeColor="text1" w:sz="8" w:space="0"/>
                </w:tblBorders>
                <w:tblCellMar>
                  <w:top w:w="0" w:type="dxa"/>
                  <w:left w:w="108" w:type="dxa"/>
                  <w:bottom w:w="0" w:type="dxa"/>
                  <w:right w:w="108" w:type="dxa"/>
                </w:tblCellMar>
              </w:tblPrEx>
              <w:trPr>
                <w:trHeight w:val="1393" w:hRule="atLeast"/>
                <w:jc w:val="center"/>
              </w:trPr>
              <w:tc>
                <w:tcPr>
                  <w:tcW w:w="673" w:type="dxa"/>
                  <w:tcBorders>
                    <w:top w:val="single" w:color="auto" w:sz="4" w:space="0"/>
                    <w:tl2br w:val="nil"/>
                    <w:tr2bl w:val="nil"/>
                  </w:tcBorders>
                  <w:shd w:val="clear" w:color="auto" w:fill="FFFFFF"/>
                  <w:vAlign w:val="center"/>
                </w:tcPr>
                <w:p>
                  <w:pPr>
                    <w:pStyle w:val="31"/>
                    <w:rPr>
                      <w:rFonts w:hint="default"/>
                      <w:color w:val="000000"/>
                      <w:lang w:val="en-US" w:eastAsia="zh-CN"/>
                    </w:rPr>
                  </w:pPr>
                  <w:r>
                    <w:rPr>
                      <w:rFonts w:hint="eastAsia"/>
                      <w:color w:val="000000"/>
                      <w:lang w:val="en-US" w:eastAsia="zh-CN"/>
                    </w:rPr>
                    <w:t>149.</w:t>
                  </w:r>
                </w:p>
              </w:tc>
              <w:tc>
                <w:tcPr>
                  <w:tcW w:w="2187" w:type="dxa"/>
                  <w:tcBorders>
                    <w:top w:val="single" w:color="auto" w:sz="4" w:space="0"/>
                    <w:tl2br w:val="nil"/>
                    <w:tr2bl w:val="nil"/>
                  </w:tcBorders>
                  <w:shd w:val="clear" w:color="auto" w:fill="FFFFFF"/>
                  <w:vAlign w:val="center"/>
                </w:tcPr>
                <w:p>
                  <w:pPr>
                    <w:pStyle w:val="31"/>
                    <w:rPr>
                      <w:rFonts w:hint="default"/>
                      <w:color w:val="000000"/>
                      <w:lang w:val="en-US" w:eastAsia="zh-CN"/>
                    </w:rPr>
                  </w:pPr>
                  <w:r>
                    <w:rPr>
                      <w:rFonts w:hint="eastAsia"/>
                      <w:color w:val="000000"/>
                      <w:lang w:val="en-US" w:eastAsia="zh-CN"/>
                    </w:rPr>
                    <w:t>危险品仓储594（不含加油站的油库；不含加气站的气库）</w:t>
                  </w:r>
                </w:p>
              </w:tc>
              <w:tc>
                <w:tcPr>
                  <w:tcW w:w="2240" w:type="dxa"/>
                  <w:tcBorders>
                    <w:top w:val="single" w:color="auto" w:sz="4" w:space="0"/>
                    <w:tl2br w:val="nil"/>
                    <w:tr2bl w:val="nil"/>
                  </w:tcBorders>
                  <w:shd w:val="clear" w:color="auto" w:fill="FFFFFF"/>
                  <w:vAlign w:val="center"/>
                </w:tcPr>
                <w:p>
                  <w:pPr>
                    <w:pStyle w:val="31"/>
                    <w:rPr>
                      <w:rFonts w:hint="eastAsia" w:eastAsia="宋体"/>
                      <w:color w:val="000000"/>
                      <w:lang w:eastAsia="zh-CN"/>
                    </w:rPr>
                  </w:pPr>
                  <w:r>
                    <w:rPr>
                      <w:rFonts w:hint="eastAsia"/>
                      <w:color w:val="000000"/>
                    </w:rPr>
                    <w:t>总容量20万立方米及以上的油库（含油品码头后方配套油库）；地下油库；地下气库</w:t>
                  </w:r>
                </w:p>
              </w:tc>
              <w:tc>
                <w:tcPr>
                  <w:tcW w:w="2100" w:type="dxa"/>
                  <w:tcBorders>
                    <w:top w:val="single" w:color="auto" w:sz="4" w:space="0"/>
                    <w:tl2br w:val="nil"/>
                    <w:tr2bl w:val="nil"/>
                  </w:tcBorders>
                  <w:shd w:val="clear" w:color="auto" w:fill="FFFFFF"/>
                  <w:vAlign w:val="center"/>
                </w:tcPr>
                <w:p>
                  <w:pPr>
                    <w:pStyle w:val="31"/>
                    <w:rPr>
                      <w:rFonts w:hint="default"/>
                      <w:color w:val="000000"/>
                      <w:lang w:eastAsia="zh-CN"/>
                    </w:rPr>
                  </w:pPr>
                  <w:r>
                    <w:rPr>
                      <w:rFonts w:hint="eastAsia"/>
                      <w:b/>
                      <w:bCs/>
                      <w:color w:val="000000"/>
                    </w:rPr>
                    <w:t>其他（含有毒、有害、危险品的仓储；含液化天然气库）</w:t>
                  </w:r>
                </w:p>
              </w:tc>
              <w:tc>
                <w:tcPr>
                  <w:tcW w:w="898" w:type="dxa"/>
                  <w:tcBorders>
                    <w:top w:val="single" w:color="auto" w:sz="4" w:space="0"/>
                    <w:tl2br w:val="nil"/>
                    <w:tr2bl w:val="nil"/>
                  </w:tcBorders>
                  <w:shd w:val="clear" w:color="auto" w:fill="FFFFFF"/>
                  <w:vAlign w:val="center"/>
                </w:tcPr>
                <w:p>
                  <w:pPr>
                    <w:pStyle w:val="31"/>
                    <w:rPr>
                      <w:rFonts w:hint="default"/>
                      <w:color w:val="000000"/>
                      <w:lang w:val="en-US" w:eastAsia="zh-CN"/>
                    </w:rPr>
                  </w:pPr>
                  <w:r>
                    <w:rPr>
                      <w:rFonts w:hint="eastAsia"/>
                      <w:color w:val="000000"/>
                      <w:lang w:val="en-US" w:eastAsia="zh-CN"/>
                    </w:rPr>
                    <w:t>/</w:t>
                  </w:r>
                </w:p>
              </w:tc>
            </w:tr>
          </w:tbl>
          <w:p>
            <w:pPr>
              <w:pStyle w:val="4"/>
              <w:numPr>
                <w:ilvl w:val="1"/>
                <w:numId w:val="0"/>
              </w:numPr>
              <w:tabs>
                <w:tab w:val="left" w:pos="420"/>
              </w:tabs>
              <w:ind w:leftChars="0"/>
              <w:rPr>
                <w:rFonts w:hint="default" w:ascii="Times New Roman" w:hAnsi="Times New Roman" w:cs="Times New Roman"/>
                <w:color w:val="auto"/>
                <w:highlight w:val="none"/>
              </w:rPr>
            </w:pPr>
          </w:p>
          <w:p>
            <w:pPr>
              <w:pStyle w:val="4"/>
              <w:numPr>
                <w:ilvl w:val="1"/>
                <w:numId w:val="4"/>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项目概况</w:t>
            </w:r>
          </w:p>
          <w:p>
            <w:pPr>
              <w:pStyle w:val="8"/>
              <w:ind w:firstLine="48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项目名称：</w:t>
            </w:r>
            <w:r>
              <w:rPr>
                <w:rFonts w:hint="eastAsia" w:eastAsia="宋体"/>
                <w:color w:val="auto"/>
                <w:sz w:val="24"/>
                <w:lang w:val="en-US" w:eastAsia="zh-CN"/>
              </w:rPr>
              <w:t>年收集转运8000吨废矿物油、废机油项目</w:t>
            </w:r>
            <w:r>
              <w:rPr>
                <w:rFonts w:hint="eastAsia" w:cs="Times New Roman"/>
                <w:color w:val="auto"/>
                <w:highlight w:val="none"/>
                <w:lang w:val="en-US" w:eastAsia="zh-CN"/>
              </w:rPr>
              <w:t>；</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w:t>
            </w:r>
            <w:r>
              <w:rPr>
                <w:rFonts w:hint="eastAsia"/>
                <w:color w:val="auto"/>
                <w:sz w:val="24"/>
              </w:rPr>
              <w:t>福建旺捷生态环保科技有限公司</w:t>
            </w:r>
            <w:r>
              <w:rPr>
                <w:rFonts w:hint="eastAsia" w:cs="Times New Roman"/>
                <w:color w:val="auto"/>
                <w:highlight w:val="none"/>
                <w:lang w:val="en-US" w:eastAsia="zh-CN"/>
              </w:rPr>
              <w:t>；</w:t>
            </w:r>
          </w:p>
          <w:p>
            <w:pPr>
              <w:pStyle w:val="8"/>
              <w:ind w:firstLine="48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建设地点：</w:t>
            </w:r>
            <w:r>
              <w:rPr>
                <w:rFonts w:hint="default" w:ascii="Times New Roman" w:hAnsi="Times New Roman" w:eastAsia="宋体" w:cs="Times New Roman"/>
                <w:color w:val="auto"/>
                <w:kern w:val="0"/>
                <w:sz w:val="24"/>
                <w:szCs w:val="21"/>
                <w:highlight w:val="none"/>
                <w:lang w:val="en-US" w:eastAsia="zh-CN" w:bidi="ar-SA"/>
              </w:rPr>
              <w:t>福建省</w:t>
            </w:r>
            <w:r>
              <w:rPr>
                <w:rFonts w:hint="eastAsia" w:ascii="Times New Roman" w:hAnsi="Times New Roman" w:eastAsia="宋体" w:cs="Times New Roman"/>
                <w:color w:val="auto"/>
                <w:kern w:val="0"/>
                <w:sz w:val="24"/>
                <w:szCs w:val="21"/>
                <w:highlight w:val="none"/>
                <w:lang w:val="en-US" w:eastAsia="zh-CN" w:bidi="ar-SA"/>
              </w:rPr>
              <w:t>福州</w:t>
            </w:r>
            <w:r>
              <w:rPr>
                <w:rFonts w:hint="default" w:ascii="Times New Roman" w:hAnsi="Times New Roman" w:eastAsia="宋体" w:cs="Times New Roman"/>
                <w:color w:val="auto"/>
                <w:kern w:val="0"/>
                <w:sz w:val="24"/>
                <w:szCs w:val="21"/>
                <w:highlight w:val="none"/>
                <w:lang w:val="en-US" w:eastAsia="zh-CN" w:bidi="ar-SA"/>
              </w:rPr>
              <w:t>市</w:t>
            </w:r>
            <w:r>
              <w:rPr>
                <w:rFonts w:hint="eastAsia" w:ascii="Times New Roman" w:hAnsi="Times New Roman" w:eastAsia="宋体" w:cs="Times New Roman"/>
                <w:color w:val="auto"/>
                <w:kern w:val="0"/>
                <w:sz w:val="24"/>
                <w:szCs w:val="21"/>
                <w:highlight w:val="none"/>
                <w:lang w:val="en-US" w:eastAsia="zh-CN" w:bidi="ar-SA"/>
              </w:rPr>
              <w:t>闽侯县祥谦镇泮洋村祥宏中路20号</w:t>
            </w:r>
            <w:r>
              <w:rPr>
                <w:rFonts w:hint="eastAsia" w:cs="Times New Roman"/>
                <w:color w:val="auto"/>
                <w:highlight w:val="none"/>
                <w:lang w:eastAsia="zh-CN"/>
              </w:rPr>
              <w:t>；</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项目投资：</w:t>
            </w:r>
            <w:r>
              <w:rPr>
                <w:rFonts w:hint="eastAsia" w:cs="Times New Roman"/>
                <w:color w:val="auto"/>
                <w:highlight w:val="none"/>
                <w:lang w:val="en-US" w:eastAsia="zh-CN"/>
              </w:rPr>
              <w:t>200万元</w:t>
            </w:r>
            <w:r>
              <w:rPr>
                <w:rFonts w:hint="default" w:ascii="Times New Roman" w:hAnsi="Times New Roman" w:cs="Times New Roman"/>
                <w:color w:val="auto"/>
                <w:highlight w:val="none"/>
              </w:rPr>
              <w:t>；</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职工人数：</w:t>
            </w:r>
            <w:r>
              <w:rPr>
                <w:rFonts w:hint="eastAsia" w:cs="Times New Roman"/>
                <w:color w:val="auto"/>
                <w:highlight w:val="none"/>
                <w:lang w:val="en-US" w:eastAsia="zh-CN"/>
              </w:rPr>
              <w:t>6人，均不住厂</w:t>
            </w:r>
            <w:r>
              <w:rPr>
                <w:rFonts w:hint="default" w:ascii="Times New Roman" w:hAnsi="Times New Roman" w:cs="Times New Roman"/>
                <w:color w:val="auto"/>
                <w:highlight w:val="none"/>
              </w:rPr>
              <w:t>；</w:t>
            </w:r>
          </w:p>
          <w:p>
            <w:pPr>
              <w:pStyle w:val="8"/>
              <w:ind w:firstLine="480"/>
              <w:rPr>
                <w:rFonts w:hint="default" w:ascii="Times New Roman" w:hAnsi="Times New Roman" w:eastAsia="宋体" w:cs="Times New Roman"/>
                <w:color w:val="auto"/>
                <w:highlight w:val="none"/>
                <w:lang w:val="en-US" w:eastAsia="zh-CN"/>
              </w:rPr>
            </w:pPr>
            <w:r>
              <w:rPr>
                <w:rFonts w:hint="eastAsia"/>
                <w:lang w:val="en-US" w:eastAsia="zh-CN"/>
              </w:rPr>
              <w:t>项目性质：新建；</w:t>
            </w:r>
          </w:p>
          <w:p>
            <w:pPr>
              <w:pStyle w:val="8"/>
              <w:ind w:firstLine="48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工作制度：</w:t>
            </w:r>
            <w:r>
              <w:rPr>
                <w:rFonts w:hint="eastAsia" w:cs="Times New Roman"/>
                <w:color w:val="auto"/>
                <w:highlight w:val="none"/>
                <w:lang w:val="en-US" w:eastAsia="zh-CN"/>
              </w:rPr>
              <w:t>年产330天，每天8h；</w:t>
            </w:r>
          </w:p>
          <w:p>
            <w:pPr>
              <w:pStyle w:val="8"/>
              <w:ind w:firstLine="480"/>
              <w:rPr>
                <w:rFonts w:hint="default" w:eastAsia="宋体" w:cs="Times New Roman"/>
                <w:color w:val="auto"/>
                <w:highlight w:val="none"/>
                <w:lang w:val="en-US" w:eastAsia="zh-CN"/>
              </w:rPr>
            </w:pPr>
            <w:r>
              <w:rPr>
                <w:rFonts w:hint="default" w:ascii="Times New Roman" w:hAnsi="Times New Roman" w:cs="Times New Roman"/>
                <w:color w:val="auto"/>
                <w:highlight w:val="none"/>
              </w:rPr>
              <w:t>建设内容及规模：</w:t>
            </w:r>
            <w:r>
              <w:rPr>
                <w:rFonts w:hint="eastAsia" w:cs="Times New Roman"/>
                <w:color w:val="auto"/>
                <w:highlight w:val="none"/>
                <w:lang w:val="en-US" w:eastAsia="zh-CN"/>
              </w:rPr>
              <w:t>项目占地面积为1030m²，</w:t>
            </w:r>
            <w:r>
              <w:rPr>
                <w:rFonts w:hint="eastAsia"/>
                <w:lang w:val="en-US" w:eastAsia="zh-CN"/>
              </w:rPr>
              <w:t>租赁福建省闽侯县华源工艺品有限公司二期C栋1层厂房分割部分</w:t>
            </w:r>
            <w:r>
              <w:rPr>
                <w:rFonts w:hint="eastAsia" w:cs="Times New Roman"/>
                <w:color w:val="auto"/>
                <w:highlight w:val="none"/>
                <w:lang w:val="en-US" w:eastAsia="zh-CN"/>
              </w:rPr>
              <w:t>进行建设，形成年收集贮存转运废机油8000吨</w:t>
            </w:r>
            <w:r>
              <w:rPr>
                <w:rFonts w:hint="eastAsia"/>
                <w:lang w:val="en-US" w:eastAsia="zh-CN"/>
              </w:rPr>
              <w:t>（危废代码：900-214-08）。</w:t>
            </w:r>
          </w:p>
          <w:p>
            <w:pPr>
              <w:pStyle w:val="8"/>
              <w:ind w:firstLine="480"/>
              <w:rPr>
                <w:rFonts w:hint="default" w:cs="Times New Roman"/>
                <w:color w:val="auto"/>
                <w:highlight w:val="none"/>
                <w:lang w:val="en-US" w:eastAsia="zh-CN"/>
              </w:rPr>
            </w:pPr>
            <w:r>
              <w:rPr>
                <w:rFonts w:hint="eastAsia" w:cs="Times New Roman"/>
                <w:color w:val="auto"/>
                <w:highlight w:val="none"/>
                <w:lang w:val="en-US" w:eastAsia="zh-CN"/>
              </w:rPr>
              <w:t>收集范围：</w:t>
            </w:r>
            <w:r>
              <w:rPr>
                <w:rFonts w:hint="default"/>
                <w:lang w:val="en-US"/>
              </w:rPr>
              <w:t>福州市及其辖区范围内的企业</w:t>
            </w:r>
          </w:p>
          <w:p>
            <w:pPr>
              <w:pStyle w:val="4"/>
              <w:numPr>
                <w:ilvl w:val="1"/>
                <w:numId w:val="4"/>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项目建设内容</w:t>
            </w:r>
            <w:r>
              <w:rPr>
                <w:rFonts w:hint="default" w:ascii="Times New Roman" w:hAnsi="Times New Roman" w:cs="Times New Roman"/>
                <w:color w:val="auto"/>
                <w:highlight w:val="none"/>
              </w:rPr>
              <w:drawing>
                <wp:inline distT="0" distB="0" distL="114300" distR="114300">
                  <wp:extent cx="635" cy="0"/>
                  <wp:effectExtent l="0" t="0" r="0" b="0"/>
                  <wp:docPr id="16" name="图片 15" descr="C:/Users/Dell/AppData/Local/Temp/picturecompress_20220307141540/output_4.jpgoutpu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C:/Users/Dell/AppData/Local/Temp/picturecompress_20220307141540/output_4.jpgoutput_4"/>
                          <pic:cNvPicPr>
                            <a:picLocks noChangeAspect="1"/>
                          </pic:cNvPicPr>
                        </pic:nvPicPr>
                        <pic:blipFill>
                          <a:blip r:embed="rId14"/>
                          <a:stretch>
                            <a:fillRect/>
                          </a:stretch>
                        </pic:blipFill>
                        <pic:spPr>
                          <a:xfrm>
                            <a:off x="0" y="0"/>
                            <a:ext cx="635" cy="0"/>
                          </a:xfrm>
                          <a:prstGeom prst="rect">
                            <a:avLst/>
                          </a:prstGeom>
                          <a:noFill/>
                          <a:ln>
                            <a:noFill/>
                          </a:ln>
                        </pic:spPr>
                      </pic:pic>
                    </a:graphicData>
                  </a:graphic>
                </wp:inline>
              </w:drawing>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w:t>
            </w:r>
            <w:r>
              <w:rPr>
                <w:rFonts w:hint="eastAsia"/>
                <w:lang w:val="en-US" w:eastAsia="zh-CN"/>
              </w:rPr>
              <w:t>租赁福建省闽侯县华源工艺品有限公司二期C栋1层厂房分割部分进行建设</w:t>
            </w:r>
            <w:r>
              <w:rPr>
                <w:rFonts w:hint="default" w:ascii="Times New Roman" w:hAnsi="Times New Roman" w:cs="Times New Roman"/>
                <w:color w:val="auto"/>
                <w:highlight w:val="none"/>
              </w:rPr>
              <w:t>，建设内容</w:t>
            </w:r>
            <w:r>
              <w:rPr>
                <w:rFonts w:hint="eastAsia" w:cs="Times New Roman"/>
                <w:color w:val="auto"/>
                <w:highlight w:val="none"/>
                <w:lang w:val="en-US" w:eastAsia="zh-CN"/>
              </w:rPr>
              <w:t>为储油罐及配套设施。</w:t>
            </w:r>
            <w:r>
              <w:rPr>
                <w:rFonts w:hint="default" w:ascii="Times New Roman" w:hAnsi="Times New Roman" w:cs="Times New Roman"/>
                <w:color w:val="auto"/>
                <w:highlight w:val="none"/>
              </w:rPr>
              <w:t>工程组成</w:t>
            </w:r>
            <w:r>
              <w:rPr>
                <w:rFonts w:hint="eastAsia" w:cs="Times New Roman"/>
                <w:color w:val="auto"/>
                <w:highlight w:val="none"/>
                <w:lang w:val="en-US" w:eastAsia="zh-CN"/>
              </w:rPr>
              <w:t>及建设内容</w:t>
            </w:r>
            <w:r>
              <w:rPr>
                <w:rFonts w:hint="default" w:ascii="Times New Roman" w:hAnsi="Times New Roman" w:cs="Times New Roman"/>
                <w:color w:val="auto"/>
                <w:highlight w:val="none"/>
              </w:rPr>
              <w:t>见</w:t>
            </w:r>
            <w:r>
              <w:rPr>
                <w:rFonts w:hint="default" w:ascii="Times New Roman" w:hAnsi="Times New Roman" w:cs="Times New Roman"/>
                <w:color w:val="auto"/>
                <w:highlight w:val="none"/>
                <w:lang w:val="en-US"/>
              </w:rPr>
              <w:fldChar w:fldCharType="begin"/>
            </w:r>
            <w:r>
              <w:rPr>
                <w:rFonts w:hint="default" w:ascii="Times New Roman" w:hAnsi="Times New Roman" w:cs="Times New Roman"/>
                <w:color w:val="auto"/>
                <w:highlight w:val="none"/>
                <w:lang w:val="en-US"/>
              </w:rPr>
              <w:instrText xml:space="preserve">REF_Ref5649\r\h</w:instrText>
            </w:r>
            <w:r>
              <w:rPr>
                <w:rFonts w:hint="default" w:ascii="Times New Roman" w:hAnsi="Times New Roman" w:cs="Times New Roman"/>
                <w:color w:val="auto"/>
                <w:highlight w:val="none"/>
                <w:lang w:val="en-US"/>
              </w:rPr>
              <w:fldChar w:fldCharType="separate"/>
            </w:r>
            <w:r>
              <w:rPr>
                <w:rFonts w:hint="default" w:ascii="Times New Roman" w:hAnsi="Times New Roman" w:cs="Times New Roman"/>
                <w:color w:val="auto"/>
                <w:highlight w:val="none"/>
                <w:lang w:val="en-US"/>
              </w:rPr>
              <w:t>表10</w:t>
            </w:r>
            <w:r>
              <w:rPr>
                <w:rFonts w:hint="default" w:ascii="Times New Roman" w:hAnsi="Times New Roman" w:cs="Times New Roman"/>
                <w:color w:val="auto"/>
                <w:highlight w:val="none"/>
                <w:lang w:val="en-US"/>
              </w:rPr>
              <w:fldChar w:fldCharType="end"/>
            </w:r>
            <w:r>
              <w:rPr>
                <w:rFonts w:hint="default" w:ascii="Times New Roman" w:hAnsi="Times New Roman" w:cs="Times New Roman"/>
                <w:color w:val="auto"/>
                <w:highlight w:val="none"/>
              </w:rPr>
              <w:t>。</w:t>
            </w:r>
          </w:p>
          <w:p>
            <w:pPr>
              <w:pStyle w:val="30"/>
              <w:bidi w:val="0"/>
              <w:rPr>
                <w:rFonts w:hint="default"/>
              </w:rPr>
            </w:pPr>
            <w:bookmarkStart w:id="30" w:name="_Ref5649"/>
            <w:bookmarkStart w:id="31" w:name="_Ref4075"/>
            <w:r>
              <w:rPr>
                <w:rFonts w:hint="default"/>
                <w:lang w:val="en-US" w:eastAsia="zh-CN"/>
              </w:rPr>
              <w:t>项目工程组成及主要建设内容一览表</w:t>
            </w:r>
            <w:bookmarkEnd w:id="30"/>
            <w:bookmarkEnd w:id="31"/>
          </w:p>
          <w:tbl>
            <w:tblPr>
              <w:tblStyle w:val="25"/>
              <w:tblW w:w="4999"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1492"/>
              <w:gridCol w:w="573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7" w:type="pct"/>
                  <w:gridSpan w:val="2"/>
                  <w:tcBorders>
                    <w:tl2br w:val="nil"/>
                    <w:tr2bl w:val="nil"/>
                  </w:tcBorders>
                  <w:vAlign w:val="center"/>
                </w:tcPr>
                <w:p>
                  <w:pPr>
                    <w:pStyle w:val="31"/>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项目组成</w:t>
                  </w:r>
                </w:p>
              </w:tc>
              <w:tc>
                <w:tcPr>
                  <w:tcW w:w="3422" w:type="pct"/>
                  <w:tcBorders>
                    <w:tl2br w:val="nil"/>
                    <w:tr2bl w:val="nil"/>
                  </w:tcBorders>
                  <w:vAlign w:val="center"/>
                </w:tcPr>
                <w:p>
                  <w:pPr>
                    <w:pStyle w:val="31"/>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工程建设内容</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pct"/>
                  <w:tcBorders>
                    <w:tl2br w:val="nil"/>
                    <w:tr2bl w:val="nil"/>
                  </w:tcBorders>
                  <w:vAlign w:val="center"/>
                </w:tcPr>
                <w:p>
                  <w:pPr>
                    <w:pStyle w:val="31"/>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主体工程</w:t>
                  </w:r>
                </w:p>
              </w:tc>
              <w:tc>
                <w:tcPr>
                  <w:tcW w:w="891" w:type="pct"/>
                  <w:tcBorders>
                    <w:tl2br w:val="nil"/>
                    <w:tr2bl w:val="nil"/>
                  </w:tcBorders>
                  <w:vAlign w:val="center"/>
                </w:tcPr>
                <w:p>
                  <w:pPr>
                    <w:pStyle w:val="31"/>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储罐区</w:t>
                  </w:r>
                </w:p>
              </w:tc>
              <w:tc>
                <w:tcPr>
                  <w:tcW w:w="3422" w:type="pct"/>
                  <w:tcBorders>
                    <w:tl2br w:val="nil"/>
                    <w:tr2bl w:val="nil"/>
                  </w:tcBorders>
                  <w:vAlign w:val="center"/>
                </w:tcPr>
                <w:p>
                  <w:pPr>
                    <w:pStyle w:val="31"/>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储罐区设置2个30m³储油罐，设计最大储存量为57m³（安全余量为5%考虑），占地面积42m²</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pct"/>
                  <w:vMerge w:val="restart"/>
                  <w:tcBorders>
                    <w:tl2br w:val="nil"/>
                    <w:tr2bl w:val="nil"/>
                  </w:tcBorders>
                  <w:vAlign w:val="center"/>
                </w:tcPr>
                <w:p>
                  <w:pPr>
                    <w:pStyle w:val="31"/>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辅助工程</w:t>
                  </w:r>
                </w:p>
              </w:tc>
              <w:tc>
                <w:tcPr>
                  <w:tcW w:w="891" w:type="pct"/>
                  <w:tcBorders>
                    <w:tl2br w:val="nil"/>
                    <w:tr2bl w:val="nil"/>
                  </w:tcBorders>
                  <w:vAlign w:val="center"/>
                </w:tcPr>
                <w:p>
                  <w:pPr>
                    <w:pStyle w:val="31"/>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危废间</w:t>
                  </w:r>
                </w:p>
              </w:tc>
              <w:tc>
                <w:tcPr>
                  <w:tcW w:w="3422" w:type="pct"/>
                  <w:tcBorders>
                    <w:tl2br w:val="nil"/>
                    <w:tr2bl w:val="nil"/>
                  </w:tcBorders>
                  <w:vAlign w:val="center"/>
                </w:tcPr>
                <w:p>
                  <w:pPr>
                    <w:pStyle w:val="31"/>
                    <w:ind w:left="0" w:leftChars="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新建</w:t>
                  </w:r>
                  <w:r>
                    <w:rPr>
                      <w:rFonts w:hint="default" w:ascii="Times New Roman" w:hAnsi="Times New Roman" w:cs="Times New Roman"/>
                      <w:color w:val="auto"/>
                      <w:sz w:val="21"/>
                      <w:szCs w:val="21"/>
                      <w:highlight w:val="none"/>
                      <w:lang w:val="en-US" w:eastAsia="zh-CN"/>
                    </w:rPr>
                    <w:t>危废间</w:t>
                  </w:r>
                  <w:r>
                    <w:rPr>
                      <w:rFonts w:hint="eastAsia" w:cs="Times New Roman"/>
                      <w:color w:val="auto"/>
                      <w:sz w:val="21"/>
                      <w:szCs w:val="21"/>
                      <w:highlight w:val="none"/>
                      <w:lang w:val="en-US" w:eastAsia="zh-CN"/>
                    </w:rPr>
                    <w:t>位于厂房内南侧，面积为10m²</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pct"/>
                  <w:vMerge w:val="continue"/>
                  <w:tcBorders>
                    <w:tl2br w:val="nil"/>
                    <w:tr2bl w:val="nil"/>
                  </w:tcBorders>
                  <w:vAlign w:val="center"/>
                </w:tcPr>
                <w:p>
                  <w:pPr>
                    <w:pStyle w:val="31"/>
                    <w:jc w:val="center"/>
                    <w:rPr>
                      <w:rFonts w:hint="eastAsia" w:cs="Times New Roman"/>
                      <w:color w:val="auto"/>
                      <w:sz w:val="21"/>
                      <w:szCs w:val="21"/>
                      <w:highlight w:val="none"/>
                      <w:lang w:val="en-US" w:eastAsia="zh-CN"/>
                    </w:rPr>
                  </w:pPr>
                </w:p>
              </w:tc>
              <w:tc>
                <w:tcPr>
                  <w:tcW w:w="891" w:type="pct"/>
                  <w:tcBorders>
                    <w:tl2br w:val="nil"/>
                    <w:tr2bl w:val="nil"/>
                  </w:tcBorders>
                  <w:vAlign w:val="center"/>
                </w:tcPr>
                <w:p>
                  <w:pPr>
                    <w:pStyle w:val="31"/>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事故应急池</w:t>
                  </w:r>
                </w:p>
              </w:tc>
              <w:tc>
                <w:tcPr>
                  <w:tcW w:w="3422" w:type="pct"/>
                  <w:tcBorders>
                    <w:tl2br w:val="nil"/>
                    <w:tr2bl w:val="nil"/>
                  </w:tcBorders>
                  <w:vAlign w:val="center"/>
                </w:tcPr>
                <w:p>
                  <w:pPr>
                    <w:pStyle w:val="31"/>
                    <w:ind w:left="0" w:leftChars="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新建地下事故应急池位于厂房内北侧，容积为180m³。</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pct"/>
                  <w:vMerge w:val="continue"/>
                  <w:tcBorders>
                    <w:tl2br w:val="nil"/>
                    <w:tr2bl w:val="nil"/>
                  </w:tcBorders>
                  <w:vAlign w:val="center"/>
                </w:tcPr>
                <w:p>
                  <w:pPr>
                    <w:pStyle w:val="31"/>
                    <w:jc w:val="center"/>
                    <w:rPr>
                      <w:rFonts w:hint="eastAsia" w:cs="Times New Roman"/>
                      <w:color w:val="auto"/>
                      <w:sz w:val="21"/>
                      <w:szCs w:val="21"/>
                      <w:highlight w:val="none"/>
                      <w:lang w:val="en-US" w:eastAsia="zh-CN"/>
                    </w:rPr>
                  </w:pPr>
                </w:p>
              </w:tc>
              <w:tc>
                <w:tcPr>
                  <w:tcW w:w="891" w:type="pct"/>
                  <w:tcBorders>
                    <w:tl2br w:val="nil"/>
                    <w:tr2bl w:val="nil"/>
                  </w:tcBorders>
                  <w:vAlign w:val="center"/>
                </w:tcPr>
                <w:p>
                  <w:pPr>
                    <w:pStyle w:val="31"/>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导流管</w:t>
                  </w:r>
                </w:p>
              </w:tc>
              <w:tc>
                <w:tcPr>
                  <w:tcW w:w="3422" w:type="pct"/>
                  <w:tcBorders>
                    <w:tl2br w:val="nil"/>
                    <w:tr2bl w:val="nil"/>
                  </w:tcBorders>
                  <w:vAlign w:val="center"/>
                </w:tcPr>
                <w:p>
                  <w:pPr>
                    <w:pStyle w:val="31"/>
                    <w:ind w:left="0" w:leftChars="0"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新设一条储罐区至事故应急池的导流管，长度约为6m。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pct"/>
                  <w:vMerge w:val="restart"/>
                  <w:tcBorders>
                    <w:tl2br w:val="nil"/>
                    <w:tr2bl w:val="nil"/>
                  </w:tcBorders>
                  <w:vAlign w:val="center"/>
                </w:tcPr>
                <w:p>
                  <w:pPr>
                    <w:pStyle w:val="31"/>
                    <w:ind w:left="0" w:leftChars="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公用工程</w:t>
                  </w:r>
                </w:p>
              </w:tc>
              <w:tc>
                <w:tcPr>
                  <w:tcW w:w="891" w:type="pct"/>
                  <w:tcBorders>
                    <w:tl2br w:val="nil"/>
                    <w:tr2bl w:val="nil"/>
                  </w:tcBorders>
                  <w:vAlign w:val="center"/>
                </w:tcPr>
                <w:p>
                  <w:pPr>
                    <w:pStyle w:val="31"/>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供电系统</w:t>
                  </w:r>
                </w:p>
              </w:tc>
              <w:tc>
                <w:tcPr>
                  <w:tcW w:w="3422" w:type="pct"/>
                  <w:tcBorders>
                    <w:tl2br w:val="nil"/>
                    <w:tr2bl w:val="nil"/>
                  </w:tcBorders>
                  <w:vAlign w:val="center"/>
                </w:tcPr>
                <w:p>
                  <w:pPr>
                    <w:pStyle w:val="31"/>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市政供电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pct"/>
                  <w:vMerge w:val="continue"/>
                  <w:tcBorders>
                    <w:tl2br w:val="nil"/>
                    <w:tr2bl w:val="nil"/>
                  </w:tcBorders>
                  <w:vAlign w:val="center"/>
                </w:tcPr>
                <w:p>
                  <w:pPr>
                    <w:pStyle w:val="31"/>
                    <w:ind w:left="0" w:leftChars="0" w:firstLine="0" w:firstLineChars="0"/>
                    <w:jc w:val="center"/>
                    <w:rPr>
                      <w:rFonts w:hint="default" w:ascii="Times New Roman" w:hAnsi="Times New Roman" w:cs="Times New Roman"/>
                      <w:color w:val="auto"/>
                      <w:sz w:val="21"/>
                      <w:szCs w:val="21"/>
                      <w:highlight w:val="none"/>
                      <w:lang w:val="en-US" w:eastAsia="zh-CN"/>
                    </w:rPr>
                  </w:pPr>
                </w:p>
              </w:tc>
              <w:tc>
                <w:tcPr>
                  <w:tcW w:w="891" w:type="pct"/>
                  <w:tcBorders>
                    <w:tl2br w:val="nil"/>
                    <w:tr2bl w:val="nil"/>
                  </w:tcBorders>
                  <w:vAlign w:val="center"/>
                </w:tcPr>
                <w:p>
                  <w:pPr>
                    <w:pStyle w:val="31"/>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给水系统</w:t>
                  </w:r>
                </w:p>
              </w:tc>
              <w:tc>
                <w:tcPr>
                  <w:tcW w:w="3422" w:type="pct"/>
                  <w:tcBorders>
                    <w:tl2br w:val="nil"/>
                    <w:tr2bl w:val="nil"/>
                  </w:tcBorders>
                  <w:vAlign w:val="center"/>
                </w:tcPr>
                <w:p>
                  <w:pPr>
                    <w:pStyle w:val="31"/>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市政供水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pct"/>
                  <w:vMerge w:val="continue"/>
                  <w:tcBorders>
                    <w:tl2br w:val="nil"/>
                    <w:tr2bl w:val="nil"/>
                  </w:tcBorders>
                  <w:vAlign w:val="center"/>
                </w:tcPr>
                <w:p>
                  <w:pPr>
                    <w:pStyle w:val="31"/>
                    <w:ind w:left="0" w:leftChars="0" w:firstLine="0" w:firstLineChars="0"/>
                    <w:jc w:val="center"/>
                    <w:rPr>
                      <w:rFonts w:hint="default" w:ascii="Times New Roman" w:hAnsi="Times New Roman" w:cs="Times New Roman"/>
                      <w:color w:val="auto"/>
                      <w:sz w:val="21"/>
                      <w:szCs w:val="21"/>
                      <w:highlight w:val="none"/>
                      <w:lang w:val="en-US" w:eastAsia="zh-CN"/>
                    </w:rPr>
                  </w:pPr>
                </w:p>
              </w:tc>
              <w:tc>
                <w:tcPr>
                  <w:tcW w:w="891" w:type="pct"/>
                  <w:tcBorders>
                    <w:tl2br w:val="nil"/>
                    <w:tr2bl w:val="nil"/>
                  </w:tcBorders>
                  <w:vAlign w:val="center"/>
                </w:tcPr>
                <w:p>
                  <w:pPr>
                    <w:pStyle w:val="31"/>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排水系统</w:t>
                  </w:r>
                </w:p>
              </w:tc>
              <w:tc>
                <w:tcPr>
                  <w:tcW w:w="3422" w:type="pct"/>
                  <w:tcBorders>
                    <w:tl2br w:val="nil"/>
                    <w:tr2bl w:val="nil"/>
                  </w:tcBorders>
                  <w:vAlign w:val="center"/>
                </w:tcPr>
                <w:p>
                  <w:pPr>
                    <w:pStyle w:val="31"/>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雨污分流，依托厂区排水系统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pct"/>
                  <w:tcBorders>
                    <w:tl2br w:val="nil"/>
                    <w:tr2bl w:val="nil"/>
                  </w:tcBorders>
                  <w:vAlign w:val="center"/>
                </w:tcPr>
                <w:p>
                  <w:pPr>
                    <w:pStyle w:val="31"/>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储运工程</w:t>
                  </w:r>
                </w:p>
              </w:tc>
              <w:tc>
                <w:tcPr>
                  <w:tcW w:w="891" w:type="pct"/>
                  <w:tcBorders>
                    <w:tl2br w:val="nil"/>
                    <w:tr2bl w:val="nil"/>
                  </w:tcBorders>
                  <w:vAlign w:val="center"/>
                </w:tcPr>
                <w:p>
                  <w:pPr>
                    <w:pStyle w:val="31"/>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仓库</w:t>
                  </w:r>
                </w:p>
              </w:tc>
              <w:tc>
                <w:tcPr>
                  <w:tcW w:w="3422" w:type="pct"/>
                  <w:tcBorders>
                    <w:tl2br w:val="nil"/>
                    <w:tr2bl w:val="nil"/>
                  </w:tcBorders>
                  <w:vAlign w:val="center"/>
                </w:tcPr>
                <w:p>
                  <w:pPr>
                    <w:pStyle w:val="31"/>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堆放劳保产品、设施维护工具、</w:t>
                  </w:r>
                  <w:r>
                    <w:rPr>
                      <w:rFonts w:hint="eastAsia" w:cs="Times New Roman"/>
                      <w:color w:val="auto"/>
                      <w:highlight w:val="none"/>
                      <w:lang w:val="en-US" w:eastAsia="zh-CN"/>
                    </w:rPr>
                    <w:t>运输车燃油</w:t>
                  </w:r>
                  <w:r>
                    <w:rPr>
                      <w:rFonts w:hint="eastAsia" w:cs="Times New Roman"/>
                      <w:color w:val="auto"/>
                      <w:sz w:val="21"/>
                      <w:szCs w:val="21"/>
                      <w:highlight w:val="none"/>
                      <w:lang w:val="en-US" w:eastAsia="zh-CN"/>
                    </w:rPr>
                    <w:t>等杂物</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pct"/>
                  <w:vMerge w:val="restart"/>
                  <w:tcBorders>
                    <w:tl2br w:val="nil"/>
                    <w:tr2bl w:val="nil"/>
                  </w:tcBorders>
                  <w:vAlign w:val="center"/>
                </w:tcPr>
                <w:p>
                  <w:pPr>
                    <w:pStyle w:val="31"/>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环保工程</w:t>
                  </w:r>
                </w:p>
              </w:tc>
              <w:tc>
                <w:tcPr>
                  <w:tcW w:w="891" w:type="pct"/>
                  <w:tcBorders>
                    <w:tl2br w:val="nil"/>
                    <w:tr2bl w:val="nil"/>
                  </w:tcBorders>
                  <w:vAlign w:val="center"/>
                </w:tcPr>
                <w:p>
                  <w:pPr>
                    <w:pStyle w:val="31"/>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废水处理工程</w:t>
                  </w:r>
                </w:p>
              </w:tc>
              <w:tc>
                <w:tcPr>
                  <w:tcW w:w="3422" w:type="pct"/>
                  <w:tcBorders>
                    <w:tl2br w:val="nil"/>
                    <w:tr2bl w:val="nil"/>
                  </w:tcBorders>
                  <w:vAlign w:val="center"/>
                </w:tcPr>
                <w:p>
                  <w:pPr>
                    <w:jc w:val="center"/>
                    <w:rPr>
                      <w:rFonts w:hint="default"/>
                      <w:lang w:val="en-US" w:eastAsia="zh-CN"/>
                    </w:rPr>
                  </w:pPr>
                  <w:r>
                    <w:rPr>
                      <w:rFonts w:hint="eastAsia" w:cs="Times New Roman"/>
                      <w:color w:val="auto"/>
                      <w:sz w:val="21"/>
                      <w:szCs w:val="21"/>
                      <w:highlight w:val="none"/>
                      <w:lang w:val="en-US" w:eastAsia="zh-CN"/>
                    </w:rPr>
                    <w:t>生活污水依托厂区化粪池处理后，通过市政管网排入</w:t>
                  </w:r>
                  <w:r>
                    <w:rPr>
                      <w:rFonts w:hint="eastAsia"/>
                      <w:lang w:val="en-US" w:eastAsia="zh-CN"/>
                    </w:rPr>
                    <w:t>福建省闽侯县华源工艺品有限公司</w:t>
                  </w:r>
                  <w:r>
                    <w:rPr>
                      <w:rFonts w:hint="eastAsia" w:cs="Times New Roman"/>
                      <w:color w:val="auto"/>
                      <w:sz w:val="21"/>
                      <w:szCs w:val="21"/>
                      <w:highlight w:val="none"/>
                      <w:lang w:val="en-US" w:eastAsia="zh-CN"/>
                    </w:rPr>
                    <w:t>的污水处理厂处理；项目无生产废水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pct"/>
                  <w:vMerge w:val="continue"/>
                  <w:tcBorders>
                    <w:tl2br w:val="nil"/>
                    <w:tr2bl w:val="nil"/>
                  </w:tcBorders>
                  <w:vAlign w:val="center"/>
                </w:tcPr>
                <w:p>
                  <w:pPr>
                    <w:pStyle w:val="31"/>
                    <w:ind w:left="0" w:leftChars="0" w:firstLine="0" w:firstLineChars="0"/>
                    <w:jc w:val="center"/>
                    <w:rPr>
                      <w:rFonts w:hint="default" w:ascii="Times New Roman" w:hAnsi="Times New Roman" w:cs="Times New Roman"/>
                      <w:color w:val="auto"/>
                      <w:sz w:val="21"/>
                      <w:szCs w:val="21"/>
                      <w:highlight w:val="none"/>
                      <w:lang w:val="en-US" w:eastAsia="zh-CN"/>
                    </w:rPr>
                  </w:pPr>
                </w:p>
              </w:tc>
              <w:tc>
                <w:tcPr>
                  <w:tcW w:w="891" w:type="pct"/>
                  <w:tcBorders>
                    <w:tl2br w:val="nil"/>
                    <w:tr2bl w:val="nil"/>
                  </w:tcBorders>
                  <w:vAlign w:val="center"/>
                </w:tcPr>
                <w:p>
                  <w:pPr>
                    <w:pStyle w:val="31"/>
                    <w:ind w:left="0" w:leftChars="0"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废气处理过程</w:t>
                  </w:r>
                </w:p>
              </w:tc>
              <w:tc>
                <w:tcPr>
                  <w:tcW w:w="3422" w:type="pct"/>
                  <w:tcBorders>
                    <w:tl2br w:val="nil"/>
                    <w:tr2bl w:val="nil"/>
                  </w:tcBorders>
                  <w:vAlign w:val="center"/>
                </w:tcPr>
                <w:p>
                  <w:pPr>
                    <w:pStyle w:val="31"/>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储罐区设有</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负压收集</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二级</w:t>
                  </w:r>
                  <w:r>
                    <w:rPr>
                      <w:rFonts w:hint="eastAsia" w:ascii="Times New Roman" w:hAnsi="Times New Roman" w:cs="Times New Roman"/>
                      <w:color w:val="auto"/>
                      <w:sz w:val="21"/>
                      <w:szCs w:val="21"/>
                      <w:highlight w:val="none"/>
                      <w:lang w:val="en-US" w:eastAsia="zh-CN"/>
                    </w:rPr>
                    <w:t>活性炭吸附+15m排气筒”</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pct"/>
                  <w:vMerge w:val="continue"/>
                  <w:tcBorders>
                    <w:tl2br w:val="nil"/>
                    <w:tr2bl w:val="nil"/>
                  </w:tcBorders>
                  <w:vAlign w:val="center"/>
                </w:tcPr>
                <w:p>
                  <w:pPr>
                    <w:pStyle w:val="31"/>
                    <w:jc w:val="center"/>
                    <w:rPr>
                      <w:rFonts w:hint="default" w:ascii="Times New Roman" w:hAnsi="Times New Roman" w:cs="Times New Roman"/>
                      <w:color w:val="auto"/>
                      <w:sz w:val="21"/>
                      <w:szCs w:val="21"/>
                      <w:highlight w:val="none"/>
                    </w:rPr>
                  </w:pPr>
                </w:p>
              </w:tc>
              <w:tc>
                <w:tcPr>
                  <w:tcW w:w="891" w:type="pct"/>
                  <w:tcBorders>
                    <w:tl2br w:val="nil"/>
                    <w:tr2bl w:val="nil"/>
                  </w:tcBorders>
                  <w:vAlign w:val="center"/>
                </w:tcPr>
                <w:p>
                  <w:pPr>
                    <w:pStyle w:val="31"/>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噪声治理工程</w:t>
                  </w:r>
                </w:p>
              </w:tc>
              <w:tc>
                <w:tcPr>
                  <w:tcW w:w="3422" w:type="pct"/>
                  <w:tcBorders>
                    <w:tl2br w:val="nil"/>
                    <w:tr2bl w:val="nil"/>
                  </w:tcBorders>
                  <w:vAlign w:val="center"/>
                </w:tcPr>
                <w:p>
                  <w:pPr>
                    <w:pStyle w:val="31"/>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选用低噪声级设备，采用减振、隔声、降噪等措施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pct"/>
                  <w:vMerge w:val="continue"/>
                  <w:tcBorders>
                    <w:tl2br w:val="nil"/>
                    <w:tr2bl w:val="nil"/>
                  </w:tcBorders>
                  <w:vAlign w:val="center"/>
                </w:tcPr>
                <w:p>
                  <w:pPr>
                    <w:pStyle w:val="31"/>
                    <w:jc w:val="center"/>
                    <w:rPr>
                      <w:rFonts w:hint="default" w:ascii="Times New Roman" w:hAnsi="Times New Roman" w:cs="Times New Roman"/>
                      <w:color w:val="auto"/>
                      <w:sz w:val="21"/>
                      <w:szCs w:val="21"/>
                      <w:highlight w:val="none"/>
                    </w:rPr>
                  </w:pPr>
                </w:p>
              </w:tc>
              <w:tc>
                <w:tcPr>
                  <w:tcW w:w="891" w:type="pct"/>
                  <w:tcBorders>
                    <w:tl2br w:val="nil"/>
                    <w:tr2bl w:val="nil"/>
                  </w:tcBorders>
                  <w:vAlign w:val="center"/>
                </w:tcPr>
                <w:p>
                  <w:pPr>
                    <w:pStyle w:val="31"/>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固体废物处置</w:t>
                  </w:r>
                </w:p>
              </w:tc>
              <w:tc>
                <w:tcPr>
                  <w:tcW w:w="3422" w:type="pct"/>
                  <w:tcBorders>
                    <w:tl2br w:val="nil"/>
                    <w:tr2bl w:val="nil"/>
                  </w:tcBorders>
                  <w:vAlign w:val="center"/>
                </w:tcPr>
                <w:p>
                  <w:pPr>
                    <w:pStyle w:val="31"/>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新建</w:t>
                  </w:r>
                  <w:r>
                    <w:rPr>
                      <w:rFonts w:hint="default" w:ascii="Times New Roman" w:hAnsi="Times New Roman" w:cs="Times New Roman"/>
                      <w:color w:val="auto"/>
                      <w:sz w:val="21"/>
                      <w:szCs w:val="21"/>
                      <w:highlight w:val="none"/>
                      <w:lang w:val="en-US" w:eastAsia="zh-CN"/>
                    </w:rPr>
                    <w:t>危废间（</w:t>
                  </w:r>
                  <w:r>
                    <w:rPr>
                      <w:rFonts w:hint="eastAsia" w:cs="Times New Roman"/>
                      <w:color w:val="auto"/>
                      <w:sz w:val="21"/>
                      <w:szCs w:val="21"/>
                      <w:highlight w:val="none"/>
                      <w:lang w:val="en-US" w:eastAsia="zh-CN"/>
                    </w:rPr>
                    <w:t>10</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。危废间位于厂房内南侧，对于危险废物应实行分类收集处置，实现固废无害化、资源化利用。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6" w:type="pct"/>
                  <w:vMerge w:val="continue"/>
                  <w:tcBorders>
                    <w:tl2br w:val="nil"/>
                    <w:tr2bl w:val="nil"/>
                  </w:tcBorders>
                  <w:vAlign w:val="center"/>
                </w:tcPr>
                <w:p>
                  <w:pPr>
                    <w:pStyle w:val="31"/>
                    <w:jc w:val="center"/>
                    <w:rPr>
                      <w:rFonts w:hint="default" w:ascii="Times New Roman" w:hAnsi="Times New Roman" w:cs="Times New Roman"/>
                      <w:color w:val="auto"/>
                      <w:sz w:val="21"/>
                      <w:szCs w:val="21"/>
                      <w:highlight w:val="none"/>
                    </w:rPr>
                  </w:pPr>
                </w:p>
              </w:tc>
              <w:tc>
                <w:tcPr>
                  <w:tcW w:w="891" w:type="pct"/>
                  <w:tcBorders>
                    <w:tl2br w:val="nil"/>
                    <w:tr2bl w:val="nil"/>
                  </w:tcBorders>
                  <w:vAlign w:val="center"/>
                </w:tcPr>
                <w:p>
                  <w:pPr>
                    <w:pStyle w:val="31"/>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环境风险</w:t>
                  </w:r>
                </w:p>
              </w:tc>
              <w:tc>
                <w:tcPr>
                  <w:tcW w:w="3422" w:type="pct"/>
                  <w:tcBorders>
                    <w:tl2br w:val="nil"/>
                    <w:tr2bl w:val="nil"/>
                  </w:tcBorders>
                  <w:vAlign w:val="center"/>
                </w:tcPr>
                <w:p>
                  <w:pPr>
                    <w:pStyle w:val="31"/>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储罐区设置围堰，围堰高0.8m，容积为33.6m³，且设置有事故应急池，容积为180m³。</w:t>
                  </w:r>
                </w:p>
              </w:tc>
            </w:tr>
          </w:tbl>
          <w:p>
            <w:pPr>
              <w:pStyle w:val="8"/>
              <w:spacing w:line="240" w:lineRule="auto"/>
              <w:ind w:firstLine="480"/>
            </w:pPr>
          </w:p>
          <w:p>
            <w:pPr>
              <w:pStyle w:val="4"/>
              <w:numPr>
                <w:ilvl w:val="1"/>
                <w:numId w:val="4"/>
              </w:numPr>
              <w:tabs>
                <w:tab w:val="left" w:pos="420"/>
              </w:tabs>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项目仓储方案</w:t>
            </w:r>
          </w:p>
          <w:p>
            <w:pPr>
              <w:pStyle w:val="8"/>
              <w:rPr>
                <w:rFonts w:hint="eastAsia" w:cs="Times New Roman"/>
                <w:color w:val="auto"/>
                <w:highlight w:val="none"/>
                <w:lang w:val="en-US" w:eastAsia="zh-CN"/>
              </w:rPr>
            </w:pPr>
            <w:r>
              <w:rPr>
                <w:rFonts w:hint="eastAsia" w:cs="Times New Roman"/>
                <w:color w:val="auto"/>
                <w:highlight w:val="none"/>
                <w:lang w:val="en-US" w:eastAsia="zh-CN"/>
              </w:rPr>
              <w:t>本</w:t>
            </w:r>
            <w:r>
              <w:rPr>
                <w:rFonts w:hint="default" w:ascii="Times New Roman" w:hAnsi="Times New Roman" w:cs="Times New Roman"/>
                <w:color w:val="auto"/>
                <w:highlight w:val="none"/>
                <w:lang w:val="en-US" w:eastAsia="zh-CN"/>
              </w:rPr>
              <w:t>项目</w:t>
            </w:r>
            <w:r>
              <w:rPr>
                <w:rFonts w:hint="eastAsia" w:cs="Times New Roman"/>
                <w:color w:val="auto"/>
                <w:highlight w:val="none"/>
                <w:lang w:val="en-US" w:eastAsia="zh-CN"/>
              </w:rPr>
              <w:t>从事废机油的收集贮存转运，仓储物料主要为废机油（不含固态危险废物），收集范围为</w:t>
            </w:r>
            <w:r>
              <w:rPr>
                <w:rFonts w:hint="default"/>
                <w:lang w:val="en-US"/>
              </w:rPr>
              <w:t>福州市及其辖区范围内的企业</w:t>
            </w:r>
            <w:r>
              <w:rPr>
                <w:rFonts w:hint="eastAsia" w:cs="Times New Roman"/>
                <w:color w:val="auto"/>
                <w:highlight w:val="none"/>
                <w:lang w:val="en-US" w:eastAsia="zh-CN"/>
              </w:rPr>
              <w:t>，仓储内容及规模为年收集贮存转运废机油8000吨。仓储方案见</w:t>
            </w:r>
            <w:r>
              <w:rPr>
                <w:rFonts w:hint="eastAsia" w:cs="Times New Roman"/>
                <w:color w:val="auto"/>
                <w:highlight w:val="none"/>
                <w:lang w:val="en-US" w:eastAsia="zh-CN"/>
              </w:rPr>
              <w:fldChar w:fldCharType="begin"/>
            </w:r>
            <w:r>
              <w:rPr>
                <w:rFonts w:hint="eastAsia" w:cs="Times New Roman"/>
                <w:color w:val="auto"/>
                <w:highlight w:val="none"/>
                <w:lang w:val="en-US" w:eastAsia="zh-CN"/>
              </w:rPr>
              <w:instrText xml:space="preserve">REF_Ref29654\n\h</w:instrText>
            </w:r>
            <w:r>
              <w:rPr>
                <w:rFonts w:hint="eastAsia" w:cs="Times New Roman"/>
                <w:color w:val="auto"/>
                <w:highlight w:val="none"/>
                <w:lang w:val="en-US" w:eastAsia="zh-CN"/>
              </w:rPr>
              <w:fldChar w:fldCharType="separate"/>
            </w:r>
            <w:r>
              <w:rPr>
                <w:rFonts w:hint="eastAsia" w:cs="Times New Roman"/>
                <w:color w:val="auto"/>
                <w:highlight w:val="none"/>
                <w:lang w:val="en-US" w:eastAsia="zh-CN"/>
              </w:rPr>
              <w:t>表11</w:t>
            </w:r>
            <w:r>
              <w:rPr>
                <w:rFonts w:hint="eastAsia" w:cs="Times New Roman"/>
                <w:color w:val="auto"/>
                <w:highlight w:val="none"/>
                <w:lang w:val="en-US" w:eastAsia="zh-CN"/>
              </w:rPr>
              <w:fldChar w:fldCharType="end"/>
            </w:r>
            <w:r>
              <w:rPr>
                <w:rFonts w:hint="eastAsia" w:cs="Times New Roman"/>
                <w:color w:val="auto"/>
                <w:highlight w:val="none"/>
                <w:lang w:val="en-US" w:eastAsia="zh-CN"/>
              </w:rPr>
              <w:t>。</w:t>
            </w:r>
          </w:p>
          <w:p>
            <w:pPr>
              <w:pStyle w:val="30"/>
              <w:bidi w:val="0"/>
              <w:rPr>
                <w:rFonts w:hint="default"/>
                <w:lang w:val="en-US" w:eastAsia="zh-CN"/>
              </w:rPr>
            </w:pPr>
            <w:bookmarkStart w:id="32" w:name="_Ref29654"/>
            <w:r>
              <w:rPr>
                <w:rFonts w:hint="eastAsia"/>
                <w:lang w:val="en-US" w:eastAsia="zh-CN"/>
              </w:rPr>
              <w:t>项目仓储方案</w:t>
            </w:r>
            <w:bookmarkEnd w:id="32"/>
          </w:p>
          <w:tbl>
            <w:tblPr>
              <w:tblStyle w:val="25"/>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4"/>
              <w:gridCol w:w="1223"/>
              <w:gridCol w:w="1568"/>
              <w:gridCol w:w="1528"/>
              <w:gridCol w:w="1446"/>
              <w:gridCol w:w="156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tcBorders>
                    <w:tl2br w:val="nil"/>
                    <w:tr2bl w:val="nil"/>
                  </w:tcBorders>
                  <w:vAlign w:val="center"/>
                </w:tcPr>
                <w:p>
                  <w:pPr>
                    <w:pStyle w:val="31"/>
                    <w:ind w:left="0" w:leftChars="0" w:firstLine="0" w:firstLineChars="0"/>
                    <w:jc w:val="center"/>
                    <w:rPr>
                      <w:rFonts w:hint="default"/>
                      <w:lang w:val="en-US" w:eastAsia="zh-CN"/>
                    </w:rPr>
                  </w:pPr>
                  <w:r>
                    <w:rPr>
                      <w:rFonts w:hint="default"/>
                      <w:lang w:val="en-US" w:eastAsia="zh-CN"/>
                    </w:rPr>
                    <w:t>名称</w:t>
                  </w:r>
                </w:p>
              </w:tc>
              <w:tc>
                <w:tcPr>
                  <w:tcW w:w="730" w:type="pct"/>
                  <w:tcBorders>
                    <w:tl2br w:val="nil"/>
                    <w:tr2bl w:val="nil"/>
                  </w:tcBorders>
                  <w:vAlign w:val="center"/>
                </w:tcPr>
                <w:p>
                  <w:pPr>
                    <w:pStyle w:val="31"/>
                    <w:ind w:left="0" w:leftChars="0" w:firstLine="0" w:firstLineChars="0"/>
                    <w:jc w:val="center"/>
                    <w:rPr>
                      <w:rFonts w:hint="default"/>
                      <w:lang w:val="en-US" w:eastAsia="zh-CN"/>
                    </w:rPr>
                  </w:pPr>
                  <w:r>
                    <w:rPr>
                      <w:rFonts w:hint="eastAsia"/>
                      <w:lang w:val="en-US" w:eastAsia="zh-CN"/>
                    </w:rPr>
                    <w:t>类别编号</w:t>
                  </w:r>
                </w:p>
              </w:tc>
              <w:tc>
                <w:tcPr>
                  <w:tcW w:w="936" w:type="pct"/>
                  <w:tcBorders>
                    <w:tl2br w:val="nil"/>
                    <w:tr2bl w:val="nil"/>
                  </w:tcBorders>
                  <w:vAlign w:val="center"/>
                </w:tcPr>
                <w:p>
                  <w:pPr>
                    <w:pStyle w:val="31"/>
                    <w:jc w:val="center"/>
                    <w:rPr>
                      <w:rFonts w:hint="default"/>
                      <w:lang w:val="en-US" w:eastAsia="zh-CN"/>
                    </w:rPr>
                  </w:pPr>
                  <w:r>
                    <w:rPr>
                      <w:rFonts w:hint="eastAsia"/>
                      <w:lang w:val="en-US" w:eastAsia="zh-CN"/>
                    </w:rPr>
                    <w:t>危废代码</w:t>
                  </w:r>
                </w:p>
              </w:tc>
              <w:tc>
                <w:tcPr>
                  <w:tcW w:w="912" w:type="pct"/>
                  <w:tcBorders>
                    <w:tl2br w:val="nil"/>
                    <w:tr2bl w:val="nil"/>
                  </w:tcBorders>
                  <w:vAlign w:val="center"/>
                </w:tcPr>
                <w:p>
                  <w:pPr>
                    <w:pStyle w:val="31"/>
                    <w:jc w:val="center"/>
                    <w:rPr>
                      <w:rFonts w:hint="default"/>
                      <w:lang w:val="en-US" w:eastAsia="zh-CN"/>
                    </w:rPr>
                  </w:pPr>
                  <w:r>
                    <w:rPr>
                      <w:rFonts w:hint="eastAsia"/>
                      <w:lang w:val="en-US" w:eastAsia="zh-CN"/>
                    </w:rPr>
                    <w:t>最大储存量</w:t>
                  </w:r>
                </w:p>
              </w:tc>
              <w:tc>
                <w:tcPr>
                  <w:tcW w:w="863" w:type="pct"/>
                  <w:tcBorders>
                    <w:tl2br w:val="nil"/>
                    <w:tr2bl w:val="nil"/>
                  </w:tcBorders>
                  <w:vAlign w:val="center"/>
                </w:tcPr>
                <w:p>
                  <w:pPr>
                    <w:pStyle w:val="31"/>
                    <w:jc w:val="center"/>
                    <w:rPr>
                      <w:rFonts w:hint="default"/>
                      <w:lang w:val="en-US" w:eastAsia="zh-CN"/>
                    </w:rPr>
                  </w:pPr>
                  <w:r>
                    <w:rPr>
                      <w:rFonts w:hint="eastAsia"/>
                      <w:lang w:val="en-US" w:eastAsia="zh-CN"/>
                    </w:rPr>
                    <w:t>年转运次数</w:t>
                  </w:r>
                </w:p>
              </w:tc>
              <w:tc>
                <w:tcPr>
                  <w:tcW w:w="932" w:type="pct"/>
                  <w:tcBorders>
                    <w:tl2br w:val="nil"/>
                    <w:tr2bl w:val="nil"/>
                  </w:tcBorders>
                  <w:vAlign w:val="center"/>
                </w:tcPr>
                <w:p>
                  <w:pPr>
                    <w:pStyle w:val="31"/>
                    <w:jc w:val="center"/>
                    <w:rPr>
                      <w:rFonts w:hint="default"/>
                      <w:lang w:val="en-US" w:eastAsia="zh-CN"/>
                    </w:rPr>
                  </w:pPr>
                  <w:r>
                    <w:rPr>
                      <w:rFonts w:hint="eastAsia"/>
                      <w:lang w:val="en-US" w:eastAsia="zh-CN"/>
                    </w:rPr>
                    <w:t>年中转量</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tcBorders>
                    <w:tl2br w:val="nil"/>
                    <w:tr2bl w:val="nil"/>
                  </w:tcBorders>
                  <w:vAlign w:val="center"/>
                </w:tcPr>
                <w:p>
                  <w:pPr>
                    <w:pStyle w:val="31"/>
                    <w:ind w:left="0" w:leftChars="0" w:firstLine="0" w:firstLineChars="0"/>
                    <w:jc w:val="center"/>
                    <w:rPr>
                      <w:rFonts w:hint="default"/>
                      <w:lang w:val="en-US" w:eastAsia="zh-CN"/>
                    </w:rPr>
                  </w:pPr>
                  <w:r>
                    <w:rPr>
                      <w:rFonts w:hint="eastAsia"/>
                      <w:lang w:val="en-US" w:eastAsia="zh-CN"/>
                    </w:rPr>
                    <w:t>废机油</w:t>
                  </w:r>
                </w:p>
              </w:tc>
              <w:tc>
                <w:tcPr>
                  <w:tcW w:w="730" w:type="pct"/>
                  <w:tcBorders>
                    <w:tl2br w:val="nil"/>
                    <w:tr2bl w:val="nil"/>
                  </w:tcBorders>
                  <w:vAlign w:val="center"/>
                </w:tcPr>
                <w:p>
                  <w:pPr>
                    <w:pStyle w:val="31"/>
                    <w:ind w:left="0" w:leftChars="0" w:firstLine="0" w:firstLineChars="0"/>
                    <w:jc w:val="center"/>
                    <w:rPr>
                      <w:rFonts w:hint="default"/>
                      <w:lang w:val="en-US" w:eastAsia="zh-CN"/>
                    </w:rPr>
                  </w:pPr>
                  <w:r>
                    <w:rPr>
                      <w:rFonts w:hint="eastAsia"/>
                      <w:lang w:val="en-US" w:eastAsia="zh-CN"/>
                    </w:rPr>
                    <w:t>HW08</w:t>
                  </w:r>
                </w:p>
              </w:tc>
              <w:tc>
                <w:tcPr>
                  <w:tcW w:w="936" w:type="pct"/>
                  <w:tcBorders>
                    <w:tl2br w:val="nil"/>
                    <w:tr2bl w:val="nil"/>
                  </w:tcBorders>
                  <w:vAlign w:val="center"/>
                </w:tcPr>
                <w:p>
                  <w:pPr>
                    <w:pStyle w:val="31"/>
                    <w:ind w:left="0" w:leftChars="0" w:firstLine="0" w:firstLineChars="0"/>
                    <w:jc w:val="center"/>
                    <w:rPr>
                      <w:rFonts w:hint="default"/>
                      <w:lang w:val="en-US" w:eastAsia="zh-CN"/>
                    </w:rPr>
                  </w:pPr>
                  <w:r>
                    <w:rPr>
                      <w:rFonts w:hint="eastAsia"/>
                      <w:lang w:val="en-US" w:eastAsia="zh-CN"/>
                    </w:rPr>
                    <w:t>900-214-08</w:t>
                  </w:r>
                </w:p>
              </w:tc>
              <w:tc>
                <w:tcPr>
                  <w:tcW w:w="912" w:type="pct"/>
                  <w:tcBorders>
                    <w:tl2br w:val="nil"/>
                    <w:tr2bl w:val="nil"/>
                  </w:tcBorders>
                  <w:vAlign w:val="center"/>
                </w:tcPr>
                <w:p>
                  <w:pPr>
                    <w:pStyle w:val="31"/>
                    <w:ind w:left="0" w:leftChars="0" w:firstLine="0" w:firstLineChars="0"/>
                    <w:jc w:val="center"/>
                    <w:rPr>
                      <w:rFonts w:hint="eastAsia"/>
                      <w:lang w:val="en-US" w:eastAsia="zh-CN"/>
                    </w:rPr>
                  </w:pPr>
                  <w:r>
                    <w:rPr>
                      <w:rFonts w:hint="eastAsia"/>
                      <w:lang w:val="en-US" w:eastAsia="zh-CN"/>
                    </w:rPr>
                    <w:t>57m³</w:t>
                  </w:r>
                </w:p>
                <w:p>
                  <w:pPr>
                    <w:jc w:val="center"/>
                    <w:rPr>
                      <w:rFonts w:hint="default"/>
                      <w:lang w:val="en-US" w:eastAsia="zh-CN"/>
                    </w:rPr>
                  </w:pPr>
                  <w:r>
                    <w:rPr>
                      <w:rFonts w:hint="eastAsia"/>
                      <w:lang w:val="en-US" w:eastAsia="zh-CN"/>
                    </w:rPr>
                    <w:t>（49t）</w:t>
                  </w:r>
                </w:p>
              </w:tc>
              <w:tc>
                <w:tcPr>
                  <w:tcW w:w="863" w:type="pct"/>
                  <w:tcBorders>
                    <w:tl2br w:val="nil"/>
                    <w:tr2bl w:val="nil"/>
                  </w:tcBorders>
                  <w:vAlign w:val="center"/>
                </w:tcPr>
                <w:p>
                  <w:pPr>
                    <w:pStyle w:val="31"/>
                    <w:ind w:left="0" w:leftChars="0" w:firstLine="0" w:firstLineChars="0"/>
                    <w:jc w:val="center"/>
                    <w:rPr>
                      <w:rFonts w:hint="default"/>
                      <w:lang w:val="en-US" w:eastAsia="zh-CN"/>
                    </w:rPr>
                  </w:pPr>
                  <w:r>
                    <w:rPr>
                      <w:rFonts w:hint="eastAsia"/>
                      <w:lang w:val="en-US" w:eastAsia="zh-CN"/>
                    </w:rPr>
                    <w:t>164次</w:t>
                  </w:r>
                </w:p>
              </w:tc>
              <w:tc>
                <w:tcPr>
                  <w:tcW w:w="932" w:type="pct"/>
                  <w:tcBorders>
                    <w:tl2br w:val="nil"/>
                    <w:tr2bl w:val="nil"/>
                  </w:tcBorders>
                  <w:vAlign w:val="center"/>
                </w:tcPr>
                <w:p>
                  <w:pPr>
                    <w:pStyle w:val="31"/>
                    <w:ind w:left="0" w:leftChars="0" w:firstLine="0" w:firstLineChars="0"/>
                    <w:jc w:val="center"/>
                    <w:rPr>
                      <w:rFonts w:hint="eastAsia"/>
                      <w:lang w:val="en-US" w:eastAsia="zh-CN"/>
                    </w:rPr>
                  </w:pPr>
                  <w:r>
                    <w:rPr>
                      <w:rFonts w:hint="eastAsia"/>
                      <w:lang w:val="en-US" w:eastAsia="zh-CN"/>
                    </w:rPr>
                    <w:t>8000t</w:t>
                  </w:r>
                </w:p>
                <w:p>
                  <w:pPr>
                    <w:pStyle w:val="31"/>
                    <w:ind w:left="0" w:leftChars="0" w:firstLine="0" w:firstLineChars="0"/>
                    <w:jc w:val="center"/>
                    <w:rPr>
                      <w:rFonts w:hint="default"/>
                      <w:lang w:val="en-US" w:eastAsia="zh-CN"/>
                    </w:rPr>
                  </w:pPr>
                  <w:r>
                    <w:rPr>
                      <w:rFonts w:hint="eastAsia"/>
                      <w:lang w:val="en-US" w:eastAsia="zh-CN"/>
                    </w:rPr>
                    <w:t>（9302m³）</w:t>
                  </w:r>
                </w:p>
              </w:tc>
            </w:tr>
          </w:tbl>
          <w:p>
            <w:pPr>
              <w:pStyle w:val="31"/>
              <w:jc w:val="left"/>
              <w:rPr>
                <w:rFonts w:hint="eastAsia"/>
                <w:lang w:val="en-US" w:eastAsia="zh-CN"/>
              </w:rPr>
            </w:pPr>
            <w:r>
              <w:rPr>
                <w:rFonts w:hint="eastAsia"/>
                <w:lang w:val="en-US" w:eastAsia="zh-CN"/>
              </w:rPr>
              <w:t>备注：储存方案为</w:t>
            </w:r>
            <w:r>
              <w:rPr>
                <w:rFonts w:hint="eastAsia" w:cs="Times New Roman"/>
                <w:color w:val="auto"/>
                <w:highlight w:val="none"/>
                <w:lang w:val="en-US" w:eastAsia="zh-CN"/>
              </w:rPr>
              <w:t>液态废机油</w:t>
            </w:r>
            <w:r>
              <w:rPr>
                <w:rFonts w:hint="eastAsia"/>
                <w:lang w:val="en-US" w:eastAsia="zh-CN"/>
              </w:rPr>
              <w:t>，储油密度以0.86kg/m³计算</w:t>
            </w:r>
          </w:p>
          <w:p>
            <w:pPr>
              <w:rPr>
                <w:rFonts w:hint="eastAsia"/>
                <w:lang w:val="en-US" w:eastAsia="zh-CN"/>
              </w:rPr>
            </w:pPr>
          </w:p>
          <w:p>
            <w:pPr>
              <w:pStyle w:val="4"/>
              <w:numPr>
                <w:ilvl w:val="1"/>
                <w:numId w:val="4"/>
              </w:numPr>
              <w:tabs>
                <w:tab w:val="left" w:pos="420"/>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主</w:t>
            </w:r>
            <w:r>
              <w:rPr>
                <w:rFonts w:hint="eastAsia" w:cs="Times New Roman"/>
                <w:color w:val="auto"/>
                <w:highlight w:val="none"/>
                <w:lang w:val="en-US" w:eastAsia="zh-CN"/>
              </w:rPr>
              <w:t>体</w:t>
            </w:r>
            <w:r>
              <w:rPr>
                <w:rFonts w:hint="default" w:ascii="Times New Roman" w:hAnsi="Times New Roman" w:eastAsia="宋体" w:cs="Times New Roman"/>
                <w:color w:val="auto"/>
                <w:highlight w:val="none"/>
                <w:lang w:val="en-US" w:eastAsia="zh-CN"/>
              </w:rPr>
              <w:t>设备</w:t>
            </w:r>
          </w:p>
          <w:p>
            <w:pPr>
              <w:pStyle w:val="8"/>
              <w:rPr>
                <w:rFonts w:hint="default" w:eastAsia="宋体"/>
                <w:lang w:val="en-US" w:eastAsia="zh-CN"/>
              </w:rPr>
            </w:pPr>
            <w:r>
              <w:rPr>
                <w:rFonts w:hint="eastAsia"/>
                <w:lang w:eastAsia="zh-CN"/>
              </w:rPr>
              <w:t>（</w:t>
            </w:r>
            <w:r>
              <w:rPr>
                <w:rFonts w:hint="eastAsia"/>
                <w:lang w:val="en-US" w:eastAsia="zh-CN"/>
              </w:rPr>
              <w:t>1</w:t>
            </w:r>
            <w:r>
              <w:rPr>
                <w:rFonts w:hint="eastAsia"/>
                <w:lang w:eastAsia="zh-CN"/>
              </w:rPr>
              <w:t>）</w:t>
            </w:r>
            <w:r>
              <w:rPr>
                <w:rFonts w:hint="eastAsia"/>
                <w:lang w:val="en-US" w:eastAsia="zh-CN"/>
              </w:rPr>
              <w:t>主要生产设备</w:t>
            </w:r>
          </w:p>
          <w:p>
            <w:pPr>
              <w:pStyle w:val="8"/>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eastAsia" w:cs="Times New Roman"/>
                <w:color w:val="auto"/>
                <w:highlight w:val="none"/>
                <w:lang w:val="en-US" w:eastAsia="zh-CN"/>
              </w:rPr>
              <w:t>项目生产设备</w:t>
            </w:r>
            <w:r>
              <w:rPr>
                <w:rFonts w:hint="default" w:ascii="Times New Roman" w:hAnsi="Times New Roman" w:cs="Times New Roman"/>
                <w:color w:val="auto"/>
                <w:highlight w:val="none"/>
                <w:lang w:val="en-US" w:eastAsia="zh-CN"/>
              </w:rPr>
              <w:t>详见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REF_Ref20578\r\h</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表12</w:t>
            </w:r>
            <w:r>
              <w:rPr>
                <w:rFonts w:hint="default" w:ascii="Times New Roman" w:hAnsi="Times New Roman"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p>
          <w:p>
            <w:pPr>
              <w:pStyle w:val="30"/>
              <w:bidi w:val="0"/>
              <w:spacing w:line="240" w:lineRule="auto"/>
              <w:ind w:left="0" w:leftChars="0" w:firstLine="0" w:firstLineChars="0"/>
              <w:jc w:val="center"/>
              <w:rPr>
                <w:rFonts w:hint="default"/>
                <w:lang w:val="en-US" w:eastAsia="zh-CN"/>
              </w:rPr>
            </w:pPr>
            <w:bookmarkStart w:id="33" w:name="_Ref20578"/>
            <w:r>
              <w:rPr>
                <w:rFonts w:hint="default"/>
                <w:lang w:val="en-US" w:eastAsia="zh-CN"/>
              </w:rPr>
              <w:t>生产设备一览表</w:t>
            </w:r>
            <w:bookmarkEnd w:id="33"/>
          </w:p>
          <w:tbl>
            <w:tblPr>
              <w:tblStyle w:val="24"/>
              <w:tblW w:w="4998" w:type="pct"/>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729"/>
              <w:gridCol w:w="2632"/>
              <w:gridCol w:w="1045"/>
              <w:gridCol w:w="2964"/>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32" w:type="pct"/>
                  <w:tcBorders>
                    <w:tl2br w:val="nil"/>
                    <w:tr2bl w:val="nil"/>
                  </w:tcBorders>
                  <w:vAlign w:val="center"/>
                </w:tcPr>
                <w:p>
                  <w:pPr>
                    <w:pStyle w:val="31"/>
                    <w:bidi w:val="0"/>
                    <w:jc w:val="center"/>
                    <w:rPr>
                      <w:rFonts w:hint="eastAsia" w:eastAsia="宋体"/>
                      <w:lang w:val="en-US" w:eastAsia="zh-CN"/>
                    </w:rPr>
                  </w:pPr>
                  <w:r>
                    <w:rPr>
                      <w:rFonts w:hint="eastAsia"/>
                      <w:lang w:val="en-US" w:eastAsia="zh-CN"/>
                    </w:rPr>
                    <w:t>序号</w:t>
                  </w:r>
                </w:p>
              </w:tc>
              <w:tc>
                <w:tcPr>
                  <w:tcW w:w="1572" w:type="pct"/>
                  <w:tcBorders>
                    <w:tl2br w:val="nil"/>
                    <w:tr2bl w:val="nil"/>
                  </w:tcBorders>
                  <w:vAlign w:val="center"/>
                </w:tcPr>
                <w:p>
                  <w:pPr>
                    <w:pStyle w:val="31"/>
                    <w:bidi w:val="0"/>
                    <w:jc w:val="center"/>
                    <w:rPr>
                      <w:rFonts w:hint="eastAsia"/>
                      <w:lang w:val="en-US"/>
                    </w:rPr>
                  </w:pPr>
                  <w:r>
                    <w:rPr>
                      <w:rFonts w:hint="eastAsia"/>
                      <w:lang w:val="en-US"/>
                    </w:rPr>
                    <w:t>设备名称</w:t>
                  </w:r>
                </w:p>
              </w:tc>
              <w:tc>
                <w:tcPr>
                  <w:tcW w:w="624" w:type="pct"/>
                  <w:tcBorders>
                    <w:tl2br w:val="nil"/>
                    <w:tr2bl w:val="nil"/>
                  </w:tcBorders>
                  <w:vAlign w:val="center"/>
                </w:tcPr>
                <w:p>
                  <w:pPr>
                    <w:pStyle w:val="31"/>
                    <w:bidi w:val="0"/>
                    <w:jc w:val="center"/>
                    <w:rPr>
                      <w:rFonts w:hint="eastAsia"/>
                      <w:lang w:val="en-US"/>
                    </w:rPr>
                  </w:pPr>
                  <w:r>
                    <w:rPr>
                      <w:rFonts w:hint="eastAsia"/>
                      <w:lang w:val="en-US"/>
                    </w:rPr>
                    <w:t>数量</w:t>
                  </w:r>
                </w:p>
              </w:tc>
              <w:tc>
                <w:tcPr>
                  <w:tcW w:w="1770" w:type="pct"/>
                  <w:tcBorders>
                    <w:tl2br w:val="nil"/>
                    <w:tr2bl w:val="nil"/>
                  </w:tcBorders>
                  <w:vAlign w:val="center"/>
                </w:tcPr>
                <w:p>
                  <w:pPr>
                    <w:pStyle w:val="31"/>
                    <w:bidi w:val="0"/>
                    <w:jc w:val="center"/>
                    <w:rPr>
                      <w:rFonts w:hint="eastAsia" w:eastAsia="宋体"/>
                      <w:lang w:val="en-US" w:eastAsia="zh-CN"/>
                    </w:rPr>
                  </w:pPr>
                  <w:r>
                    <w:rPr>
                      <w:rFonts w:hint="eastAsia"/>
                      <w:lang w:val="en-US" w:eastAsia="zh-CN"/>
                    </w:rPr>
                    <w:t>备注</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32" w:type="pct"/>
                  <w:tcBorders>
                    <w:tl2br w:val="nil"/>
                    <w:tr2bl w:val="nil"/>
                  </w:tcBorders>
                  <w:vAlign w:val="center"/>
                </w:tcPr>
                <w:p>
                  <w:pPr>
                    <w:pStyle w:val="31"/>
                    <w:bidi w:val="0"/>
                    <w:jc w:val="center"/>
                    <w:rPr>
                      <w:rFonts w:hint="eastAsia" w:eastAsia="宋体"/>
                      <w:lang w:val="en-US" w:eastAsia="zh-CN"/>
                    </w:rPr>
                  </w:pPr>
                  <w:r>
                    <w:rPr>
                      <w:rFonts w:hint="eastAsia"/>
                      <w:lang w:val="en-US" w:eastAsia="zh-CN"/>
                    </w:rPr>
                    <w:t>1</w:t>
                  </w:r>
                </w:p>
              </w:tc>
              <w:tc>
                <w:tcPr>
                  <w:tcW w:w="1572" w:type="pct"/>
                  <w:tcBorders>
                    <w:tl2br w:val="nil"/>
                    <w:tr2bl w:val="nil"/>
                  </w:tcBorders>
                  <w:vAlign w:val="center"/>
                </w:tcPr>
                <w:p>
                  <w:pPr>
                    <w:pStyle w:val="31"/>
                    <w:bidi w:val="0"/>
                    <w:jc w:val="center"/>
                    <w:rPr>
                      <w:rFonts w:hint="eastAsia" w:eastAsia="宋体"/>
                      <w:lang w:val="en-US" w:eastAsia="zh-CN"/>
                    </w:rPr>
                  </w:pPr>
                  <w:r>
                    <w:rPr>
                      <w:rFonts w:hint="eastAsia"/>
                      <w:lang w:val="en-US" w:eastAsia="zh-CN"/>
                    </w:rPr>
                    <w:t>储油罐</w:t>
                  </w:r>
                </w:p>
              </w:tc>
              <w:tc>
                <w:tcPr>
                  <w:tcW w:w="624" w:type="pct"/>
                  <w:tcBorders>
                    <w:tl2br w:val="nil"/>
                    <w:tr2bl w:val="nil"/>
                  </w:tcBorders>
                  <w:vAlign w:val="center"/>
                </w:tcPr>
                <w:p>
                  <w:pPr>
                    <w:pStyle w:val="31"/>
                    <w:bidi w:val="0"/>
                    <w:jc w:val="center"/>
                    <w:rPr>
                      <w:rFonts w:hint="eastAsia" w:eastAsia="宋体"/>
                      <w:lang w:val="en-US" w:eastAsia="zh-CN"/>
                    </w:rPr>
                  </w:pPr>
                  <w:r>
                    <w:rPr>
                      <w:rFonts w:hint="eastAsia"/>
                      <w:lang w:val="en-US" w:eastAsia="zh-CN"/>
                    </w:rPr>
                    <w:t>2</w:t>
                  </w:r>
                </w:p>
              </w:tc>
              <w:tc>
                <w:tcPr>
                  <w:tcW w:w="1770" w:type="pct"/>
                  <w:tcBorders>
                    <w:tl2br w:val="nil"/>
                    <w:tr2bl w:val="nil"/>
                  </w:tcBorders>
                  <w:vAlign w:val="center"/>
                </w:tcPr>
                <w:p>
                  <w:pPr>
                    <w:pStyle w:val="31"/>
                    <w:bidi w:val="0"/>
                    <w:jc w:val="center"/>
                    <w:rPr>
                      <w:rFonts w:hint="default" w:eastAsia="宋体"/>
                      <w:lang w:val="en-US" w:eastAsia="zh-CN"/>
                    </w:rPr>
                  </w:pPr>
                  <w:r>
                    <w:rPr>
                      <w:rFonts w:hint="eastAsia"/>
                      <w:lang w:val="en-US" w:eastAsia="zh-CN"/>
                    </w:rPr>
                    <w:t>容积30m³，直径3m，高5m</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32" w:type="pct"/>
                  <w:tcBorders>
                    <w:tl2br w:val="nil"/>
                    <w:tr2bl w:val="nil"/>
                  </w:tcBorders>
                  <w:vAlign w:val="center"/>
                </w:tcPr>
                <w:p>
                  <w:pPr>
                    <w:pStyle w:val="31"/>
                    <w:bidi w:val="0"/>
                    <w:jc w:val="center"/>
                    <w:rPr>
                      <w:rFonts w:hint="eastAsia" w:eastAsia="宋体"/>
                      <w:lang w:val="en-US" w:eastAsia="zh-CN"/>
                    </w:rPr>
                  </w:pPr>
                  <w:r>
                    <w:rPr>
                      <w:rFonts w:hint="eastAsia"/>
                      <w:lang w:val="en-US" w:eastAsia="zh-CN"/>
                    </w:rPr>
                    <w:t>2</w:t>
                  </w:r>
                </w:p>
              </w:tc>
              <w:tc>
                <w:tcPr>
                  <w:tcW w:w="1572" w:type="pct"/>
                  <w:tcBorders>
                    <w:tl2br w:val="nil"/>
                    <w:tr2bl w:val="nil"/>
                  </w:tcBorders>
                  <w:vAlign w:val="center"/>
                </w:tcPr>
                <w:p>
                  <w:pPr>
                    <w:pStyle w:val="31"/>
                    <w:bidi w:val="0"/>
                    <w:jc w:val="center"/>
                    <w:rPr>
                      <w:rFonts w:hint="eastAsia" w:eastAsia="宋体"/>
                      <w:lang w:val="en-US" w:eastAsia="zh-CN"/>
                    </w:rPr>
                  </w:pPr>
                  <w:r>
                    <w:rPr>
                      <w:rFonts w:hint="eastAsia"/>
                      <w:lang w:val="en-US" w:eastAsia="zh-CN"/>
                    </w:rPr>
                    <w:t>提升泵</w:t>
                  </w:r>
                </w:p>
              </w:tc>
              <w:tc>
                <w:tcPr>
                  <w:tcW w:w="624" w:type="pct"/>
                  <w:tcBorders>
                    <w:tl2br w:val="nil"/>
                    <w:tr2bl w:val="nil"/>
                  </w:tcBorders>
                  <w:vAlign w:val="center"/>
                </w:tcPr>
                <w:p>
                  <w:pPr>
                    <w:pStyle w:val="31"/>
                    <w:bidi w:val="0"/>
                    <w:jc w:val="center"/>
                    <w:rPr>
                      <w:rFonts w:hint="eastAsia" w:eastAsia="宋体"/>
                      <w:lang w:val="en-US" w:eastAsia="zh-CN"/>
                    </w:rPr>
                  </w:pPr>
                  <w:r>
                    <w:rPr>
                      <w:rFonts w:hint="eastAsia"/>
                      <w:lang w:val="en-US" w:eastAsia="zh-CN"/>
                    </w:rPr>
                    <w:t>1</w:t>
                  </w:r>
                </w:p>
              </w:tc>
              <w:tc>
                <w:tcPr>
                  <w:tcW w:w="1770" w:type="pct"/>
                  <w:tcBorders>
                    <w:tl2br w:val="nil"/>
                    <w:tr2bl w:val="nil"/>
                  </w:tcBorders>
                  <w:vAlign w:val="center"/>
                </w:tcPr>
                <w:p>
                  <w:pPr>
                    <w:pStyle w:val="31"/>
                    <w:bidi w:val="0"/>
                    <w:ind w:left="0" w:leftChars="0" w:firstLine="0" w:firstLineChars="0"/>
                    <w:jc w:val="center"/>
                    <w:rPr>
                      <w:rFonts w:hint="eastAsia" w:eastAsia="宋体"/>
                      <w:lang w:val="en-US" w:eastAsia="zh-CN"/>
                    </w:rPr>
                  </w:pPr>
                  <w:r>
                    <w:rPr>
                      <w:rFonts w:hint="eastAsia"/>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32" w:type="pct"/>
                  <w:tcBorders>
                    <w:tl2br w:val="nil"/>
                    <w:tr2bl w:val="nil"/>
                  </w:tcBorders>
                  <w:vAlign w:val="center"/>
                </w:tcPr>
                <w:p>
                  <w:pPr>
                    <w:pStyle w:val="31"/>
                    <w:bidi w:val="0"/>
                    <w:jc w:val="center"/>
                    <w:rPr>
                      <w:rFonts w:hint="default"/>
                      <w:lang w:val="en-US" w:eastAsia="zh-CN"/>
                    </w:rPr>
                  </w:pPr>
                  <w:r>
                    <w:rPr>
                      <w:rFonts w:hint="eastAsia"/>
                      <w:lang w:val="en-US" w:eastAsia="zh-CN"/>
                    </w:rPr>
                    <w:t>3</w:t>
                  </w:r>
                </w:p>
              </w:tc>
              <w:tc>
                <w:tcPr>
                  <w:tcW w:w="1572" w:type="pct"/>
                  <w:tcBorders>
                    <w:tl2br w:val="nil"/>
                    <w:tr2bl w:val="nil"/>
                  </w:tcBorders>
                  <w:vAlign w:val="center"/>
                </w:tcPr>
                <w:p>
                  <w:pPr>
                    <w:pStyle w:val="31"/>
                    <w:bidi w:val="0"/>
                    <w:jc w:val="center"/>
                    <w:rPr>
                      <w:rFonts w:hint="default"/>
                      <w:lang w:val="en-US" w:eastAsia="zh-CN"/>
                    </w:rPr>
                  </w:pPr>
                  <w:r>
                    <w:rPr>
                      <w:rFonts w:hint="eastAsia"/>
                      <w:lang w:val="en-US" w:eastAsia="zh-CN"/>
                    </w:rPr>
                    <w:t>油泵</w:t>
                  </w:r>
                </w:p>
              </w:tc>
              <w:tc>
                <w:tcPr>
                  <w:tcW w:w="624" w:type="pct"/>
                  <w:tcBorders>
                    <w:tl2br w:val="nil"/>
                    <w:tr2bl w:val="nil"/>
                  </w:tcBorders>
                  <w:vAlign w:val="center"/>
                </w:tcPr>
                <w:p>
                  <w:pPr>
                    <w:pStyle w:val="31"/>
                    <w:bidi w:val="0"/>
                    <w:jc w:val="center"/>
                    <w:rPr>
                      <w:rFonts w:hint="default"/>
                      <w:lang w:val="en-US" w:eastAsia="zh-CN"/>
                    </w:rPr>
                  </w:pPr>
                  <w:r>
                    <w:rPr>
                      <w:rFonts w:hint="eastAsia"/>
                      <w:lang w:val="en-US" w:eastAsia="zh-CN"/>
                    </w:rPr>
                    <w:t>2</w:t>
                  </w:r>
                </w:p>
              </w:tc>
              <w:tc>
                <w:tcPr>
                  <w:tcW w:w="1770" w:type="pct"/>
                  <w:tcBorders>
                    <w:tl2br w:val="nil"/>
                    <w:tr2bl w:val="nil"/>
                  </w:tcBorders>
                  <w:vAlign w:val="center"/>
                </w:tcPr>
                <w:p>
                  <w:pPr>
                    <w:pStyle w:val="31"/>
                    <w:bidi w:val="0"/>
                    <w:ind w:left="0" w:leftChars="0" w:firstLine="0" w:firstLineChars="0"/>
                    <w:jc w:val="center"/>
                    <w:rPr>
                      <w:rFonts w:hint="default"/>
                      <w:lang w:val="en-US" w:eastAsia="zh-CN"/>
                    </w:rPr>
                  </w:pPr>
                  <w:r>
                    <w:rPr>
                      <w:rFonts w:hint="eastAsia"/>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32" w:type="pct"/>
                  <w:tcBorders>
                    <w:tl2br w:val="nil"/>
                    <w:tr2bl w:val="nil"/>
                  </w:tcBorders>
                  <w:vAlign w:val="center"/>
                </w:tcPr>
                <w:p>
                  <w:pPr>
                    <w:pStyle w:val="31"/>
                    <w:bidi w:val="0"/>
                    <w:jc w:val="center"/>
                    <w:rPr>
                      <w:rFonts w:hint="default"/>
                      <w:lang w:val="en-US" w:eastAsia="zh-CN"/>
                    </w:rPr>
                  </w:pPr>
                  <w:r>
                    <w:rPr>
                      <w:rFonts w:hint="eastAsia"/>
                      <w:lang w:val="en-US" w:eastAsia="zh-CN"/>
                    </w:rPr>
                    <w:t>4</w:t>
                  </w:r>
                </w:p>
              </w:tc>
              <w:tc>
                <w:tcPr>
                  <w:tcW w:w="1572" w:type="pct"/>
                  <w:tcBorders>
                    <w:tl2br w:val="nil"/>
                    <w:tr2bl w:val="nil"/>
                  </w:tcBorders>
                  <w:vAlign w:val="center"/>
                </w:tcPr>
                <w:p>
                  <w:pPr>
                    <w:pStyle w:val="31"/>
                    <w:bidi w:val="0"/>
                    <w:ind w:left="0" w:leftChars="0"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风机</w:t>
                  </w:r>
                </w:p>
              </w:tc>
              <w:tc>
                <w:tcPr>
                  <w:tcW w:w="624" w:type="pct"/>
                  <w:tcBorders>
                    <w:tl2br w:val="nil"/>
                    <w:tr2bl w:val="nil"/>
                  </w:tcBorders>
                  <w:vAlign w:val="center"/>
                </w:tcPr>
                <w:p>
                  <w:pPr>
                    <w:pStyle w:val="31"/>
                    <w:bidi w:val="0"/>
                    <w:ind w:left="0" w:leftChars="0"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1</w:t>
                  </w:r>
                </w:p>
              </w:tc>
              <w:tc>
                <w:tcPr>
                  <w:tcW w:w="1770" w:type="pct"/>
                  <w:tcBorders>
                    <w:tl2br w:val="nil"/>
                    <w:tr2bl w:val="nil"/>
                  </w:tcBorders>
                  <w:vAlign w:val="center"/>
                </w:tcPr>
                <w:p>
                  <w:pPr>
                    <w:pStyle w:val="31"/>
                    <w:bidi w:val="0"/>
                    <w:ind w:left="0" w:leftChars="0" w:firstLine="0" w:firstLineChars="0"/>
                    <w:jc w:val="center"/>
                    <w:rPr>
                      <w:rFonts w:hint="default"/>
                      <w:lang w:val="en-US" w:eastAsia="zh-CN"/>
                    </w:rPr>
                  </w:pPr>
                  <w:r>
                    <w:rPr>
                      <w:rFonts w:hint="eastAsia"/>
                      <w:lang w:val="en-US" w:eastAsia="zh-CN"/>
                    </w:rPr>
                    <w:t>/</w:t>
                  </w:r>
                </w:p>
              </w:tc>
            </w:tr>
          </w:tbl>
          <w:p>
            <w:pPr>
              <w:pStyle w:val="8"/>
              <w:rPr>
                <w:rFonts w:hint="eastAsia"/>
                <w:lang w:val="en-US" w:eastAsia="zh-CN"/>
              </w:rPr>
            </w:pPr>
          </w:p>
          <w:p>
            <w:pPr>
              <w:pStyle w:val="4"/>
              <w:numPr>
                <w:ilvl w:val="1"/>
                <w:numId w:val="4"/>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主要</w:t>
            </w:r>
            <w:r>
              <w:rPr>
                <w:rFonts w:hint="eastAsia" w:cs="Times New Roman"/>
                <w:color w:val="auto"/>
                <w:highlight w:val="none"/>
                <w:lang w:val="en-US" w:eastAsia="zh-CN"/>
              </w:rPr>
              <w:t>储存物料</w:t>
            </w:r>
          </w:p>
          <w:p>
            <w:pPr>
              <w:pStyle w:val="8"/>
              <w:numPr>
                <w:ilvl w:val="0"/>
                <w:numId w:val="7"/>
              </w:numPr>
              <w:rPr>
                <w:rFonts w:hint="eastAsia"/>
                <w:lang w:val="en-US" w:eastAsia="zh-CN"/>
              </w:rPr>
            </w:pPr>
            <w:r>
              <w:rPr>
                <w:rFonts w:hint="eastAsia"/>
                <w:lang w:val="en-US" w:eastAsia="zh-CN"/>
              </w:rPr>
              <w:t>储存物料</w:t>
            </w:r>
          </w:p>
          <w:p>
            <w:pPr>
              <w:pStyle w:val="8"/>
              <w:bidi w:val="0"/>
              <w:rPr>
                <w:rFonts w:hint="eastAsia"/>
                <w:lang w:val="en-US" w:eastAsia="zh-CN"/>
              </w:rPr>
            </w:pPr>
            <w:r>
              <w:rPr>
                <w:rFonts w:hint="eastAsia"/>
              </w:rPr>
              <w:t>根据《国家危险废物名录》（2016年本），废机油属于HW08类危险废物，本项目收集的废机油主要为4S店、汽车修理厂更换、汽车拆解收集的废机油，属于HW08中的900-214-08类。类比收集同类企业相关资料，本项目收集的废矿物油理化指标见</w:t>
            </w:r>
            <w:r>
              <w:rPr>
                <w:rFonts w:hint="eastAsia"/>
                <w:highlight w:val="none"/>
                <w:lang w:val="en-US" w:eastAsia="zh-CN"/>
              </w:rPr>
              <w:fldChar w:fldCharType="begin"/>
            </w:r>
            <w:r>
              <w:rPr>
                <w:rFonts w:hint="eastAsia"/>
                <w:highlight w:val="none"/>
                <w:lang w:val="en-US" w:eastAsia="zh-CN"/>
              </w:rPr>
              <w:instrText xml:space="preserve">REF_Ref30279\n\h</w:instrText>
            </w:r>
            <w:r>
              <w:rPr>
                <w:rFonts w:hint="eastAsia"/>
                <w:highlight w:val="none"/>
                <w:lang w:val="en-US" w:eastAsia="zh-CN"/>
              </w:rPr>
              <w:fldChar w:fldCharType="separate"/>
            </w:r>
            <w:r>
              <w:rPr>
                <w:rFonts w:hint="eastAsia"/>
                <w:highlight w:val="none"/>
                <w:lang w:val="en-US" w:eastAsia="zh-CN"/>
              </w:rPr>
              <w:t>表13</w:t>
            </w:r>
            <w:r>
              <w:rPr>
                <w:rFonts w:hint="eastAsia"/>
                <w:highlight w:val="none"/>
                <w:lang w:val="en-US" w:eastAsia="zh-CN"/>
              </w:rPr>
              <w:fldChar w:fldCharType="end"/>
            </w:r>
            <w:r>
              <w:rPr>
                <w:rFonts w:hint="eastAsia"/>
                <w:lang w:val="en-US" w:eastAsia="zh-CN"/>
              </w:rPr>
              <w:t>。</w:t>
            </w:r>
          </w:p>
          <w:p>
            <w:pPr>
              <w:pStyle w:val="30"/>
              <w:bidi w:val="0"/>
              <w:rPr>
                <w:rFonts w:hint="default"/>
                <w:lang w:val="en-US" w:eastAsia="zh-CN"/>
              </w:rPr>
            </w:pPr>
            <w:bookmarkStart w:id="34" w:name="_Ref30279"/>
            <w:r>
              <w:rPr>
                <w:rFonts w:hint="eastAsia"/>
                <w:lang w:val="en-US" w:eastAsia="zh-CN"/>
              </w:rPr>
              <w:t>废机油的理化性质</w:t>
            </w:r>
            <w:bookmarkEnd w:id="34"/>
          </w:p>
          <w:tbl>
            <w:tblPr>
              <w:tblStyle w:val="25"/>
              <w:tblW w:w="4999"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9"/>
              <w:gridCol w:w="2251"/>
              <w:gridCol w:w="449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Align w:val="center"/>
                </w:tcPr>
                <w:p>
                  <w:pPr>
                    <w:pStyle w:val="31"/>
                    <w:bidi w:val="0"/>
                    <w:jc w:val="center"/>
                    <w:rPr>
                      <w:rFonts w:hint="default"/>
                      <w:lang w:val="en-US" w:eastAsia="zh-CN"/>
                    </w:rPr>
                  </w:pPr>
                  <w:r>
                    <w:rPr>
                      <w:rFonts w:hint="eastAsia"/>
                      <w:lang w:val="en-US" w:eastAsia="zh-CN"/>
                    </w:rPr>
                    <w:t>名称</w:t>
                  </w:r>
                </w:p>
              </w:tc>
              <w:tc>
                <w:tcPr>
                  <w:tcW w:w="4026" w:type="pct"/>
                  <w:gridSpan w:val="2"/>
                  <w:vAlign w:val="center"/>
                </w:tcPr>
                <w:p>
                  <w:pPr>
                    <w:pStyle w:val="31"/>
                    <w:bidi w:val="0"/>
                    <w:jc w:val="center"/>
                    <w:rPr>
                      <w:rFonts w:hint="default"/>
                      <w:lang w:val="en-US" w:eastAsia="zh-CN"/>
                    </w:rPr>
                  </w:pPr>
                  <w:r>
                    <w:rPr>
                      <w:rFonts w:hint="eastAsia"/>
                      <w:lang w:val="en-US" w:eastAsia="zh-CN"/>
                    </w:rPr>
                    <w:t>废机油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restart"/>
                  <w:vAlign w:val="center"/>
                </w:tcPr>
                <w:p>
                  <w:pPr>
                    <w:pStyle w:val="31"/>
                    <w:bidi w:val="0"/>
                    <w:jc w:val="center"/>
                    <w:rPr>
                      <w:rFonts w:hint="default"/>
                      <w:lang w:val="en-US" w:eastAsia="zh-CN"/>
                    </w:rPr>
                  </w:pPr>
                  <w:r>
                    <w:rPr>
                      <w:rFonts w:hint="eastAsia"/>
                      <w:lang w:val="en-US" w:eastAsia="zh-CN"/>
                    </w:rPr>
                    <w:t>理化性质</w:t>
                  </w:r>
                </w:p>
              </w:tc>
              <w:tc>
                <w:tcPr>
                  <w:tcW w:w="1344" w:type="pct"/>
                  <w:vAlign w:val="center"/>
                </w:tcPr>
                <w:p>
                  <w:pPr>
                    <w:pStyle w:val="31"/>
                    <w:bidi w:val="0"/>
                    <w:jc w:val="center"/>
                    <w:rPr>
                      <w:rFonts w:hint="default"/>
                      <w:lang w:val="en-US" w:eastAsia="zh-CN"/>
                    </w:rPr>
                  </w:pPr>
                  <w:r>
                    <w:rPr>
                      <w:rFonts w:hint="eastAsia"/>
                      <w:lang w:val="en-US" w:eastAsia="zh-CN"/>
                    </w:rPr>
                    <w:t>外观形状</w:t>
                  </w:r>
                </w:p>
              </w:tc>
              <w:tc>
                <w:tcPr>
                  <w:tcW w:w="2681" w:type="pct"/>
                  <w:vAlign w:val="center"/>
                </w:tcPr>
                <w:p>
                  <w:pPr>
                    <w:pStyle w:val="31"/>
                    <w:bidi w:val="0"/>
                    <w:jc w:val="center"/>
                    <w:rPr>
                      <w:rFonts w:hint="default"/>
                      <w:lang w:val="en-US" w:eastAsia="zh-CN"/>
                    </w:rPr>
                  </w:pPr>
                  <w:r>
                    <w:rPr>
                      <w:rFonts w:hint="eastAsia"/>
                      <w:lang w:val="en-US" w:eastAsia="zh-CN"/>
                    </w:rPr>
                    <w:t>浅黄色粘稠液体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default"/>
                      <w:lang w:val="en-US" w:eastAsia="zh-CN"/>
                    </w:rPr>
                  </w:pPr>
                </w:p>
              </w:tc>
              <w:tc>
                <w:tcPr>
                  <w:tcW w:w="1344" w:type="pct"/>
                  <w:vAlign w:val="center"/>
                </w:tcPr>
                <w:p>
                  <w:pPr>
                    <w:pStyle w:val="31"/>
                    <w:bidi w:val="0"/>
                    <w:jc w:val="center"/>
                    <w:rPr>
                      <w:rFonts w:hint="default"/>
                      <w:lang w:val="en-US" w:eastAsia="zh-CN"/>
                    </w:rPr>
                  </w:pPr>
                  <w:r>
                    <w:rPr>
                      <w:rFonts w:hint="eastAsia"/>
                      <w:lang w:val="en-US" w:eastAsia="zh-CN"/>
                    </w:rPr>
                    <w:t>相对密度</w:t>
                  </w:r>
                </w:p>
              </w:tc>
              <w:tc>
                <w:tcPr>
                  <w:tcW w:w="2681" w:type="pct"/>
                  <w:vAlign w:val="center"/>
                </w:tcPr>
                <w:p>
                  <w:pPr>
                    <w:pStyle w:val="31"/>
                    <w:bidi w:val="0"/>
                    <w:jc w:val="center"/>
                    <w:rPr>
                      <w:rFonts w:hint="default"/>
                      <w:lang w:val="en-US" w:eastAsia="zh-CN"/>
                    </w:rPr>
                  </w:pPr>
                  <w:r>
                    <w:rPr>
                      <w:rFonts w:hint="eastAsia"/>
                      <w:lang w:val="en-US" w:eastAsia="zh-CN"/>
                    </w:rPr>
                    <w:t>0.91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default"/>
                      <w:lang w:val="en-US" w:eastAsia="zh-CN"/>
                    </w:rPr>
                  </w:pPr>
                </w:p>
              </w:tc>
              <w:tc>
                <w:tcPr>
                  <w:tcW w:w="1344" w:type="pct"/>
                  <w:vAlign w:val="center"/>
                </w:tcPr>
                <w:p>
                  <w:pPr>
                    <w:pStyle w:val="31"/>
                    <w:bidi w:val="0"/>
                    <w:jc w:val="center"/>
                    <w:rPr>
                      <w:rFonts w:hint="default"/>
                      <w:lang w:val="en-US" w:eastAsia="zh-CN"/>
                    </w:rPr>
                  </w:pPr>
                  <w:r>
                    <w:rPr>
                      <w:rFonts w:hint="eastAsia"/>
                      <w:lang w:val="en-US" w:eastAsia="zh-CN"/>
                    </w:rPr>
                    <w:t>凝固点（℃）</w:t>
                  </w:r>
                </w:p>
              </w:tc>
              <w:tc>
                <w:tcPr>
                  <w:tcW w:w="2681" w:type="pct"/>
                  <w:vAlign w:val="center"/>
                </w:tcPr>
                <w:p>
                  <w:pPr>
                    <w:pStyle w:val="31"/>
                    <w:bidi w:val="0"/>
                    <w:jc w:val="center"/>
                    <w:rPr>
                      <w:rFonts w:hint="default"/>
                      <w:lang w:val="en-US" w:eastAsia="zh-CN"/>
                    </w:rPr>
                  </w:pPr>
                  <w:r>
                    <w:rPr>
                      <w:rFonts w:hint="eastAsia"/>
                      <w:lang w:val="en-US" w:eastAsia="zh-CN"/>
                    </w:rPr>
                    <w:t>&lt;-18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default"/>
                      <w:lang w:val="en-US" w:eastAsia="zh-CN"/>
                    </w:rPr>
                  </w:pPr>
                </w:p>
              </w:tc>
              <w:tc>
                <w:tcPr>
                  <w:tcW w:w="1344" w:type="pct"/>
                  <w:vAlign w:val="center"/>
                </w:tcPr>
                <w:p>
                  <w:pPr>
                    <w:pStyle w:val="31"/>
                    <w:bidi w:val="0"/>
                    <w:jc w:val="center"/>
                    <w:rPr>
                      <w:rFonts w:hint="default"/>
                      <w:lang w:val="en-US" w:eastAsia="zh-CN"/>
                    </w:rPr>
                  </w:pPr>
                  <w:r>
                    <w:rPr>
                      <w:rFonts w:hint="eastAsia"/>
                      <w:lang w:val="en-US" w:eastAsia="zh-CN"/>
                    </w:rPr>
                    <w:t>沸点（℃）</w:t>
                  </w:r>
                </w:p>
              </w:tc>
              <w:tc>
                <w:tcPr>
                  <w:tcW w:w="2681" w:type="pct"/>
                  <w:vAlign w:val="center"/>
                </w:tcPr>
                <w:p>
                  <w:pPr>
                    <w:pStyle w:val="31"/>
                    <w:bidi w:val="0"/>
                    <w:jc w:val="center"/>
                    <w:rPr>
                      <w:rFonts w:hint="default"/>
                      <w:lang w:val="en-US" w:eastAsia="zh-CN"/>
                    </w:rPr>
                  </w:pPr>
                  <w:r>
                    <w:rPr>
                      <w:rFonts w:hint="eastAsia"/>
                      <w:lang w:val="en-US" w:eastAsia="zh-CN"/>
                    </w:rPr>
                    <w:t>240~400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default"/>
                      <w:lang w:val="en-US" w:eastAsia="zh-CN"/>
                    </w:rPr>
                  </w:pPr>
                </w:p>
              </w:tc>
              <w:tc>
                <w:tcPr>
                  <w:tcW w:w="1344" w:type="pct"/>
                  <w:vAlign w:val="center"/>
                </w:tcPr>
                <w:p>
                  <w:pPr>
                    <w:pStyle w:val="31"/>
                    <w:bidi w:val="0"/>
                    <w:jc w:val="center"/>
                    <w:rPr>
                      <w:rFonts w:hint="eastAsia"/>
                      <w:lang w:val="en-US" w:eastAsia="zh-CN"/>
                    </w:rPr>
                  </w:pPr>
                  <w:r>
                    <w:rPr>
                      <w:rFonts w:hint="eastAsia"/>
                      <w:lang w:val="en-US" w:eastAsia="zh-CN"/>
                    </w:rPr>
                    <w:t>闪点（℃）</w:t>
                  </w:r>
                </w:p>
              </w:tc>
              <w:tc>
                <w:tcPr>
                  <w:tcW w:w="2681" w:type="pct"/>
                  <w:vAlign w:val="center"/>
                </w:tcPr>
                <w:p>
                  <w:pPr>
                    <w:pStyle w:val="31"/>
                    <w:bidi w:val="0"/>
                    <w:jc w:val="center"/>
                    <w:rPr>
                      <w:rFonts w:hint="default"/>
                      <w:lang w:val="en-US" w:eastAsia="zh-CN"/>
                    </w:rPr>
                  </w:pPr>
                  <w:r>
                    <w:rPr>
                      <w:rFonts w:hint="eastAsia"/>
                      <w:lang w:val="en-US" w:eastAsia="zh-CN"/>
                    </w:rPr>
                    <w:t>&gt;200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default"/>
                      <w:lang w:val="en-US" w:eastAsia="zh-CN"/>
                    </w:rPr>
                  </w:pPr>
                </w:p>
              </w:tc>
              <w:tc>
                <w:tcPr>
                  <w:tcW w:w="1344" w:type="pct"/>
                  <w:vAlign w:val="center"/>
                </w:tcPr>
                <w:p>
                  <w:pPr>
                    <w:pStyle w:val="31"/>
                    <w:bidi w:val="0"/>
                    <w:jc w:val="center"/>
                    <w:rPr>
                      <w:rFonts w:hint="eastAsia"/>
                      <w:lang w:val="en-US" w:eastAsia="zh-CN"/>
                    </w:rPr>
                  </w:pPr>
                  <w:r>
                    <w:rPr>
                      <w:rFonts w:hint="eastAsia"/>
                      <w:lang w:val="en-US" w:eastAsia="zh-CN"/>
                    </w:rPr>
                    <w:t>引燃温度（℃）</w:t>
                  </w:r>
                </w:p>
              </w:tc>
              <w:tc>
                <w:tcPr>
                  <w:tcW w:w="2681" w:type="pct"/>
                  <w:vAlign w:val="center"/>
                </w:tcPr>
                <w:p>
                  <w:pPr>
                    <w:pStyle w:val="31"/>
                    <w:bidi w:val="0"/>
                    <w:jc w:val="center"/>
                    <w:rPr>
                      <w:rFonts w:hint="eastAsia"/>
                      <w:lang w:val="en-US" w:eastAsia="zh-CN"/>
                    </w:rPr>
                  </w:pPr>
                  <w:r>
                    <w:rPr>
                      <w:rFonts w:hint="eastAsia"/>
                      <w:lang w:val="en-US" w:eastAsia="zh-CN"/>
                    </w:rPr>
                    <w:t>&gt;250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default"/>
                      <w:lang w:val="en-US" w:eastAsia="zh-CN"/>
                    </w:rPr>
                  </w:pPr>
                </w:p>
              </w:tc>
              <w:tc>
                <w:tcPr>
                  <w:tcW w:w="1344" w:type="pct"/>
                  <w:vAlign w:val="center"/>
                </w:tcPr>
                <w:p>
                  <w:pPr>
                    <w:pStyle w:val="31"/>
                    <w:bidi w:val="0"/>
                    <w:jc w:val="center"/>
                    <w:rPr>
                      <w:rFonts w:hint="default"/>
                      <w:lang w:val="en-US" w:eastAsia="zh-CN"/>
                    </w:rPr>
                  </w:pPr>
                  <w:r>
                    <w:rPr>
                      <w:rFonts w:hint="eastAsia"/>
                      <w:lang w:val="en-US" w:eastAsia="zh-CN"/>
                    </w:rPr>
                    <w:t>饱和蒸汽压（kPa）</w:t>
                  </w:r>
                </w:p>
              </w:tc>
              <w:tc>
                <w:tcPr>
                  <w:tcW w:w="2681" w:type="pct"/>
                  <w:vAlign w:val="center"/>
                </w:tcPr>
                <w:p>
                  <w:pPr>
                    <w:pStyle w:val="31"/>
                    <w:bidi w:val="0"/>
                    <w:jc w:val="center"/>
                    <w:rPr>
                      <w:rFonts w:hint="default"/>
                      <w:lang w:val="en-US" w:eastAsia="zh-CN"/>
                    </w:rPr>
                  </w:pPr>
                  <w:r>
                    <w:rPr>
                      <w:rFonts w:hint="eastAsia"/>
                      <w:lang w:val="en-US" w:eastAsia="zh-CN"/>
                    </w:rPr>
                    <w:t>0.13（145.8℃）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restart"/>
                  <w:vAlign w:val="center"/>
                </w:tcPr>
                <w:p>
                  <w:pPr>
                    <w:pStyle w:val="31"/>
                    <w:bidi w:val="0"/>
                    <w:jc w:val="center"/>
                    <w:rPr>
                      <w:rFonts w:hint="default"/>
                      <w:lang w:val="en-US" w:eastAsia="zh-CN"/>
                    </w:rPr>
                  </w:pPr>
                  <w:r>
                    <w:rPr>
                      <w:rFonts w:hint="eastAsia"/>
                      <w:lang w:val="en-US" w:eastAsia="zh-CN"/>
                    </w:rPr>
                    <w:t>爆炸性与消防</w:t>
                  </w:r>
                </w:p>
              </w:tc>
              <w:tc>
                <w:tcPr>
                  <w:tcW w:w="1344" w:type="pct"/>
                  <w:vAlign w:val="center"/>
                </w:tcPr>
                <w:p>
                  <w:pPr>
                    <w:pStyle w:val="31"/>
                    <w:bidi w:val="0"/>
                    <w:jc w:val="center"/>
                    <w:rPr>
                      <w:rFonts w:hint="default"/>
                      <w:lang w:val="en-US" w:eastAsia="zh-CN"/>
                    </w:rPr>
                  </w:pPr>
                  <w:r>
                    <w:rPr>
                      <w:rFonts w:hint="eastAsia"/>
                      <w:lang w:val="en-US" w:eastAsia="zh-CN"/>
                    </w:rPr>
                    <w:t>燃烧产物</w:t>
                  </w:r>
                </w:p>
              </w:tc>
              <w:tc>
                <w:tcPr>
                  <w:tcW w:w="2681" w:type="pct"/>
                  <w:vAlign w:val="center"/>
                </w:tcPr>
                <w:p>
                  <w:pPr>
                    <w:pStyle w:val="31"/>
                    <w:bidi w:val="0"/>
                    <w:jc w:val="center"/>
                    <w:rPr>
                      <w:rFonts w:hint="eastAsia"/>
                      <w:lang w:val="en-US" w:eastAsia="zh-CN"/>
                    </w:rPr>
                  </w:pPr>
                  <w:r>
                    <w:rPr>
                      <w:rFonts w:hint="eastAsia"/>
                      <w:lang w:val="en-US" w:eastAsia="zh-CN"/>
                    </w:rPr>
                    <w:t>一氧化碳、二氧化碳</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default"/>
                      <w:lang w:val="en-US" w:eastAsia="zh-CN"/>
                    </w:rPr>
                  </w:pPr>
                </w:p>
              </w:tc>
              <w:tc>
                <w:tcPr>
                  <w:tcW w:w="1344" w:type="pct"/>
                  <w:vAlign w:val="center"/>
                </w:tcPr>
                <w:p>
                  <w:pPr>
                    <w:pStyle w:val="31"/>
                    <w:bidi w:val="0"/>
                    <w:jc w:val="center"/>
                    <w:rPr>
                      <w:rFonts w:hint="default"/>
                      <w:lang w:val="en-US" w:eastAsia="zh-CN"/>
                    </w:rPr>
                  </w:pPr>
                  <w:r>
                    <w:rPr>
                      <w:rFonts w:hint="eastAsia"/>
                      <w:lang w:val="en-US" w:eastAsia="zh-CN"/>
                    </w:rPr>
                    <w:t>燃烧性</w:t>
                  </w:r>
                </w:p>
              </w:tc>
              <w:tc>
                <w:tcPr>
                  <w:tcW w:w="2681" w:type="pct"/>
                  <w:vAlign w:val="center"/>
                </w:tcPr>
                <w:p>
                  <w:pPr>
                    <w:pStyle w:val="31"/>
                    <w:bidi w:val="0"/>
                    <w:jc w:val="center"/>
                    <w:rPr>
                      <w:rFonts w:hint="default"/>
                      <w:lang w:val="en-US" w:eastAsia="zh-CN"/>
                    </w:rPr>
                  </w:pPr>
                  <w:r>
                    <w:rPr>
                      <w:rFonts w:hint="eastAsia"/>
                      <w:lang w:val="en-US" w:eastAsia="zh-CN"/>
                    </w:rPr>
                    <w:t>可燃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default"/>
                      <w:lang w:val="en-US" w:eastAsia="zh-CN"/>
                    </w:rPr>
                  </w:pPr>
                </w:p>
              </w:tc>
              <w:tc>
                <w:tcPr>
                  <w:tcW w:w="1344" w:type="pct"/>
                  <w:vAlign w:val="center"/>
                </w:tcPr>
                <w:p>
                  <w:pPr>
                    <w:pStyle w:val="31"/>
                    <w:bidi w:val="0"/>
                    <w:jc w:val="center"/>
                    <w:rPr>
                      <w:rFonts w:hint="default"/>
                      <w:lang w:val="en-US" w:eastAsia="zh-CN"/>
                    </w:rPr>
                  </w:pPr>
                  <w:r>
                    <w:rPr>
                      <w:rFonts w:hint="eastAsia"/>
                      <w:lang w:val="en-US" w:eastAsia="zh-CN"/>
                    </w:rPr>
                    <w:t>禁忌物</w:t>
                  </w:r>
                </w:p>
              </w:tc>
              <w:tc>
                <w:tcPr>
                  <w:tcW w:w="2681" w:type="pct"/>
                  <w:vAlign w:val="center"/>
                </w:tcPr>
                <w:p>
                  <w:pPr>
                    <w:pStyle w:val="31"/>
                    <w:bidi w:val="0"/>
                    <w:jc w:val="center"/>
                    <w:rPr>
                      <w:rFonts w:hint="eastAsia"/>
                      <w:lang w:val="en-US" w:eastAsia="zh-CN"/>
                    </w:rPr>
                  </w:pPr>
                  <w:r>
                    <w:rPr>
                      <w:rFonts w:hint="eastAsia"/>
                      <w:lang w:val="en-US" w:eastAsia="zh-CN"/>
                    </w:rPr>
                    <w:t>硝酸、高锰酸钾等强氧化剂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default"/>
                      <w:lang w:val="en-US" w:eastAsia="zh-CN"/>
                    </w:rPr>
                  </w:pPr>
                </w:p>
              </w:tc>
              <w:tc>
                <w:tcPr>
                  <w:tcW w:w="1344" w:type="pct"/>
                  <w:vAlign w:val="center"/>
                </w:tcPr>
                <w:p>
                  <w:pPr>
                    <w:pStyle w:val="31"/>
                    <w:bidi w:val="0"/>
                    <w:jc w:val="center"/>
                    <w:rPr>
                      <w:rFonts w:hint="default"/>
                      <w:lang w:val="en-US" w:eastAsia="zh-CN"/>
                    </w:rPr>
                  </w:pPr>
                  <w:r>
                    <w:rPr>
                      <w:rFonts w:hint="eastAsia"/>
                      <w:lang w:val="en-US" w:eastAsia="zh-CN"/>
                    </w:rPr>
                    <w:t>燃爆危险</w:t>
                  </w:r>
                </w:p>
              </w:tc>
              <w:tc>
                <w:tcPr>
                  <w:tcW w:w="2681" w:type="pct"/>
                  <w:vAlign w:val="center"/>
                </w:tcPr>
                <w:p>
                  <w:pPr>
                    <w:pStyle w:val="31"/>
                    <w:bidi w:val="0"/>
                    <w:jc w:val="center"/>
                    <w:rPr>
                      <w:rFonts w:hint="eastAsia"/>
                      <w:lang w:val="en-US" w:eastAsia="zh-CN"/>
                    </w:rPr>
                  </w:pPr>
                  <w:r>
                    <w:rPr>
                      <w:rFonts w:hint="eastAsia"/>
                      <w:lang w:val="en-US" w:eastAsia="zh-CN"/>
                    </w:rPr>
                    <w:t>可燃液体，火灾危险性为丙类；遇明火、高热可燃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default"/>
                      <w:lang w:val="en-US" w:eastAsia="zh-CN"/>
                    </w:rPr>
                  </w:pPr>
                </w:p>
              </w:tc>
              <w:tc>
                <w:tcPr>
                  <w:tcW w:w="1344" w:type="pct"/>
                  <w:vAlign w:val="center"/>
                </w:tcPr>
                <w:p>
                  <w:pPr>
                    <w:pStyle w:val="31"/>
                    <w:bidi w:val="0"/>
                    <w:jc w:val="center"/>
                    <w:rPr>
                      <w:rFonts w:hint="eastAsia"/>
                      <w:lang w:val="en-US" w:eastAsia="zh-CN"/>
                    </w:rPr>
                  </w:pPr>
                  <w:r>
                    <w:rPr>
                      <w:rFonts w:hint="eastAsia"/>
                      <w:lang w:val="en-US" w:eastAsia="zh-CN"/>
                    </w:rPr>
                    <w:t>灭火方法</w:t>
                  </w:r>
                </w:p>
              </w:tc>
              <w:tc>
                <w:tcPr>
                  <w:tcW w:w="2681" w:type="pct"/>
                  <w:vAlign w:val="center"/>
                </w:tcPr>
                <w:p>
                  <w:pPr>
                    <w:pStyle w:val="31"/>
                    <w:bidi w:val="0"/>
                    <w:jc w:val="center"/>
                    <w:rPr>
                      <w:rFonts w:hint="eastAsia"/>
                      <w:lang w:val="en-US" w:eastAsia="zh-CN"/>
                    </w:rPr>
                  </w:pPr>
                  <w:r>
                    <w:rPr>
                      <w:rFonts w:hint="eastAsia"/>
                      <w:lang w:val="en-US" w:eastAsia="zh-CN"/>
                    </w:rPr>
                    <w:t>消防人员须佩戴防毒面具、穿全身消防服，在上风向灭火。尽可能将容器从火场移至空旷处。喷水保持火场容器冷却，直至灭火结束。处在火场中的容器若已变色或从安全泄压装置中产生声音，必须马上撤离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default"/>
                      <w:lang w:val="en-US" w:eastAsia="zh-CN"/>
                    </w:rPr>
                  </w:pPr>
                </w:p>
              </w:tc>
              <w:tc>
                <w:tcPr>
                  <w:tcW w:w="1344" w:type="pct"/>
                  <w:vAlign w:val="center"/>
                </w:tcPr>
                <w:p>
                  <w:pPr>
                    <w:pStyle w:val="31"/>
                    <w:bidi w:val="0"/>
                    <w:jc w:val="center"/>
                    <w:rPr>
                      <w:rFonts w:hint="eastAsia"/>
                      <w:lang w:val="en-US" w:eastAsia="zh-CN"/>
                    </w:rPr>
                  </w:pPr>
                  <w:r>
                    <w:rPr>
                      <w:rFonts w:hint="eastAsia"/>
                      <w:lang w:val="en-US" w:eastAsia="zh-CN"/>
                    </w:rPr>
                    <w:t>灭火剂</w:t>
                  </w:r>
                </w:p>
              </w:tc>
              <w:tc>
                <w:tcPr>
                  <w:tcW w:w="2681" w:type="pct"/>
                  <w:vAlign w:val="center"/>
                </w:tcPr>
                <w:p>
                  <w:pPr>
                    <w:pStyle w:val="31"/>
                    <w:bidi w:val="0"/>
                    <w:jc w:val="center"/>
                    <w:rPr>
                      <w:rFonts w:hint="eastAsia"/>
                      <w:lang w:val="en-US" w:eastAsia="zh-CN"/>
                    </w:rPr>
                  </w:pPr>
                  <w:r>
                    <w:rPr>
                      <w:rFonts w:hint="eastAsia"/>
                      <w:lang w:val="en-US" w:eastAsia="zh-CN"/>
                    </w:rPr>
                    <w:t>雾状水、泡沫、干粪、二氧化碳、砂土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Align w:val="center"/>
                </w:tcPr>
                <w:p>
                  <w:pPr>
                    <w:pStyle w:val="31"/>
                    <w:bidi w:val="0"/>
                    <w:jc w:val="center"/>
                    <w:rPr>
                      <w:rFonts w:hint="default"/>
                      <w:lang w:val="en-US" w:eastAsia="zh-CN"/>
                    </w:rPr>
                  </w:pPr>
                  <w:r>
                    <w:rPr>
                      <w:rFonts w:hint="eastAsia"/>
                      <w:lang w:val="en-US" w:eastAsia="zh-CN"/>
                    </w:rPr>
                    <w:t>健康危害</w:t>
                  </w:r>
                </w:p>
              </w:tc>
              <w:tc>
                <w:tcPr>
                  <w:tcW w:w="4026" w:type="pct"/>
                  <w:gridSpan w:val="2"/>
                  <w:vAlign w:val="center"/>
                </w:tcPr>
                <w:p>
                  <w:pPr>
                    <w:pStyle w:val="31"/>
                    <w:bidi w:val="0"/>
                    <w:jc w:val="center"/>
                    <w:rPr>
                      <w:rFonts w:hint="eastAsia"/>
                      <w:lang w:val="en-US" w:eastAsia="zh-CN"/>
                    </w:rPr>
                  </w:pPr>
                  <w:r>
                    <w:rPr>
                      <w:rFonts w:hint="eastAsia"/>
                      <w:lang w:val="en-US" w:eastAsia="zh-CN"/>
                    </w:rPr>
                    <w:t>急性吸入，可出现乏力、头晕、头痛、恶心，严重者可引起油脂性肺炎。慢接触者，暴露部位可发生油性痤疮和接触性皮炎。可引起神经衰弱综合征，呼吸道和眼刺激症状及慢性油脂性肺炎。有资料报道，接触石油润滑油类的工人，有致癌的病例报告</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restart"/>
                  <w:vAlign w:val="center"/>
                </w:tcPr>
                <w:p>
                  <w:pPr>
                    <w:pStyle w:val="31"/>
                    <w:bidi w:val="0"/>
                    <w:jc w:val="center"/>
                    <w:rPr>
                      <w:rFonts w:hint="default"/>
                      <w:lang w:val="en-US" w:eastAsia="zh-CN"/>
                    </w:rPr>
                  </w:pPr>
                  <w:r>
                    <w:rPr>
                      <w:rFonts w:hint="eastAsia"/>
                      <w:lang w:val="en-US" w:eastAsia="zh-CN"/>
                    </w:rPr>
                    <w:t>个体防护</w:t>
                  </w:r>
                </w:p>
              </w:tc>
              <w:tc>
                <w:tcPr>
                  <w:tcW w:w="1344" w:type="pct"/>
                  <w:vAlign w:val="center"/>
                </w:tcPr>
                <w:p>
                  <w:pPr>
                    <w:pStyle w:val="31"/>
                    <w:bidi w:val="0"/>
                    <w:jc w:val="center"/>
                    <w:rPr>
                      <w:rFonts w:hint="default"/>
                      <w:lang w:val="en-US" w:eastAsia="zh-CN"/>
                    </w:rPr>
                  </w:pPr>
                  <w:r>
                    <w:rPr>
                      <w:rFonts w:hint="eastAsia"/>
                      <w:lang w:val="en-US" w:eastAsia="zh-CN"/>
                    </w:rPr>
                    <w:t>工程控制</w:t>
                  </w:r>
                </w:p>
              </w:tc>
              <w:tc>
                <w:tcPr>
                  <w:tcW w:w="2681" w:type="pct"/>
                  <w:vAlign w:val="center"/>
                </w:tcPr>
                <w:p>
                  <w:pPr>
                    <w:pStyle w:val="31"/>
                    <w:bidi w:val="0"/>
                    <w:jc w:val="center"/>
                    <w:rPr>
                      <w:rFonts w:hint="eastAsia"/>
                      <w:lang w:val="en-US" w:eastAsia="zh-CN"/>
                    </w:rPr>
                  </w:pPr>
                  <w:r>
                    <w:rPr>
                      <w:rFonts w:hint="eastAsia"/>
                      <w:lang w:val="en-US" w:eastAsia="zh-CN"/>
                    </w:rPr>
                    <w:t>密闭操作，注意通风</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eastAsia"/>
                      <w:lang w:val="en-US" w:eastAsia="zh-CN"/>
                    </w:rPr>
                  </w:pPr>
                </w:p>
              </w:tc>
              <w:tc>
                <w:tcPr>
                  <w:tcW w:w="1344" w:type="pct"/>
                  <w:vAlign w:val="center"/>
                </w:tcPr>
                <w:p>
                  <w:pPr>
                    <w:pStyle w:val="31"/>
                    <w:bidi w:val="0"/>
                    <w:jc w:val="center"/>
                    <w:rPr>
                      <w:rFonts w:hint="default"/>
                      <w:lang w:val="en-US" w:eastAsia="zh-CN"/>
                    </w:rPr>
                  </w:pPr>
                  <w:r>
                    <w:rPr>
                      <w:rFonts w:hint="eastAsia"/>
                      <w:lang w:val="en-US" w:eastAsia="zh-CN"/>
                    </w:rPr>
                    <w:t>呼吸系统防护</w:t>
                  </w:r>
                </w:p>
              </w:tc>
              <w:tc>
                <w:tcPr>
                  <w:tcW w:w="2681" w:type="pct"/>
                  <w:vAlign w:val="center"/>
                </w:tcPr>
                <w:p>
                  <w:pPr>
                    <w:pStyle w:val="31"/>
                    <w:bidi w:val="0"/>
                    <w:jc w:val="center"/>
                    <w:rPr>
                      <w:rFonts w:hint="eastAsia"/>
                      <w:lang w:val="en-US" w:eastAsia="zh-CN"/>
                    </w:rPr>
                  </w:pPr>
                  <w:r>
                    <w:rPr>
                      <w:rFonts w:hint="eastAsia"/>
                      <w:lang w:val="en-US" w:eastAsia="zh-CN"/>
                    </w:rPr>
                    <w:t>空气中浓度超标时，必须佩戴自吸式防毒面具。紧急事态抢救或撤离时，应该佩戴空气呼吸器。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eastAsia"/>
                      <w:lang w:val="en-US" w:eastAsia="zh-CN"/>
                    </w:rPr>
                  </w:pPr>
                </w:p>
              </w:tc>
              <w:tc>
                <w:tcPr>
                  <w:tcW w:w="1344" w:type="pct"/>
                  <w:vAlign w:val="center"/>
                </w:tcPr>
                <w:p>
                  <w:pPr>
                    <w:pStyle w:val="31"/>
                    <w:bidi w:val="0"/>
                    <w:jc w:val="center"/>
                    <w:rPr>
                      <w:rFonts w:hint="default"/>
                      <w:lang w:val="en-US" w:eastAsia="zh-CN"/>
                    </w:rPr>
                  </w:pPr>
                  <w:r>
                    <w:rPr>
                      <w:rFonts w:hint="eastAsia"/>
                      <w:lang w:val="en-US" w:eastAsia="zh-CN"/>
                    </w:rPr>
                    <w:t>眼镜防护</w:t>
                  </w:r>
                </w:p>
              </w:tc>
              <w:tc>
                <w:tcPr>
                  <w:tcW w:w="2681" w:type="pct"/>
                  <w:vAlign w:val="center"/>
                </w:tcPr>
                <w:p>
                  <w:pPr>
                    <w:pStyle w:val="31"/>
                    <w:bidi w:val="0"/>
                    <w:jc w:val="center"/>
                    <w:rPr>
                      <w:rFonts w:hint="eastAsia"/>
                      <w:lang w:val="en-US" w:eastAsia="zh-CN"/>
                    </w:rPr>
                  </w:pPr>
                  <w:r>
                    <w:rPr>
                      <w:rFonts w:hint="eastAsia"/>
                      <w:lang w:val="en-US" w:eastAsia="zh-CN"/>
                    </w:rPr>
                    <w:t>戴化学安全防护眼镜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eastAsia"/>
                      <w:lang w:val="en-US" w:eastAsia="zh-CN"/>
                    </w:rPr>
                  </w:pPr>
                </w:p>
              </w:tc>
              <w:tc>
                <w:tcPr>
                  <w:tcW w:w="1344" w:type="pct"/>
                  <w:vAlign w:val="center"/>
                </w:tcPr>
                <w:p>
                  <w:pPr>
                    <w:pStyle w:val="31"/>
                    <w:bidi w:val="0"/>
                    <w:jc w:val="center"/>
                    <w:rPr>
                      <w:rFonts w:hint="default"/>
                      <w:lang w:val="en-US" w:eastAsia="zh-CN"/>
                    </w:rPr>
                  </w:pPr>
                  <w:r>
                    <w:rPr>
                      <w:rFonts w:hint="eastAsia"/>
                      <w:lang w:val="en-US" w:eastAsia="zh-CN"/>
                    </w:rPr>
                    <w:t>身体防护</w:t>
                  </w:r>
                </w:p>
              </w:tc>
              <w:tc>
                <w:tcPr>
                  <w:tcW w:w="2681" w:type="pct"/>
                  <w:vAlign w:val="center"/>
                </w:tcPr>
                <w:p>
                  <w:pPr>
                    <w:pStyle w:val="31"/>
                    <w:bidi w:val="0"/>
                    <w:jc w:val="center"/>
                    <w:rPr>
                      <w:rFonts w:hint="eastAsia"/>
                      <w:lang w:val="en-US" w:eastAsia="zh-CN"/>
                    </w:rPr>
                  </w:pPr>
                  <w:r>
                    <w:rPr>
                      <w:rFonts w:hint="eastAsia"/>
                      <w:lang w:val="en-US" w:eastAsia="zh-CN"/>
                    </w:rPr>
                    <w:t>穿防毒物渗透工作服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eastAsia"/>
                      <w:lang w:val="en-US" w:eastAsia="zh-CN"/>
                    </w:rPr>
                  </w:pPr>
                </w:p>
              </w:tc>
              <w:tc>
                <w:tcPr>
                  <w:tcW w:w="1344" w:type="pct"/>
                  <w:vAlign w:val="center"/>
                </w:tcPr>
                <w:p>
                  <w:pPr>
                    <w:pStyle w:val="31"/>
                    <w:bidi w:val="0"/>
                    <w:jc w:val="center"/>
                    <w:rPr>
                      <w:rFonts w:hint="default"/>
                      <w:lang w:val="en-US" w:eastAsia="zh-CN"/>
                    </w:rPr>
                  </w:pPr>
                  <w:r>
                    <w:rPr>
                      <w:rFonts w:hint="eastAsia"/>
                      <w:lang w:val="en-US" w:eastAsia="zh-CN"/>
                    </w:rPr>
                    <w:t>手防护</w:t>
                  </w:r>
                </w:p>
              </w:tc>
              <w:tc>
                <w:tcPr>
                  <w:tcW w:w="2681" w:type="pct"/>
                  <w:vAlign w:val="center"/>
                </w:tcPr>
                <w:p>
                  <w:pPr>
                    <w:pStyle w:val="31"/>
                    <w:bidi w:val="0"/>
                    <w:jc w:val="center"/>
                    <w:rPr>
                      <w:rFonts w:hint="eastAsia"/>
                      <w:lang w:val="en-US" w:eastAsia="zh-CN"/>
                    </w:rPr>
                  </w:pPr>
                  <w:r>
                    <w:rPr>
                      <w:rFonts w:hint="eastAsia"/>
                      <w:lang w:val="en-US" w:eastAsia="zh-CN"/>
                    </w:rPr>
                    <w:t>戴橡胶耐油手套</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eastAsia"/>
                      <w:lang w:val="en-US" w:eastAsia="zh-CN"/>
                    </w:rPr>
                  </w:pPr>
                </w:p>
              </w:tc>
              <w:tc>
                <w:tcPr>
                  <w:tcW w:w="1344" w:type="pct"/>
                  <w:vAlign w:val="center"/>
                </w:tcPr>
                <w:p>
                  <w:pPr>
                    <w:pStyle w:val="31"/>
                    <w:bidi w:val="0"/>
                    <w:jc w:val="center"/>
                    <w:rPr>
                      <w:rFonts w:hint="default"/>
                      <w:lang w:val="en-US" w:eastAsia="zh-CN"/>
                    </w:rPr>
                  </w:pPr>
                  <w:r>
                    <w:rPr>
                      <w:rFonts w:hint="eastAsia"/>
                      <w:lang w:val="en-US" w:eastAsia="zh-CN"/>
                    </w:rPr>
                    <w:t>其他防护</w:t>
                  </w:r>
                </w:p>
              </w:tc>
              <w:tc>
                <w:tcPr>
                  <w:tcW w:w="2681" w:type="pct"/>
                  <w:vAlign w:val="center"/>
                </w:tcPr>
                <w:p>
                  <w:pPr>
                    <w:pStyle w:val="31"/>
                    <w:bidi w:val="0"/>
                    <w:jc w:val="center"/>
                    <w:rPr>
                      <w:rFonts w:hint="eastAsia"/>
                      <w:lang w:val="en-US" w:eastAsia="zh-CN"/>
                    </w:rPr>
                  </w:pPr>
                  <w:r>
                    <w:rPr>
                      <w:rFonts w:hint="eastAsia"/>
                      <w:lang w:val="en-US" w:eastAsia="zh-CN"/>
                    </w:rPr>
                    <w:t>工作现场严禁吸烟，避免长期反复接触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restart"/>
                  <w:vAlign w:val="center"/>
                </w:tcPr>
                <w:p>
                  <w:pPr>
                    <w:pStyle w:val="31"/>
                    <w:bidi w:val="0"/>
                    <w:jc w:val="center"/>
                    <w:rPr>
                      <w:rFonts w:hint="default"/>
                      <w:lang w:val="en-US" w:eastAsia="zh-CN"/>
                    </w:rPr>
                  </w:pPr>
                  <w:r>
                    <w:rPr>
                      <w:rFonts w:hint="eastAsia"/>
                      <w:lang w:val="en-US" w:eastAsia="zh-CN"/>
                    </w:rPr>
                    <w:t>急救措施</w:t>
                  </w:r>
                </w:p>
              </w:tc>
              <w:tc>
                <w:tcPr>
                  <w:tcW w:w="1344" w:type="pct"/>
                  <w:vAlign w:val="center"/>
                </w:tcPr>
                <w:p>
                  <w:pPr>
                    <w:pStyle w:val="31"/>
                    <w:bidi w:val="0"/>
                    <w:jc w:val="center"/>
                    <w:rPr>
                      <w:rFonts w:hint="default"/>
                      <w:lang w:val="en-US" w:eastAsia="zh-CN"/>
                    </w:rPr>
                  </w:pPr>
                  <w:r>
                    <w:rPr>
                      <w:rFonts w:hint="eastAsia"/>
                      <w:lang w:val="en-US" w:eastAsia="zh-CN"/>
                    </w:rPr>
                    <w:t>皮肤接触</w:t>
                  </w:r>
                </w:p>
              </w:tc>
              <w:tc>
                <w:tcPr>
                  <w:tcW w:w="2681" w:type="pct"/>
                  <w:vAlign w:val="center"/>
                </w:tcPr>
                <w:p>
                  <w:pPr>
                    <w:keepNext w:val="0"/>
                    <w:keepLines w:val="0"/>
                    <w:widowControl/>
                    <w:suppressLineNumbers w:val="0"/>
                    <w:jc w:val="left"/>
                    <w:rPr>
                      <w:rFonts w:hint="eastAsia"/>
                      <w:lang w:val="en-US" w:eastAsia="zh-CN"/>
                    </w:rPr>
                  </w:pPr>
                  <w:r>
                    <w:rPr>
                      <w:rFonts w:hint="eastAsia" w:ascii="宋体" w:hAnsi="宋体" w:eastAsia="宋体" w:cs="宋体"/>
                      <w:color w:val="000000"/>
                      <w:kern w:val="0"/>
                      <w:sz w:val="21"/>
                      <w:szCs w:val="21"/>
                      <w:lang w:val="en-US" w:eastAsia="zh-CN" w:bidi="ar"/>
                    </w:rPr>
                    <w:t>脱去污染的衣着，用大量流动清水冲洗，就医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eastAsia"/>
                      <w:lang w:val="en-US" w:eastAsia="zh-CN"/>
                    </w:rPr>
                  </w:pPr>
                </w:p>
              </w:tc>
              <w:tc>
                <w:tcPr>
                  <w:tcW w:w="1344" w:type="pct"/>
                  <w:vAlign w:val="center"/>
                </w:tcPr>
                <w:p>
                  <w:pPr>
                    <w:pStyle w:val="31"/>
                    <w:bidi w:val="0"/>
                    <w:jc w:val="center"/>
                    <w:rPr>
                      <w:rFonts w:hint="default"/>
                      <w:lang w:val="en-US" w:eastAsia="zh-CN"/>
                    </w:rPr>
                  </w:pPr>
                  <w:r>
                    <w:rPr>
                      <w:rFonts w:hint="eastAsia"/>
                      <w:lang w:val="en-US" w:eastAsia="zh-CN"/>
                    </w:rPr>
                    <w:t>眼睛接触</w:t>
                  </w:r>
                </w:p>
              </w:tc>
              <w:tc>
                <w:tcPr>
                  <w:tcW w:w="2681" w:type="pct"/>
                  <w:vAlign w:val="center"/>
                </w:tcPr>
                <w:p>
                  <w:pPr>
                    <w:keepNext w:val="0"/>
                    <w:keepLines w:val="0"/>
                    <w:widowControl/>
                    <w:suppressLineNumbers w:val="0"/>
                    <w:jc w:val="left"/>
                    <w:rPr>
                      <w:rFonts w:hint="eastAsia"/>
                      <w:lang w:val="en-US" w:eastAsia="zh-CN"/>
                    </w:rPr>
                  </w:pPr>
                  <w:r>
                    <w:rPr>
                      <w:rFonts w:hint="eastAsia" w:ascii="宋体" w:hAnsi="宋体" w:eastAsia="宋体" w:cs="宋体"/>
                      <w:color w:val="000000"/>
                      <w:kern w:val="0"/>
                      <w:sz w:val="21"/>
                      <w:szCs w:val="21"/>
                      <w:lang w:val="en-US" w:eastAsia="zh-CN" w:bidi="ar"/>
                    </w:rPr>
                    <w:t>提起眼睑，用流动清水或生理盐水冲洗，就医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eastAsia"/>
                      <w:lang w:val="en-US" w:eastAsia="zh-CN"/>
                    </w:rPr>
                  </w:pPr>
                </w:p>
              </w:tc>
              <w:tc>
                <w:tcPr>
                  <w:tcW w:w="1344" w:type="pct"/>
                  <w:vAlign w:val="center"/>
                </w:tcPr>
                <w:p>
                  <w:pPr>
                    <w:pStyle w:val="31"/>
                    <w:bidi w:val="0"/>
                    <w:jc w:val="center"/>
                    <w:rPr>
                      <w:rFonts w:hint="default"/>
                      <w:lang w:val="en-US" w:eastAsia="zh-CN"/>
                    </w:rPr>
                  </w:pPr>
                  <w:r>
                    <w:rPr>
                      <w:rFonts w:hint="eastAsia"/>
                      <w:lang w:val="en-US" w:eastAsia="zh-CN"/>
                    </w:rPr>
                    <w:t>吸入</w:t>
                  </w:r>
                </w:p>
              </w:tc>
              <w:tc>
                <w:tcPr>
                  <w:tcW w:w="2681" w:type="pct"/>
                  <w:vAlign w:val="center"/>
                </w:tcPr>
                <w:p>
                  <w:pPr>
                    <w:keepNext w:val="0"/>
                    <w:keepLines w:val="0"/>
                    <w:widowControl/>
                    <w:suppressLineNumbers w:val="0"/>
                    <w:jc w:val="left"/>
                    <w:rPr>
                      <w:rFonts w:hint="eastAsia"/>
                      <w:lang w:val="en-US" w:eastAsia="zh-CN"/>
                    </w:rPr>
                  </w:pPr>
                  <w:r>
                    <w:rPr>
                      <w:rFonts w:hint="eastAsia" w:ascii="宋体" w:hAnsi="宋体" w:eastAsia="宋体" w:cs="宋体"/>
                      <w:color w:val="000000"/>
                      <w:kern w:val="0"/>
                      <w:sz w:val="21"/>
                      <w:szCs w:val="21"/>
                      <w:lang w:val="en-US" w:eastAsia="zh-CN" w:bidi="ar"/>
                    </w:rPr>
                    <w:t>迅速脱离现场至空气新鲜处，保持呼吸道通畅。如呼吸困难，给输氧，如呼吸停止，立即进行人工呼吸，就医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Merge w:val="continue"/>
                  <w:vAlign w:val="center"/>
                </w:tcPr>
                <w:p>
                  <w:pPr>
                    <w:pStyle w:val="31"/>
                    <w:bidi w:val="0"/>
                    <w:jc w:val="center"/>
                    <w:rPr>
                      <w:rFonts w:hint="eastAsia"/>
                      <w:lang w:val="en-US" w:eastAsia="zh-CN"/>
                    </w:rPr>
                  </w:pPr>
                </w:p>
              </w:tc>
              <w:tc>
                <w:tcPr>
                  <w:tcW w:w="1344" w:type="pct"/>
                  <w:vAlign w:val="center"/>
                </w:tcPr>
                <w:p>
                  <w:pPr>
                    <w:pStyle w:val="31"/>
                    <w:bidi w:val="0"/>
                    <w:jc w:val="center"/>
                    <w:rPr>
                      <w:rFonts w:hint="default"/>
                      <w:lang w:val="en-US" w:eastAsia="zh-CN"/>
                    </w:rPr>
                  </w:pPr>
                  <w:r>
                    <w:rPr>
                      <w:rFonts w:hint="eastAsia"/>
                      <w:lang w:val="en-US" w:eastAsia="zh-CN"/>
                    </w:rPr>
                    <w:t>食入</w:t>
                  </w:r>
                </w:p>
              </w:tc>
              <w:tc>
                <w:tcPr>
                  <w:tcW w:w="2681" w:type="pct"/>
                  <w:vAlign w:val="center"/>
                </w:tcPr>
                <w:p>
                  <w:pPr>
                    <w:keepNext w:val="0"/>
                    <w:keepLines w:val="0"/>
                    <w:widowControl/>
                    <w:suppressLineNumbers w:val="0"/>
                    <w:jc w:val="left"/>
                    <w:rPr>
                      <w:rFonts w:hint="eastAsia"/>
                      <w:lang w:val="en-US" w:eastAsia="zh-CN"/>
                    </w:rPr>
                  </w:pPr>
                  <w:r>
                    <w:rPr>
                      <w:rFonts w:hint="eastAsia" w:ascii="宋体" w:hAnsi="宋体" w:eastAsia="宋体" w:cs="宋体"/>
                      <w:color w:val="000000"/>
                      <w:kern w:val="0"/>
                      <w:sz w:val="21"/>
                      <w:szCs w:val="21"/>
                      <w:lang w:val="en-US" w:eastAsia="zh-CN" w:bidi="ar"/>
                    </w:rPr>
                    <w:t>饮足量温水、催吐，就医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Align w:val="center"/>
                </w:tcPr>
                <w:p>
                  <w:pPr>
                    <w:pStyle w:val="31"/>
                    <w:bidi w:val="0"/>
                    <w:jc w:val="center"/>
                    <w:rPr>
                      <w:rFonts w:hint="default"/>
                      <w:lang w:val="en-US" w:eastAsia="zh-CN"/>
                    </w:rPr>
                  </w:pPr>
                  <w:r>
                    <w:rPr>
                      <w:rFonts w:hint="eastAsia"/>
                      <w:lang w:val="en-US" w:eastAsia="zh-CN"/>
                    </w:rPr>
                    <w:t>泄漏应急处理</w:t>
                  </w:r>
                </w:p>
              </w:tc>
              <w:tc>
                <w:tcPr>
                  <w:tcW w:w="4026" w:type="pct"/>
                  <w:gridSpan w:val="2"/>
                  <w:vAlign w:val="center"/>
                </w:tcPr>
                <w:p>
                  <w:pPr>
                    <w:keepNext w:val="0"/>
                    <w:keepLines w:val="0"/>
                    <w:widowControl/>
                    <w:suppressLineNumbers w:val="0"/>
                    <w:jc w:val="left"/>
                    <w:rPr>
                      <w:rFonts w:hint="eastAsia"/>
                      <w:lang w:val="en-US" w:eastAsia="zh-CN"/>
                    </w:rPr>
                  </w:pPr>
                  <w:r>
                    <w:rPr>
                      <w:rFonts w:hint="eastAsia" w:ascii="宋体" w:hAnsi="宋体" w:eastAsia="宋体" w:cs="宋体"/>
                      <w:color w:val="000000"/>
                      <w:kern w:val="0"/>
                      <w:sz w:val="21"/>
                      <w:szCs w:val="21"/>
                      <w:lang w:val="en-US" w:eastAsia="zh-CN" w:bidi="ar"/>
                    </w:rPr>
                    <w:t>迅速撤离泄漏污染物人员至安全区，并进行撤离，严格限</w:t>
                  </w:r>
                  <w:r>
                    <w:rPr>
                      <w:rFonts w:hint="eastAsia" w:ascii="宋体" w:hAnsi="宋体" w:cs="宋体"/>
                      <w:color w:val="000000"/>
                      <w:kern w:val="0"/>
                      <w:sz w:val="21"/>
                      <w:szCs w:val="21"/>
                      <w:lang w:val="en-US" w:eastAsia="zh-CN" w:bidi="ar"/>
                    </w:rPr>
                    <w:t>制</w:t>
                  </w:r>
                  <w:r>
                    <w:rPr>
                      <w:rFonts w:hint="eastAsia" w:ascii="宋体" w:hAnsi="宋体" w:eastAsia="宋体" w:cs="宋体"/>
                      <w:color w:val="000000"/>
                      <w:kern w:val="0"/>
                      <w:sz w:val="21"/>
                      <w:szCs w:val="21"/>
                      <w:lang w:val="en-US" w:eastAsia="zh-CN" w:bidi="ar"/>
                    </w:rPr>
                    <w:t>出入。切断货源。建议应急处理人员戴自给正压式呼吸器，穿防毒服。尽可能切断泄漏源，</w:t>
                  </w:r>
                  <w:r>
                    <w:rPr>
                      <w:rFonts w:hint="eastAsia" w:ascii="宋体" w:hAnsi="宋体" w:cs="宋体"/>
                      <w:color w:val="000000"/>
                      <w:kern w:val="0"/>
                      <w:sz w:val="21"/>
                      <w:szCs w:val="21"/>
                      <w:lang w:val="en-US" w:eastAsia="zh-CN" w:bidi="ar"/>
                    </w:rPr>
                    <w:t>防止</w:t>
                  </w:r>
                  <w:r>
                    <w:rPr>
                      <w:rFonts w:hint="eastAsia" w:ascii="宋体" w:hAnsi="宋体" w:eastAsia="宋体" w:cs="宋体"/>
                      <w:color w:val="000000"/>
                      <w:kern w:val="0"/>
                      <w:sz w:val="21"/>
                      <w:szCs w:val="21"/>
                      <w:lang w:val="en-US" w:eastAsia="zh-CN" w:bidi="ar"/>
                    </w:rPr>
                    <w:t>流入下水道、排洪沟等限制性空间。小量泄漏：用砂土</w:t>
                  </w:r>
                  <w:r>
                    <w:rPr>
                      <w:rFonts w:hint="eastAsia" w:ascii="宋体" w:hAnsi="宋体" w:cs="宋体"/>
                      <w:color w:val="000000"/>
                      <w:kern w:val="0"/>
                      <w:sz w:val="21"/>
                      <w:szCs w:val="21"/>
                      <w:lang w:val="en-US" w:eastAsia="zh-CN" w:bidi="ar"/>
                    </w:rPr>
                    <w:t>或其他</w:t>
                  </w:r>
                  <w:r>
                    <w:rPr>
                      <w:rFonts w:hint="eastAsia" w:ascii="宋体" w:hAnsi="宋体" w:eastAsia="宋体" w:cs="宋体"/>
                      <w:color w:val="000000"/>
                      <w:kern w:val="0"/>
                      <w:sz w:val="21"/>
                      <w:szCs w:val="21"/>
                      <w:lang w:val="en-US" w:eastAsia="zh-CN" w:bidi="ar"/>
                    </w:rPr>
                    <w:t>不燃材料吸附或吸收。大量泄漏：构筑围堤或挖坑收容。用泵转移至槽车或专用收集器内，回收或运至废物处理场所处置。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Align w:val="center"/>
                </w:tcPr>
                <w:p>
                  <w:pPr>
                    <w:pStyle w:val="31"/>
                    <w:bidi w:val="0"/>
                    <w:jc w:val="center"/>
                    <w:rPr>
                      <w:rFonts w:hint="default"/>
                      <w:lang w:val="en-US" w:eastAsia="zh-CN"/>
                    </w:rPr>
                  </w:pPr>
                  <w:r>
                    <w:rPr>
                      <w:rFonts w:hint="eastAsia"/>
                      <w:lang w:val="en-US" w:eastAsia="zh-CN"/>
                    </w:rPr>
                    <w:t>操作注意事项</w:t>
                  </w:r>
                </w:p>
              </w:tc>
              <w:tc>
                <w:tcPr>
                  <w:tcW w:w="4026" w:type="pct"/>
                  <w:gridSpan w:val="2"/>
                  <w:vAlign w:val="center"/>
                </w:tcPr>
                <w:p>
                  <w:pPr>
                    <w:keepNext w:val="0"/>
                    <w:keepLines w:val="0"/>
                    <w:widowControl/>
                    <w:suppressLineNumbers w:val="0"/>
                    <w:jc w:val="left"/>
                  </w:pPr>
                  <w:r>
                    <w:rPr>
                      <w:rFonts w:hint="eastAsia" w:ascii="宋体" w:hAnsi="宋体" w:eastAsia="宋体" w:cs="宋体"/>
                      <w:color w:val="000000"/>
                      <w:kern w:val="0"/>
                      <w:sz w:val="21"/>
                      <w:szCs w:val="21"/>
                      <w:lang w:val="en-US" w:eastAsia="zh-CN" w:bidi="ar"/>
                    </w:rPr>
                    <w:t>密闭操作，注意通风。操作人员必须经过专门培训，严格遵守操作规程。</w:t>
                  </w:r>
                </w:p>
                <w:p>
                  <w:pPr>
                    <w:keepNext w:val="0"/>
                    <w:keepLines w:val="0"/>
                    <w:widowControl/>
                    <w:suppressLineNumbers w:val="0"/>
                    <w:jc w:val="left"/>
                    <w:rPr>
                      <w:rFonts w:hint="eastAsia"/>
                      <w:lang w:val="en-US" w:eastAsia="zh-CN"/>
                    </w:rPr>
                  </w:pPr>
                  <w:r>
                    <w:rPr>
                      <w:rFonts w:hint="eastAsia" w:ascii="宋体" w:hAnsi="宋体" w:eastAsia="宋体" w:cs="宋体"/>
                      <w:color w:val="000000"/>
                      <w:kern w:val="0"/>
                      <w:sz w:val="21"/>
                      <w:szCs w:val="21"/>
                      <w:lang w:val="en-US" w:eastAsia="zh-CN" w:bidi="ar"/>
                    </w:rPr>
                    <w:t>建议操作人员</w:t>
                  </w:r>
                  <w:r>
                    <w:rPr>
                      <w:rFonts w:hint="eastAsia" w:ascii="宋体" w:hAnsi="宋体" w:cs="宋体"/>
                      <w:color w:val="000000"/>
                      <w:kern w:val="0"/>
                      <w:sz w:val="21"/>
                      <w:szCs w:val="21"/>
                      <w:lang w:val="en-US" w:eastAsia="zh-CN" w:bidi="ar"/>
                    </w:rPr>
                    <w:t>佩戴</w:t>
                  </w:r>
                  <w:r>
                    <w:rPr>
                      <w:rFonts w:hint="eastAsia" w:ascii="宋体" w:hAnsi="宋体" w:eastAsia="宋体" w:cs="宋体"/>
                      <w:color w:val="000000"/>
                      <w:kern w:val="0"/>
                      <w:sz w:val="21"/>
                      <w:szCs w:val="21"/>
                      <w:lang w:val="en-US" w:eastAsia="zh-CN" w:bidi="ar"/>
                    </w:rPr>
                    <w:t>自吸过滤式防毒面具（半面罩），戴化学安全防护眼镜，穿防毒物渗透工作服，戴橡胶耐油手套。远离火种、热源，工作场所严禁吸烟。使用防爆型的通风系统和设备。</w:t>
                  </w:r>
                  <w:r>
                    <w:rPr>
                      <w:rFonts w:hint="eastAsia" w:ascii="宋体" w:hAnsi="宋体" w:cs="宋体"/>
                      <w:color w:val="000000"/>
                      <w:kern w:val="0"/>
                      <w:sz w:val="21"/>
                      <w:szCs w:val="21"/>
                      <w:lang w:val="en-US" w:eastAsia="zh-CN" w:bidi="ar"/>
                    </w:rPr>
                    <w:t>防止</w:t>
                  </w:r>
                  <w:r>
                    <w:rPr>
                      <w:rFonts w:hint="eastAsia" w:ascii="宋体" w:hAnsi="宋体" w:eastAsia="宋体" w:cs="宋体"/>
                      <w:color w:val="000000"/>
                      <w:kern w:val="0"/>
                      <w:sz w:val="21"/>
                      <w:szCs w:val="21"/>
                      <w:lang w:val="en-US" w:eastAsia="zh-CN" w:bidi="ar"/>
                    </w:rPr>
                    <w:t>蒸汽泄漏到工作场所空气中。避免与氧化剂接触。搬运时要轻装轻卸，</w:t>
                  </w:r>
                  <w:r>
                    <w:rPr>
                      <w:rFonts w:hint="eastAsia" w:ascii="宋体" w:hAnsi="宋体" w:cs="宋体"/>
                      <w:color w:val="000000"/>
                      <w:kern w:val="0"/>
                      <w:sz w:val="21"/>
                      <w:szCs w:val="21"/>
                      <w:lang w:val="en-US" w:eastAsia="zh-CN" w:bidi="ar"/>
                    </w:rPr>
                    <w:t>防止</w:t>
                  </w:r>
                  <w:r>
                    <w:rPr>
                      <w:rFonts w:hint="eastAsia" w:ascii="宋体" w:hAnsi="宋体" w:eastAsia="宋体" w:cs="宋体"/>
                      <w:color w:val="000000"/>
                      <w:kern w:val="0"/>
                      <w:sz w:val="21"/>
                      <w:szCs w:val="21"/>
                      <w:lang w:val="en-US" w:eastAsia="zh-CN" w:bidi="ar"/>
                    </w:rPr>
                    <w:t>包装及容器损坏。配备相应品种和数量的消防器材及泄漏应急处理设备。倒空的容器可能产生有害物。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3" w:type="pct"/>
                  <w:vAlign w:val="center"/>
                </w:tcPr>
                <w:p>
                  <w:pPr>
                    <w:pStyle w:val="31"/>
                    <w:bidi w:val="0"/>
                    <w:jc w:val="center"/>
                    <w:rPr>
                      <w:rFonts w:hint="default"/>
                      <w:lang w:val="en-US" w:eastAsia="zh-CN"/>
                    </w:rPr>
                  </w:pPr>
                  <w:r>
                    <w:rPr>
                      <w:rFonts w:hint="eastAsia"/>
                      <w:lang w:val="en-US" w:eastAsia="zh-CN"/>
                    </w:rPr>
                    <w:t>储存注意事项</w:t>
                  </w:r>
                </w:p>
              </w:tc>
              <w:tc>
                <w:tcPr>
                  <w:tcW w:w="4026" w:type="pct"/>
                  <w:gridSpan w:val="2"/>
                  <w:vAlign w:val="center"/>
                </w:tcPr>
                <w:p>
                  <w:pPr>
                    <w:keepNext w:val="0"/>
                    <w:keepLines w:val="0"/>
                    <w:widowControl/>
                    <w:suppressLineNumbers w:val="0"/>
                    <w:jc w:val="left"/>
                    <w:rPr>
                      <w:rFonts w:hint="eastAsia"/>
                      <w:lang w:val="en-US" w:eastAsia="zh-CN"/>
                    </w:rPr>
                  </w:pPr>
                  <w:r>
                    <w:rPr>
                      <w:rFonts w:hint="eastAsia" w:ascii="宋体" w:hAnsi="宋体" w:eastAsia="宋体" w:cs="宋体"/>
                      <w:color w:val="000000"/>
                      <w:kern w:val="0"/>
                      <w:sz w:val="21"/>
                      <w:szCs w:val="21"/>
                      <w:lang w:val="en-US" w:eastAsia="zh-CN" w:bidi="ar"/>
                    </w:rPr>
                    <w:t>储存于阴凉、通风的库房。远离火种、热源。应与氧化剂分开存放，切忌混储。配备相应品种和数量的消防器材。储区应备有泄漏处理设备和合适的收容材料。</w:t>
                  </w:r>
                </w:p>
              </w:tc>
            </w:tr>
          </w:tbl>
          <w:p>
            <w:pPr>
              <w:pStyle w:val="31"/>
              <w:rPr>
                <w:rFonts w:hint="default"/>
                <w:lang w:val="en-US" w:eastAsia="zh-CN"/>
              </w:rPr>
            </w:pPr>
          </w:p>
          <w:p>
            <w:pPr>
              <w:pStyle w:val="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（2）主要能源消耗</w:t>
            </w:r>
          </w:p>
          <w:p>
            <w:pPr>
              <w:pStyle w:val="8"/>
              <w:ind w:firstLine="480"/>
              <w:rPr>
                <w:rFonts w:hint="default" w:ascii="Times New Roman" w:hAnsi="Times New Roman" w:cs="Times New Roman"/>
                <w:color w:val="auto"/>
                <w:highlight w:val="none"/>
              </w:rPr>
            </w:pPr>
            <w:r>
              <w:rPr>
                <w:rFonts w:hint="eastAsia" w:cs="Times New Roman"/>
                <w:color w:val="auto"/>
                <w:highlight w:val="none"/>
                <w:lang w:val="en-US" w:eastAsia="zh-CN"/>
              </w:rPr>
              <w:t>本</w:t>
            </w:r>
            <w:r>
              <w:rPr>
                <w:rFonts w:hint="default" w:ascii="Times New Roman" w:hAnsi="Times New Roman" w:cs="Times New Roman"/>
                <w:color w:val="auto"/>
                <w:highlight w:val="none"/>
              </w:rPr>
              <w:t>项目主要能源消耗情况见</w:t>
            </w:r>
            <w:r>
              <w:rPr>
                <w:rFonts w:hint="default" w:ascii="Times New Roman" w:hAnsi="Times New Roman" w:cs="Times New Roman"/>
                <w:color w:val="auto"/>
                <w:highlight w:val="none"/>
                <w:lang w:val="en-US"/>
              </w:rPr>
              <w:fldChar w:fldCharType="begin"/>
            </w:r>
            <w:r>
              <w:rPr>
                <w:rFonts w:hint="default" w:ascii="Times New Roman" w:hAnsi="Times New Roman" w:cs="Times New Roman"/>
                <w:color w:val="auto"/>
                <w:highlight w:val="none"/>
                <w:lang w:val="en-US"/>
              </w:rPr>
              <w:instrText xml:space="preserve">REF_Ref1687\r\h</w:instrText>
            </w:r>
            <w:r>
              <w:rPr>
                <w:rFonts w:hint="default" w:ascii="Times New Roman" w:hAnsi="Times New Roman" w:cs="Times New Roman"/>
                <w:color w:val="auto"/>
                <w:highlight w:val="none"/>
                <w:lang w:val="en-US"/>
              </w:rPr>
              <w:fldChar w:fldCharType="separate"/>
            </w:r>
            <w:r>
              <w:rPr>
                <w:rFonts w:hint="default" w:ascii="Times New Roman" w:hAnsi="Times New Roman" w:cs="Times New Roman"/>
                <w:color w:val="auto"/>
                <w:highlight w:val="none"/>
                <w:lang w:val="en-US"/>
              </w:rPr>
              <w:t>表14</w:t>
            </w:r>
            <w:r>
              <w:rPr>
                <w:rFonts w:hint="default" w:ascii="Times New Roman" w:hAnsi="Times New Roman" w:cs="Times New Roman"/>
                <w:color w:val="auto"/>
                <w:highlight w:val="none"/>
                <w:lang w:val="en-US"/>
              </w:rPr>
              <w:fldChar w:fldCharType="end"/>
            </w:r>
            <w:r>
              <w:rPr>
                <w:rFonts w:hint="default" w:ascii="Times New Roman" w:hAnsi="Times New Roman" w:cs="Times New Roman"/>
                <w:color w:val="auto"/>
                <w:highlight w:val="none"/>
              </w:rPr>
              <w:t>。</w:t>
            </w:r>
          </w:p>
          <w:p>
            <w:pPr>
              <w:pStyle w:val="30"/>
              <w:bidi w:val="0"/>
              <w:rPr>
                <w:rFonts w:hint="default"/>
              </w:rPr>
            </w:pPr>
            <w:bookmarkStart w:id="35" w:name="_Ref1687"/>
            <w:r>
              <w:rPr>
                <w:rFonts w:hint="default"/>
              </w:rPr>
              <w:t>项目主要能耗表</w:t>
            </w:r>
            <w:bookmarkEnd w:id="35"/>
          </w:p>
          <w:tbl>
            <w:tblPr>
              <w:tblStyle w:val="24"/>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6"/>
              <w:gridCol w:w="855"/>
              <w:gridCol w:w="1185"/>
              <w:gridCol w:w="1965"/>
              <w:gridCol w:w="2340"/>
              <w:gridCol w:w="106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71" w:type="pct"/>
                  <w:tcBorders>
                    <w:tl2br w:val="nil"/>
                    <w:tr2bl w:val="nil"/>
                  </w:tcBorders>
                  <w:shd w:val="clear" w:color="auto" w:fill="auto"/>
                  <w:vAlign w:val="center"/>
                </w:tcPr>
                <w:p>
                  <w:pPr>
                    <w:pStyle w:val="31"/>
                    <w:rPr>
                      <w:rFonts w:hint="default"/>
                    </w:rPr>
                  </w:pPr>
                  <w:r>
                    <w:rPr>
                      <w:rFonts w:hint="default"/>
                    </w:rPr>
                    <w:t>序号</w:t>
                  </w:r>
                </w:p>
              </w:tc>
              <w:tc>
                <w:tcPr>
                  <w:tcW w:w="510" w:type="pct"/>
                  <w:tcBorders>
                    <w:tl2br w:val="nil"/>
                    <w:tr2bl w:val="nil"/>
                  </w:tcBorders>
                  <w:shd w:val="clear" w:color="auto" w:fill="auto"/>
                  <w:vAlign w:val="center"/>
                </w:tcPr>
                <w:p>
                  <w:pPr>
                    <w:pStyle w:val="31"/>
                    <w:rPr>
                      <w:rFonts w:hint="default"/>
                    </w:rPr>
                  </w:pPr>
                  <w:r>
                    <w:rPr>
                      <w:rFonts w:hint="default"/>
                    </w:rPr>
                    <w:t>名称</w:t>
                  </w:r>
                </w:p>
              </w:tc>
              <w:tc>
                <w:tcPr>
                  <w:tcW w:w="707" w:type="pct"/>
                  <w:tcBorders>
                    <w:tl2br w:val="nil"/>
                    <w:tr2bl w:val="nil"/>
                  </w:tcBorders>
                  <w:shd w:val="clear" w:color="auto" w:fill="auto"/>
                  <w:vAlign w:val="center"/>
                </w:tcPr>
                <w:p>
                  <w:pPr>
                    <w:pStyle w:val="31"/>
                    <w:rPr>
                      <w:rFonts w:hint="default"/>
                    </w:rPr>
                  </w:pPr>
                  <w:r>
                    <w:rPr>
                      <w:rFonts w:hint="default"/>
                    </w:rPr>
                    <w:t>单位</w:t>
                  </w:r>
                </w:p>
              </w:tc>
              <w:tc>
                <w:tcPr>
                  <w:tcW w:w="1173" w:type="pct"/>
                  <w:tcBorders>
                    <w:tl2br w:val="nil"/>
                    <w:tr2bl w:val="nil"/>
                  </w:tcBorders>
                  <w:shd w:val="clear" w:color="auto" w:fill="auto"/>
                  <w:vAlign w:val="center"/>
                </w:tcPr>
                <w:p>
                  <w:pPr>
                    <w:pStyle w:val="31"/>
                    <w:rPr>
                      <w:rFonts w:hint="eastAsia"/>
                      <w:lang w:val="en-US" w:eastAsia="zh-CN"/>
                    </w:rPr>
                  </w:pPr>
                  <w:r>
                    <w:rPr>
                      <w:rFonts w:hint="eastAsia"/>
                      <w:lang w:val="en-US" w:eastAsia="zh-CN"/>
                    </w:rPr>
                    <w:t>来源</w:t>
                  </w:r>
                </w:p>
              </w:tc>
              <w:tc>
                <w:tcPr>
                  <w:tcW w:w="1397" w:type="pct"/>
                  <w:tcBorders>
                    <w:tl2br w:val="nil"/>
                    <w:tr2bl w:val="nil"/>
                  </w:tcBorders>
                  <w:shd w:val="clear" w:color="auto" w:fill="auto"/>
                  <w:vAlign w:val="center"/>
                </w:tcPr>
                <w:p>
                  <w:pPr>
                    <w:pStyle w:val="31"/>
                    <w:rPr>
                      <w:rFonts w:hint="eastAsia"/>
                      <w:lang w:val="en-US" w:eastAsia="zh-CN"/>
                    </w:rPr>
                  </w:pPr>
                  <w:r>
                    <w:rPr>
                      <w:rFonts w:hint="eastAsia"/>
                      <w:lang w:val="en-US" w:eastAsia="zh-CN"/>
                    </w:rPr>
                    <w:t>用途</w:t>
                  </w:r>
                </w:p>
              </w:tc>
              <w:tc>
                <w:tcPr>
                  <w:tcW w:w="638" w:type="pct"/>
                  <w:tcBorders>
                    <w:tl2br w:val="nil"/>
                    <w:tr2bl w:val="nil"/>
                  </w:tcBorders>
                  <w:shd w:val="clear" w:color="auto" w:fill="auto"/>
                  <w:vAlign w:val="center"/>
                </w:tcPr>
                <w:p>
                  <w:pPr>
                    <w:pStyle w:val="31"/>
                    <w:rPr>
                      <w:rFonts w:hint="eastAsia"/>
                      <w:lang w:eastAsia="zh-CN"/>
                    </w:rPr>
                  </w:pPr>
                  <w:r>
                    <w:rPr>
                      <w:rFonts w:hint="eastAsia"/>
                      <w:lang w:val="en-US" w:eastAsia="zh-CN"/>
                    </w:rPr>
                    <w:t>用量</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1" w:type="pct"/>
                  <w:tcBorders>
                    <w:tl2br w:val="nil"/>
                    <w:tr2bl w:val="nil"/>
                  </w:tcBorders>
                  <w:shd w:val="clear" w:color="auto" w:fill="auto"/>
                  <w:vAlign w:val="center"/>
                </w:tcPr>
                <w:p>
                  <w:pPr>
                    <w:pStyle w:val="31"/>
                    <w:rPr>
                      <w:rFonts w:hint="default"/>
                      <w:highlight w:val="none"/>
                    </w:rPr>
                  </w:pPr>
                  <w:r>
                    <w:rPr>
                      <w:rFonts w:hint="default"/>
                      <w:highlight w:val="none"/>
                    </w:rPr>
                    <w:t>1</w:t>
                  </w:r>
                </w:p>
              </w:tc>
              <w:tc>
                <w:tcPr>
                  <w:tcW w:w="510" w:type="pct"/>
                  <w:tcBorders>
                    <w:tl2br w:val="nil"/>
                    <w:tr2bl w:val="nil"/>
                  </w:tcBorders>
                  <w:shd w:val="clear" w:color="auto" w:fill="auto"/>
                  <w:vAlign w:val="center"/>
                </w:tcPr>
                <w:p>
                  <w:pPr>
                    <w:pStyle w:val="31"/>
                    <w:rPr>
                      <w:rFonts w:hint="default"/>
                      <w:highlight w:val="none"/>
                    </w:rPr>
                  </w:pPr>
                  <w:r>
                    <w:rPr>
                      <w:rFonts w:hint="default"/>
                      <w:highlight w:val="none"/>
                    </w:rPr>
                    <w:t>水</w:t>
                  </w:r>
                </w:p>
              </w:tc>
              <w:tc>
                <w:tcPr>
                  <w:tcW w:w="707" w:type="pct"/>
                  <w:tcBorders>
                    <w:tl2br w:val="nil"/>
                    <w:tr2bl w:val="nil"/>
                  </w:tcBorders>
                  <w:shd w:val="clear" w:color="auto" w:fill="auto"/>
                  <w:vAlign w:val="center"/>
                </w:tcPr>
                <w:p>
                  <w:pPr>
                    <w:pStyle w:val="31"/>
                    <w:rPr>
                      <w:rFonts w:hint="default"/>
                    </w:rPr>
                  </w:pPr>
                  <w:r>
                    <w:rPr>
                      <w:rFonts w:hint="default"/>
                    </w:rPr>
                    <w:t>t/a</w:t>
                  </w:r>
                </w:p>
              </w:tc>
              <w:tc>
                <w:tcPr>
                  <w:tcW w:w="1173" w:type="pct"/>
                  <w:tcBorders>
                    <w:tl2br w:val="nil"/>
                    <w:tr2bl w:val="nil"/>
                  </w:tcBorders>
                  <w:shd w:val="clear" w:color="auto" w:fill="auto"/>
                  <w:vAlign w:val="center"/>
                </w:tcPr>
                <w:p>
                  <w:pPr>
                    <w:pStyle w:val="31"/>
                    <w:rPr>
                      <w:rFonts w:hint="default"/>
                      <w:lang w:val="en-US" w:eastAsia="zh-CN"/>
                    </w:rPr>
                  </w:pPr>
                  <w:r>
                    <w:rPr>
                      <w:rFonts w:hint="eastAsia"/>
                      <w:lang w:val="en-US" w:eastAsia="zh-CN"/>
                    </w:rPr>
                    <w:t>市政供水</w:t>
                  </w:r>
                </w:p>
              </w:tc>
              <w:tc>
                <w:tcPr>
                  <w:tcW w:w="1397" w:type="pct"/>
                  <w:tcBorders>
                    <w:tl2br w:val="nil"/>
                    <w:tr2bl w:val="nil"/>
                  </w:tcBorders>
                  <w:shd w:val="clear" w:color="auto" w:fill="auto"/>
                  <w:vAlign w:val="center"/>
                </w:tcPr>
                <w:p>
                  <w:pPr>
                    <w:pStyle w:val="31"/>
                    <w:rPr>
                      <w:rFonts w:hint="default"/>
                      <w:lang w:val="en-US" w:eastAsia="zh-CN"/>
                    </w:rPr>
                  </w:pPr>
                  <w:r>
                    <w:rPr>
                      <w:rFonts w:hint="eastAsia"/>
                      <w:lang w:val="en-US" w:eastAsia="zh-CN"/>
                    </w:rPr>
                    <w:t>生活用水</w:t>
                  </w:r>
                </w:p>
              </w:tc>
              <w:tc>
                <w:tcPr>
                  <w:tcW w:w="638" w:type="pct"/>
                  <w:tcBorders>
                    <w:tl2br w:val="nil"/>
                    <w:tr2bl w:val="nil"/>
                  </w:tcBorders>
                  <w:shd w:val="clear" w:color="auto" w:fill="auto"/>
                  <w:vAlign w:val="center"/>
                </w:tcPr>
                <w:p>
                  <w:pPr>
                    <w:pStyle w:val="31"/>
                    <w:rPr>
                      <w:rFonts w:hint="default"/>
                      <w:lang w:val="en-US" w:eastAsia="zh-CN"/>
                    </w:rPr>
                  </w:pPr>
                  <w:r>
                    <w:rPr>
                      <w:rFonts w:hint="eastAsia"/>
                      <w:lang w:val="en-US" w:eastAsia="zh-CN"/>
                    </w:rPr>
                    <w:t>99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1" w:type="pct"/>
                  <w:tcBorders>
                    <w:tl2br w:val="nil"/>
                    <w:tr2bl w:val="nil"/>
                  </w:tcBorders>
                  <w:shd w:val="clear" w:color="auto" w:fill="auto"/>
                  <w:vAlign w:val="center"/>
                </w:tcPr>
                <w:p>
                  <w:pPr>
                    <w:pStyle w:val="31"/>
                    <w:ind w:left="0" w:leftChars="0" w:firstLine="0" w:firstLineChars="0"/>
                    <w:rPr>
                      <w:rFonts w:hint="eastAsia" w:ascii="Times New Roman" w:hAnsi="Times New Roman" w:eastAsia="宋体" w:cs="Times New Roman"/>
                      <w:kern w:val="2"/>
                      <w:sz w:val="21"/>
                      <w:szCs w:val="24"/>
                      <w:highlight w:val="none"/>
                      <w:lang w:val="en-US" w:eastAsia="zh-CN" w:bidi="ar-SA"/>
                    </w:rPr>
                  </w:pPr>
                  <w:r>
                    <w:rPr>
                      <w:rFonts w:hint="eastAsia"/>
                      <w:highlight w:val="none"/>
                      <w:lang w:val="en-US" w:eastAsia="zh-CN"/>
                    </w:rPr>
                    <w:t>2</w:t>
                  </w:r>
                </w:p>
              </w:tc>
              <w:tc>
                <w:tcPr>
                  <w:tcW w:w="510" w:type="pct"/>
                  <w:tcBorders>
                    <w:tl2br w:val="nil"/>
                    <w:tr2bl w:val="nil"/>
                  </w:tcBorders>
                  <w:shd w:val="clear" w:color="auto" w:fill="auto"/>
                  <w:vAlign w:val="center"/>
                </w:tcPr>
                <w:p>
                  <w:pPr>
                    <w:pStyle w:val="31"/>
                    <w:rPr>
                      <w:rFonts w:hint="default"/>
                    </w:rPr>
                  </w:pPr>
                  <w:r>
                    <w:rPr>
                      <w:rFonts w:hint="default"/>
                    </w:rPr>
                    <w:t>电</w:t>
                  </w:r>
                </w:p>
              </w:tc>
              <w:tc>
                <w:tcPr>
                  <w:tcW w:w="707" w:type="pct"/>
                  <w:tcBorders>
                    <w:tl2br w:val="nil"/>
                    <w:tr2bl w:val="nil"/>
                  </w:tcBorders>
                  <w:shd w:val="clear" w:color="auto" w:fill="auto"/>
                  <w:vAlign w:val="center"/>
                </w:tcPr>
                <w:p>
                  <w:pPr>
                    <w:pStyle w:val="31"/>
                    <w:rPr>
                      <w:rFonts w:hint="default"/>
                    </w:rPr>
                  </w:pPr>
                  <w:r>
                    <w:rPr>
                      <w:rFonts w:hint="default"/>
                    </w:rPr>
                    <w:t>kwh/a</w:t>
                  </w:r>
                </w:p>
              </w:tc>
              <w:tc>
                <w:tcPr>
                  <w:tcW w:w="1173" w:type="pct"/>
                  <w:tcBorders>
                    <w:tl2br w:val="nil"/>
                    <w:tr2bl w:val="nil"/>
                  </w:tcBorders>
                  <w:shd w:val="clear" w:color="auto" w:fill="auto"/>
                  <w:vAlign w:val="center"/>
                </w:tcPr>
                <w:p>
                  <w:pPr>
                    <w:pStyle w:val="31"/>
                    <w:rPr>
                      <w:rFonts w:hint="default"/>
                      <w:lang w:val="en-US" w:eastAsia="zh-CN"/>
                    </w:rPr>
                  </w:pPr>
                  <w:r>
                    <w:rPr>
                      <w:rFonts w:hint="eastAsia"/>
                      <w:lang w:val="en-US" w:eastAsia="zh-CN"/>
                    </w:rPr>
                    <w:t>市政供电</w:t>
                  </w:r>
                </w:p>
              </w:tc>
              <w:tc>
                <w:tcPr>
                  <w:tcW w:w="1397" w:type="pct"/>
                  <w:tcBorders>
                    <w:tl2br w:val="nil"/>
                    <w:tr2bl w:val="nil"/>
                  </w:tcBorders>
                  <w:shd w:val="clear" w:color="auto" w:fill="auto"/>
                  <w:vAlign w:val="center"/>
                </w:tcPr>
                <w:p>
                  <w:pPr>
                    <w:pStyle w:val="31"/>
                    <w:rPr>
                      <w:rFonts w:hint="default"/>
                      <w:lang w:val="en-US" w:eastAsia="zh-CN"/>
                    </w:rPr>
                  </w:pPr>
                  <w:r>
                    <w:rPr>
                      <w:rFonts w:hint="eastAsia"/>
                      <w:lang w:val="en-US" w:eastAsia="zh-CN"/>
                    </w:rPr>
                    <w:t>风机、油泵等设备用电</w:t>
                  </w:r>
                </w:p>
              </w:tc>
              <w:tc>
                <w:tcPr>
                  <w:tcW w:w="638" w:type="pct"/>
                  <w:tcBorders>
                    <w:tl2br w:val="nil"/>
                    <w:tr2bl w:val="nil"/>
                  </w:tcBorders>
                  <w:shd w:val="clear" w:color="auto" w:fill="auto"/>
                  <w:vAlign w:val="center"/>
                </w:tcPr>
                <w:p>
                  <w:pPr>
                    <w:pStyle w:val="31"/>
                    <w:rPr>
                      <w:rFonts w:hint="default"/>
                      <w:lang w:val="en-US" w:eastAsia="zh-CN"/>
                    </w:rPr>
                  </w:pPr>
                  <w:r>
                    <w:rPr>
                      <w:rFonts w:hint="eastAsia"/>
                      <w:lang w:val="en-US" w:eastAsia="zh-CN"/>
                    </w:rPr>
                    <w:t>15000</w:t>
                  </w:r>
                </w:p>
              </w:tc>
            </w:tr>
          </w:tbl>
          <w:p>
            <w:pPr>
              <w:pStyle w:val="8"/>
              <w:bidi w:val="0"/>
              <w:spacing w:line="240" w:lineRule="auto"/>
              <w:rPr>
                <w:rFonts w:hint="default" w:ascii="Times New Roman" w:hAnsi="Times New Roman" w:cs="Times New Roman"/>
                <w:color w:val="auto"/>
                <w:highlight w:val="none"/>
                <w:lang w:val="en-US" w:eastAsia="zh-CN"/>
              </w:rPr>
            </w:pPr>
          </w:p>
          <w:p>
            <w:pPr>
              <w:pStyle w:val="4"/>
              <w:numPr>
                <w:ilvl w:val="1"/>
                <w:numId w:val="4"/>
              </w:numPr>
              <w:tabs>
                <w:tab w:val="left" w:pos="420"/>
              </w:tabs>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公用</w:t>
            </w:r>
            <w:r>
              <w:rPr>
                <w:rFonts w:hint="default" w:ascii="Times New Roman" w:hAnsi="Times New Roman" w:eastAsia="宋体" w:cs="Times New Roman"/>
                <w:color w:val="auto"/>
                <w:highlight w:val="none"/>
                <w:lang w:val="en-US" w:eastAsia="zh-CN"/>
              </w:rPr>
              <w:t>工程</w:t>
            </w:r>
          </w:p>
          <w:p>
            <w:pPr>
              <w:pStyle w:val="8"/>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（1）给水工程</w:t>
            </w:r>
          </w:p>
          <w:p>
            <w:pPr>
              <w:pStyle w:val="8"/>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①生活用水</w:t>
            </w:r>
          </w:p>
          <w:p>
            <w:pPr>
              <w:pStyle w:val="8"/>
              <w:rPr>
                <w:rFonts w:hint="default" w:ascii="Times New Roman" w:hAnsi="Times New Roman" w:eastAsia="宋体"/>
                <w:color w:val="auto"/>
                <w:sz w:val="24"/>
                <w:lang w:val="en-US" w:eastAsia="zh-CN"/>
              </w:rPr>
            </w:pPr>
            <w:r>
              <w:rPr>
                <w:rFonts w:hint="default" w:ascii="Times New Roman" w:hAnsi="Times New Roman" w:cs="Times New Roman"/>
                <w:color w:val="auto"/>
                <w:highlight w:val="none"/>
                <w:lang w:val="en-US" w:eastAsia="zh-CN"/>
              </w:rPr>
              <w:t>本项目</w:t>
            </w:r>
            <w:r>
              <w:rPr>
                <w:rFonts w:hint="eastAsia" w:cs="Times New Roman"/>
                <w:color w:val="auto"/>
                <w:highlight w:val="none"/>
                <w:lang w:val="en-US" w:eastAsia="zh-CN"/>
              </w:rPr>
              <w:t>劳动定员为6人，均不住厂，</w:t>
            </w:r>
            <w:r>
              <w:rPr>
                <w:rFonts w:hint="eastAsia"/>
                <w:color w:val="auto"/>
                <w:highlight w:val="none"/>
              </w:rPr>
              <w:t>厂</w:t>
            </w:r>
            <w:r>
              <w:rPr>
                <w:rFonts w:hint="eastAsia"/>
                <w:color w:val="auto"/>
                <w:highlight w:val="none"/>
                <w:lang w:eastAsia="zh-CN"/>
              </w:rPr>
              <w:t>房</w:t>
            </w:r>
            <w:r>
              <w:rPr>
                <w:rFonts w:hint="eastAsia"/>
                <w:color w:val="auto"/>
                <w:highlight w:val="none"/>
              </w:rPr>
              <w:t>内不设置卫生间，员工</w:t>
            </w:r>
            <w:r>
              <w:rPr>
                <w:rFonts w:hint="eastAsia"/>
                <w:color w:val="auto"/>
                <w:highlight w:val="none"/>
                <w:lang w:val="en-US" w:eastAsia="zh-CN"/>
              </w:rPr>
              <w:t>生活用水依托厂区</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根据《</w:t>
            </w:r>
            <w:r>
              <w:rPr>
                <w:rFonts w:hint="eastAsia" w:ascii="Times New Roman" w:hAnsi="Times New Roman" w:eastAsia="宋体"/>
                <w:color w:val="auto"/>
                <w:sz w:val="24"/>
                <w:lang w:val="zh-CN"/>
              </w:rPr>
              <w:t>室外排水设计规范》（GB50014-2011）和《福建省行业用水定额》（DB35/T772-201</w:t>
            </w:r>
            <w:r>
              <w:rPr>
                <w:rFonts w:hint="eastAsia" w:ascii="Times New Roman" w:hAnsi="Times New Roman" w:eastAsia="宋体"/>
                <w:color w:val="auto"/>
                <w:sz w:val="24"/>
                <w:lang w:val="en-US" w:eastAsia="zh-CN"/>
              </w:rPr>
              <w:t>8</w:t>
            </w:r>
            <w:r>
              <w:rPr>
                <w:rFonts w:hint="eastAsia" w:ascii="Times New Roman" w:hAnsi="Times New Roman" w:eastAsia="宋体"/>
                <w:color w:val="auto"/>
                <w:sz w:val="24"/>
                <w:lang w:val="zh-CN"/>
              </w:rPr>
              <w:t>）相关定额，不住厂员工按50L/d</w:t>
            </w:r>
            <w:r>
              <w:rPr>
                <w:rFonts w:hint="eastAsia" w:ascii="Times New Roman" w:hAnsi="Times New Roman" w:eastAsia="宋体"/>
                <w:color w:val="auto"/>
                <w:sz w:val="24"/>
                <w:lang w:val="en-US" w:eastAsia="zh-CN"/>
              </w:rPr>
              <w:t>·</w:t>
            </w:r>
            <w:r>
              <w:rPr>
                <w:rFonts w:hint="eastAsia" w:ascii="Times New Roman" w:hAnsi="Times New Roman" w:eastAsia="宋体"/>
                <w:color w:val="auto"/>
                <w:sz w:val="24"/>
                <w:lang w:val="zh-CN"/>
              </w:rPr>
              <w:t>人计，</w:t>
            </w:r>
            <w:r>
              <w:rPr>
                <w:rFonts w:hint="eastAsia" w:ascii="Times New Roman" w:hAnsi="Times New Roman" w:eastAsia="宋体"/>
                <w:color w:val="auto"/>
                <w:sz w:val="24"/>
                <w:lang w:val="en-US" w:eastAsia="zh-CN"/>
              </w:rPr>
              <w:t>则生活用水量为</w:t>
            </w:r>
            <w:r>
              <w:rPr>
                <w:rFonts w:hint="eastAsia"/>
                <w:color w:val="auto"/>
                <w:sz w:val="24"/>
                <w:lang w:val="en-US" w:eastAsia="zh-CN"/>
              </w:rPr>
              <w:t>99</w:t>
            </w:r>
            <w:r>
              <w:rPr>
                <w:rFonts w:hint="eastAsia" w:ascii="Times New Roman" w:hAnsi="Times New Roman" w:eastAsia="宋体"/>
                <w:color w:val="auto"/>
                <w:sz w:val="24"/>
                <w:lang w:val="en-US" w:eastAsia="zh-CN"/>
              </w:rPr>
              <w:t>t/a（</w:t>
            </w:r>
            <w:r>
              <w:rPr>
                <w:rFonts w:hint="eastAsia"/>
                <w:color w:val="auto"/>
                <w:sz w:val="24"/>
                <w:lang w:val="en-US" w:eastAsia="zh-CN"/>
              </w:rPr>
              <w:t>0.3</w:t>
            </w:r>
            <w:r>
              <w:rPr>
                <w:rFonts w:hint="eastAsia" w:ascii="Times New Roman" w:hAnsi="Times New Roman" w:eastAsia="宋体"/>
                <w:color w:val="auto"/>
                <w:sz w:val="24"/>
                <w:lang w:val="en-US" w:eastAsia="zh-CN"/>
              </w:rPr>
              <w:t>t/d）</w:t>
            </w:r>
            <w:r>
              <w:rPr>
                <w:rFonts w:hint="eastAsia"/>
                <w:color w:val="auto"/>
                <w:sz w:val="24"/>
                <w:lang w:val="en-US" w:eastAsia="zh-CN"/>
              </w:rPr>
              <w:t>。</w:t>
            </w:r>
          </w:p>
          <w:p>
            <w:pPr>
              <w:pStyle w:val="8"/>
              <w:numPr>
                <w:ilvl w:val="0"/>
                <w:numId w:val="8"/>
              </w:num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排水工程</w:t>
            </w:r>
          </w:p>
          <w:p>
            <w:pPr>
              <w:pStyle w:val="8"/>
              <w:numPr>
                <w:ilvl w:val="-1"/>
                <w:numId w:val="0"/>
              </w:numPr>
              <w:ind w:firstLine="48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①生活污水</w:t>
            </w:r>
          </w:p>
          <w:p>
            <w:pPr>
              <w:pStyle w:val="8"/>
              <w:rPr>
                <w:rFonts w:hint="eastAsia"/>
                <w:color w:val="auto"/>
                <w:sz w:val="24"/>
                <w:lang w:val="en-US" w:eastAsia="zh-CN"/>
              </w:rPr>
            </w:pPr>
            <w:r>
              <w:rPr>
                <w:rFonts w:hint="eastAsia" w:cs="Times New Roman"/>
                <w:color w:val="auto"/>
                <w:highlight w:val="none"/>
                <w:lang w:val="en-US" w:eastAsia="zh-CN"/>
              </w:rPr>
              <w:t>本</w:t>
            </w:r>
            <w:r>
              <w:rPr>
                <w:rFonts w:hint="default" w:cs="Times New Roman"/>
                <w:color w:val="auto"/>
                <w:highlight w:val="none"/>
                <w:lang w:val="en-US" w:eastAsia="zh-CN"/>
              </w:rPr>
              <w:t>项目</w:t>
            </w:r>
            <w:r>
              <w:rPr>
                <w:rFonts w:hint="eastAsia" w:cs="Times New Roman"/>
                <w:color w:val="auto"/>
                <w:highlight w:val="none"/>
                <w:lang w:val="en-US" w:eastAsia="zh-CN"/>
              </w:rPr>
              <w:t>生活用水量</w:t>
            </w:r>
            <w:r>
              <w:rPr>
                <w:rFonts w:hint="eastAsia" w:ascii="Times New Roman" w:hAnsi="Times New Roman" w:eastAsia="宋体"/>
                <w:color w:val="auto"/>
                <w:sz w:val="24"/>
                <w:lang w:val="en-US" w:eastAsia="zh-CN"/>
              </w:rPr>
              <w:t>为</w:t>
            </w:r>
            <w:r>
              <w:rPr>
                <w:rFonts w:hint="eastAsia"/>
                <w:color w:val="auto"/>
                <w:sz w:val="24"/>
                <w:lang w:val="en-US" w:eastAsia="zh-CN"/>
              </w:rPr>
              <w:t>99</w:t>
            </w:r>
            <w:r>
              <w:rPr>
                <w:rFonts w:hint="eastAsia" w:ascii="Times New Roman" w:hAnsi="Times New Roman" w:eastAsia="宋体"/>
                <w:color w:val="auto"/>
                <w:sz w:val="24"/>
                <w:lang w:val="en-US" w:eastAsia="zh-CN"/>
              </w:rPr>
              <w:t>t/a（</w:t>
            </w:r>
            <w:r>
              <w:rPr>
                <w:rFonts w:hint="eastAsia"/>
                <w:color w:val="auto"/>
                <w:sz w:val="24"/>
                <w:lang w:val="en-US" w:eastAsia="zh-CN"/>
              </w:rPr>
              <w:t>0.3</w:t>
            </w:r>
            <w:r>
              <w:rPr>
                <w:rFonts w:hint="eastAsia" w:ascii="Times New Roman" w:hAnsi="Times New Roman" w:eastAsia="宋体"/>
                <w:color w:val="auto"/>
                <w:sz w:val="24"/>
                <w:lang w:val="en-US" w:eastAsia="zh-CN"/>
              </w:rPr>
              <w:t>t/d）</w:t>
            </w:r>
            <w:r>
              <w:rPr>
                <w:rFonts w:hint="eastAsia"/>
                <w:color w:val="auto"/>
                <w:sz w:val="24"/>
                <w:lang w:val="en-US" w:eastAsia="zh-CN"/>
              </w:rPr>
              <w:t>，依托厂区化粪池</w:t>
            </w:r>
            <w:r>
              <w:rPr>
                <w:rFonts w:hint="eastAsia"/>
                <w:color w:val="auto"/>
                <w:sz w:val="24"/>
              </w:rPr>
              <w:t>处理后</w:t>
            </w:r>
            <w:r>
              <w:rPr>
                <w:rFonts w:hint="eastAsia"/>
                <w:color w:val="auto"/>
                <w:sz w:val="24"/>
                <w:lang w:val="en-US" w:eastAsia="zh-CN"/>
              </w:rPr>
              <w:t>通过市政管网收集排入</w:t>
            </w:r>
            <w:r>
              <w:rPr>
                <w:rFonts w:hint="eastAsia"/>
                <w:lang w:val="en-US" w:eastAsia="zh-CN"/>
              </w:rPr>
              <w:t>福建省闽侯县华源工艺品有限公司</w:t>
            </w:r>
            <w:r>
              <w:rPr>
                <w:rFonts w:hint="eastAsia"/>
                <w:color w:val="auto"/>
                <w:sz w:val="24"/>
                <w:highlight w:val="none"/>
                <w:lang w:val="en-US" w:eastAsia="zh-CN"/>
              </w:rPr>
              <w:t>的污水处理厂</w:t>
            </w:r>
            <w:r>
              <w:rPr>
                <w:rFonts w:hint="eastAsia"/>
                <w:color w:val="auto"/>
                <w:sz w:val="24"/>
                <w:lang w:val="en-US" w:eastAsia="zh-CN"/>
              </w:rPr>
              <w:t>处理。</w:t>
            </w:r>
            <w:r>
              <w:rPr>
                <w:rFonts w:hint="eastAsia" w:cs="Times New Roman"/>
                <w:color w:val="auto"/>
                <w:highlight w:val="none"/>
                <w:lang w:val="en-US" w:eastAsia="zh-CN"/>
              </w:rPr>
              <w:t>根据《</w:t>
            </w:r>
            <w:r>
              <w:rPr>
                <w:rFonts w:hint="eastAsia" w:ascii="Times New Roman" w:hAnsi="Times New Roman" w:eastAsia="宋体"/>
                <w:color w:val="auto"/>
                <w:sz w:val="24"/>
                <w:lang w:val="zh-CN"/>
              </w:rPr>
              <w:t>室外排水设计规范》（GB50014-2011）和《福建省行业用水定额》（DB35/T772-201</w:t>
            </w:r>
            <w:r>
              <w:rPr>
                <w:rFonts w:hint="eastAsia" w:ascii="Times New Roman" w:hAnsi="Times New Roman" w:eastAsia="宋体"/>
                <w:color w:val="auto"/>
                <w:sz w:val="24"/>
                <w:lang w:val="en-US" w:eastAsia="zh-CN"/>
              </w:rPr>
              <w:t>8</w:t>
            </w:r>
            <w:r>
              <w:rPr>
                <w:rFonts w:hint="eastAsia" w:ascii="Times New Roman" w:hAnsi="Times New Roman" w:eastAsia="宋体"/>
                <w:color w:val="auto"/>
                <w:sz w:val="24"/>
                <w:lang w:val="zh-CN"/>
              </w:rPr>
              <w:t>）</w:t>
            </w:r>
            <w:r>
              <w:rPr>
                <w:rFonts w:hint="eastAsia"/>
                <w:color w:val="auto"/>
                <w:sz w:val="24"/>
                <w:lang w:val="zh-CN"/>
              </w:rPr>
              <w:t>，</w:t>
            </w:r>
            <w:r>
              <w:rPr>
                <w:rFonts w:hint="eastAsia" w:ascii="Times New Roman" w:hAnsi="Times New Roman" w:eastAsia="宋体"/>
                <w:color w:val="auto"/>
                <w:sz w:val="24"/>
                <w:lang w:val="zh-CN"/>
              </w:rPr>
              <w:t>生活污水排放量按生活用水量的80%计</w:t>
            </w:r>
            <w:r>
              <w:rPr>
                <w:rFonts w:hint="eastAsia"/>
                <w:color w:val="auto"/>
                <w:sz w:val="24"/>
                <w:lang w:val="zh-CN"/>
              </w:rPr>
              <w:t>，</w:t>
            </w:r>
            <w:r>
              <w:rPr>
                <w:rFonts w:hint="eastAsia"/>
                <w:color w:val="auto"/>
                <w:sz w:val="24"/>
                <w:lang w:val="en-US" w:eastAsia="zh-CN"/>
              </w:rPr>
              <w:t>则生活污水排放量为79.2t/a（0.24t/d）。</w:t>
            </w:r>
          </w:p>
          <w:p>
            <w:pPr>
              <w:pStyle w:val="8"/>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供电</w:t>
            </w:r>
          </w:p>
          <w:p>
            <w:pPr>
              <w:pStyle w:val="8"/>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本项目供电由园区统一供电</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耗电量约</w:t>
            </w:r>
            <w:r>
              <w:rPr>
                <w:rFonts w:hint="eastAsia" w:cs="Times New Roman"/>
                <w:color w:val="auto"/>
                <w:highlight w:val="none"/>
                <w:lang w:val="en-US" w:eastAsia="zh-CN"/>
              </w:rPr>
              <w:t>15000</w:t>
            </w:r>
            <w:r>
              <w:rPr>
                <w:rFonts w:hint="default" w:ascii="Times New Roman" w:hAnsi="Times New Roman" w:cs="Times New Roman"/>
                <w:color w:val="auto"/>
                <w:highlight w:val="none"/>
                <w:lang w:val="en-US" w:eastAsia="zh-CN"/>
              </w:rPr>
              <w:t>kWh/a</w:t>
            </w:r>
            <w:r>
              <w:rPr>
                <w:rFonts w:hint="default" w:ascii="Times New Roman" w:hAnsi="Times New Roman" w:cs="Times New Roman"/>
                <w:color w:val="auto"/>
                <w:highlight w:val="none"/>
                <w:lang w:eastAsia="zh-CN"/>
              </w:rPr>
              <w:t>。</w:t>
            </w:r>
          </w:p>
          <w:p>
            <w:pPr>
              <w:pStyle w:val="8"/>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）储运工程</w:t>
            </w:r>
          </w:p>
          <w:p>
            <w:pPr>
              <w:pStyle w:val="8"/>
              <w:bidi w:val="0"/>
              <w:rPr>
                <w:rFonts w:hint="default" w:cs="Times New Roman"/>
                <w:color w:val="auto"/>
                <w:highlight w:val="none"/>
                <w:lang w:val="en-US" w:eastAsia="zh-CN"/>
              </w:rPr>
            </w:pPr>
            <w:r>
              <w:rPr>
                <w:rFonts w:hint="eastAsia" w:cs="Times New Roman"/>
                <w:color w:val="auto"/>
                <w:highlight w:val="none"/>
                <w:lang w:val="en-US" w:eastAsia="zh-CN"/>
              </w:rPr>
              <w:t>本项目储运工程分为仓库和废机油储运，设置有一个仓库，用于存放工作人员未使用的新制劳保用品、设施维护工具等杂物。废机油储运工程分析如下：</w:t>
            </w:r>
          </w:p>
          <w:p>
            <w:pPr>
              <w:pStyle w:val="8"/>
              <w:bidi w:val="0"/>
              <w:rPr>
                <w:rFonts w:hint="eastAsia"/>
              </w:rPr>
            </w:pPr>
            <w:r>
              <w:rPr>
                <w:rFonts w:hint="eastAsia"/>
              </w:rPr>
              <w:t>1、废机油的收集系统</w:t>
            </w:r>
          </w:p>
          <w:p>
            <w:pPr>
              <w:pStyle w:val="8"/>
              <w:bidi w:val="0"/>
              <w:rPr>
                <w:rFonts w:hint="eastAsia"/>
              </w:rPr>
            </w:pPr>
            <w:r>
              <w:rPr>
                <w:rFonts w:hint="eastAsia"/>
              </w:rPr>
              <w:t>本项目废机油属于危险废物，危险废物的收集是指将分散的危险废物进行集中的过程。一是由生产者负责的危险废物产生源的收集，</w:t>
            </w:r>
            <w:r>
              <w:rPr>
                <w:rFonts w:hint="eastAsia"/>
                <w:lang w:val="en-US" w:eastAsia="zh-CN"/>
              </w:rPr>
              <w:t>再</w:t>
            </w:r>
            <w:r>
              <w:rPr>
                <w:rFonts w:hint="eastAsia"/>
              </w:rPr>
              <w:t>由运输者负责的在一定区域内对危险废物产生源的收集。</w:t>
            </w:r>
          </w:p>
          <w:p>
            <w:pPr>
              <w:pStyle w:val="8"/>
              <w:bidi w:val="0"/>
              <w:rPr>
                <w:rFonts w:hint="eastAsia"/>
              </w:rPr>
            </w:pPr>
            <w:r>
              <w:rPr>
                <w:rFonts w:hint="eastAsia"/>
              </w:rPr>
              <w:t>①装纳容器要求</w:t>
            </w:r>
          </w:p>
          <w:p>
            <w:pPr>
              <w:pStyle w:val="8"/>
              <w:bidi w:val="0"/>
              <w:rPr>
                <w:rFonts w:hint="default"/>
                <w:lang w:val="en-US"/>
              </w:rPr>
            </w:pPr>
            <w:r>
              <w:rPr>
                <w:rFonts w:hint="eastAsia"/>
                <w:lang w:val="en-US" w:eastAsia="zh-CN"/>
              </w:rPr>
              <w:t>本项目使用储油罐盛装废机油，留有</w:t>
            </w:r>
            <w:r>
              <w:rPr>
                <w:rFonts w:hint="eastAsia"/>
              </w:rPr>
              <w:t>大于5%的膨胀余量，储油罐上方有呼吸孔</w:t>
            </w:r>
            <w:r>
              <w:rPr>
                <w:rFonts w:hint="eastAsia"/>
                <w:lang w:eastAsia="zh-CN"/>
              </w:rPr>
              <w:t>。</w:t>
            </w:r>
            <w:r>
              <w:rPr>
                <w:rFonts w:hint="eastAsia"/>
                <w:lang w:val="en-US" w:eastAsia="zh-CN"/>
              </w:rPr>
              <w:t>危废运输单位均使用槽车进行废机油的收集和转运。</w:t>
            </w:r>
          </w:p>
          <w:p>
            <w:pPr>
              <w:pStyle w:val="8"/>
              <w:bidi w:val="0"/>
              <w:rPr>
                <w:rFonts w:hint="eastAsia"/>
              </w:rPr>
            </w:pPr>
            <w:r>
              <w:rPr>
                <w:rFonts w:hint="eastAsia"/>
              </w:rPr>
              <w:t>②收集车辆配置</w:t>
            </w:r>
          </w:p>
          <w:p>
            <w:pPr>
              <w:pStyle w:val="8"/>
              <w:bidi w:val="0"/>
              <w:rPr>
                <w:rFonts w:hint="default" w:eastAsia="宋体"/>
                <w:lang w:val="en-US" w:eastAsia="zh-CN"/>
              </w:rPr>
            </w:pPr>
            <w:r>
              <w:rPr>
                <w:rFonts w:hint="eastAsia"/>
                <w:lang w:val="en-US" w:eastAsia="zh-CN"/>
              </w:rPr>
              <w:t>本项目委托</w:t>
            </w:r>
            <w:r>
              <w:rPr>
                <w:rFonts w:hint="eastAsia"/>
              </w:rPr>
              <w:t>福建省昊辰物流有限公司进行危废运输</w:t>
            </w:r>
            <w:r>
              <w:rPr>
                <w:rFonts w:hint="eastAsia"/>
                <w:lang w:eastAsia="zh-CN"/>
              </w:rPr>
              <w:t>（</w:t>
            </w:r>
            <w:r>
              <w:rPr>
                <w:rFonts w:hint="eastAsia"/>
                <w:lang w:val="en-US" w:eastAsia="zh-CN"/>
              </w:rPr>
              <w:t>危废收集合同见附件8</w:t>
            </w:r>
            <w:r>
              <w:rPr>
                <w:rFonts w:hint="eastAsia"/>
                <w:lang w:eastAsia="zh-CN"/>
              </w:rPr>
              <w:t>），</w:t>
            </w:r>
            <w:r>
              <w:rPr>
                <w:rFonts w:hint="eastAsia"/>
                <w:lang w:val="en-US" w:eastAsia="zh-CN"/>
              </w:rPr>
              <w:t>每月初将运输计划通知</w:t>
            </w:r>
            <w:r>
              <w:rPr>
                <w:rFonts w:hint="eastAsia"/>
              </w:rPr>
              <w:t>福建省昊辰物流有限公司</w:t>
            </w:r>
            <w:r>
              <w:rPr>
                <w:rFonts w:hint="eastAsia"/>
                <w:lang w:eastAsia="zh-CN"/>
              </w:rPr>
              <w:t>，</w:t>
            </w:r>
            <w:r>
              <w:rPr>
                <w:rFonts w:hint="eastAsia"/>
                <w:lang w:val="en-US" w:eastAsia="zh-CN"/>
              </w:rPr>
              <w:t>由其完成运输车辆计划。</w:t>
            </w:r>
          </w:p>
          <w:p>
            <w:pPr>
              <w:pStyle w:val="8"/>
              <w:bidi w:val="0"/>
              <w:rPr>
                <w:rFonts w:hint="eastAsia"/>
              </w:rPr>
            </w:pPr>
            <w:r>
              <w:rPr>
                <w:rFonts w:hint="eastAsia"/>
              </w:rPr>
              <w:t>③收集范围</w:t>
            </w:r>
          </w:p>
          <w:p>
            <w:pPr>
              <w:pStyle w:val="8"/>
              <w:bidi w:val="0"/>
              <w:rPr>
                <w:rFonts w:hint="default" w:eastAsia="宋体"/>
                <w:lang w:val="en-US" w:eastAsia="zh-CN"/>
              </w:rPr>
            </w:pPr>
            <w:r>
              <w:rPr>
                <w:rFonts w:hint="eastAsia"/>
                <w:lang w:val="en-US" w:eastAsia="zh-CN"/>
              </w:rPr>
              <w:t>本项目集中收集</w:t>
            </w:r>
            <w:r>
              <w:rPr>
                <w:rFonts w:hint="default"/>
                <w:lang w:val="en-US"/>
              </w:rPr>
              <w:t>福州市及其辖区范围内的</w:t>
            </w:r>
            <w:r>
              <w:rPr>
                <w:rFonts w:hint="eastAsia"/>
                <w:lang w:val="en-US" w:eastAsia="zh-CN"/>
              </w:rPr>
              <w:t>企业产生的废机油。</w:t>
            </w:r>
          </w:p>
          <w:p>
            <w:pPr>
              <w:pStyle w:val="8"/>
              <w:bidi w:val="0"/>
              <w:rPr>
                <w:rFonts w:hint="eastAsia"/>
              </w:rPr>
            </w:pPr>
            <w:r>
              <w:rPr>
                <w:rFonts w:hint="eastAsia"/>
              </w:rPr>
              <w:t>2、废机油的收集运输单位及运输方式</w:t>
            </w:r>
          </w:p>
          <w:p>
            <w:pPr>
              <w:pStyle w:val="8"/>
              <w:bidi w:val="0"/>
              <w:rPr>
                <w:rFonts w:hint="default" w:eastAsia="宋体"/>
                <w:lang w:val="en-US" w:eastAsia="zh-CN"/>
              </w:rPr>
            </w:pPr>
            <w:r>
              <w:rPr>
                <w:rFonts w:hint="eastAsia"/>
                <w:lang w:val="en-US" w:eastAsia="zh-CN"/>
              </w:rPr>
              <w:t>本项目委托</w:t>
            </w:r>
            <w:r>
              <w:rPr>
                <w:rFonts w:hint="eastAsia"/>
              </w:rPr>
              <w:t>福建省昊辰物流有限公司</w:t>
            </w:r>
            <w:r>
              <w:rPr>
                <w:rFonts w:hint="eastAsia"/>
                <w:lang w:val="en-US" w:eastAsia="zh-CN"/>
              </w:rPr>
              <w:t>负责危废集中收集，落实每月提供的危废收集计划，并采用槽车对各个产废单位进行收集。</w:t>
            </w:r>
          </w:p>
          <w:p>
            <w:pPr>
              <w:pStyle w:val="8"/>
              <w:bidi w:val="0"/>
              <w:rPr>
                <w:rFonts w:hint="eastAsia" w:eastAsia="宋体"/>
                <w:lang w:val="en-US" w:eastAsia="zh-CN"/>
              </w:rPr>
            </w:pPr>
            <w:r>
              <w:rPr>
                <w:rFonts w:hint="eastAsia"/>
              </w:rPr>
              <w:t>3、</w:t>
            </w:r>
            <w:r>
              <w:rPr>
                <w:rFonts w:hint="eastAsia"/>
                <w:lang w:val="en-US" w:eastAsia="zh-CN"/>
              </w:rPr>
              <w:t>废机油</w:t>
            </w:r>
            <w:r>
              <w:rPr>
                <w:rFonts w:hint="eastAsia"/>
              </w:rPr>
              <w:t>储存</w:t>
            </w:r>
            <w:r>
              <w:rPr>
                <w:rFonts w:hint="eastAsia"/>
                <w:lang w:val="en-US" w:eastAsia="zh-CN"/>
              </w:rPr>
              <w:t>单位</w:t>
            </w:r>
          </w:p>
          <w:p>
            <w:pPr>
              <w:pStyle w:val="8"/>
              <w:bidi w:val="0"/>
              <w:rPr>
                <w:rFonts w:hint="default" w:eastAsia="宋体"/>
                <w:lang w:val="en-US" w:eastAsia="zh-CN"/>
              </w:rPr>
            </w:pPr>
            <w:r>
              <w:rPr>
                <w:rFonts w:hint="eastAsia"/>
                <w:lang w:val="en-US" w:eastAsia="zh-CN"/>
              </w:rPr>
              <w:t>我单位负责贮存由</w:t>
            </w:r>
            <w:r>
              <w:rPr>
                <w:rFonts w:hint="eastAsia"/>
              </w:rPr>
              <w:t>福建省昊辰物流有限公司</w:t>
            </w:r>
            <w:r>
              <w:rPr>
                <w:rFonts w:hint="eastAsia"/>
                <w:lang w:val="en-US" w:eastAsia="zh-CN"/>
              </w:rPr>
              <w:t>集中收集的废机油，当储油量即将超过安全余量时，应及时通知</w:t>
            </w:r>
            <w:r>
              <w:rPr>
                <w:rFonts w:hint="eastAsia"/>
                <w:highlight w:val="none"/>
                <w:lang w:val="en-US" w:eastAsia="zh-CN"/>
              </w:rPr>
              <w:t>尤溪县鑫辉润滑油再生利用有限公司进行转运。</w:t>
            </w:r>
          </w:p>
          <w:p>
            <w:pPr>
              <w:pStyle w:val="8"/>
              <w:bidi w:val="0"/>
              <w:rPr>
                <w:rFonts w:hint="eastAsia"/>
              </w:rPr>
            </w:pPr>
            <w:r>
              <w:rPr>
                <w:rFonts w:hint="eastAsia"/>
              </w:rPr>
              <w:t>4、废机油</w:t>
            </w:r>
            <w:r>
              <w:rPr>
                <w:rFonts w:hint="eastAsia"/>
                <w:lang w:val="en-US" w:eastAsia="zh-CN"/>
              </w:rPr>
              <w:t>处置</w:t>
            </w:r>
            <w:r>
              <w:rPr>
                <w:rFonts w:hint="eastAsia"/>
              </w:rPr>
              <w:t>单位</w:t>
            </w:r>
          </w:p>
          <w:p>
            <w:pPr>
              <w:pStyle w:val="8"/>
              <w:bidi w:val="0"/>
              <w:rPr>
                <w:rFonts w:hint="default"/>
                <w:lang w:val="en-US" w:eastAsia="zh-CN"/>
              </w:rPr>
            </w:pPr>
            <w:r>
              <w:rPr>
                <w:rFonts w:hint="eastAsia"/>
                <w:lang w:val="en-US" w:eastAsia="zh-CN"/>
              </w:rPr>
              <w:t>本项目废机油委托</w:t>
            </w:r>
            <w:r>
              <w:rPr>
                <w:rFonts w:hint="eastAsia"/>
                <w:highlight w:val="none"/>
                <w:lang w:val="en-US" w:eastAsia="zh-CN"/>
              </w:rPr>
              <w:t>尤溪县鑫辉润滑油再生利用有限公司进行</w:t>
            </w:r>
            <w:r>
              <w:rPr>
                <w:rFonts w:hint="eastAsia"/>
                <w:lang w:val="en-US" w:eastAsia="zh-CN"/>
              </w:rPr>
              <w:t>最终处置，废机油的转运由其委托尤溪县鸿达物流有限公司采用槽车运输至最终处置单位。</w:t>
            </w:r>
          </w:p>
          <w:p>
            <w:pPr>
              <w:pStyle w:val="4"/>
              <w:numPr>
                <w:ilvl w:val="1"/>
                <w:numId w:val="4"/>
              </w:numPr>
              <w:tabs>
                <w:tab w:val="left" w:pos="420"/>
              </w:tabs>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总平面布置</w:t>
            </w:r>
          </w:p>
          <w:p>
            <w:pPr>
              <w:pStyle w:val="8"/>
              <w:bidi w:val="0"/>
              <w:rPr>
                <w:rFonts w:hint="default"/>
                <w:lang w:val="en-US" w:eastAsia="zh-CN"/>
              </w:rPr>
            </w:pPr>
            <w:r>
              <w:rPr>
                <w:rFonts w:hint="eastAsia"/>
                <w:lang w:val="en-US" w:eastAsia="zh-CN"/>
              </w:rPr>
              <w:t>本</w:t>
            </w:r>
            <w:r>
              <w:t>项目</w:t>
            </w:r>
            <w:r>
              <w:rPr>
                <w:rFonts w:hint="eastAsia"/>
                <w:lang w:val="en-US" w:eastAsia="zh-CN"/>
              </w:rPr>
              <w:t>收集转运</w:t>
            </w:r>
            <w:r>
              <w:t>均采用</w:t>
            </w:r>
            <w:r>
              <w:rPr>
                <w:rFonts w:hint="eastAsia"/>
                <w:lang w:val="en-US" w:eastAsia="zh-CN"/>
              </w:rPr>
              <w:t>专用的危险货物运输车辆</w:t>
            </w:r>
            <w:r>
              <w:t>运输。本项目主要</w:t>
            </w:r>
            <w:r>
              <w:rPr>
                <w:rFonts w:hint="eastAsia"/>
                <w:lang w:val="en-US" w:eastAsia="zh-CN"/>
              </w:rPr>
              <w:t>构筑物</w:t>
            </w:r>
            <w:r>
              <w:t>有</w:t>
            </w:r>
            <w:r>
              <w:rPr>
                <w:rFonts w:hint="eastAsia"/>
                <w:lang w:val="en-US" w:eastAsia="zh-CN"/>
              </w:rPr>
              <w:t>仓库、危废间、事故应急池、储罐区</w:t>
            </w:r>
            <w:r>
              <w:t>。</w:t>
            </w:r>
            <w:r>
              <w:rPr>
                <w:rFonts w:hint="eastAsia"/>
                <w:lang w:val="en-US" w:eastAsia="zh-CN"/>
              </w:rPr>
              <w:t>车间最北侧角落为危废间，最南侧为办公区域，办公区域对侧为仓库和小门，最东侧角落为储罐区</w:t>
            </w:r>
            <w:r>
              <w:rPr>
                <w:rFonts w:hint="eastAsia"/>
                <w:lang w:eastAsia="zh-CN"/>
              </w:rPr>
              <w:t>，</w:t>
            </w:r>
            <w:r>
              <w:rPr>
                <w:rFonts w:hint="eastAsia"/>
                <w:lang w:val="en-US" w:eastAsia="zh-CN"/>
              </w:rPr>
              <w:t>设有两个卧式储油罐，储罐区建有围堰及导流管，围堰可以阻止油料外泄，导流管以最快速度将泄漏油料排放至事故应急池，同时储罐区有一扇小门通向室外，室外为绿化带，地下为事故应急池，旁侧小路放置一套两级活性炭吸附装置，并设15m排气筒。</w:t>
            </w:r>
          </w:p>
          <w:p>
            <w:pPr>
              <w:pStyle w:val="8"/>
              <w:bidi w:val="0"/>
              <w:rPr>
                <w:rFonts w:hint="default" w:ascii="Times New Roman" w:hAnsi="Times New Roman" w:cs="Times New Roman"/>
                <w:color w:val="auto"/>
                <w:highlight w:val="none"/>
              </w:rPr>
            </w:pPr>
            <w:r>
              <w:t>从总体平面布置上来看，项目功能区划分明确，厂区布置紧凑合理，运输</w:t>
            </w:r>
            <w:r>
              <w:rPr>
                <w:rFonts w:hint="eastAsia"/>
                <w:lang w:val="en-US" w:eastAsia="zh-CN"/>
              </w:rPr>
              <w:t>路线</w:t>
            </w:r>
            <w:r>
              <w:t>流畅</w:t>
            </w:r>
            <w:r>
              <w:rPr>
                <w:rFonts w:hint="eastAsia"/>
                <w:lang w:eastAsia="zh-CN"/>
              </w:rPr>
              <w:t>，</w:t>
            </w:r>
            <w:r>
              <w:rPr>
                <w:rFonts w:hint="eastAsia"/>
                <w:lang w:val="en-US" w:eastAsia="zh-CN"/>
              </w:rPr>
              <w:t>储罐区的</w:t>
            </w:r>
            <w:r>
              <w:t>布设</w:t>
            </w:r>
            <w:r>
              <w:rPr>
                <w:rFonts w:hint="eastAsia"/>
                <w:lang w:val="en-US" w:eastAsia="zh-CN"/>
              </w:rPr>
              <w:t>有利于废油的收集转运过程</w:t>
            </w:r>
            <w:r>
              <w:t>。项目厂区总体平面布置见</w:t>
            </w:r>
            <w:r>
              <w:rPr>
                <w:highlight w:val="none"/>
              </w:rPr>
              <w:t>附图2</w:t>
            </w:r>
            <w:r>
              <w:t>。</w:t>
            </w:r>
          </w:p>
        </w:tc>
      </w:tr>
      <w:bookmarkEnd w:id="29"/>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97" w:hRule="atLeast"/>
          <w:jc w:val="center"/>
        </w:trPr>
        <w:tc>
          <w:tcPr>
            <w:tcW w:w="698" w:type="dxa"/>
            <w:vAlign w:val="center"/>
          </w:tcPr>
          <w:p>
            <w:pPr>
              <w:adjustRightInd w:val="0"/>
              <w:snapToGrid w:val="0"/>
              <w:spacing w:before="0" w:beforeAutospacing="0" w:after="0" w:afterAutospacing="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工艺流程和产排污环节</w:t>
            </w:r>
          </w:p>
        </w:tc>
        <w:tc>
          <w:tcPr>
            <w:tcW w:w="8589" w:type="dxa"/>
          </w:tcPr>
          <w:p>
            <w:pPr>
              <w:pStyle w:val="4"/>
              <w:numPr>
                <w:ilvl w:val="1"/>
                <w:numId w:val="9"/>
              </w:numPr>
              <w:tabs>
                <w:tab w:val="left" w:pos="420"/>
              </w:tabs>
              <w:rPr>
                <w:rFonts w:hint="default"/>
              </w:rPr>
            </w:pPr>
            <w:bookmarkStart w:id="36" w:name="_Toc2298"/>
            <w:bookmarkStart w:id="37" w:name="_Toc19480"/>
            <w:bookmarkStart w:id="38" w:name="_Toc30849"/>
            <w:bookmarkStart w:id="39" w:name="_Toc20890"/>
            <w:r>
              <w:rPr>
                <w:rFonts w:hint="default"/>
              </w:rPr>
              <w:t>主要工艺流程及产污环节</w:t>
            </w:r>
            <w:bookmarkEnd w:id="36"/>
            <w:bookmarkEnd w:id="37"/>
            <w:bookmarkEnd w:id="38"/>
            <w:bookmarkEnd w:id="39"/>
          </w:p>
          <w:p>
            <w:pPr>
              <w:pStyle w:val="8"/>
              <w:numPr>
                <w:ilvl w:val="0"/>
                <w:numId w:val="0"/>
              </w:numPr>
              <w:ind w:leftChars="200"/>
              <w:rPr>
                <w:rFonts w:hint="default"/>
                <w:lang w:val="en-US" w:eastAsia="zh-CN"/>
              </w:rPr>
            </w:pPr>
            <w:r>
              <w:rPr>
                <w:rFonts w:hint="eastAsia"/>
                <w:lang w:val="en-US" w:eastAsia="zh-CN"/>
              </w:rPr>
              <w:t>（1）工艺流程及产污环节</w:t>
            </w:r>
          </w:p>
          <w:p>
            <w:pPr>
              <w:pStyle w:val="8"/>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eastAsia="zh-CN"/>
              </w:rPr>
            </w:pPr>
            <w:r>
              <w:rPr>
                <w:rFonts w:hint="eastAsia"/>
                <w:lang w:val="en-US" w:eastAsia="zh-CN"/>
              </w:rPr>
              <w:t>本项目工艺流程及产污环节见下图。</w:t>
            </w:r>
          </w:p>
          <w:p>
            <w:pPr>
              <w:pStyle w:val="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lang w:val="en-US" w:eastAsia="zh-CN"/>
              </w:rPr>
            </w:pPr>
            <w:r>
              <w:drawing>
                <wp:inline distT="0" distB="0" distL="114300" distR="114300">
                  <wp:extent cx="5310505" cy="1556385"/>
                  <wp:effectExtent l="0" t="0" r="4445" b="5715"/>
                  <wp:docPr id="19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0"/>
                          <pic:cNvPicPr>
                            <a:picLocks noChangeAspect="1"/>
                          </pic:cNvPicPr>
                        </pic:nvPicPr>
                        <pic:blipFill>
                          <a:blip r:embed="rId15"/>
                          <a:stretch>
                            <a:fillRect/>
                          </a:stretch>
                        </pic:blipFill>
                        <pic:spPr>
                          <a:xfrm>
                            <a:off x="0" y="0"/>
                            <a:ext cx="5310505" cy="1556385"/>
                          </a:xfrm>
                          <a:prstGeom prst="rect">
                            <a:avLst/>
                          </a:prstGeom>
                          <a:noFill/>
                          <a:ln>
                            <a:noFill/>
                          </a:ln>
                        </pic:spPr>
                      </pic:pic>
                    </a:graphicData>
                  </a:graphic>
                </wp:inline>
              </w:drawing>
            </w:r>
          </w:p>
          <w:p>
            <w:pPr>
              <w:pStyle w:val="33"/>
              <w:numPr>
                <w:ilvl w:val="8"/>
                <w:numId w:val="3"/>
              </w:numPr>
              <w:bidi w:val="0"/>
              <w:rPr>
                <w:rFonts w:hint="eastAsia"/>
                <w:highlight w:val="none"/>
                <w:lang w:val="en-US" w:eastAsia="zh-CN"/>
              </w:rPr>
            </w:pPr>
            <w:r>
              <w:rPr>
                <w:rFonts w:hint="eastAsia"/>
                <w:highlight w:val="none"/>
                <w:lang w:val="en-US" w:eastAsia="zh-CN"/>
              </w:rPr>
              <w:t>工艺流程及产污环节图</w:t>
            </w:r>
          </w:p>
          <w:p>
            <w:pPr>
              <w:pStyle w:val="8"/>
              <w:bidi w:val="0"/>
              <w:ind w:left="0" w:leftChars="0" w:firstLine="0" w:firstLineChars="0"/>
              <w:rPr>
                <w:rFonts w:hint="eastAsia"/>
                <w:highlight w:val="none"/>
                <w:lang w:val="en-US" w:eastAsia="zh-CN"/>
              </w:rPr>
            </w:pPr>
            <w:r>
              <w:rPr>
                <w:rFonts w:hint="eastAsia"/>
                <w:highlight w:val="none"/>
                <w:lang w:val="en-US" w:eastAsia="zh-CN"/>
              </w:rPr>
              <w:t>主要生产工艺流程说明：</w:t>
            </w:r>
          </w:p>
          <w:p>
            <w:pPr>
              <w:pStyle w:val="8"/>
            </w:pPr>
            <w:r>
              <w:rPr>
                <w:rFonts w:hint="eastAsia"/>
                <w:lang w:val="en-US" w:eastAsia="zh-CN"/>
              </w:rPr>
              <w:t>①收集、运输：</w:t>
            </w:r>
            <w:r>
              <w:rPr>
                <w:rFonts w:hint="eastAsia"/>
              </w:rPr>
              <w:t>产废单位收集产生的废机油，当达到一定量后通知</w:t>
            </w:r>
            <w:r>
              <w:rPr>
                <w:rFonts w:hint="eastAsia"/>
                <w:lang w:val="en-US" w:eastAsia="zh-CN"/>
              </w:rPr>
              <w:t>我单位收集，我单位委托具备危险废物运输资质的公司</w:t>
            </w:r>
            <w:r>
              <w:rPr>
                <w:rFonts w:hint="eastAsia"/>
                <w:highlight w:val="none"/>
                <w:lang w:val="en-US" w:eastAsia="zh-CN"/>
              </w:rPr>
              <w:t>（福建省昊辰物流有限公司）</w:t>
            </w:r>
            <w:r>
              <w:rPr>
                <w:rFonts w:hint="eastAsia"/>
                <w:lang w:val="en-US" w:eastAsia="zh-CN"/>
              </w:rPr>
              <w:t>进行统一收集，将废机油通过油泵抽入罐车内，运送至本项目厂区。收集车辆进行收集转运，建设单位派遣一名员工跟车押运，严格按照操作流程进行，减少滴洒。</w:t>
            </w:r>
          </w:p>
          <w:p>
            <w:pPr>
              <w:pStyle w:val="8"/>
            </w:pPr>
            <w:r>
              <w:rPr>
                <w:rFonts w:hint="eastAsia"/>
                <w:lang w:val="en-US" w:eastAsia="zh-CN"/>
              </w:rPr>
              <w:t>②卸车：运输车辆到达厂区后，行驶至装卸区，将车辆靠近储油罐，装卸时使用专用油泵将废机油从储罐上部进行输送，以减少挥发性有机物排放量，</w:t>
            </w:r>
            <w:r>
              <w:rPr>
                <w:rFonts w:hint="eastAsia"/>
              </w:rPr>
              <w:t>卸油后专用运输车辆油容器罐不需要清洗，仅需用抹布将车辆和管道上的废机油擦拭干净。</w:t>
            </w:r>
            <w:r>
              <w:rPr>
                <w:rFonts w:hint="eastAsia"/>
                <w:lang w:val="en-US" w:eastAsia="zh-CN"/>
              </w:rPr>
              <w:t>每辆满载运输车辆输送废机油耗时约</w:t>
            </w:r>
            <w:r>
              <w:rPr>
                <w:rFonts w:hint="default"/>
                <w:lang w:val="en-US" w:eastAsia="zh-CN"/>
              </w:rPr>
              <w:t>30min</w:t>
            </w:r>
            <w:r>
              <w:rPr>
                <w:rFonts w:hint="eastAsia"/>
                <w:lang w:val="en-US" w:eastAsia="zh-CN"/>
              </w:rPr>
              <w:t>，预计每2天外运一次，每次外运量约5</w:t>
            </w:r>
            <w:r>
              <w:rPr>
                <w:rFonts w:hint="default"/>
                <w:lang w:val="en-US" w:eastAsia="zh-CN"/>
              </w:rPr>
              <w:t>0t</w:t>
            </w:r>
            <w:r>
              <w:rPr>
                <w:rFonts w:hint="eastAsia"/>
                <w:lang w:val="en-US" w:eastAsia="zh-CN"/>
              </w:rPr>
              <w:t>，总耗时约</w:t>
            </w:r>
            <w:r>
              <w:rPr>
                <w:rFonts w:hint="default"/>
                <w:lang w:val="en-US" w:eastAsia="zh-CN"/>
              </w:rPr>
              <w:t>1h</w:t>
            </w:r>
            <w:r>
              <w:rPr>
                <w:rFonts w:hint="eastAsia"/>
                <w:lang w:val="en-US" w:eastAsia="zh-CN"/>
              </w:rPr>
              <w:t>。</w:t>
            </w:r>
          </w:p>
          <w:p>
            <w:pPr>
              <w:pStyle w:val="8"/>
            </w:pPr>
            <w:r>
              <w:rPr>
                <w:rFonts w:hint="eastAsia"/>
                <w:lang w:val="en-US" w:eastAsia="zh-CN"/>
              </w:rPr>
              <w:t>③储存：废机油在厂区内使用密闭储罐进行暂存，项目设置2个30m³储罐进行储存废机油。储存到一定量时，转运至有资质单位统一处理处置，项目年外运批次</w:t>
            </w:r>
            <w:r>
              <w:rPr>
                <w:rFonts w:hint="default"/>
                <w:lang w:val="en-US" w:eastAsia="zh-CN"/>
              </w:rPr>
              <w:t>1</w:t>
            </w:r>
            <w:r>
              <w:rPr>
                <w:rFonts w:hint="eastAsia"/>
                <w:lang w:val="en-US" w:eastAsia="zh-CN"/>
              </w:rPr>
              <w:t>64次（预计每2天运输</w:t>
            </w:r>
            <w:r>
              <w:rPr>
                <w:rFonts w:hint="default"/>
                <w:lang w:val="en-US" w:eastAsia="zh-CN"/>
              </w:rPr>
              <w:t>1</w:t>
            </w:r>
            <w:r>
              <w:rPr>
                <w:rFonts w:hint="eastAsia"/>
                <w:lang w:val="en-US" w:eastAsia="zh-CN"/>
              </w:rPr>
              <w:t>次，每次5</w:t>
            </w:r>
            <w:r>
              <w:rPr>
                <w:rFonts w:hint="default"/>
                <w:lang w:val="en-US" w:eastAsia="zh-CN"/>
              </w:rPr>
              <w:t>0t</w:t>
            </w:r>
            <w:r>
              <w:rPr>
                <w:rFonts w:hint="eastAsia"/>
                <w:lang w:val="en-US" w:eastAsia="zh-CN"/>
              </w:rPr>
              <w:t>），可以满足年转运量8</w:t>
            </w:r>
            <w:r>
              <w:rPr>
                <w:rFonts w:hint="default"/>
                <w:lang w:val="en-US" w:eastAsia="zh-CN"/>
              </w:rPr>
              <w:t>000t</w:t>
            </w:r>
            <w:r>
              <w:rPr>
                <w:rFonts w:hint="eastAsia"/>
                <w:lang w:val="en-US" w:eastAsia="zh-CN"/>
              </w:rPr>
              <w:t>的要求。同时，废机油进场储存时需要在福建省固体废物环境信息化监管平台进行申报登记，填写电子转移联单。</w:t>
            </w:r>
          </w:p>
          <w:p>
            <w:pPr>
              <w:pStyle w:val="8"/>
              <w:rPr>
                <w:rFonts w:hint="eastAsia"/>
                <w:lang w:val="en-US" w:eastAsia="zh-CN"/>
              </w:rPr>
            </w:pPr>
            <w:r>
              <w:rPr>
                <w:rFonts w:hint="eastAsia"/>
                <w:lang w:val="en-US" w:eastAsia="zh-CN"/>
              </w:rPr>
              <w:t>④装车外运：</w:t>
            </w:r>
            <w:r>
              <w:rPr>
                <w:rFonts w:hint="eastAsia"/>
              </w:rPr>
              <w:t>当车间内贮存的废</w:t>
            </w:r>
            <w:r>
              <w:rPr>
                <w:rFonts w:hint="eastAsia"/>
                <w:lang w:val="en-US" w:eastAsia="zh-CN"/>
              </w:rPr>
              <w:t>机</w:t>
            </w:r>
            <w:r>
              <w:rPr>
                <w:rFonts w:hint="eastAsia"/>
              </w:rPr>
              <w:t>油达到一定数量时，</w:t>
            </w:r>
            <w:r>
              <w:rPr>
                <w:rFonts w:hint="eastAsia"/>
                <w:lang w:val="en-US" w:eastAsia="zh-CN"/>
              </w:rPr>
              <w:t>通知最终危废处置单位，由其委托具备危险废物运输资质的公司外运</w:t>
            </w:r>
            <w:r>
              <w:rPr>
                <w:rFonts w:hint="eastAsia"/>
              </w:rPr>
              <w:t>至</w:t>
            </w:r>
            <w:r>
              <w:rPr>
                <w:rFonts w:hint="eastAsia"/>
                <w:lang w:val="en-US" w:eastAsia="zh-CN"/>
              </w:rPr>
              <w:t>最终危废</w:t>
            </w:r>
            <w:r>
              <w:rPr>
                <w:rFonts w:hint="eastAsia"/>
              </w:rPr>
              <w:t>处置单位</w:t>
            </w:r>
            <w:r>
              <w:rPr>
                <w:rFonts w:hint="eastAsia"/>
                <w:lang w:val="en-US" w:eastAsia="zh-CN"/>
              </w:rPr>
              <w:t>进行处理</w:t>
            </w:r>
            <w:r>
              <w:rPr>
                <w:rFonts w:hint="eastAsia"/>
              </w:rPr>
              <w:t>。</w:t>
            </w:r>
            <w:r>
              <w:rPr>
                <w:rFonts w:hint="eastAsia"/>
                <w:lang w:val="en-US" w:eastAsia="zh-CN"/>
              </w:rPr>
              <w:t>运输至终端处置单位的车辆出厂时，需办理危废转移时有关手续，按《危险废物转移联单管理办法》的规定，检查危险废物包装、标志、标签及数量。同时，需要在福建省固体废物环境信息化监管平台进行申报登记，填写电子转移联单。</w:t>
            </w:r>
          </w:p>
          <w:p>
            <w:pPr>
              <w:pStyle w:val="8"/>
              <w:numPr>
                <w:ilvl w:val="0"/>
                <w:numId w:val="0"/>
              </w:numPr>
              <w:ind w:leftChars="200"/>
              <w:rPr>
                <w:rFonts w:hint="default"/>
              </w:rPr>
            </w:pPr>
            <w:r>
              <w:rPr>
                <w:rFonts w:hint="default"/>
                <w:lang w:eastAsia="zh-CN"/>
              </w:rPr>
              <w:t>（</w:t>
            </w:r>
            <w:r>
              <w:rPr>
                <w:rFonts w:hint="eastAsia"/>
                <w:lang w:val="en-US" w:eastAsia="zh-CN"/>
              </w:rPr>
              <w:t>2</w:t>
            </w:r>
            <w:r>
              <w:rPr>
                <w:rFonts w:hint="default"/>
                <w:lang w:eastAsia="zh-CN"/>
              </w:rPr>
              <w:t>）</w:t>
            </w:r>
            <w:r>
              <w:rPr>
                <w:rFonts w:hint="default"/>
              </w:rPr>
              <w:t>主要产污环节</w:t>
            </w:r>
          </w:p>
          <w:p>
            <w:pPr>
              <w:pStyle w:val="8"/>
              <w:rPr>
                <w:rFonts w:hint="default"/>
              </w:rPr>
            </w:pPr>
            <w:r>
              <w:rPr>
                <w:rFonts w:hint="eastAsia"/>
                <w:lang w:val="en-US" w:eastAsia="zh-CN"/>
              </w:rPr>
              <w:t>项目</w:t>
            </w:r>
            <w:r>
              <w:rPr>
                <w:rFonts w:hint="default"/>
              </w:rPr>
              <w:t>主要污染工序见</w:t>
            </w:r>
            <w:r>
              <w:rPr>
                <w:rFonts w:hint="default"/>
                <w:lang w:val="en-US"/>
              </w:rPr>
              <w:fldChar w:fldCharType="begin"/>
            </w:r>
            <w:r>
              <w:rPr>
                <w:rFonts w:hint="default"/>
                <w:lang w:val="en-US"/>
              </w:rPr>
              <w:instrText xml:space="preserve">REF_Ref1340\r\h</w:instrText>
            </w:r>
            <w:r>
              <w:rPr>
                <w:rFonts w:hint="default"/>
                <w:lang w:val="en-US"/>
              </w:rPr>
              <w:fldChar w:fldCharType="separate"/>
            </w:r>
            <w:r>
              <w:rPr>
                <w:rFonts w:hint="default"/>
                <w:lang w:val="en-US"/>
              </w:rPr>
              <w:t>表15</w:t>
            </w:r>
            <w:r>
              <w:rPr>
                <w:rFonts w:hint="default"/>
                <w:lang w:val="en-US"/>
              </w:rPr>
              <w:fldChar w:fldCharType="end"/>
            </w:r>
            <w:r>
              <w:rPr>
                <w:rFonts w:hint="default"/>
              </w:rPr>
              <w:t>。</w:t>
            </w:r>
          </w:p>
          <w:p>
            <w:pPr>
              <w:pStyle w:val="30"/>
              <w:bidi w:val="0"/>
              <w:rPr>
                <w:rFonts w:hint="default"/>
              </w:rPr>
            </w:pPr>
            <w:bookmarkStart w:id="40" w:name="_Ref1340"/>
            <w:r>
              <w:rPr>
                <w:rFonts w:hint="default"/>
              </w:rPr>
              <w:t>主要</w:t>
            </w:r>
            <w:r>
              <w:rPr>
                <w:rFonts w:hint="eastAsia"/>
                <w:lang w:val="en-US" w:eastAsia="zh-CN"/>
              </w:rPr>
              <w:t>产污</w:t>
            </w:r>
            <w:r>
              <w:rPr>
                <w:rFonts w:hint="default"/>
              </w:rPr>
              <w:t>工序一览表</w:t>
            </w:r>
            <w:bookmarkEnd w:id="40"/>
          </w:p>
          <w:tbl>
            <w:tblPr>
              <w:tblStyle w:val="24"/>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86"/>
              <w:gridCol w:w="1572"/>
              <w:gridCol w:w="1459"/>
              <w:gridCol w:w="1459"/>
              <w:gridCol w:w="329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350" w:type="pct"/>
                  <w:tcBorders>
                    <w:tl2br w:val="nil"/>
                    <w:tr2bl w:val="nil"/>
                  </w:tcBorders>
                  <w:vAlign w:val="center"/>
                </w:tcPr>
                <w:p>
                  <w:pPr>
                    <w:pStyle w:val="31"/>
                    <w:bidi w:val="0"/>
                    <w:rPr>
                      <w:rFonts w:hint="default"/>
                    </w:rPr>
                  </w:pPr>
                  <w:r>
                    <w:rPr>
                      <w:rFonts w:hint="default"/>
                    </w:rPr>
                    <w:t>污染类型</w:t>
                  </w:r>
                </w:p>
              </w:tc>
              <w:tc>
                <w:tcPr>
                  <w:tcW w:w="939" w:type="pct"/>
                  <w:tcBorders>
                    <w:tl2br w:val="nil"/>
                    <w:tr2bl w:val="nil"/>
                  </w:tcBorders>
                  <w:vAlign w:val="center"/>
                </w:tcPr>
                <w:p>
                  <w:pPr>
                    <w:pStyle w:val="31"/>
                    <w:bidi w:val="0"/>
                    <w:rPr>
                      <w:rFonts w:hint="default"/>
                    </w:rPr>
                  </w:pPr>
                  <w:r>
                    <w:rPr>
                      <w:rFonts w:hint="default"/>
                    </w:rPr>
                    <w:t>污染源名称</w:t>
                  </w:r>
                </w:p>
              </w:tc>
              <w:tc>
                <w:tcPr>
                  <w:tcW w:w="871" w:type="pct"/>
                  <w:tcBorders>
                    <w:tl2br w:val="nil"/>
                    <w:tr2bl w:val="nil"/>
                  </w:tcBorders>
                  <w:vAlign w:val="center"/>
                </w:tcPr>
                <w:p>
                  <w:pPr>
                    <w:pStyle w:val="31"/>
                    <w:bidi w:val="0"/>
                    <w:rPr>
                      <w:rFonts w:hint="default"/>
                    </w:rPr>
                  </w:pPr>
                  <w:r>
                    <w:rPr>
                      <w:rFonts w:hint="default"/>
                    </w:rPr>
                    <w:t>产污环节</w:t>
                  </w:r>
                </w:p>
              </w:tc>
              <w:tc>
                <w:tcPr>
                  <w:tcW w:w="871" w:type="pct"/>
                  <w:tcBorders>
                    <w:tl2br w:val="nil"/>
                    <w:tr2bl w:val="nil"/>
                  </w:tcBorders>
                  <w:vAlign w:val="center"/>
                </w:tcPr>
                <w:p>
                  <w:pPr>
                    <w:pStyle w:val="31"/>
                    <w:bidi w:val="0"/>
                    <w:rPr>
                      <w:rFonts w:hint="default"/>
                    </w:rPr>
                  </w:pPr>
                  <w:r>
                    <w:rPr>
                      <w:rFonts w:hint="default"/>
                    </w:rPr>
                    <w:t>污染因子</w:t>
                  </w:r>
                </w:p>
              </w:tc>
              <w:tc>
                <w:tcPr>
                  <w:tcW w:w="1967" w:type="pct"/>
                  <w:tcBorders>
                    <w:tl2br w:val="nil"/>
                    <w:tr2bl w:val="nil"/>
                  </w:tcBorders>
                  <w:vAlign w:val="center"/>
                </w:tcPr>
                <w:p>
                  <w:pPr>
                    <w:pStyle w:val="31"/>
                    <w:bidi w:val="0"/>
                    <w:rPr>
                      <w:rFonts w:hint="default"/>
                    </w:rPr>
                  </w:pPr>
                  <w:r>
                    <w:rPr>
                      <w:rFonts w:hint="default"/>
                    </w:rPr>
                    <w:t>治理措施及排放去向</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0" w:type="pct"/>
                  <w:vMerge w:val="restart"/>
                  <w:tcBorders>
                    <w:tl2br w:val="nil"/>
                    <w:tr2bl w:val="nil"/>
                  </w:tcBorders>
                  <w:vAlign w:val="center"/>
                </w:tcPr>
                <w:p>
                  <w:pPr>
                    <w:pStyle w:val="31"/>
                    <w:bidi w:val="0"/>
                    <w:rPr>
                      <w:rFonts w:hint="default"/>
                    </w:rPr>
                  </w:pPr>
                  <w:r>
                    <w:rPr>
                      <w:rFonts w:hint="default"/>
                    </w:rPr>
                    <w:t>废气</w:t>
                  </w:r>
                </w:p>
              </w:tc>
              <w:tc>
                <w:tcPr>
                  <w:tcW w:w="939" w:type="pct"/>
                  <w:tcBorders>
                    <w:tl2br w:val="nil"/>
                    <w:tr2bl w:val="nil"/>
                  </w:tcBorders>
                  <w:vAlign w:val="center"/>
                </w:tcPr>
                <w:p>
                  <w:pPr>
                    <w:pStyle w:val="31"/>
                    <w:bidi w:val="0"/>
                    <w:ind w:left="0" w:leftChars="0" w:firstLine="0" w:firstLineChars="0"/>
                    <w:jc w:val="center"/>
                    <w:rPr>
                      <w:rFonts w:hint="default"/>
                      <w:lang w:val="en-US" w:eastAsia="zh-CN"/>
                    </w:rPr>
                  </w:pPr>
                  <w:r>
                    <w:rPr>
                      <w:rFonts w:hint="eastAsia"/>
                      <w:lang w:val="en-US" w:eastAsia="zh-CN"/>
                    </w:rPr>
                    <w:t>呼吸废气</w:t>
                  </w:r>
                </w:p>
              </w:tc>
              <w:tc>
                <w:tcPr>
                  <w:tcW w:w="871" w:type="pct"/>
                  <w:tcBorders>
                    <w:tl2br w:val="nil"/>
                    <w:tr2bl w:val="nil"/>
                  </w:tcBorders>
                  <w:vAlign w:val="center"/>
                </w:tcPr>
                <w:p>
                  <w:pPr>
                    <w:pStyle w:val="31"/>
                    <w:bidi w:val="0"/>
                    <w:rPr>
                      <w:rFonts w:hint="default"/>
                      <w:lang w:val="en-US" w:eastAsia="zh-CN"/>
                    </w:rPr>
                  </w:pPr>
                  <w:r>
                    <w:rPr>
                      <w:rFonts w:hint="eastAsia"/>
                      <w:lang w:val="en-US" w:eastAsia="zh-CN"/>
                    </w:rPr>
                    <w:t>储罐呼吸</w:t>
                  </w:r>
                </w:p>
              </w:tc>
              <w:tc>
                <w:tcPr>
                  <w:tcW w:w="871" w:type="pct"/>
                  <w:tcBorders>
                    <w:tl2br w:val="nil"/>
                    <w:tr2bl w:val="nil"/>
                  </w:tcBorders>
                  <w:vAlign w:val="center"/>
                </w:tcPr>
                <w:p>
                  <w:pPr>
                    <w:pStyle w:val="31"/>
                    <w:bidi w:val="0"/>
                    <w:rPr>
                      <w:rFonts w:hint="default"/>
                      <w:lang w:val="en-US" w:eastAsia="zh-CN"/>
                    </w:rPr>
                  </w:pPr>
                  <w:r>
                    <w:rPr>
                      <w:rFonts w:hint="eastAsia"/>
                      <w:lang w:val="en-US" w:eastAsia="zh-CN"/>
                    </w:rPr>
                    <w:t>非甲烷总烃</w:t>
                  </w:r>
                </w:p>
              </w:tc>
              <w:tc>
                <w:tcPr>
                  <w:tcW w:w="1967" w:type="pct"/>
                  <w:tcBorders>
                    <w:tl2br w:val="nil"/>
                    <w:tr2bl w:val="nil"/>
                  </w:tcBorders>
                  <w:vAlign w:val="center"/>
                </w:tcPr>
                <w:p>
                  <w:pPr>
                    <w:pStyle w:val="31"/>
                    <w:bidi w:val="0"/>
                    <w:rPr>
                      <w:rFonts w:hint="default"/>
                      <w:lang w:val="en-US" w:eastAsia="zh-CN"/>
                    </w:rPr>
                  </w:pPr>
                  <w:r>
                    <w:rPr>
                      <w:rFonts w:hint="eastAsia"/>
                      <w:lang w:val="en-US" w:eastAsia="zh-CN"/>
                    </w:rPr>
                    <w:t>负压收集+二级活性炭吸附+15m排气筒（DA001）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0" w:type="pct"/>
                  <w:vMerge w:val="continue"/>
                  <w:tcBorders>
                    <w:tl2br w:val="nil"/>
                    <w:tr2bl w:val="nil"/>
                  </w:tcBorders>
                  <w:vAlign w:val="center"/>
                </w:tcPr>
                <w:p>
                  <w:pPr>
                    <w:pStyle w:val="31"/>
                    <w:bidi w:val="0"/>
                    <w:rPr>
                      <w:rFonts w:hint="default"/>
                    </w:rPr>
                  </w:pPr>
                </w:p>
              </w:tc>
              <w:tc>
                <w:tcPr>
                  <w:tcW w:w="939" w:type="pct"/>
                  <w:tcBorders>
                    <w:tl2br w:val="nil"/>
                    <w:tr2bl w:val="nil"/>
                  </w:tcBorders>
                  <w:vAlign w:val="center"/>
                </w:tcPr>
                <w:p>
                  <w:pPr>
                    <w:pStyle w:val="31"/>
                    <w:bidi w:val="0"/>
                    <w:ind w:left="0" w:leftChars="0" w:firstLine="0" w:firstLineChars="0"/>
                    <w:jc w:val="center"/>
                    <w:rPr>
                      <w:rFonts w:hint="default"/>
                      <w:lang w:val="en-US" w:eastAsia="zh-CN"/>
                    </w:rPr>
                  </w:pPr>
                  <w:r>
                    <w:rPr>
                      <w:rFonts w:hint="eastAsia"/>
                      <w:lang w:val="en-US" w:eastAsia="zh-CN"/>
                    </w:rPr>
                    <w:t>装卸废气</w:t>
                  </w:r>
                </w:p>
              </w:tc>
              <w:tc>
                <w:tcPr>
                  <w:tcW w:w="871" w:type="pct"/>
                  <w:tcBorders>
                    <w:tl2br w:val="nil"/>
                    <w:tr2bl w:val="nil"/>
                  </w:tcBorders>
                  <w:vAlign w:val="center"/>
                </w:tcPr>
                <w:p>
                  <w:pPr>
                    <w:pStyle w:val="31"/>
                    <w:bidi w:val="0"/>
                    <w:rPr>
                      <w:rFonts w:hint="eastAsia"/>
                      <w:lang w:val="en-US" w:eastAsia="zh-CN"/>
                    </w:rPr>
                  </w:pPr>
                  <w:r>
                    <w:rPr>
                      <w:rFonts w:hint="eastAsia"/>
                      <w:lang w:val="en-US" w:eastAsia="zh-CN"/>
                    </w:rPr>
                    <w:t>装卸</w:t>
                  </w:r>
                </w:p>
              </w:tc>
              <w:tc>
                <w:tcPr>
                  <w:tcW w:w="871" w:type="pct"/>
                  <w:tcBorders>
                    <w:tl2br w:val="nil"/>
                    <w:tr2bl w:val="nil"/>
                  </w:tcBorders>
                  <w:vAlign w:val="center"/>
                </w:tcPr>
                <w:p>
                  <w:pPr>
                    <w:pStyle w:val="31"/>
                    <w:bidi w:val="0"/>
                    <w:rPr>
                      <w:rFonts w:hint="default"/>
                      <w:lang w:val="en-US" w:eastAsia="zh-CN"/>
                    </w:rPr>
                  </w:pPr>
                  <w:r>
                    <w:rPr>
                      <w:rFonts w:hint="eastAsia"/>
                      <w:lang w:val="en-US" w:eastAsia="zh-CN"/>
                    </w:rPr>
                    <w:t>非甲烷总烃</w:t>
                  </w:r>
                </w:p>
              </w:tc>
              <w:tc>
                <w:tcPr>
                  <w:tcW w:w="1967" w:type="pct"/>
                  <w:tcBorders>
                    <w:tl2br w:val="nil"/>
                    <w:tr2bl w:val="nil"/>
                  </w:tcBorders>
                  <w:vAlign w:val="center"/>
                </w:tcPr>
                <w:p>
                  <w:pPr>
                    <w:pStyle w:val="31"/>
                    <w:bidi w:val="0"/>
                    <w:rPr>
                      <w:rFonts w:hint="default"/>
                      <w:lang w:val="en-US" w:eastAsia="zh-CN"/>
                    </w:rPr>
                  </w:pPr>
                  <w:r>
                    <w:rPr>
                      <w:rFonts w:hint="eastAsia"/>
                      <w:lang w:val="en-US" w:eastAsia="zh-CN"/>
                    </w:rPr>
                    <w:t>无组织挥发</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0" w:type="pct"/>
                  <w:tcBorders>
                    <w:tl2br w:val="nil"/>
                    <w:tr2bl w:val="nil"/>
                  </w:tcBorders>
                  <w:vAlign w:val="center"/>
                </w:tcPr>
                <w:p>
                  <w:pPr>
                    <w:pStyle w:val="31"/>
                    <w:bidi w:val="0"/>
                    <w:rPr>
                      <w:rFonts w:hint="default"/>
                    </w:rPr>
                  </w:pPr>
                  <w:r>
                    <w:rPr>
                      <w:rFonts w:hint="default"/>
                    </w:rPr>
                    <w:t>噪声</w:t>
                  </w:r>
                </w:p>
              </w:tc>
              <w:tc>
                <w:tcPr>
                  <w:tcW w:w="939" w:type="pct"/>
                  <w:tcBorders>
                    <w:tl2br w:val="nil"/>
                    <w:tr2bl w:val="nil"/>
                  </w:tcBorders>
                  <w:vAlign w:val="center"/>
                </w:tcPr>
                <w:p>
                  <w:pPr>
                    <w:pStyle w:val="31"/>
                    <w:bidi w:val="0"/>
                    <w:rPr>
                      <w:rFonts w:hint="default"/>
                    </w:rPr>
                  </w:pPr>
                  <w:r>
                    <w:rPr>
                      <w:rFonts w:hint="default"/>
                    </w:rPr>
                    <w:t>设备噪声</w:t>
                  </w:r>
                </w:p>
              </w:tc>
              <w:tc>
                <w:tcPr>
                  <w:tcW w:w="871" w:type="pct"/>
                  <w:tcBorders>
                    <w:tl2br w:val="nil"/>
                    <w:tr2bl w:val="nil"/>
                  </w:tcBorders>
                  <w:vAlign w:val="center"/>
                </w:tcPr>
                <w:p>
                  <w:pPr>
                    <w:pStyle w:val="31"/>
                    <w:bidi w:val="0"/>
                    <w:rPr>
                      <w:rFonts w:hint="default"/>
                    </w:rPr>
                  </w:pPr>
                  <w:r>
                    <w:rPr>
                      <w:rFonts w:hint="default"/>
                    </w:rPr>
                    <w:t>设备运转</w:t>
                  </w:r>
                </w:p>
              </w:tc>
              <w:tc>
                <w:tcPr>
                  <w:tcW w:w="871" w:type="pct"/>
                  <w:tcBorders>
                    <w:tl2br w:val="nil"/>
                    <w:tr2bl w:val="nil"/>
                  </w:tcBorders>
                  <w:vAlign w:val="center"/>
                </w:tcPr>
                <w:p>
                  <w:pPr>
                    <w:pStyle w:val="31"/>
                    <w:bidi w:val="0"/>
                    <w:rPr>
                      <w:rFonts w:hint="default"/>
                    </w:rPr>
                  </w:pPr>
                  <w:r>
                    <w:rPr>
                      <w:rFonts w:hint="default"/>
                    </w:rPr>
                    <w:t>L</w:t>
                  </w:r>
                  <w:r>
                    <w:rPr>
                      <w:rFonts w:hint="default"/>
                      <w:vertAlign w:val="subscript"/>
                    </w:rPr>
                    <w:t>eq</w:t>
                  </w:r>
                </w:p>
              </w:tc>
              <w:tc>
                <w:tcPr>
                  <w:tcW w:w="1967" w:type="pct"/>
                  <w:tcBorders>
                    <w:tl2br w:val="nil"/>
                    <w:tr2bl w:val="nil"/>
                  </w:tcBorders>
                  <w:vAlign w:val="center"/>
                </w:tcPr>
                <w:p>
                  <w:pPr>
                    <w:pStyle w:val="31"/>
                    <w:bidi w:val="0"/>
                    <w:rPr>
                      <w:rFonts w:hint="default"/>
                    </w:rPr>
                  </w:pPr>
                  <w:r>
                    <w:rPr>
                      <w:rFonts w:hint="default"/>
                    </w:rPr>
                    <w:t>采用隔声、减震等降噪措施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0" w:type="pct"/>
                  <w:vMerge w:val="restart"/>
                  <w:tcBorders>
                    <w:tl2br w:val="nil"/>
                    <w:tr2bl w:val="nil"/>
                  </w:tcBorders>
                  <w:vAlign w:val="center"/>
                </w:tcPr>
                <w:p>
                  <w:pPr>
                    <w:pStyle w:val="31"/>
                    <w:bidi w:val="0"/>
                    <w:rPr>
                      <w:rFonts w:hint="default"/>
                      <w:lang w:val="en-US" w:eastAsia="zh-CN"/>
                    </w:rPr>
                  </w:pPr>
                  <w:r>
                    <w:rPr>
                      <w:rFonts w:hint="default"/>
                      <w:lang w:val="en-US" w:eastAsia="zh-CN"/>
                    </w:rPr>
                    <w:t>固废</w:t>
                  </w:r>
                </w:p>
              </w:tc>
              <w:tc>
                <w:tcPr>
                  <w:tcW w:w="939"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废油泥</w:t>
                  </w:r>
                </w:p>
              </w:tc>
              <w:tc>
                <w:tcPr>
                  <w:tcW w:w="871"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收集贮存</w:t>
                  </w:r>
                </w:p>
              </w:tc>
              <w:tc>
                <w:tcPr>
                  <w:tcW w:w="871"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废油</w:t>
                  </w:r>
                </w:p>
              </w:tc>
              <w:tc>
                <w:tcPr>
                  <w:tcW w:w="1967" w:type="pct"/>
                  <w:vMerge w:val="restart"/>
                  <w:tcBorders>
                    <w:tl2br w:val="nil"/>
                    <w:tr2bl w:val="nil"/>
                  </w:tcBorders>
                  <w:vAlign w:val="center"/>
                </w:tcPr>
                <w:p>
                  <w:pPr>
                    <w:pStyle w:val="3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lang w:val="en-US" w:eastAsia="zh-CN"/>
                    </w:rPr>
                    <w:t>委托有资质单位处置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0" w:type="pct"/>
                  <w:vMerge w:val="continue"/>
                  <w:tcBorders>
                    <w:tl2br w:val="nil"/>
                    <w:tr2bl w:val="nil"/>
                  </w:tcBorders>
                  <w:vAlign w:val="center"/>
                </w:tcPr>
                <w:p>
                  <w:pPr>
                    <w:pStyle w:val="31"/>
                    <w:bidi w:val="0"/>
                    <w:rPr>
                      <w:rFonts w:hint="default"/>
                      <w:lang w:val="en-US" w:eastAsia="zh-CN"/>
                    </w:rPr>
                  </w:pPr>
                </w:p>
              </w:tc>
              <w:tc>
                <w:tcPr>
                  <w:tcW w:w="939"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废活性炭</w:t>
                  </w:r>
                </w:p>
              </w:tc>
              <w:tc>
                <w:tcPr>
                  <w:tcW w:w="871"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废气处理</w:t>
                  </w:r>
                </w:p>
              </w:tc>
              <w:tc>
                <w:tcPr>
                  <w:tcW w:w="871"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活性炭</w:t>
                  </w:r>
                </w:p>
              </w:tc>
              <w:tc>
                <w:tcPr>
                  <w:tcW w:w="1967" w:type="pct"/>
                  <w:vMerge w:val="continue"/>
                  <w:tcBorders>
                    <w:tl2br w:val="nil"/>
                    <w:tr2bl w:val="nil"/>
                  </w:tcBorders>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0" w:type="pct"/>
                  <w:vMerge w:val="continue"/>
                  <w:tcBorders>
                    <w:tl2br w:val="nil"/>
                    <w:tr2bl w:val="nil"/>
                  </w:tcBorders>
                  <w:vAlign w:val="center"/>
                </w:tcPr>
                <w:p>
                  <w:pPr>
                    <w:pStyle w:val="31"/>
                    <w:bidi w:val="0"/>
                    <w:rPr>
                      <w:rFonts w:hint="default"/>
                      <w:lang w:val="en-US" w:eastAsia="zh-CN"/>
                    </w:rPr>
                  </w:pPr>
                </w:p>
              </w:tc>
              <w:tc>
                <w:tcPr>
                  <w:tcW w:w="939"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cs="Times New Roman"/>
                      <w:color w:val="auto"/>
                      <w:highlight w:val="none"/>
                      <w:lang w:val="en-US" w:eastAsia="zh-CN"/>
                    </w:rPr>
                    <w:t>含油劳保用品</w:t>
                  </w:r>
                </w:p>
              </w:tc>
              <w:tc>
                <w:tcPr>
                  <w:tcW w:w="871"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装卸</w:t>
                  </w:r>
                </w:p>
              </w:tc>
              <w:tc>
                <w:tcPr>
                  <w:tcW w:w="871"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含油的废抹布、劳保用品等</w:t>
                  </w:r>
                </w:p>
              </w:tc>
              <w:tc>
                <w:tcPr>
                  <w:tcW w:w="1967" w:type="pct"/>
                  <w:vMerge w:val="restart"/>
                  <w:tcBorders>
                    <w:tl2br w:val="nil"/>
                    <w:tr2bl w:val="nil"/>
                  </w:tcBorders>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由环卫部门统一清运</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0" w:type="pct"/>
                  <w:vMerge w:val="continue"/>
                  <w:tcBorders>
                    <w:tl2br w:val="nil"/>
                    <w:tr2bl w:val="nil"/>
                  </w:tcBorders>
                  <w:vAlign w:val="center"/>
                </w:tcPr>
                <w:p>
                  <w:pPr>
                    <w:pStyle w:val="31"/>
                    <w:bidi w:val="0"/>
                    <w:rPr>
                      <w:rFonts w:hint="default"/>
                      <w:lang w:val="en-US" w:eastAsia="zh-CN"/>
                    </w:rPr>
                  </w:pPr>
                </w:p>
              </w:tc>
              <w:tc>
                <w:tcPr>
                  <w:tcW w:w="939" w:type="pct"/>
                  <w:tcBorders>
                    <w:tl2br w:val="nil"/>
                    <w:tr2bl w:val="nil"/>
                  </w:tcBorders>
                  <w:vAlign w:val="center"/>
                </w:tcPr>
                <w:p>
                  <w:pPr>
                    <w:pStyle w:val="3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生活垃圾</w:t>
                  </w:r>
                </w:p>
              </w:tc>
              <w:tc>
                <w:tcPr>
                  <w:tcW w:w="871" w:type="pct"/>
                  <w:tcBorders>
                    <w:tl2br w:val="nil"/>
                    <w:tr2bl w:val="nil"/>
                  </w:tcBorders>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工人生活</w:t>
                  </w:r>
                </w:p>
              </w:tc>
              <w:tc>
                <w:tcPr>
                  <w:tcW w:w="871" w:type="pct"/>
                  <w:tcBorders>
                    <w:tl2br w:val="nil"/>
                    <w:tr2bl w:val="nil"/>
                  </w:tcBorders>
                  <w:vAlign w:val="center"/>
                </w:tcPr>
                <w:p>
                  <w:pPr>
                    <w:pStyle w:val="31"/>
                    <w:bidi w:val="0"/>
                    <w:ind w:left="0" w:leftChars="0" w:firstLine="0" w:firstLineChars="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w:t>
                  </w:r>
                </w:p>
              </w:tc>
              <w:tc>
                <w:tcPr>
                  <w:tcW w:w="1967" w:type="pct"/>
                  <w:vMerge w:val="continue"/>
                  <w:tcBorders>
                    <w:tl2br w:val="nil"/>
                    <w:tr2bl w:val="nil"/>
                  </w:tcBorders>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p>
              </w:tc>
            </w:tr>
          </w:tbl>
          <w:p>
            <w:pPr>
              <w:pStyle w:val="8"/>
              <w:bidi w:val="0"/>
              <w:rPr>
                <w:rFonts w:hint="default"/>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31" w:hRule="atLeast"/>
          <w:jc w:val="center"/>
        </w:trPr>
        <w:tc>
          <w:tcPr>
            <w:tcW w:w="698" w:type="dxa"/>
            <w:vAlign w:val="center"/>
          </w:tcPr>
          <w:p>
            <w:pPr>
              <w:adjustRightInd w:val="0"/>
              <w:snapToGrid w:val="0"/>
              <w:spacing w:before="0" w:beforeAutospacing="0" w:after="0" w:afterAutospacing="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kern w:val="2"/>
                <w:sz w:val="21"/>
                <w:szCs w:val="21"/>
                <w:highlight w:val="none"/>
              </w:rPr>
              <w:t>与项目有关的原有环境污染问题</w:t>
            </w:r>
          </w:p>
        </w:tc>
        <w:tc>
          <w:tcPr>
            <w:tcW w:w="8589" w:type="dxa"/>
            <w:vAlign w:val="center"/>
          </w:tcPr>
          <w:p>
            <w:pPr>
              <w:pStyle w:val="8"/>
              <w:rPr>
                <w:rFonts w:hint="eastAsia"/>
                <w:lang w:val="en-US" w:eastAsia="zh-CN"/>
              </w:rPr>
            </w:pPr>
            <w:r>
              <w:rPr>
                <w:rFonts w:hint="eastAsia" w:cs="Times New Roman"/>
                <w:color w:val="auto"/>
                <w:highlight w:val="none"/>
                <w:lang w:val="en-US" w:eastAsia="zh-CN"/>
              </w:rPr>
              <w:t>本项目为新建项目，</w:t>
            </w:r>
            <w:r>
              <w:rPr>
                <w:rFonts w:hint="eastAsia"/>
                <w:lang w:val="en-US" w:eastAsia="zh-CN"/>
              </w:rPr>
              <w:t>租赁福建省闽侯县华源工艺品有限公司二期C栋1层厂房分割部分</w:t>
            </w:r>
            <w:r>
              <w:rPr>
                <w:rFonts w:hint="eastAsia" w:cs="Times New Roman"/>
                <w:color w:val="auto"/>
                <w:highlight w:val="none"/>
                <w:lang w:val="en-US" w:eastAsia="zh-CN"/>
              </w:rPr>
              <w:t>进行建设，项目用地不存在由本项目引起的环境污染问题。</w:t>
            </w:r>
            <w:r>
              <w:rPr>
                <w:rFonts w:hint="eastAsia"/>
                <w:lang w:val="en-US" w:eastAsia="zh-CN"/>
              </w:rPr>
              <w:t>厂区现状图如下：</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6"/>
              <w:gridCol w:w="41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86" w:type="dxa"/>
                </w:tcPr>
                <w:p>
                  <w:pPr>
                    <w:pStyle w:val="8"/>
                    <w:spacing w:line="240" w:lineRule="auto"/>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2508885" cy="1882140"/>
                        <wp:effectExtent l="0" t="0" r="5715" b="3810"/>
                        <wp:docPr id="203" name="图片 203" descr="IMG_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IMG_2079"/>
                                <pic:cNvPicPr>
                                  <a:picLocks noChangeAspect="1"/>
                                </pic:cNvPicPr>
                              </pic:nvPicPr>
                              <pic:blipFill>
                                <a:blip r:embed="rId16"/>
                                <a:stretch>
                                  <a:fillRect/>
                                </a:stretch>
                              </pic:blipFill>
                              <pic:spPr>
                                <a:xfrm>
                                  <a:off x="0" y="0"/>
                                  <a:ext cx="2508885" cy="1882140"/>
                                </a:xfrm>
                                <a:prstGeom prst="rect">
                                  <a:avLst/>
                                </a:prstGeom>
                              </pic:spPr>
                            </pic:pic>
                          </a:graphicData>
                        </a:graphic>
                      </wp:inline>
                    </w:drawing>
                  </w:r>
                </w:p>
              </w:tc>
              <w:tc>
                <w:tcPr>
                  <w:tcW w:w="4187" w:type="dxa"/>
                </w:tcPr>
                <w:p>
                  <w:pPr>
                    <w:pStyle w:val="8"/>
                    <w:spacing w:line="240" w:lineRule="auto"/>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2508885" cy="1882140"/>
                        <wp:effectExtent l="0" t="0" r="5715" b="3810"/>
                        <wp:docPr id="205" name="图片 205" descr="IMG_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IMG_2082"/>
                                <pic:cNvPicPr>
                                  <a:picLocks noChangeAspect="1"/>
                                </pic:cNvPicPr>
                              </pic:nvPicPr>
                              <pic:blipFill>
                                <a:blip r:embed="rId17"/>
                                <a:stretch>
                                  <a:fillRect/>
                                </a:stretch>
                              </pic:blipFill>
                              <pic:spPr>
                                <a:xfrm>
                                  <a:off x="0" y="0"/>
                                  <a:ext cx="2508885" cy="18821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6" w:type="dxa"/>
                </w:tcPr>
                <w:p>
                  <w:pPr>
                    <w:pStyle w:val="8"/>
                    <w:spacing w:line="240" w:lineRule="auto"/>
                    <w:ind w:left="0" w:leftChars="0" w:firstLine="0" w:firstLineChars="0"/>
                    <w:jc w:val="center"/>
                    <w:rPr>
                      <w:rFonts w:hint="default"/>
                      <w:vertAlign w:val="baseline"/>
                      <w:lang w:val="en-US" w:eastAsia="zh-CN"/>
                    </w:rPr>
                  </w:pPr>
                  <w:r>
                    <w:rPr>
                      <w:rFonts w:hint="eastAsia"/>
                      <w:vertAlign w:val="baseline"/>
                      <w:lang w:val="en-US" w:eastAsia="zh-CN"/>
                    </w:rPr>
                    <w:t>项目大门</w:t>
                  </w:r>
                </w:p>
              </w:tc>
              <w:tc>
                <w:tcPr>
                  <w:tcW w:w="4187" w:type="dxa"/>
                </w:tcPr>
                <w:p>
                  <w:pPr>
                    <w:pStyle w:val="8"/>
                    <w:spacing w:line="240" w:lineRule="auto"/>
                    <w:ind w:left="0" w:leftChars="0" w:firstLine="0" w:firstLineChars="0"/>
                    <w:jc w:val="center"/>
                    <w:rPr>
                      <w:rFonts w:hint="default"/>
                      <w:vertAlign w:val="baseline"/>
                      <w:lang w:val="en-US" w:eastAsia="zh-CN"/>
                    </w:rPr>
                  </w:pPr>
                  <w:r>
                    <w:rPr>
                      <w:rFonts w:hint="eastAsia"/>
                      <w:vertAlign w:val="baseline"/>
                      <w:lang w:val="en-US" w:eastAsia="zh-CN"/>
                    </w:rPr>
                    <w:t>项目车间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6" w:type="dxa"/>
                </w:tcPr>
                <w:p>
                  <w:pPr>
                    <w:pStyle w:val="8"/>
                    <w:spacing w:line="240" w:lineRule="auto"/>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2508885" cy="1882140"/>
                        <wp:effectExtent l="0" t="0" r="5715" b="3810"/>
                        <wp:docPr id="202" name="图片 202" descr="IMG_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IMG_2083"/>
                                <pic:cNvPicPr>
                                  <a:picLocks noChangeAspect="1"/>
                                </pic:cNvPicPr>
                              </pic:nvPicPr>
                              <pic:blipFill>
                                <a:blip r:embed="rId18"/>
                                <a:stretch>
                                  <a:fillRect/>
                                </a:stretch>
                              </pic:blipFill>
                              <pic:spPr>
                                <a:xfrm>
                                  <a:off x="0" y="0"/>
                                  <a:ext cx="2508885" cy="1882140"/>
                                </a:xfrm>
                                <a:prstGeom prst="rect">
                                  <a:avLst/>
                                </a:prstGeom>
                              </pic:spPr>
                            </pic:pic>
                          </a:graphicData>
                        </a:graphic>
                      </wp:inline>
                    </w:drawing>
                  </w:r>
                </w:p>
              </w:tc>
              <w:tc>
                <w:tcPr>
                  <w:tcW w:w="4187" w:type="dxa"/>
                </w:tcPr>
                <w:p>
                  <w:pPr>
                    <w:pStyle w:val="8"/>
                    <w:spacing w:line="240" w:lineRule="auto"/>
                    <w:ind w:left="0" w:leftChars="0" w:firstLine="0" w:firstLineChars="0"/>
                    <w:jc w:val="center"/>
                    <w:rPr>
                      <w:rFonts w:hint="eastAsia"/>
                      <w:vertAlign w:val="baseline"/>
                      <w:lang w:val="en-US" w:eastAsia="zh-CN"/>
                    </w:rPr>
                  </w:pPr>
                  <w:r>
                    <w:rPr>
                      <w:rFonts w:hint="eastAsia"/>
                      <w:vertAlign w:val="baseline"/>
                      <w:lang w:val="en-US" w:eastAsia="zh-CN"/>
                    </w:rPr>
                    <w:drawing>
                      <wp:inline distT="0" distB="0" distL="114300" distR="114300">
                        <wp:extent cx="2508885" cy="1882140"/>
                        <wp:effectExtent l="0" t="0" r="5715" b="3810"/>
                        <wp:docPr id="204" name="图片 204" descr="IMG_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IMG_2073"/>
                                <pic:cNvPicPr>
                                  <a:picLocks noChangeAspect="1"/>
                                </pic:cNvPicPr>
                              </pic:nvPicPr>
                              <pic:blipFill>
                                <a:blip r:embed="rId19"/>
                                <a:stretch>
                                  <a:fillRect/>
                                </a:stretch>
                              </pic:blipFill>
                              <pic:spPr>
                                <a:xfrm>
                                  <a:off x="0" y="0"/>
                                  <a:ext cx="2508885" cy="18821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6" w:type="dxa"/>
                </w:tcPr>
                <w:p>
                  <w:pPr>
                    <w:pStyle w:val="8"/>
                    <w:spacing w:line="240" w:lineRule="auto"/>
                    <w:ind w:left="0" w:leftChars="0" w:firstLine="0" w:firstLineChars="0"/>
                    <w:jc w:val="center"/>
                    <w:rPr>
                      <w:rFonts w:hint="default"/>
                      <w:vertAlign w:val="baseline"/>
                      <w:lang w:val="en-US" w:eastAsia="zh-CN"/>
                    </w:rPr>
                  </w:pPr>
                  <w:r>
                    <w:rPr>
                      <w:rFonts w:hint="eastAsia"/>
                      <w:vertAlign w:val="baseline"/>
                      <w:lang w:val="en-US" w:eastAsia="zh-CN"/>
                    </w:rPr>
                    <w:t>事故应急池拟建区域</w:t>
                  </w:r>
                </w:p>
              </w:tc>
              <w:tc>
                <w:tcPr>
                  <w:tcW w:w="4187" w:type="dxa"/>
                </w:tcPr>
                <w:p>
                  <w:pPr>
                    <w:pStyle w:val="8"/>
                    <w:spacing w:line="240" w:lineRule="auto"/>
                    <w:ind w:left="0" w:leftChars="0" w:firstLine="0" w:firstLineChars="0"/>
                    <w:jc w:val="center"/>
                    <w:rPr>
                      <w:rFonts w:hint="default"/>
                      <w:vertAlign w:val="baseline"/>
                      <w:lang w:val="en-US" w:eastAsia="zh-CN"/>
                    </w:rPr>
                  </w:pPr>
                  <w:r>
                    <w:rPr>
                      <w:rFonts w:hint="eastAsia"/>
                      <w:vertAlign w:val="baseline"/>
                      <w:lang w:val="en-US" w:eastAsia="zh-CN"/>
                    </w:rPr>
                    <w:t>项目小门</w:t>
                  </w:r>
                </w:p>
              </w:tc>
            </w:tr>
          </w:tbl>
          <w:p>
            <w:pPr>
              <w:pStyle w:val="33"/>
              <w:bidi w:val="0"/>
              <w:rPr>
                <w:rFonts w:hint="default"/>
                <w:lang w:val="en-US" w:eastAsia="zh-CN"/>
              </w:rPr>
            </w:pPr>
            <w:r>
              <w:rPr>
                <w:rFonts w:hint="eastAsia"/>
                <w:lang w:val="en-US" w:eastAsia="zh-CN"/>
              </w:rPr>
              <w:t>厂区现状情况</w:t>
            </w:r>
          </w:p>
        </w:tc>
      </w:tr>
    </w:tbl>
    <w:p>
      <w:pPr>
        <w:pStyle w:val="36"/>
        <w:rPr>
          <w:rFonts w:hint="default"/>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pStyle w:val="3"/>
        <w:numPr>
          <w:ilvl w:val="0"/>
          <w:numId w:val="9"/>
        </w:numPr>
        <w:rPr>
          <w:rFonts w:hint="default" w:ascii="Times New Roman" w:hAnsi="Times New Roman" w:cs="Times New Roman"/>
          <w:color w:val="auto"/>
          <w:highlight w:val="none"/>
        </w:rPr>
      </w:pPr>
      <w:bookmarkStart w:id="41" w:name="_Toc26560"/>
      <w:bookmarkStart w:id="42" w:name="_Toc7463"/>
      <w:bookmarkStart w:id="43" w:name="_Toc30352"/>
      <w:bookmarkStart w:id="44" w:name="_Toc9039"/>
      <w:bookmarkStart w:id="45" w:name="_Toc16627"/>
      <w:bookmarkStart w:id="46" w:name="_Toc18373"/>
      <w:bookmarkStart w:id="47" w:name="_Toc26881"/>
      <w:bookmarkStart w:id="48" w:name="_Toc16895"/>
      <w:bookmarkStart w:id="49" w:name="_Toc9718"/>
      <w:r>
        <w:rPr>
          <w:rFonts w:hint="default" w:ascii="Times New Roman" w:hAnsi="Times New Roman" w:cs="Times New Roman"/>
          <w:color w:val="auto"/>
          <w:highlight w:val="none"/>
        </w:rPr>
        <w:t>区域环境质量现状、环境保护目标及评价标准</w:t>
      </w:r>
    </w:p>
    <w:bookmarkEnd w:id="41"/>
    <w:bookmarkEnd w:id="42"/>
    <w:bookmarkEnd w:id="43"/>
    <w:bookmarkEnd w:id="44"/>
    <w:bookmarkEnd w:id="45"/>
    <w:bookmarkEnd w:id="46"/>
    <w:bookmarkEnd w:id="47"/>
    <w:bookmarkEnd w:id="48"/>
    <w:bookmarkEnd w:id="49"/>
    <w:tbl>
      <w:tblPr>
        <w:tblStyle w:val="24"/>
        <w:tblW w:w="98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78"/>
        <w:gridCol w:w="921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33" w:hRule="atLeast"/>
          <w:jc w:val="center"/>
        </w:trPr>
        <w:tc>
          <w:tcPr>
            <w:tcW w:w="678" w:type="dxa"/>
            <w:vAlign w:val="center"/>
          </w:tcPr>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区域</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质量</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现状</w:t>
            </w:r>
          </w:p>
        </w:tc>
        <w:tc>
          <w:tcPr>
            <w:tcW w:w="9212" w:type="dxa"/>
            <w:vAlign w:val="center"/>
          </w:tcPr>
          <w:p>
            <w:pPr>
              <w:pStyle w:val="4"/>
              <w:numPr>
                <w:ilvl w:val="1"/>
                <w:numId w:val="9"/>
              </w:numPr>
              <w:tabs>
                <w:tab w:val="left" w:pos="420"/>
              </w:tabs>
              <w:bidi w:val="0"/>
              <w:rPr>
                <w:rFonts w:hint="default"/>
              </w:rPr>
            </w:pPr>
            <w:r>
              <w:rPr>
                <w:rFonts w:hint="default"/>
              </w:rPr>
              <w:t>大气环境质量现状</w:t>
            </w:r>
          </w:p>
          <w:p>
            <w:pPr>
              <w:pStyle w:val="8"/>
              <w:bidi w:val="0"/>
              <w:rPr>
                <w:rFonts w:hint="default"/>
                <w:lang w:val="en-US" w:eastAsia="zh-CN"/>
              </w:rPr>
            </w:pPr>
            <w:r>
              <w:rPr>
                <w:rFonts w:hint="default"/>
                <w:lang w:val="en-US" w:eastAsia="zh-CN"/>
              </w:rPr>
              <w:t>本项目</w:t>
            </w:r>
            <w:r>
              <w:rPr>
                <w:rFonts w:hint="eastAsia"/>
                <w:lang w:val="en-US" w:eastAsia="zh-CN"/>
              </w:rPr>
              <w:t>位于福建省福州市闽侯县祥谦镇泮洋村祥宏中路20号，</w:t>
            </w:r>
            <w:r>
              <w:rPr>
                <w:rFonts w:hint="eastAsia" w:ascii="Times New Roman" w:hAnsi="Times New Roman" w:eastAsia="宋体" w:cs="宋体"/>
                <w:color w:val="auto"/>
                <w:lang w:val="en-US" w:eastAsia="zh-CN"/>
              </w:rPr>
              <w:t>所在区域环境空气质量功能区为二类区</w:t>
            </w:r>
            <w:r>
              <w:rPr>
                <w:rFonts w:hint="eastAsia"/>
                <w:lang w:val="en-US" w:eastAsia="zh-CN"/>
              </w:rPr>
              <w:t>，执行</w:t>
            </w:r>
            <w:r>
              <w:rPr>
                <w:rFonts w:hint="default"/>
              </w:rPr>
              <w:t>《环境空气质量标准》（GB3095-2012）</w:t>
            </w:r>
            <w:r>
              <w:rPr>
                <w:rFonts w:hint="eastAsia"/>
                <w:lang w:val="en-US" w:eastAsia="zh-CN"/>
              </w:rPr>
              <w:t>二类标准。</w:t>
            </w:r>
          </w:p>
          <w:p>
            <w:pPr>
              <w:pStyle w:val="8"/>
              <w:numPr>
                <w:ilvl w:val="0"/>
                <w:numId w:val="0"/>
              </w:numPr>
              <w:ind w:leftChars="200"/>
              <w:rPr>
                <w:rFonts w:hint="default"/>
              </w:rPr>
            </w:pPr>
            <w:r>
              <w:rPr>
                <w:rFonts w:hint="default"/>
                <w:lang w:eastAsia="zh-CN"/>
              </w:rPr>
              <w:t>（</w:t>
            </w:r>
            <w:r>
              <w:rPr>
                <w:rFonts w:hint="default"/>
                <w:lang w:val="en-US" w:eastAsia="zh-CN"/>
              </w:rPr>
              <w:t>1</w:t>
            </w:r>
            <w:r>
              <w:rPr>
                <w:rFonts w:hint="default"/>
                <w:lang w:eastAsia="zh-CN"/>
              </w:rPr>
              <w:t>）</w:t>
            </w:r>
            <w:r>
              <w:rPr>
                <w:rFonts w:hint="default"/>
              </w:rPr>
              <w:t>所在区域环境质量达标情况</w:t>
            </w:r>
          </w:p>
          <w:p>
            <w:pPr>
              <w:pStyle w:val="8"/>
              <w:ind w:firstLine="480"/>
              <w:rPr>
                <w:rFonts w:hint="default"/>
              </w:rPr>
            </w:pPr>
            <w:bookmarkStart w:id="50" w:name="_Ref18834"/>
            <w:r>
              <w:rPr>
                <w:rFonts w:hint="default"/>
              </w:rPr>
              <w:t>根据《建设项目环境影响报告表编制技术指南（污染影响类）（试行）》，常规污染物引用与建设项目距离近的有效数据，包括近3年的规划环境影响评价的监测数据，国家、地方环境空气质量监测网数据或生态环境主管部门公开发布的质量数据等。</w:t>
            </w:r>
            <w:r>
              <w:rPr>
                <w:rFonts w:hint="default"/>
                <w:lang w:val="en-US" w:eastAsia="zh-CN"/>
              </w:rPr>
              <w:t>因此</w:t>
            </w:r>
            <w:r>
              <w:rPr>
                <w:rFonts w:hint="default"/>
              </w:rPr>
              <w:t>采用</w:t>
            </w:r>
            <w:r>
              <w:rPr>
                <w:rFonts w:hint="eastAsia"/>
                <w:lang w:val="en-US" w:eastAsia="zh-CN"/>
              </w:rPr>
              <w:t>福州市</w:t>
            </w:r>
            <w:r>
              <w:rPr>
                <w:rFonts w:hint="default"/>
              </w:rPr>
              <w:t>生态环境</w:t>
            </w:r>
            <w:r>
              <w:rPr>
                <w:rFonts w:hint="eastAsia"/>
                <w:lang w:val="en-US" w:eastAsia="zh-CN"/>
              </w:rPr>
              <w:t>局</w:t>
            </w:r>
            <w:r>
              <w:rPr>
                <w:rFonts w:hint="default"/>
              </w:rPr>
              <w:t>发布的《</w:t>
            </w:r>
            <w:r>
              <w:rPr>
                <w:rFonts w:hint="eastAsia"/>
                <w:lang w:val="en-US" w:eastAsia="zh-CN"/>
              </w:rPr>
              <w:t>2022年福州市环境状况公报</w:t>
            </w:r>
            <w:r>
              <w:rPr>
                <w:rFonts w:hint="default"/>
              </w:rPr>
              <w:t>》进行评价</w:t>
            </w:r>
            <w:r>
              <w:rPr>
                <w:rFonts w:hint="default"/>
                <w:lang w:eastAsia="zh-CN"/>
              </w:rPr>
              <w:t>，</w:t>
            </w:r>
            <w:r>
              <w:rPr>
                <w:rFonts w:hint="default"/>
              </w:rPr>
              <w:t>福</w:t>
            </w:r>
            <w:r>
              <w:rPr>
                <w:rFonts w:hint="eastAsia"/>
                <w:lang w:val="en-US" w:eastAsia="zh-CN"/>
              </w:rPr>
              <w:t>州</w:t>
            </w:r>
            <w:r>
              <w:rPr>
                <w:rFonts w:hint="default"/>
              </w:rPr>
              <w:t>市的基本污染物的年均浓度详见下表。</w:t>
            </w:r>
          </w:p>
          <w:p>
            <w:pPr>
              <w:pStyle w:val="8"/>
              <w:ind w:firstLine="480"/>
              <w:rPr>
                <w:rFonts w:hint="default"/>
              </w:rPr>
            </w:pPr>
            <w:r>
              <w:rPr>
                <w:rFonts w:hint="default"/>
              </w:rPr>
              <w:t>根据《</w:t>
            </w:r>
            <w:r>
              <w:rPr>
                <w:rFonts w:hint="eastAsia"/>
                <w:lang w:val="en-US" w:eastAsia="zh-CN"/>
              </w:rPr>
              <w:t>2022年福州市环境状况公报</w:t>
            </w:r>
            <w:r>
              <w:rPr>
                <w:rFonts w:hint="default"/>
              </w:rPr>
              <w:t>》，福</w:t>
            </w:r>
            <w:r>
              <w:rPr>
                <w:rFonts w:hint="eastAsia"/>
                <w:lang w:val="en-US" w:eastAsia="zh-CN"/>
              </w:rPr>
              <w:t>州</w:t>
            </w:r>
            <w:r>
              <w:rPr>
                <w:rFonts w:hint="default"/>
              </w:rPr>
              <w:t>市202</w:t>
            </w:r>
            <w:r>
              <w:rPr>
                <w:rFonts w:hint="eastAsia"/>
                <w:lang w:val="en-US" w:eastAsia="zh-CN"/>
              </w:rPr>
              <w:t>2</w:t>
            </w:r>
            <w:r>
              <w:rPr>
                <w:rFonts w:hint="default"/>
              </w:rPr>
              <w:t>年SO</w:t>
            </w:r>
            <w:r>
              <w:rPr>
                <w:rFonts w:hint="default"/>
                <w:vertAlign w:val="subscript"/>
              </w:rPr>
              <w:t>2</w:t>
            </w:r>
            <w:r>
              <w:rPr>
                <w:rFonts w:hint="default"/>
              </w:rPr>
              <w:t>、NO</w:t>
            </w:r>
            <w:r>
              <w:rPr>
                <w:rFonts w:hint="default"/>
                <w:vertAlign w:val="subscript"/>
              </w:rPr>
              <w:t>2</w:t>
            </w:r>
            <w:r>
              <w:rPr>
                <w:rFonts w:hint="default"/>
              </w:rPr>
              <w:t>、PM</w:t>
            </w:r>
            <w:r>
              <w:rPr>
                <w:rFonts w:hint="default"/>
                <w:vertAlign w:val="subscript"/>
              </w:rPr>
              <w:t>10</w:t>
            </w:r>
            <w:r>
              <w:rPr>
                <w:rFonts w:hint="default"/>
              </w:rPr>
              <w:t>、PM</w:t>
            </w:r>
            <w:r>
              <w:rPr>
                <w:rFonts w:hint="default"/>
                <w:vertAlign w:val="subscript"/>
              </w:rPr>
              <w:t>2.5</w:t>
            </w:r>
            <w:r>
              <w:rPr>
                <w:rFonts w:hint="default"/>
              </w:rPr>
              <w:t>年平均浓度分别为</w:t>
            </w:r>
            <w:r>
              <w:rPr>
                <w:rFonts w:hint="eastAsia"/>
                <w:lang w:val="en-US" w:eastAsia="zh-CN"/>
              </w:rPr>
              <w:t>4</w:t>
            </w:r>
            <w:r>
              <w:rPr>
                <w:rFonts w:hint="default"/>
              </w:rPr>
              <w:t>μg/</w:t>
            </w:r>
            <w:r>
              <w:rPr>
                <w:rFonts w:hint="eastAsia"/>
                <w:lang w:val="en-US" w:eastAsia="zh-CN"/>
              </w:rPr>
              <w:t>m³</w:t>
            </w:r>
            <w:r>
              <w:rPr>
                <w:rFonts w:hint="default"/>
              </w:rPr>
              <w:t>、</w:t>
            </w:r>
            <w:r>
              <w:rPr>
                <w:rFonts w:hint="eastAsia"/>
                <w:lang w:val="en-US" w:eastAsia="zh-CN"/>
              </w:rPr>
              <w:t>16</w:t>
            </w:r>
            <w:r>
              <w:rPr>
                <w:rFonts w:hint="default"/>
              </w:rPr>
              <w:t>μg/</w:t>
            </w:r>
            <w:r>
              <w:rPr>
                <w:rFonts w:hint="eastAsia"/>
                <w:lang w:val="en-US" w:eastAsia="zh-CN"/>
              </w:rPr>
              <w:t>m³</w:t>
            </w:r>
            <w:r>
              <w:rPr>
                <w:rFonts w:hint="default"/>
              </w:rPr>
              <w:t>、</w:t>
            </w:r>
            <w:r>
              <w:rPr>
                <w:rFonts w:hint="eastAsia"/>
                <w:lang w:val="en-US" w:eastAsia="zh-CN"/>
              </w:rPr>
              <w:t>32</w:t>
            </w:r>
            <w:r>
              <w:rPr>
                <w:rFonts w:hint="default"/>
              </w:rPr>
              <w:t>μg/</w:t>
            </w:r>
            <w:r>
              <w:rPr>
                <w:rFonts w:hint="eastAsia"/>
                <w:lang w:val="en-US" w:eastAsia="zh-CN"/>
              </w:rPr>
              <w:t>m³</w:t>
            </w:r>
            <w:r>
              <w:rPr>
                <w:rFonts w:hint="default"/>
              </w:rPr>
              <w:t>、</w:t>
            </w:r>
            <w:r>
              <w:rPr>
                <w:rFonts w:hint="eastAsia"/>
                <w:lang w:val="en-US" w:eastAsia="zh-CN"/>
              </w:rPr>
              <w:t>18</w:t>
            </w:r>
            <w:r>
              <w:rPr>
                <w:rFonts w:hint="default"/>
              </w:rPr>
              <w:t>μg/</w:t>
            </w:r>
            <w:r>
              <w:rPr>
                <w:rFonts w:hint="eastAsia"/>
                <w:lang w:val="en-US" w:eastAsia="zh-CN"/>
              </w:rPr>
              <w:t>m³</w:t>
            </w:r>
            <w:r>
              <w:rPr>
                <w:rFonts w:hint="default"/>
              </w:rPr>
              <w:t>；CO24小时平均第95百分位数为</w:t>
            </w:r>
            <w:r>
              <w:rPr>
                <w:rFonts w:hint="eastAsia"/>
                <w:lang w:val="en-US" w:eastAsia="zh-CN"/>
              </w:rPr>
              <w:t>0.7</w:t>
            </w:r>
            <w:r>
              <w:rPr>
                <w:rFonts w:hint="default"/>
              </w:rPr>
              <w:t>mg/</w:t>
            </w:r>
            <w:r>
              <w:rPr>
                <w:rFonts w:hint="eastAsia"/>
                <w:lang w:val="en-US" w:eastAsia="zh-CN"/>
              </w:rPr>
              <w:t>m³</w:t>
            </w:r>
            <w:r>
              <w:rPr>
                <w:rFonts w:hint="default"/>
              </w:rPr>
              <w:t>，O</w:t>
            </w:r>
            <w:r>
              <w:rPr>
                <w:rFonts w:hint="default"/>
                <w:vertAlign w:val="subscript"/>
              </w:rPr>
              <w:t>3</w:t>
            </w:r>
            <w:r>
              <w:rPr>
                <w:rFonts w:hint="default"/>
              </w:rPr>
              <w:t>日最大8小时平均第90百分位数为</w:t>
            </w:r>
            <w:r>
              <w:rPr>
                <w:rFonts w:hint="eastAsia"/>
                <w:lang w:val="en-US" w:eastAsia="zh-CN"/>
              </w:rPr>
              <w:t>142</w:t>
            </w:r>
            <w:r>
              <w:rPr>
                <w:rFonts w:hint="default"/>
              </w:rPr>
              <w:t>μg/</w:t>
            </w:r>
            <w:r>
              <w:rPr>
                <w:rFonts w:hint="eastAsia"/>
                <w:lang w:val="en-US" w:eastAsia="zh-CN"/>
              </w:rPr>
              <w:t>m³</w:t>
            </w:r>
            <w:r>
              <w:rPr>
                <w:rFonts w:hint="default"/>
              </w:rPr>
              <w:t>；各污染物平均浓度均优于《环境空气质量标准》（GB3095-2012）中二级标准限值</w:t>
            </w:r>
            <w:r>
              <w:rPr>
                <w:rFonts w:hint="default"/>
                <w:lang w:eastAsia="zh-CN"/>
              </w:rPr>
              <w:t>，</w:t>
            </w:r>
            <w:r>
              <w:rPr>
                <w:rFonts w:hint="default"/>
                <w:lang w:val="en-US" w:eastAsia="zh-CN"/>
              </w:rPr>
              <w:t>因此项目所在区域环境空气质量属于达标区</w:t>
            </w:r>
            <w:r>
              <w:rPr>
                <w:rFonts w:hint="default"/>
              </w:rPr>
              <w:t>。具体福</w:t>
            </w:r>
            <w:r>
              <w:rPr>
                <w:rFonts w:hint="eastAsia"/>
                <w:lang w:val="en-US" w:eastAsia="zh-CN"/>
              </w:rPr>
              <w:t>州</w:t>
            </w:r>
            <w:r>
              <w:rPr>
                <w:rFonts w:hint="default"/>
              </w:rPr>
              <w:t>市202</w:t>
            </w:r>
            <w:r>
              <w:rPr>
                <w:rFonts w:hint="eastAsia"/>
                <w:lang w:val="en-US" w:eastAsia="zh-CN"/>
              </w:rPr>
              <w:t>2</w:t>
            </w:r>
            <w:r>
              <w:rPr>
                <w:rFonts w:hint="default"/>
              </w:rPr>
              <w:t>年的环境质量概况见</w:t>
            </w:r>
            <w:r>
              <w:rPr>
                <w:rFonts w:hint="default"/>
                <w:lang w:val="en-US"/>
              </w:rPr>
              <w:fldChar w:fldCharType="begin"/>
            </w:r>
            <w:r>
              <w:rPr>
                <w:rFonts w:hint="default"/>
                <w:lang w:val="en-US"/>
              </w:rPr>
              <w:instrText xml:space="preserve">REF_Ref19523\r\h</w:instrText>
            </w:r>
            <w:r>
              <w:rPr>
                <w:rFonts w:hint="default"/>
                <w:lang w:val="en-US"/>
              </w:rPr>
              <w:fldChar w:fldCharType="separate"/>
            </w:r>
            <w:r>
              <w:rPr>
                <w:rFonts w:hint="default"/>
                <w:lang w:val="en-US"/>
              </w:rPr>
              <w:t>表16</w:t>
            </w:r>
            <w:r>
              <w:rPr>
                <w:rFonts w:hint="default"/>
                <w:lang w:val="en-US"/>
              </w:rPr>
              <w:fldChar w:fldCharType="end"/>
            </w:r>
            <w:r>
              <w:rPr>
                <w:rFonts w:hint="default"/>
              </w:rPr>
              <w:t>。</w:t>
            </w:r>
          </w:p>
          <w:p>
            <w:pPr>
              <w:pStyle w:val="30"/>
              <w:numPr>
                <w:ilvl w:val="7"/>
                <w:numId w:val="3"/>
              </w:numPr>
              <w:bidi w:val="0"/>
              <w:jc w:val="both"/>
              <w:rPr>
                <w:rFonts w:hint="default"/>
              </w:rPr>
            </w:pPr>
            <w:bookmarkStart w:id="51" w:name="_Ref19523"/>
            <w:r>
              <w:rPr>
                <w:rFonts w:hint="default"/>
              </w:rPr>
              <w:t>福</w:t>
            </w:r>
            <w:r>
              <w:rPr>
                <w:rFonts w:hint="eastAsia"/>
                <w:lang w:val="en-US" w:eastAsia="zh-CN"/>
              </w:rPr>
              <w:t>州</w:t>
            </w:r>
            <w:r>
              <w:rPr>
                <w:rFonts w:hint="default"/>
              </w:rPr>
              <w:t>市</w:t>
            </w:r>
            <w:r>
              <w:rPr>
                <w:rFonts w:hint="default"/>
                <w:lang w:val="en-US" w:eastAsia="zh-CN"/>
              </w:rPr>
              <w:t>202</w:t>
            </w:r>
            <w:r>
              <w:rPr>
                <w:rFonts w:hint="eastAsia"/>
                <w:lang w:val="en-US" w:eastAsia="zh-CN"/>
              </w:rPr>
              <w:t>2</w:t>
            </w:r>
            <w:r>
              <w:rPr>
                <w:rFonts w:hint="default"/>
                <w:lang w:val="en-US" w:eastAsia="zh-CN"/>
              </w:rPr>
              <w:t>年空气质量情况</w:t>
            </w:r>
            <w:bookmarkEnd w:id="51"/>
          </w:p>
          <w:tbl>
            <w:tblPr>
              <w:tblStyle w:val="24"/>
              <w:tblW w:w="4997"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3"/>
              <w:gridCol w:w="3100"/>
              <w:gridCol w:w="1160"/>
              <w:gridCol w:w="1268"/>
              <w:gridCol w:w="952"/>
              <w:gridCol w:w="123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2" w:hRule="atLeast"/>
              </w:trPr>
              <w:tc>
                <w:tcPr>
                  <w:tcW w:w="708" w:type="pct"/>
                  <w:tcBorders>
                    <w:tl2br w:val="nil"/>
                    <w:tr2bl w:val="nil"/>
                  </w:tcBorders>
                  <w:vAlign w:val="center"/>
                </w:tcPr>
                <w:p>
                  <w:pPr>
                    <w:pStyle w:val="31"/>
                    <w:rPr>
                      <w:rFonts w:hint="default"/>
                    </w:rPr>
                  </w:pPr>
                  <w:r>
                    <w:rPr>
                      <w:rFonts w:hint="default"/>
                    </w:rPr>
                    <w:t>评价因子</w:t>
                  </w:r>
                </w:p>
              </w:tc>
              <w:tc>
                <w:tcPr>
                  <w:tcW w:w="1723" w:type="pct"/>
                  <w:tcBorders>
                    <w:tl2br w:val="nil"/>
                    <w:tr2bl w:val="nil"/>
                  </w:tcBorders>
                  <w:vAlign w:val="center"/>
                </w:tcPr>
                <w:p>
                  <w:pPr>
                    <w:pStyle w:val="31"/>
                    <w:rPr>
                      <w:rFonts w:hint="default"/>
                    </w:rPr>
                  </w:pPr>
                  <w:r>
                    <w:rPr>
                      <w:rFonts w:hint="default"/>
                    </w:rPr>
                    <w:t>平均时段</w:t>
                  </w:r>
                </w:p>
              </w:tc>
              <w:tc>
                <w:tcPr>
                  <w:tcW w:w="645" w:type="pct"/>
                  <w:tcBorders>
                    <w:tl2br w:val="nil"/>
                    <w:tr2bl w:val="nil"/>
                  </w:tcBorders>
                  <w:vAlign w:val="center"/>
                </w:tcPr>
                <w:p>
                  <w:pPr>
                    <w:pStyle w:val="31"/>
                    <w:rPr>
                      <w:rFonts w:hint="default"/>
                    </w:rPr>
                  </w:pPr>
                  <w:r>
                    <w:rPr>
                      <w:rFonts w:hint="default"/>
                    </w:rPr>
                    <w:t>现状浓度</w:t>
                  </w:r>
                </w:p>
              </w:tc>
              <w:tc>
                <w:tcPr>
                  <w:tcW w:w="705" w:type="pct"/>
                  <w:tcBorders>
                    <w:tl2br w:val="nil"/>
                    <w:tr2bl w:val="nil"/>
                  </w:tcBorders>
                  <w:vAlign w:val="center"/>
                </w:tcPr>
                <w:p>
                  <w:pPr>
                    <w:pStyle w:val="31"/>
                    <w:rPr>
                      <w:rFonts w:hint="default"/>
                    </w:rPr>
                  </w:pPr>
                  <w:r>
                    <w:rPr>
                      <w:rFonts w:hint="default"/>
                    </w:rPr>
                    <w:t>标准限值</w:t>
                  </w:r>
                </w:p>
              </w:tc>
              <w:tc>
                <w:tcPr>
                  <w:tcW w:w="529" w:type="pct"/>
                  <w:tcBorders>
                    <w:tl2br w:val="nil"/>
                    <w:tr2bl w:val="nil"/>
                  </w:tcBorders>
                  <w:vAlign w:val="center"/>
                </w:tcPr>
                <w:p>
                  <w:pPr>
                    <w:pStyle w:val="31"/>
                    <w:rPr>
                      <w:rFonts w:hint="default"/>
                    </w:rPr>
                  </w:pPr>
                  <w:r>
                    <w:rPr>
                      <w:rFonts w:hint="default"/>
                    </w:rPr>
                    <w:t>占标率</w:t>
                  </w:r>
                </w:p>
              </w:tc>
              <w:tc>
                <w:tcPr>
                  <w:tcW w:w="688" w:type="pct"/>
                  <w:tcBorders>
                    <w:tl2br w:val="nil"/>
                    <w:tr2bl w:val="nil"/>
                  </w:tcBorders>
                  <w:vAlign w:val="center"/>
                </w:tcPr>
                <w:p>
                  <w:pPr>
                    <w:pStyle w:val="31"/>
                    <w:rPr>
                      <w:rFonts w:hint="default"/>
                    </w:rPr>
                  </w:pPr>
                  <w:r>
                    <w:rPr>
                      <w:rFonts w:hint="default"/>
                    </w:rPr>
                    <w:t>达标情况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8" w:type="pct"/>
                  <w:tcBorders>
                    <w:tl2br w:val="nil"/>
                    <w:tr2bl w:val="nil"/>
                  </w:tcBorders>
                  <w:vAlign w:val="center"/>
                </w:tcPr>
                <w:p>
                  <w:pPr>
                    <w:pStyle w:val="31"/>
                    <w:rPr>
                      <w:rFonts w:hint="default"/>
                    </w:rPr>
                  </w:pPr>
                  <w:r>
                    <w:rPr>
                      <w:rFonts w:hint="default"/>
                    </w:rPr>
                    <w:t>SO</w:t>
                  </w:r>
                  <w:r>
                    <w:rPr>
                      <w:rFonts w:hint="default"/>
                      <w:vertAlign w:val="subscript"/>
                    </w:rPr>
                    <w:t>2</w:t>
                  </w:r>
                </w:p>
              </w:tc>
              <w:tc>
                <w:tcPr>
                  <w:tcW w:w="1723" w:type="pct"/>
                  <w:tcBorders>
                    <w:tl2br w:val="nil"/>
                    <w:tr2bl w:val="nil"/>
                  </w:tcBorders>
                  <w:vAlign w:val="center"/>
                </w:tcPr>
                <w:p>
                  <w:pPr>
                    <w:pStyle w:val="31"/>
                    <w:rPr>
                      <w:rFonts w:hint="default"/>
                    </w:rPr>
                  </w:pPr>
                  <w:r>
                    <w:rPr>
                      <w:rFonts w:hint="default"/>
                    </w:rPr>
                    <w:t>年平均浓度</w:t>
                  </w:r>
                </w:p>
              </w:tc>
              <w:tc>
                <w:tcPr>
                  <w:tcW w:w="645" w:type="pct"/>
                  <w:tcBorders>
                    <w:tl2br w:val="nil"/>
                    <w:tr2bl w:val="nil"/>
                  </w:tcBorders>
                  <w:vAlign w:val="center"/>
                </w:tcPr>
                <w:p>
                  <w:pPr>
                    <w:pStyle w:val="31"/>
                    <w:rPr>
                      <w:rFonts w:hint="eastAsia"/>
                      <w:lang w:eastAsia="zh-CN"/>
                    </w:rPr>
                  </w:pPr>
                  <w:r>
                    <w:rPr>
                      <w:rFonts w:hint="eastAsia"/>
                      <w:lang w:val="en-US" w:eastAsia="zh-CN"/>
                    </w:rPr>
                    <w:t>4</w:t>
                  </w:r>
                  <w:r>
                    <w:rPr>
                      <w:rFonts w:hint="default"/>
                    </w:rPr>
                    <w:t>μg/</w:t>
                  </w:r>
                  <w:r>
                    <w:rPr>
                      <w:rFonts w:hint="eastAsia"/>
                      <w:lang w:val="en-US" w:eastAsia="zh-CN"/>
                    </w:rPr>
                    <w:t>m³</w:t>
                  </w:r>
                </w:p>
              </w:tc>
              <w:tc>
                <w:tcPr>
                  <w:tcW w:w="705" w:type="pct"/>
                  <w:tcBorders>
                    <w:tl2br w:val="nil"/>
                    <w:tr2bl w:val="nil"/>
                  </w:tcBorders>
                  <w:vAlign w:val="center"/>
                </w:tcPr>
                <w:p>
                  <w:pPr>
                    <w:pStyle w:val="31"/>
                    <w:rPr>
                      <w:rFonts w:hint="default"/>
                    </w:rPr>
                  </w:pPr>
                  <w:r>
                    <w:rPr>
                      <w:rFonts w:hint="default"/>
                    </w:rPr>
                    <w:t>60μg/</w:t>
                  </w:r>
                  <w:r>
                    <w:rPr>
                      <w:rFonts w:hint="eastAsia"/>
                      <w:lang w:val="en-US" w:eastAsia="zh-CN"/>
                    </w:rPr>
                    <w:t>m³</w:t>
                  </w:r>
                </w:p>
              </w:tc>
              <w:tc>
                <w:tcPr>
                  <w:tcW w:w="529" w:type="pct"/>
                  <w:tcBorders>
                    <w:tl2br w:val="nil"/>
                    <w:tr2bl w:val="nil"/>
                  </w:tcBorders>
                  <w:vAlign w:val="center"/>
                </w:tcPr>
                <w:p>
                  <w:pPr>
                    <w:pStyle w:val="31"/>
                    <w:rPr>
                      <w:rFonts w:hint="default"/>
                    </w:rPr>
                  </w:pPr>
                  <w:r>
                    <w:rPr>
                      <w:rFonts w:hint="eastAsia"/>
                      <w:lang w:val="en-US" w:eastAsia="zh-CN"/>
                    </w:rPr>
                    <w:t>6.7</w:t>
                  </w:r>
                  <w:r>
                    <w:rPr>
                      <w:rFonts w:hint="default"/>
                    </w:rPr>
                    <w:t>%</w:t>
                  </w:r>
                </w:p>
              </w:tc>
              <w:tc>
                <w:tcPr>
                  <w:tcW w:w="688" w:type="pct"/>
                  <w:tcBorders>
                    <w:tl2br w:val="nil"/>
                    <w:tr2bl w:val="nil"/>
                  </w:tcBorders>
                  <w:vAlign w:val="center"/>
                </w:tcPr>
                <w:p>
                  <w:pPr>
                    <w:pStyle w:val="31"/>
                    <w:rPr>
                      <w:rFonts w:hint="default"/>
                    </w:rPr>
                  </w:pPr>
                  <w:r>
                    <w:rPr>
                      <w:rFonts w:hint="default"/>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8" w:type="pct"/>
                  <w:tcBorders>
                    <w:tl2br w:val="nil"/>
                    <w:tr2bl w:val="nil"/>
                  </w:tcBorders>
                  <w:vAlign w:val="center"/>
                </w:tcPr>
                <w:p>
                  <w:pPr>
                    <w:pStyle w:val="31"/>
                    <w:rPr>
                      <w:rFonts w:hint="default"/>
                    </w:rPr>
                  </w:pPr>
                  <w:r>
                    <w:rPr>
                      <w:rFonts w:hint="default"/>
                    </w:rPr>
                    <w:t>NO</w:t>
                  </w:r>
                  <w:r>
                    <w:rPr>
                      <w:rFonts w:hint="default"/>
                      <w:vertAlign w:val="subscript"/>
                    </w:rPr>
                    <w:t>2</w:t>
                  </w:r>
                </w:p>
              </w:tc>
              <w:tc>
                <w:tcPr>
                  <w:tcW w:w="1723" w:type="pct"/>
                  <w:tcBorders>
                    <w:tl2br w:val="nil"/>
                    <w:tr2bl w:val="nil"/>
                  </w:tcBorders>
                  <w:vAlign w:val="center"/>
                </w:tcPr>
                <w:p>
                  <w:pPr>
                    <w:pStyle w:val="31"/>
                    <w:rPr>
                      <w:rFonts w:hint="default"/>
                    </w:rPr>
                  </w:pPr>
                  <w:r>
                    <w:rPr>
                      <w:rFonts w:hint="default"/>
                    </w:rPr>
                    <w:t>年平均浓度</w:t>
                  </w:r>
                </w:p>
              </w:tc>
              <w:tc>
                <w:tcPr>
                  <w:tcW w:w="645" w:type="pct"/>
                  <w:tcBorders>
                    <w:tl2br w:val="nil"/>
                    <w:tr2bl w:val="nil"/>
                  </w:tcBorders>
                  <w:vAlign w:val="center"/>
                </w:tcPr>
                <w:p>
                  <w:pPr>
                    <w:pStyle w:val="31"/>
                    <w:rPr>
                      <w:rFonts w:hint="default"/>
                    </w:rPr>
                  </w:pPr>
                  <w:r>
                    <w:rPr>
                      <w:rFonts w:hint="eastAsia"/>
                      <w:lang w:val="en-US" w:eastAsia="zh-CN"/>
                    </w:rPr>
                    <w:t>16</w:t>
                  </w:r>
                  <w:r>
                    <w:rPr>
                      <w:rFonts w:hint="default"/>
                    </w:rPr>
                    <w:t>μg/</w:t>
                  </w:r>
                  <w:r>
                    <w:rPr>
                      <w:rFonts w:hint="eastAsia"/>
                      <w:lang w:val="en-US" w:eastAsia="zh-CN"/>
                    </w:rPr>
                    <w:t>m³</w:t>
                  </w:r>
                </w:p>
              </w:tc>
              <w:tc>
                <w:tcPr>
                  <w:tcW w:w="705" w:type="pct"/>
                  <w:tcBorders>
                    <w:tl2br w:val="nil"/>
                    <w:tr2bl w:val="nil"/>
                  </w:tcBorders>
                  <w:vAlign w:val="center"/>
                </w:tcPr>
                <w:p>
                  <w:pPr>
                    <w:pStyle w:val="31"/>
                    <w:rPr>
                      <w:rFonts w:hint="default"/>
                    </w:rPr>
                  </w:pPr>
                  <w:r>
                    <w:rPr>
                      <w:rFonts w:hint="default"/>
                    </w:rPr>
                    <w:t>40μg/</w:t>
                  </w:r>
                  <w:r>
                    <w:rPr>
                      <w:rFonts w:hint="eastAsia"/>
                      <w:lang w:val="en-US" w:eastAsia="zh-CN"/>
                    </w:rPr>
                    <w:t>m³</w:t>
                  </w:r>
                </w:p>
              </w:tc>
              <w:tc>
                <w:tcPr>
                  <w:tcW w:w="529" w:type="pct"/>
                  <w:tcBorders>
                    <w:tl2br w:val="nil"/>
                    <w:tr2bl w:val="nil"/>
                  </w:tcBorders>
                  <w:vAlign w:val="center"/>
                </w:tcPr>
                <w:p>
                  <w:pPr>
                    <w:pStyle w:val="31"/>
                    <w:rPr>
                      <w:rFonts w:hint="default"/>
                    </w:rPr>
                  </w:pPr>
                  <w:r>
                    <w:rPr>
                      <w:rFonts w:hint="eastAsia"/>
                      <w:lang w:val="en-US" w:eastAsia="zh-CN"/>
                    </w:rPr>
                    <w:t>40</w:t>
                  </w:r>
                  <w:r>
                    <w:rPr>
                      <w:rFonts w:hint="default"/>
                    </w:rPr>
                    <w:t>%</w:t>
                  </w:r>
                </w:p>
              </w:tc>
              <w:tc>
                <w:tcPr>
                  <w:tcW w:w="688" w:type="pct"/>
                  <w:tcBorders>
                    <w:tl2br w:val="nil"/>
                    <w:tr2bl w:val="nil"/>
                  </w:tcBorders>
                  <w:vAlign w:val="center"/>
                </w:tcPr>
                <w:p>
                  <w:pPr>
                    <w:pStyle w:val="31"/>
                    <w:rPr>
                      <w:rFonts w:hint="default"/>
                    </w:rPr>
                  </w:pPr>
                  <w:r>
                    <w:rPr>
                      <w:rFonts w:hint="default"/>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8" w:type="pct"/>
                  <w:tcBorders>
                    <w:tl2br w:val="nil"/>
                    <w:tr2bl w:val="nil"/>
                  </w:tcBorders>
                  <w:vAlign w:val="center"/>
                </w:tcPr>
                <w:p>
                  <w:pPr>
                    <w:pStyle w:val="31"/>
                    <w:rPr>
                      <w:rFonts w:hint="default"/>
                    </w:rPr>
                  </w:pPr>
                  <w:r>
                    <w:rPr>
                      <w:rFonts w:hint="default"/>
                    </w:rPr>
                    <w:t>PM</w:t>
                  </w:r>
                  <w:r>
                    <w:rPr>
                      <w:rFonts w:hint="default"/>
                      <w:vertAlign w:val="subscript"/>
                    </w:rPr>
                    <w:t>10</w:t>
                  </w:r>
                </w:p>
              </w:tc>
              <w:tc>
                <w:tcPr>
                  <w:tcW w:w="1723" w:type="pct"/>
                  <w:tcBorders>
                    <w:tl2br w:val="nil"/>
                    <w:tr2bl w:val="nil"/>
                  </w:tcBorders>
                  <w:vAlign w:val="center"/>
                </w:tcPr>
                <w:p>
                  <w:pPr>
                    <w:pStyle w:val="31"/>
                    <w:rPr>
                      <w:rFonts w:hint="default"/>
                    </w:rPr>
                  </w:pPr>
                  <w:r>
                    <w:rPr>
                      <w:rFonts w:hint="default"/>
                    </w:rPr>
                    <w:t>年平均浓度</w:t>
                  </w:r>
                </w:p>
              </w:tc>
              <w:tc>
                <w:tcPr>
                  <w:tcW w:w="645" w:type="pct"/>
                  <w:tcBorders>
                    <w:tl2br w:val="nil"/>
                    <w:tr2bl w:val="nil"/>
                  </w:tcBorders>
                  <w:vAlign w:val="center"/>
                </w:tcPr>
                <w:p>
                  <w:pPr>
                    <w:pStyle w:val="31"/>
                    <w:rPr>
                      <w:rFonts w:hint="default"/>
                    </w:rPr>
                  </w:pPr>
                  <w:r>
                    <w:rPr>
                      <w:rFonts w:hint="eastAsia"/>
                      <w:lang w:val="en-US" w:eastAsia="zh-CN"/>
                    </w:rPr>
                    <w:t>32</w:t>
                  </w:r>
                  <w:r>
                    <w:rPr>
                      <w:rFonts w:hint="default"/>
                    </w:rPr>
                    <w:t>μg/</w:t>
                  </w:r>
                  <w:r>
                    <w:rPr>
                      <w:rFonts w:hint="eastAsia"/>
                      <w:lang w:val="en-US" w:eastAsia="zh-CN"/>
                    </w:rPr>
                    <w:t>m³</w:t>
                  </w:r>
                </w:p>
              </w:tc>
              <w:tc>
                <w:tcPr>
                  <w:tcW w:w="705" w:type="pct"/>
                  <w:tcBorders>
                    <w:tl2br w:val="nil"/>
                    <w:tr2bl w:val="nil"/>
                  </w:tcBorders>
                  <w:vAlign w:val="center"/>
                </w:tcPr>
                <w:p>
                  <w:pPr>
                    <w:pStyle w:val="31"/>
                    <w:rPr>
                      <w:rFonts w:hint="default"/>
                    </w:rPr>
                  </w:pPr>
                  <w:r>
                    <w:rPr>
                      <w:rFonts w:hint="default"/>
                    </w:rPr>
                    <w:t>70μg/</w:t>
                  </w:r>
                  <w:r>
                    <w:rPr>
                      <w:rFonts w:hint="eastAsia"/>
                      <w:lang w:val="en-US" w:eastAsia="zh-CN"/>
                    </w:rPr>
                    <w:t>m³</w:t>
                  </w:r>
                </w:p>
              </w:tc>
              <w:tc>
                <w:tcPr>
                  <w:tcW w:w="529" w:type="pct"/>
                  <w:tcBorders>
                    <w:tl2br w:val="nil"/>
                    <w:tr2bl w:val="nil"/>
                  </w:tcBorders>
                  <w:vAlign w:val="center"/>
                </w:tcPr>
                <w:p>
                  <w:pPr>
                    <w:pStyle w:val="31"/>
                    <w:rPr>
                      <w:rFonts w:hint="default"/>
                    </w:rPr>
                  </w:pPr>
                  <w:r>
                    <w:rPr>
                      <w:rFonts w:hint="eastAsia"/>
                      <w:lang w:val="en-US" w:eastAsia="zh-CN"/>
                    </w:rPr>
                    <w:t>45.7</w:t>
                  </w:r>
                  <w:r>
                    <w:rPr>
                      <w:rFonts w:hint="default"/>
                    </w:rPr>
                    <w:t>%</w:t>
                  </w:r>
                </w:p>
              </w:tc>
              <w:tc>
                <w:tcPr>
                  <w:tcW w:w="688" w:type="pct"/>
                  <w:tcBorders>
                    <w:tl2br w:val="nil"/>
                    <w:tr2bl w:val="nil"/>
                  </w:tcBorders>
                  <w:vAlign w:val="center"/>
                </w:tcPr>
                <w:p>
                  <w:pPr>
                    <w:pStyle w:val="31"/>
                    <w:rPr>
                      <w:rFonts w:hint="default"/>
                    </w:rPr>
                  </w:pPr>
                  <w:r>
                    <w:rPr>
                      <w:rFonts w:hint="default"/>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8" w:type="pct"/>
                  <w:tcBorders>
                    <w:tl2br w:val="nil"/>
                    <w:tr2bl w:val="nil"/>
                  </w:tcBorders>
                  <w:vAlign w:val="center"/>
                </w:tcPr>
                <w:p>
                  <w:pPr>
                    <w:pStyle w:val="31"/>
                    <w:rPr>
                      <w:rFonts w:hint="default"/>
                    </w:rPr>
                  </w:pPr>
                  <w:r>
                    <w:rPr>
                      <w:rFonts w:hint="default"/>
                    </w:rPr>
                    <w:t>PM</w:t>
                  </w:r>
                  <w:r>
                    <w:rPr>
                      <w:rFonts w:hint="default"/>
                      <w:vertAlign w:val="subscript"/>
                    </w:rPr>
                    <w:t>2.5</w:t>
                  </w:r>
                </w:p>
              </w:tc>
              <w:tc>
                <w:tcPr>
                  <w:tcW w:w="1723" w:type="pct"/>
                  <w:tcBorders>
                    <w:tl2br w:val="nil"/>
                    <w:tr2bl w:val="nil"/>
                  </w:tcBorders>
                  <w:vAlign w:val="center"/>
                </w:tcPr>
                <w:p>
                  <w:pPr>
                    <w:pStyle w:val="31"/>
                    <w:rPr>
                      <w:rFonts w:hint="default"/>
                    </w:rPr>
                  </w:pPr>
                  <w:r>
                    <w:rPr>
                      <w:rFonts w:hint="default"/>
                    </w:rPr>
                    <w:t>年平均浓度</w:t>
                  </w:r>
                </w:p>
              </w:tc>
              <w:tc>
                <w:tcPr>
                  <w:tcW w:w="645" w:type="pct"/>
                  <w:tcBorders>
                    <w:tl2br w:val="nil"/>
                    <w:tr2bl w:val="nil"/>
                  </w:tcBorders>
                  <w:vAlign w:val="center"/>
                </w:tcPr>
                <w:p>
                  <w:pPr>
                    <w:pStyle w:val="31"/>
                    <w:rPr>
                      <w:rFonts w:hint="default"/>
                    </w:rPr>
                  </w:pPr>
                  <w:r>
                    <w:rPr>
                      <w:rFonts w:hint="eastAsia"/>
                      <w:lang w:val="en-US" w:eastAsia="zh-CN"/>
                    </w:rPr>
                    <w:t>18</w:t>
                  </w:r>
                  <w:r>
                    <w:rPr>
                      <w:rFonts w:hint="default"/>
                    </w:rPr>
                    <w:t>μg/</w:t>
                  </w:r>
                  <w:r>
                    <w:rPr>
                      <w:rFonts w:hint="eastAsia"/>
                      <w:lang w:val="en-US" w:eastAsia="zh-CN"/>
                    </w:rPr>
                    <w:t>m³</w:t>
                  </w:r>
                </w:p>
              </w:tc>
              <w:tc>
                <w:tcPr>
                  <w:tcW w:w="705" w:type="pct"/>
                  <w:tcBorders>
                    <w:tl2br w:val="nil"/>
                    <w:tr2bl w:val="nil"/>
                  </w:tcBorders>
                  <w:vAlign w:val="center"/>
                </w:tcPr>
                <w:p>
                  <w:pPr>
                    <w:pStyle w:val="31"/>
                    <w:rPr>
                      <w:rFonts w:hint="default"/>
                    </w:rPr>
                  </w:pPr>
                  <w:r>
                    <w:rPr>
                      <w:rFonts w:hint="default"/>
                    </w:rPr>
                    <w:t>35μg/</w:t>
                  </w:r>
                  <w:r>
                    <w:rPr>
                      <w:rFonts w:hint="eastAsia"/>
                      <w:lang w:val="en-US" w:eastAsia="zh-CN"/>
                    </w:rPr>
                    <w:t>m³</w:t>
                  </w:r>
                </w:p>
              </w:tc>
              <w:tc>
                <w:tcPr>
                  <w:tcW w:w="529" w:type="pct"/>
                  <w:tcBorders>
                    <w:tl2br w:val="nil"/>
                    <w:tr2bl w:val="nil"/>
                  </w:tcBorders>
                  <w:vAlign w:val="center"/>
                </w:tcPr>
                <w:p>
                  <w:pPr>
                    <w:pStyle w:val="31"/>
                    <w:rPr>
                      <w:rFonts w:hint="default"/>
                    </w:rPr>
                  </w:pPr>
                  <w:r>
                    <w:rPr>
                      <w:rFonts w:hint="eastAsia"/>
                      <w:lang w:val="en-US" w:eastAsia="zh-CN"/>
                    </w:rPr>
                    <w:t>51.4</w:t>
                  </w:r>
                  <w:r>
                    <w:rPr>
                      <w:rFonts w:hint="default"/>
                    </w:rPr>
                    <w:t>%</w:t>
                  </w:r>
                </w:p>
              </w:tc>
              <w:tc>
                <w:tcPr>
                  <w:tcW w:w="688" w:type="pct"/>
                  <w:tcBorders>
                    <w:tl2br w:val="nil"/>
                    <w:tr2bl w:val="nil"/>
                  </w:tcBorders>
                  <w:vAlign w:val="center"/>
                </w:tcPr>
                <w:p>
                  <w:pPr>
                    <w:pStyle w:val="31"/>
                    <w:rPr>
                      <w:rFonts w:hint="default"/>
                    </w:rPr>
                  </w:pPr>
                  <w:r>
                    <w:rPr>
                      <w:rFonts w:hint="default"/>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8" w:type="pct"/>
                  <w:tcBorders>
                    <w:tl2br w:val="nil"/>
                    <w:tr2bl w:val="nil"/>
                  </w:tcBorders>
                  <w:vAlign w:val="center"/>
                </w:tcPr>
                <w:p>
                  <w:pPr>
                    <w:pStyle w:val="31"/>
                    <w:rPr>
                      <w:rFonts w:hint="default"/>
                    </w:rPr>
                  </w:pPr>
                  <w:r>
                    <w:rPr>
                      <w:rFonts w:hint="default"/>
                    </w:rPr>
                    <w:t>CO</w:t>
                  </w:r>
                </w:p>
              </w:tc>
              <w:tc>
                <w:tcPr>
                  <w:tcW w:w="1723" w:type="pct"/>
                  <w:tcBorders>
                    <w:tl2br w:val="nil"/>
                    <w:tr2bl w:val="nil"/>
                  </w:tcBorders>
                  <w:vAlign w:val="center"/>
                </w:tcPr>
                <w:p>
                  <w:pPr>
                    <w:pStyle w:val="31"/>
                    <w:rPr>
                      <w:rFonts w:hint="default"/>
                    </w:rPr>
                  </w:pPr>
                  <w:r>
                    <w:rPr>
                      <w:rFonts w:hint="default"/>
                    </w:rPr>
                    <w:t>95百分位上日平均质量浓度</w:t>
                  </w:r>
                </w:p>
              </w:tc>
              <w:tc>
                <w:tcPr>
                  <w:tcW w:w="645" w:type="pct"/>
                  <w:tcBorders>
                    <w:tl2br w:val="nil"/>
                    <w:tr2bl w:val="nil"/>
                  </w:tcBorders>
                  <w:vAlign w:val="center"/>
                </w:tcPr>
                <w:p>
                  <w:pPr>
                    <w:pStyle w:val="31"/>
                    <w:rPr>
                      <w:rFonts w:hint="default"/>
                    </w:rPr>
                  </w:pPr>
                  <w:r>
                    <w:rPr>
                      <w:rFonts w:hint="eastAsia"/>
                      <w:lang w:val="en-US" w:eastAsia="zh-CN"/>
                    </w:rPr>
                    <w:t>0.7</w:t>
                  </w:r>
                  <w:r>
                    <w:rPr>
                      <w:rFonts w:hint="default"/>
                    </w:rPr>
                    <w:t>mg/</w:t>
                  </w:r>
                  <w:r>
                    <w:rPr>
                      <w:rFonts w:hint="eastAsia"/>
                      <w:lang w:val="en-US" w:eastAsia="zh-CN"/>
                    </w:rPr>
                    <w:t>m³</w:t>
                  </w:r>
                </w:p>
              </w:tc>
              <w:tc>
                <w:tcPr>
                  <w:tcW w:w="705" w:type="pct"/>
                  <w:tcBorders>
                    <w:tl2br w:val="nil"/>
                    <w:tr2bl w:val="nil"/>
                  </w:tcBorders>
                  <w:vAlign w:val="center"/>
                </w:tcPr>
                <w:p>
                  <w:pPr>
                    <w:pStyle w:val="31"/>
                    <w:rPr>
                      <w:rFonts w:hint="default"/>
                    </w:rPr>
                  </w:pPr>
                  <w:r>
                    <w:rPr>
                      <w:rFonts w:hint="default"/>
                    </w:rPr>
                    <w:t>4mg/</w:t>
                  </w:r>
                  <w:r>
                    <w:rPr>
                      <w:rFonts w:hint="eastAsia"/>
                      <w:lang w:val="en-US" w:eastAsia="zh-CN"/>
                    </w:rPr>
                    <w:t>m³</w:t>
                  </w:r>
                </w:p>
              </w:tc>
              <w:tc>
                <w:tcPr>
                  <w:tcW w:w="529" w:type="pct"/>
                  <w:tcBorders>
                    <w:tl2br w:val="nil"/>
                    <w:tr2bl w:val="nil"/>
                  </w:tcBorders>
                  <w:vAlign w:val="center"/>
                </w:tcPr>
                <w:p>
                  <w:pPr>
                    <w:pStyle w:val="31"/>
                    <w:rPr>
                      <w:rFonts w:hint="default"/>
                    </w:rPr>
                  </w:pPr>
                  <w:r>
                    <w:rPr>
                      <w:rFonts w:hint="eastAsia"/>
                      <w:lang w:val="en-US" w:eastAsia="zh-CN"/>
                    </w:rPr>
                    <w:t>17.5</w:t>
                  </w:r>
                  <w:r>
                    <w:rPr>
                      <w:rFonts w:hint="default"/>
                    </w:rPr>
                    <w:t>%</w:t>
                  </w:r>
                </w:p>
              </w:tc>
              <w:tc>
                <w:tcPr>
                  <w:tcW w:w="688" w:type="pct"/>
                  <w:tcBorders>
                    <w:tl2br w:val="nil"/>
                    <w:tr2bl w:val="nil"/>
                  </w:tcBorders>
                  <w:vAlign w:val="center"/>
                </w:tcPr>
                <w:p>
                  <w:pPr>
                    <w:pStyle w:val="31"/>
                    <w:rPr>
                      <w:rFonts w:hint="default"/>
                    </w:rPr>
                  </w:pPr>
                  <w:r>
                    <w:rPr>
                      <w:rFonts w:hint="default"/>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8" w:type="pct"/>
                  <w:tcBorders>
                    <w:tl2br w:val="nil"/>
                    <w:tr2bl w:val="nil"/>
                  </w:tcBorders>
                  <w:vAlign w:val="center"/>
                </w:tcPr>
                <w:p>
                  <w:pPr>
                    <w:pStyle w:val="31"/>
                    <w:rPr>
                      <w:rFonts w:hint="default"/>
                    </w:rPr>
                  </w:pPr>
                  <w:r>
                    <w:rPr>
                      <w:rFonts w:hint="default"/>
                    </w:rPr>
                    <w:t>O</w:t>
                  </w:r>
                  <w:r>
                    <w:rPr>
                      <w:rFonts w:hint="default"/>
                      <w:vertAlign w:val="subscript"/>
                    </w:rPr>
                    <w:t>3</w:t>
                  </w:r>
                </w:p>
              </w:tc>
              <w:tc>
                <w:tcPr>
                  <w:tcW w:w="1723" w:type="pct"/>
                  <w:tcBorders>
                    <w:tl2br w:val="nil"/>
                    <w:tr2bl w:val="nil"/>
                  </w:tcBorders>
                  <w:vAlign w:val="center"/>
                </w:tcPr>
                <w:p>
                  <w:pPr>
                    <w:pStyle w:val="31"/>
                    <w:rPr>
                      <w:rFonts w:hint="default"/>
                    </w:rPr>
                  </w:pPr>
                  <w:r>
                    <w:rPr>
                      <w:rFonts w:hint="default"/>
                    </w:rPr>
                    <w:t>90百分位上8h平均质量浓度</w:t>
                  </w:r>
                </w:p>
              </w:tc>
              <w:tc>
                <w:tcPr>
                  <w:tcW w:w="645" w:type="pct"/>
                  <w:tcBorders>
                    <w:tl2br w:val="nil"/>
                    <w:tr2bl w:val="nil"/>
                  </w:tcBorders>
                  <w:vAlign w:val="center"/>
                </w:tcPr>
                <w:p>
                  <w:pPr>
                    <w:pStyle w:val="31"/>
                    <w:rPr>
                      <w:rFonts w:hint="default"/>
                    </w:rPr>
                  </w:pPr>
                  <w:r>
                    <w:rPr>
                      <w:rFonts w:hint="eastAsia"/>
                      <w:lang w:val="en-US" w:eastAsia="zh-CN"/>
                    </w:rPr>
                    <w:t>142</w:t>
                  </w:r>
                  <w:r>
                    <w:rPr>
                      <w:rFonts w:hint="default"/>
                    </w:rPr>
                    <w:t>μg/</w:t>
                  </w:r>
                  <w:r>
                    <w:rPr>
                      <w:rFonts w:hint="eastAsia"/>
                      <w:lang w:val="en-US" w:eastAsia="zh-CN"/>
                    </w:rPr>
                    <w:t>m³</w:t>
                  </w:r>
                </w:p>
              </w:tc>
              <w:tc>
                <w:tcPr>
                  <w:tcW w:w="705" w:type="pct"/>
                  <w:tcBorders>
                    <w:tl2br w:val="nil"/>
                    <w:tr2bl w:val="nil"/>
                  </w:tcBorders>
                  <w:vAlign w:val="center"/>
                </w:tcPr>
                <w:p>
                  <w:pPr>
                    <w:pStyle w:val="31"/>
                    <w:rPr>
                      <w:rFonts w:hint="default"/>
                    </w:rPr>
                  </w:pPr>
                  <w:r>
                    <w:rPr>
                      <w:rFonts w:hint="default"/>
                    </w:rPr>
                    <w:t>160μg/</w:t>
                  </w:r>
                  <w:r>
                    <w:rPr>
                      <w:rFonts w:hint="eastAsia"/>
                      <w:lang w:val="en-US" w:eastAsia="zh-CN"/>
                    </w:rPr>
                    <w:t>m³</w:t>
                  </w:r>
                </w:p>
              </w:tc>
              <w:tc>
                <w:tcPr>
                  <w:tcW w:w="529" w:type="pct"/>
                  <w:tcBorders>
                    <w:tl2br w:val="nil"/>
                    <w:tr2bl w:val="nil"/>
                  </w:tcBorders>
                  <w:vAlign w:val="center"/>
                </w:tcPr>
                <w:p>
                  <w:pPr>
                    <w:pStyle w:val="31"/>
                    <w:rPr>
                      <w:rFonts w:hint="default"/>
                    </w:rPr>
                  </w:pPr>
                  <w:r>
                    <w:rPr>
                      <w:rFonts w:hint="eastAsia"/>
                      <w:lang w:val="en-US" w:eastAsia="zh-CN"/>
                    </w:rPr>
                    <w:t>88</w:t>
                  </w:r>
                  <w:r>
                    <w:rPr>
                      <w:rFonts w:hint="default"/>
                    </w:rPr>
                    <w:t>.</w:t>
                  </w:r>
                  <w:r>
                    <w:rPr>
                      <w:rFonts w:hint="eastAsia"/>
                      <w:lang w:val="en-US" w:eastAsia="zh-CN"/>
                    </w:rPr>
                    <w:t>8</w:t>
                  </w:r>
                  <w:r>
                    <w:rPr>
                      <w:rFonts w:hint="default"/>
                    </w:rPr>
                    <w:t>%</w:t>
                  </w:r>
                </w:p>
              </w:tc>
              <w:tc>
                <w:tcPr>
                  <w:tcW w:w="688" w:type="pct"/>
                  <w:tcBorders>
                    <w:tl2br w:val="nil"/>
                    <w:tr2bl w:val="nil"/>
                  </w:tcBorders>
                  <w:vAlign w:val="center"/>
                </w:tcPr>
                <w:p>
                  <w:pPr>
                    <w:pStyle w:val="31"/>
                    <w:rPr>
                      <w:rFonts w:hint="default"/>
                    </w:rPr>
                  </w:pPr>
                  <w:r>
                    <w:rPr>
                      <w:rFonts w:hint="default"/>
                    </w:rPr>
                    <w:t>达标</w:t>
                  </w:r>
                </w:p>
              </w:tc>
            </w:tr>
          </w:tbl>
          <w:p>
            <w:pPr>
              <w:pStyle w:val="8"/>
              <w:spacing w:line="240" w:lineRule="auto"/>
              <w:ind w:firstLine="480"/>
              <w:rPr>
                <w:rFonts w:hint="default"/>
              </w:rPr>
            </w:pPr>
          </w:p>
          <w:bookmarkEnd w:id="50"/>
          <w:p>
            <w:pPr>
              <w:pStyle w:val="8"/>
              <w:numPr>
                <w:ilvl w:val="0"/>
                <w:numId w:val="0"/>
              </w:numPr>
              <w:ind w:leftChars="200"/>
              <w:rPr>
                <w:rFonts w:hint="default"/>
                <w:highlight w:val="none"/>
              </w:rPr>
            </w:pPr>
            <w:r>
              <w:rPr>
                <w:rFonts w:hint="default"/>
                <w:highlight w:val="none"/>
                <w:lang w:eastAsia="zh-CN"/>
              </w:rPr>
              <w:t>（</w:t>
            </w:r>
            <w:r>
              <w:rPr>
                <w:rFonts w:hint="default"/>
                <w:highlight w:val="none"/>
                <w:lang w:val="en-US" w:eastAsia="zh-CN"/>
              </w:rPr>
              <w:t>2</w:t>
            </w:r>
            <w:r>
              <w:rPr>
                <w:rFonts w:hint="default"/>
                <w:highlight w:val="none"/>
                <w:lang w:eastAsia="zh-CN"/>
              </w:rPr>
              <w:t>）</w:t>
            </w:r>
            <w:r>
              <w:rPr>
                <w:rFonts w:hint="default"/>
                <w:highlight w:val="none"/>
              </w:rPr>
              <w:t>特征污染物环境质量达标情况</w:t>
            </w:r>
          </w:p>
          <w:p>
            <w:pPr>
              <w:pStyle w:val="8"/>
              <w:ind w:firstLine="0"/>
              <w:rPr>
                <w:rFonts w:hint="default"/>
              </w:rPr>
            </w:pPr>
            <w:bookmarkStart w:id="52" w:name="_Ref13306"/>
            <w:r>
              <w:rPr>
                <w:rFonts w:hint="eastAsia"/>
                <w:lang w:val="en-US" w:eastAsia="zh-CN"/>
              </w:rPr>
              <w:t>本项目废气特征污染物为非甲烷总烃，</w:t>
            </w:r>
            <w:r>
              <w:rPr>
                <w:rFonts w:hint="default" w:ascii="Times New Roman" w:hAnsi="Times New Roman" w:eastAsia="宋体" w:cs="Times New Roman"/>
              </w:rPr>
              <w:t>为</w:t>
            </w:r>
            <w:r>
              <w:rPr>
                <w:rFonts w:hint="default" w:ascii="Times New Roman" w:hAnsi="Times New Roman" w:cs="Times New Roman"/>
                <w:lang w:val="en-US" w:eastAsia="zh-CN"/>
              </w:rPr>
              <w:t>了解和</w:t>
            </w:r>
            <w:r>
              <w:rPr>
                <w:rFonts w:hint="default" w:ascii="Times New Roman" w:hAnsi="Times New Roman" w:eastAsia="宋体" w:cs="Times New Roman"/>
              </w:rPr>
              <w:t>判定本项目环境特征污染物达标情况，</w:t>
            </w:r>
            <w:r>
              <w:rPr>
                <w:rFonts w:hint="eastAsia"/>
                <w:lang w:val="en-US" w:eastAsia="zh-CN"/>
              </w:rPr>
              <w:t>本次评价引用福州源德汽车科技有限公司委托安正计量检测有限公司</w:t>
            </w:r>
            <w:r>
              <w:rPr>
                <w:rFonts w:hint="default"/>
                <w:lang w:val="en-US" w:eastAsia="zh-CN"/>
              </w:rPr>
              <w:t>对</w:t>
            </w:r>
            <w:r>
              <w:rPr>
                <w:rFonts w:hint="eastAsia"/>
                <w:lang w:val="en-US" w:eastAsia="zh-CN"/>
              </w:rPr>
              <w:t>《福州源德汽车科技有限公司汽车内饰塑料件加工项目》的监测数据</w:t>
            </w:r>
            <w:r>
              <w:rPr>
                <w:rFonts w:hint="eastAsia"/>
                <w:color w:val="auto"/>
                <w:highlight w:val="none"/>
                <w:lang w:val="en-US" w:eastAsia="zh-CN"/>
              </w:rPr>
              <w:t>，监测点位位于本项目厂区南侧2260m，监测频次为7天，1天4次</w:t>
            </w:r>
            <w:r>
              <w:rPr>
                <w:rFonts w:hint="default"/>
                <w:lang w:val="en-US"/>
              </w:rPr>
              <w:t>。</w:t>
            </w:r>
            <w:r>
              <w:rPr>
                <w:rFonts w:hint="eastAsia"/>
                <w:highlight w:val="none"/>
                <w:lang w:val="en-US" w:eastAsia="zh-CN"/>
              </w:rPr>
              <w:t>监测结果</w:t>
            </w:r>
            <w:r>
              <w:rPr>
                <w:rFonts w:hint="default"/>
                <w:highlight w:val="none"/>
              </w:rPr>
              <w:t>见</w:t>
            </w:r>
            <w:r>
              <w:rPr>
                <w:rFonts w:hint="default"/>
                <w:highlight w:val="none"/>
                <w:lang w:val="en-US"/>
              </w:rPr>
              <w:fldChar w:fldCharType="begin"/>
            </w:r>
            <w:r>
              <w:rPr>
                <w:rFonts w:hint="default"/>
                <w:highlight w:val="none"/>
                <w:lang w:val="en-US"/>
              </w:rPr>
              <w:instrText xml:space="preserve">REF_Ref4505\n\h</w:instrText>
            </w:r>
            <w:r>
              <w:rPr>
                <w:rFonts w:hint="default"/>
                <w:highlight w:val="none"/>
                <w:lang w:val="en-US"/>
              </w:rPr>
              <w:fldChar w:fldCharType="separate"/>
            </w:r>
            <w:r>
              <w:rPr>
                <w:rFonts w:hint="default"/>
                <w:highlight w:val="none"/>
                <w:lang w:val="en-US"/>
              </w:rPr>
              <w:t>表17</w:t>
            </w:r>
            <w:r>
              <w:rPr>
                <w:rFonts w:hint="default"/>
                <w:highlight w:val="none"/>
                <w:lang w:val="en-US"/>
              </w:rPr>
              <w:fldChar w:fldCharType="end"/>
            </w:r>
            <w:r>
              <w:rPr>
                <w:rFonts w:hint="eastAsia"/>
                <w:highlight w:val="none"/>
                <w:lang w:val="en-US" w:eastAsia="zh-CN"/>
              </w:rPr>
              <w:t>、</w:t>
            </w:r>
            <w:r>
              <w:rPr>
                <w:rFonts w:hint="default"/>
                <w:highlight w:val="none"/>
              </w:rPr>
              <w:t>监测点位</w:t>
            </w:r>
            <w:r>
              <w:rPr>
                <w:rFonts w:hint="eastAsia"/>
                <w:highlight w:val="none"/>
                <w:lang w:val="en-US" w:eastAsia="zh-CN"/>
              </w:rPr>
              <w:t>见附图3</w:t>
            </w:r>
            <w:r>
              <w:rPr>
                <w:rFonts w:hint="default"/>
                <w:highlight w:val="none"/>
              </w:rPr>
              <w:t>。</w:t>
            </w:r>
          </w:p>
          <w:p>
            <w:pPr>
              <w:pStyle w:val="30"/>
              <w:bidi w:val="0"/>
              <w:rPr>
                <w:rFonts w:hint="default"/>
              </w:rPr>
            </w:pPr>
            <w:bookmarkStart w:id="53" w:name="_Ref17198"/>
            <w:bookmarkStart w:id="54" w:name="_Ref4505"/>
            <w:r>
              <w:rPr>
                <w:rFonts w:hint="eastAsia"/>
                <w:lang w:val="en-US" w:eastAsia="zh-CN"/>
              </w:rPr>
              <w:t>非甲烷总烃</w:t>
            </w:r>
            <w:r>
              <w:rPr>
                <w:rFonts w:hint="eastAsia"/>
              </w:rPr>
              <w:t>监测结果</w:t>
            </w:r>
            <w:bookmarkEnd w:id="53"/>
            <w:r>
              <w:rPr>
                <w:rFonts w:hint="eastAsia"/>
                <w:lang w:val="en-US" w:eastAsia="zh-CN"/>
              </w:rPr>
              <w:t>单位：</w:t>
            </w:r>
            <w:r>
              <w:rPr>
                <w:szCs w:val="21"/>
              </w:rPr>
              <w:t>mg/m</w:t>
            </w:r>
            <w:r>
              <w:rPr>
                <w:szCs w:val="21"/>
                <w:vertAlign w:val="superscript"/>
              </w:rPr>
              <w:t>3</w:t>
            </w:r>
            <w:bookmarkEnd w:id="54"/>
          </w:p>
          <w:bookmarkEnd w:id="52"/>
          <w:tbl>
            <w:tblPr>
              <w:tblStyle w:val="24"/>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71"/>
              <w:gridCol w:w="1389"/>
              <w:gridCol w:w="1706"/>
              <w:gridCol w:w="1573"/>
              <w:gridCol w:w="215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noWrap w:val="0"/>
                  <w:vAlign w:val="center"/>
                </w:tcPr>
                <w:p>
                  <w:pPr>
                    <w:widowControl/>
                    <w:jc w:val="center"/>
                    <w:rPr>
                      <w:bCs/>
                      <w:szCs w:val="21"/>
                    </w:rPr>
                  </w:pPr>
                  <w:r>
                    <w:rPr>
                      <w:bCs/>
                      <w:szCs w:val="21"/>
                    </w:rPr>
                    <w:t>采样日期</w:t>
                  </w:r>
                </w:p>
              </w:tc>
              <w:tc>
                <w:tcPr>
                  <w:tcW w:w="772" w:type="pct"/>
                  <w:noWrap w:val="0"/>
                  <w:vAlign w:val="center"/>
                </w:tcPr>
                <w:p>
                  <w:pPr>
                    <w:widowControl/>
                    <w:jc w:val="center"/>
                    <w:rPr>
                      <w:rFonts w:hint="eastAsia" w:eastAsia="宋体"/>
                      <w:bCs/>
                      <w:szCs w:val="21"/>
                      <w:lang w:eastAsia="zh-CN"/>
                    </w:rPr>
                  </w:pPr>
                  <w:r>
                    <w:rPr>
                      <w:bCs/>
                      <w:szCs w:val="21"/>
                    </w:rPr>
                    <w:t>检测</w:t>
                  </w:r>
                  <w:r>
                    <w:rPr>
                      <w:rFonts w:hint="eastAsia"/>
                      <w:bCs/>
                      <w:szCs w:val="21"/>
                      <w:lang w:eastAsia="zh-CN"/>
                    </w:rPr>
                    <w:t>点位</w:t>
                  </w:r>
                </w:p>
              </w:tc>
              <w:tc>
                <w:tcPr>
                  <w:tcW w:w="948" w:type="pct"/>
                  <w:noWrap w:val="0"/>
                  <w:vAlign w:val="center"/>
                </w:tcPr>
                <w:p>
                  <w:pPr>
                    <w:widowControl/>
                    <w:jc w:val="center"/>
                    <w:rPr>
                      <w:rFonts w:hint="eastAsia"/>
                      <w:bCs/>
                      <w:szCs w:val="21"/>
                    </w:rPr>
                  </w:pPr>
                  <w:r>
                    <w:rPr>
                      <w:rFonts w:hint="eastAsia"/>
                      <w:bCs/>
                      <w:szCs w:val="21"/>
                      <w:lang w:eastAsia="zh-CN"/>
                    </w:rPr>
                    <w:t>检测项目</w:t>
                  </w:r>
                </w:p>
              </w:tc>
              <w:tc>
                <w:tcPr>
                  <w:tcW w:w="874" w:type="pct"/>
                  <w:noWrap w:val="0"/>
                  <w:vAlign w:val="center"/>
                </w:tcPr>
                <w:p>
                  <w:pPr>
                    <w:widowControl/>
                    <w:jc w:val="center"/>
                    <w:rPr>
                      <w:rFonts w:hint="eastAsia" w:eastAsia="宋体"/>
                      <w:bCs/>
                      <w:kern w:val="2"/>
                      <w:sz w:val="21"/>
                      <w:szCs w:val="21"/>
                      <w:lang w:val="en-US" w:eastAsia="zh-CN" w:bidi="ar-SA"/>
                    </w:rPr>
                  </w:pPr>
                  <w:r>
                    <w:rPr>
                      <w:rFonts w:hint="eastAsia"/>
                      <w:szCs w:val="21"/>
                    </w:rPr>
                    <w:t>检测频次</w:t>
                  </w:r>
                </w:p>
              </w:tc>
              <w:tc>
                <w:tcPr>
                  <w:tcW w:w="1196" w:type="pct"/>
                  <w:noWrap w:val="0"/>
                  <w:vAlign w:val="center"/>
                </w:tcPr>
                <w:p>
                  <w:pPr>
                    <w:widowControl/>
                    <w:jc w:val="center"/>
                    <w:rPr>
                      <w:rFonts w:hint="eastAsia"/>
                      <w:bCs/>
                      <w:szCs w:val="21"/>
                    </w:rPr>
                  </w:pPr>
                  <w:r>
                    <w:rPr>
                      <w:rFonts w:hint="eastAsia"/>
                      <w:bCs/>
                      <w:szCs w:val="21"/>
                      <w:lang w:eastAsia="zh-CN"/>
                    </w:rPr>
                    <w:t>检测结果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restart"/>
                  <w:noWrap w:val="0"/>
                  <w:vAlign w:val="center"/>
                </w:tcPr>
                <w:p>
                  <w:pPr>
                    <w:jc w:val="center"/>
                    <w:rPr>
                      <w:rFonts w:hint="eastAsia" w:eastAsia="宋体"/>
                      <w:szCs w:val="21"/>
                      <w:lang w:eastAsia="zh-CN"/>
                    </w:rPr>
                  </w:pPr>
                  <w:r>
                    <w:rPr>
                      <w:rFonts w:hint="eastAsia"/>
                      <w:bCs/>
                      <w:szCs w:val="21"/>
                      <w:lang w:eastAsia="zh-CN"/>
                    </w:rPr>
                    <w:t>2023年</w:t>
                  </w:r>
                  <w:r>
                    <w:rPr>
                      <w:rFonts w:hint="eastAsia"/>
                      <w:bCs/>
                      <w:szCs w:val="21"/>
                      <w:lang w:val="en-US" w:eastAsia="zh-CN"/>
                    </w:rPr>
                    <w:t>7</w:t>
                  </w:r>
                  <w:r>
                    <w:rPr>
                      <w:rFonts w:hint="eastAsia"/>
                      <w:bCs/>
                      <w:szCs w:val="21"/>
                      <w:lang w:eastAsia="zh-CN"/>
                    </w:rPr>
                    <w:t>月2</w:t>
                  </w:r>
                  <w:r>
                    <w:rPr>
                      <w:rFonts w:hint="eastAsia"/>
                      <w:bCs/>
                      <w:szCs w:val="21"/>
                      <w:lang w:val="en-US" w:eastAsia="zh-CN"/>
                    </w:rPr>
                    <w:t>0</w:t>
                  </w:r>
                  <w:r>
                    <w:rPr>
                      <w:rFonts w:hint="eastAsia"/>
                      <w:bCs/>
                      <w:szCs w:val="21"/>
                      <w:lang w:eastAsia="zh-CN"/>
                    </w:rPr>
                    <w:t>日</w:t>
                  </w:r>
                </w:p>
              </w:tc>
              <w:tc>
                <w:tcPr>
                  <w:tcW w:w="772" w:type="pct"/>
                  <w:vMerge w:val="restart"/>
                  <w:noWrap w:val="0"/>
                  <w:vAlign w:val="center"/>
                </w:tcPr>
                <w:p>
                  <w:pPr>
                    <w:jc w:val="center"/>
                    <w:rPr>
                      <w:rFonts w:hint="default"/>
                      <w:bCs/>
                      <w:szCs w:val="21"/>
                      <w:lang w:val="en-US"/>
                    </w:rPr>
                  </w:pPr>
                  <w:r>
                    <w:rPr>
                      <w:rFonts w:hint="eastAsia"/>
                      <w:color w:val="000000"/>
                      <w:szCs w:val="21"/>
                      <w:lang w:val="en-US" w:eastAsia="zh-CN"/>
                    </w:rPr>
                    <w:t>Q1镜上村</w:t>
                  </w:r>
                </w:p>
              </w:tc>
              <w:tc>
                <w:tcPr>
                  <w:tcW w:w="948" w:type="pct"/>
                  <w:vMerge w:val="restart"/>
                  <w:noWrap w:val="0"/>
                  <w:vAlign w:val="center"/>
                </w:tcPr>
                <w:p>
                  <w:pPr>
                    <w:jc w:val="center"/>
                    <w:rPr>
                      <w:rFonts w:hint="default"/>
                      <w:bCs/>
                      <w:kern w:val="2"/>
                      <w:sz w:val="21"/>
                      <w:szCs w:val="21"/>
                      <w:lang w:val="en-US" w:eastAsia="zh-CN" w:bidi="ar-SA"/>
                    </w:rPr>
                  </w:pPr>
                  <w:r>
                    <w:rPr>
                      <w:rFonts w:hint="eastAsia"/>
                      <w:bCs/>
                      <w:szCs w:val="21"/>
                    </w:rPr>
                    <w:t>非甲烷总烃</w:t>
                  </w:r>
                </w:p>
              </w:tc>
              <w:tc>
                <w:tcPr>
                  <w:tcW w:w="874" w:type="pct"/>
                  <w:noWrap w:val="0"/>
                  <w:vAlign w:val="center"/>
                </w:tcPr>
                <w:p>
                  <w:pPr>
                    <w:jc w:val="center"/>
                    <w:rPr>
                      <w:rFonts w:hint="default"/>
                      <w:bCs/>
                      <w:kern w:val="2"/>
                      <w:sz w:val="21"/>
                      <w:szCs w:val="21"/>
                      <w:lang w:val="en-US" w:eastAsia="zh-CN" w:bidi="ar-SA"/>
                    </w:rPr>
                  </w:pPr>
                  <w:r>
                    <w:rPr>
                      <w:bCs/>
                      <w:szCs w:val="21"/>
                    </w:rPr>
                    <w:t>第1次</w:t>
                  </w:r>
                </w:p>
              </w:tc>
              <w:tc>
                <w:tcPr>
                  <w:tcW w:w="1196" w:type="pct"/>
                  <w:noWrap w:val="0"/>
                  <w:vAlign w:val="center"/>
                </w:tcPr>
                <w:p>
                  <w:pPr>
                    <w:widowControl/>
                    <w:jc w:val="center"/>
                    <w:rPr>
                      <w:rFonts w:hint="default"/>
                      <w:bCs/>
                      <w:kern w:val="2"/>
                      <w:sz w:val="21"/>
                      <w:szCs w:val="21"/>
                      <w:lang w:val="en-US" w:eastAsia="zh-CN" w:bidi="ar-SA"/>
                    </w:rPr>
                  </w:pPr>
                  <w:r>
                    <w:rPr>
                      <w:rFonts w:hint="eastAsia"/>
                      <w:bCs/>
                      <w:kern w:val="2"/>
                      <w:sz w:val="21"/>
                      <w:szCs w:val="21"/>
                      <w:lang w:val="en-US" w:eastAsia="zh-CN" w:bidi="ar-SA"/>
                    </w:rPr>
                    <w:t>0.67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kern w:val="2"/>
                      <w:sz w:val="21"/>
                      <w:szCs w:val="21"/>
                      <w:lang w:val="en-US" w:eastAsia="zh-CN" w:bidi="ar-SA"/>
                    </w:rPr>
                  </w:pPr>
                </w:p>
              </w:tc>
              <w:tc>
                <w:tcPr>
                  <w:tcW w:w="874" w:type="pct"/>
                  <w:noWrap w:val="0"/>
                  <w:vAlign w:val="center"/>
                </w:tcPr>
                <w:p>
                  <w:pPr>
                    <w:jc w:val="center"/>
                    <w:rPr>
                      <w:rFonts w:hint="default"/>
                      <w:bCs/>
                      <w:kern w:val="2"/>
                      <w:sz w:val="21"/>
                      <w:szCs w:val="21"/>
                      <w:lang w:val="en-US" w:eastAsia="zh-CN" w:bidi="ar-SA"/>
                    </w:rPr>
                  </w:pPr>
                  <w:r>
                    <w:rPr>
                      <w:bCs/>
                      <w:szCs w:val="21"/>
                    </w:rPr>
                    <w:t>第2次</w:t>
                  </w:r>
                </w:p>
              </w:tc>
              <w:tc>
                <w:tcPr>
                  <w:tcW w:w="1196" w:type="pct"/>
                  <w:noWrap w:val="0"/>
                  <w:vAlign w:val="center"/>
                </w:tcPr>
                <w:p>
                  <w:pPr>
                    <w:widowControl/>
                    <w:jc w:val="center"/>
                    <w:rPr>
                      <w:rFonts w:hint="default"/>
                      <w:bCs/>
                      <w:kern w:val="2"/>
                      <w:sz w:val="21"/>
                      <w:szCs w:val="21"/>
                      <w:lang w:val="en-US" w:eastAsia="zh-CN" w:bidi="ar-SA"/>
                    </w:rPr>
                  </w:pPr>
                  <w:r>
                    <w:rPr>
                      <w:rFonts w:hint="eastAsia"/>
                      <w:bCs/>
                      <w:kern w:val="2"/>
                      <w:sz w:val="21"/>
                      <w:szCs w:val="21"/>
                      <w:lang w:val="en-US" w:eastAsia="zh-CN" w:bidi="ar-SA"/>
                    </w:rPr>
                    <w:t>0.64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kern w:val="2"/>
                      <w:sz w:val="21"/>
                      <w:szCs w:val="21"/>
                      <w:lang w:val="en-US" w:eastAsia="zh-CN" w:bidi="ar-SA"/>
                    </w:rPr>
                  </w:pPr>
                </w:p>
              </w:tc>
              <w:tc>
                <w:tcPr>
                  <w:tcW w:w="874" w:type="pct"/>
                  <w:noWrap w:val="0"/>
                  <w:vAlign w:val="center"/>
                </w:tcPr>
                <w:p>
                  <w:pPr>
                    <w:jc w:val="center"/>
                    <w:rPr>
                      <w:rFonts w:hint="default"/>
                      <w:bCs/>
                      <w:kern w:val="2"/>
                      <w:sz w:val="21"/>
                      <w:szCs w:val="21"/>
                      <w:lang w:val="en-US" w:eastAsia="zh-CN" w:bidi="ar-SA"/>
                    </w:rPr>
                  </w:pPr>
                  <w:r>
                    <w:rPr>
                      <w:bCs/>
                      <w:szCs w:val="21"/>
                    </w:rPr>
                    <w:t>第3次</w:t>
                  </w:r>
                </w:p>
              </w:tc>
              <w:tc>
                <w:tcPr>
                  <w:tcW w:w="1196" w:type="pct"/>
                  <w:noWrap w:val="0"/>
                  <w:vAlign w:val="center"/>
                </w:tcPr>
                <w:p>
                  <w:pPr>
                    <w:widowControl/>
                    <w:jc w:val="center"/>
                    <w:rPr>
                      <w:rFonts w:hint="default"/>
                      <w:bCs/>
                      <w:kern w:val="2"/>
                      <w:sz w:val="21"/>
                      <w:szCs w:val="21"/>
                      <w:lang w:val="en-US" w:eastAsia="zh-CN" w:bidi="ar-SA"/>
                    </w:rPr>
                  </w:pPr>
                  <w:r>
                    <w:rPr>
                      <w:rFonts w:hint="eastAsia"/>
                      <w:bCs/>
                      <w:kern w:val="2"/>
                      <w:sz w:val="21"/>
                      <w:szCs w:val="21"/>
                      <w:lang w:val="en-US" w:eastAsia="zh-CN" w:bidi="ar-SA"/>
                    </w:rPr>
                    <w:t>0.55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kern w:val="2"/>
                      <w:sz w:val="21"/>
                      <w:szCs w:val="21"/>
                      <w:lang w:val="en-US" w:eastAsia="zh-CN" w:bidi="ar-SA"/>
                    </w:rPr>
                  </w:pPr>
                </w:p>
              </w:tc>
              <w:tc>
                <w:tcPr>
                  <w:tcW w:w="874" w:type="pct"/>
                  <w:noWrap w:val="0"/>
                  <w:vAlign w:val="center"/>
                </w:tcPr>
                <w:p>
                  <w:pPr>
                    <w:jc w:val="center"/>
                    <w:rPr>
                      <w:rFonts w:hint="default"/>
                      <w:bCs/>
                      <w:kern w:val="2"/>
                      <w:sz w:val="21"/>
                      <w:szCs w:val="21"/>
                      <w:lang w:val="en-US" w:eastAsia="zh-CN" w:bidi="ar-SA"/>
                    </w:rPr>
                  </w:pPr>
                  <w:r>
                    <w:rPr>
                      <w:bCs/>
                      <w:szCs w:val="21"/>
                    </w:rPr>
                    <w:t>第4次</w:t>
                  </w:r>
                </w:p>
              </w:tc>
              <w:tc>
                <w:tcPr>
                  <w:tcW w:w="1196" w:type="pct"/>
                  <w:noWrap w:val="0"/>
                  <w:vAlign w:val="center"/>
                </w:tcPr>
                <w:p>
                  <w:pPr>
                    <w:widowControl/>
                    <w:jc w:val="center"/>
                    <w:rPr>
                      <w:rFonts w:hint="default"/>
                      <w:bCs/>
                      <w:kern w:val="2"/>
                      <w:sz w:val="21"/>
                      <w:szCs w:val="21"/>
                      <w:lang w:val="en-US" w:eastAsia="zh-CN" w:bidi="ar-SA"/>
                    </w:rPr>
                  </w:pPr>
                  <w:r>
                    <w:rPr>
                      <w:rFonts w:hint="eastAsia"/>
                      <w:bCs/>
                      <w:kern w:val="2"/>
                      <w:sz w:val="21"/>
                      <w:szCs w:val="21"/>
                      <w:lang w:val="en-US" w:eastAsia="zh-CN" w:bidi="ar-SA"/>
                    </w:rPr>
                    <w:t>0.53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restart"/>
                  <w:noWrap w:val="0"/>
                  <w:vAlign w:val="center"/>
                </w:tcPr>
                <w:p>
                  <w:pPr>
                    <w:jc w:val="center"/>
                    <w:rPr>
                      <w:bCs/>
                      <w:szCs w:val="21"/>
                    </w:rPr>
                  </w:pPr>
                  <w:r>
                    <w:rPr>
                      <w:rFonts w:hint="eastAsia"/>
                      <w:bCs/>
                      <w:szCs w:val="21"/>
                      <w:lang w:eastAsia="zh-CN"/>
                    </w:rPr>
                    <w:t>2023年</w:t>
                  </w:r>
                  <w:r>
                    <w:rPr>
                      <w:rFonts w:hint="eastAsia"/>
                      <w:bCs/>
                      <w:szCs w:val="21"/>
                      <w:lang w:val="en-US" w:eastAsia="zh-CN"/>
                    </w:rPr>
                    <w:t>7</w:t>
                  </w:r>
                  <w:r>
                    <w:rPr>
                      <w:rFonts w:hint="eastAsia"/>
                      <w:bCs/>
                      <w:szCs w:val="21"/>
                      <w:lang w:eastAsia="zh-CN"/>
                    </w:rPr>
                    <w:t>月2</w:t>
                  </w:r>
                  <w:r>
                    <w:rPr>
                      <w:rFonts w:hint="eastAsia"/>
                      <w:bCs/>
                      <w:szCs w:val="21"/>
                      <w:lang w:val="en-US" w:eastAsia="zh-CN"/>
                    </w:rPr>
                    <w:t>1</w:t>
                  </w:r>
                  <w:r>
                    <w:rPr>
                      <w:rFonts w:hint="eastAsia"/>
                      <w:bCs/>
                      <w:szCs w:val="21"/>
                      <w:lang w:eastAsia="zh-CN"/>
                    </w:rPr>
                    <w:t>日</w:t>
                  </w:r>
                </w:p>
              </w:tc>
              <w:tc>
                <w:tcPr>
                  <w:tcW w:w="772" w:type="pct"/>
                  <w:vMerge w:val="restart"/>
                  <w:noWrap w:val="0"/>
                  <w:vAlign w:val="center"/>
                </w:tcPr>
                <w:p>
                  <w:pPr>
                    <w:jc w:val="center"/>
                    <w:rPr>
                      <w:rFonts w:hint="eastAsia"/>
                      <w:bCs/>
                      <w:szCs w:val="21"/>
                    </w:rPr>
                  </w:pPr>
                  <w:r>
                    <w:rPr>
                      <w:rFonts w:hint="eastAsia"/>
                      <w:color w:val="000000"/>
                      <w:szCs w:val="21"/>
                      <w:lang w:val="en-US" w:eastAsia="zh-CN"/>
                    </w:rPr>
                    <w:t>Q1镜上村</w:t>
                  </w:r>
                </w:p>
              </w:tc>
              <w:tc>
                <w:tcPr>
                  <w:tcW w:w="948" w:type="pct"/>
                  <w:vMerge w:val="restart"/>
                  <w:noWrap w:val="0"/>
                  <w:vAlign w:val="center"/>
                </w:tcPr>
                <w:p>
                  <w:pPr>
                    <w:jc w:val="center"/>
                    <w:rPr>
                      <w:rFonts w:hint="default" w:eastAsia="宋体"/>
                      <w:bCs/>
                      <w:szCs w:val="21"/>
                      <w:lang w:val="en-US" w:eastAsia="zh-CN"/>
                    </w:rPr>
                  </w:pPr>
                  <w:r>
                    <w:rPr>
                      <w:rFonts w:hint="eastAsia"/>
                      <w:bCs/>
                      <w:szCs w:val="21"/>
                    </w:rPr>
                    <w:t>非甲烷总烃</w:t>
                  </w:r>
                </w:p>
              </w:tc>
              <w:tc>
                <w:tcPr>
                  <w:tcW w:w="874" w:type="pct"/>
                  <w:noWrap w:val="0"/>
                  <w:vAlign w:val="center"/>
                </w:tcPr>
                <w:p>
                  <w:pPr>
                    <w:jc w:val="center"/>
                    <w:rPr>
                      <w:rFonts w:hint="default"/>
                      <w:bCs/>
                      <w:kern w:val="2"/>
                      <w:sz w:val="21"/>
                      <w:szCs w:val="21"/>
                      <w:lang w:val="en-US" w:eastAsia="zh-CN" w:bidi="ar-SA"/>
                    </w:rPr>
                  </w:pPr>
                  <w:r>
                    <w:rPr>
                      <w:bCs/>
                      <w:szCs w:val="21"/>
                    </w:rPr>
                    <w:t>第1次</w:t>
                  </w:r>
                </w:p>
              </w:tc>
              <w:tc>
                <w:tcPr>
                  <w:tcW w:w="1196" w:type="pct"/>
                  <w:noWrap w:val="0"/>
                  <w:vAlign w:val="center"/>
                </w:tcPr>
                <w:p>
                  <w:pPr>
                    <w:widowControl/>
                    <w:jc w:val="center"/>
                    <w:rPr>
                      <w:rFonts w:hint="default" w:eastAsia="宋体"/>
                      <w:bCs/>
                      <w:szCs w:val="21"/>
                      <w:lang w:val="en-US" w:eastAsia="zh-CN"/>
                    </w:rPr>
                  </w:pPr>
                  <w:r>
                    <w:rPr>
                      <w:rFonts w:hint="eastAsia"/>
                      <w:bCs/>
                      <w:szCs w:val="21"/>
                      <w:lang w:val="en-US" w:eastAsia="zh-CN"/>
                    </w:rPr>
                    <w:t>0.52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eastAsia="宋体"/>
                      <w:bCs/>
                      <w:szCs w:val="21"/>
                      <w:lang w:val="en-US" w:eastAsia="zh-CN"/>
                    </w:rPr>
                  </w:pPr>
                </w:p>
              </w:tc>
              <w:tc>
                <w:tcPr>
                  <w:tcW w:w="874" w:type="pct"/>
                  <w:noWrap w:val="0"/>
                  <w:vAlign w:val="center"/>
                </w:tcPr>
                <w:p>
                  <w:pPr>
                    <w:jc w:val="center"/>
                    <w:rPr>
                      <w:rFonts w:hint="default"/>
                      <w:bCs/>
                      <w:kern w:val="2"/>
                      <w:sz w:val="21"/>
                      <w:szCs w:val="21"/>
                      <w:lang w:val="en-US" w:eastAsia="zh-CN" w:bidi="ar-SA"/>
                    </w:rPr>
                  </w:pPr>
                  <w:r>
                    <w:rPr>
                      <w:bCs/>
                      <w:szCs w:val="21"/>
                    </w:rPr>
                    <w:t>第2次</w:t>
                  </w:r>
                </w:p>
              </w:tc>
              <w:tc>
                <w:tcPr>
                  <w:tcW w:w="1196" w:type="pct"/>
                  <w:noWrap w:val="0"/>
                  <w:vAlign w:val="center"/>
                </w:tcPr>
                <w:p>
                  <w:pPr>
                    <w:widowControl/>
                    <w:jc w:val="center"/>
                    <w:rPr>
                      <w:rFonts w:hint="default" w:eastAsia="宋体"/>
                      <w:bCs/>
                      <w:szCs w:val="21"/>
                      <w:lang w:val="en-US" w:eastAsia="zh-CN"/>
                    </w:rPr>
                  </w:pPr>
                  <w:r>
                    <w:rPr>
                      <w:rFonts w:hint="eastAsia"/>
                      <w:bCs/>
                      <w:szCs w:val="21"/>
                      <w:lang w:val="en-US" w:eastAsia="zh-CN"/>
                    </w:rPr>
                    <w:t>0.58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eastAsia="宋体"/>
                      <w:bCs/>
                      <w:szCs w:val="21"/>
                      <w:lang w:val="en-US" w:eastAsia="zh-CN"/>
                    </w:rPr>
                  </w:pPr>
                </w:p>
              </w:tc>
              <w:tc>
                <w:tcPr>
                  <w:tcW w:w="874" w:type="pct"/>
                  <w:noWrap w:val="0"/>
                  <w:vAlign w:val="center"/>
                </w:tcPr>
                <w:p>
                  <w:pPr>
                    <w:jc w:val="center"/>
                    <w:rPr>
                      <w:rFonts w:hint="default"/>
                      <w:bCs/>
                      <w:kern w:val="2"/>
                      <w:sz w:val="21"/>
                      <w:szCs w:val="21"/>
                      <w:lang w:val="en-US" w:eastAsia="zh-CN" w:bidi="ar-SA"/>
                    </w:rPr>
                  </w:pPr>
                  <w:r>
                    <w:rPr>
                      <w:bCs/>
                      <w:szCs w:val="21"/>
                    </w:rPr>
                    <w:t>第3次</w:t>
                  </w:r>
                </w:p>
              </w:tc>
              <w:tc>
                <w:tcPr>
                  <w:tcW w:w="1196" w:type="pct"/>
                  <w:noWrap w:val="0"/>
                  <w:vAlign w:val="center"/>
                </w:tcPr>
                <w:p>
                  <w:pPr>
                    <w:widowControl/>
                    <w:jc w:val="center"/>
                    <w:rPr>
                      <w:rFonts w:hint="default" w:eastAsia="宋体"/>
                      <w:bCs/>
                      <w:szCs w:val="21"/>
                      <w:lang w:val="en-US" w:eastAsia="zh-CN"/>
                    </w:rPr>
                  </w:pPr>
                  <w:r>
                    <w:rPr>
                      <w:rFonts w:hint="eastAsia"/>
                      <w:bCs/>
                      <w:szCs w:val="21"/>
                      <w:lang w:val="en-US" w:eastAsia="zh-CN"/>
                    </w:rPr>
                    <w:t>0.60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eastAsia="宋体"/>
                      <w:bCs/>
                      <w:szCs w:val="21"/>
                      <w:lang w:val="en-US" w:eastAsia="zh-CN"/>
                    </w:rPr>
                  </w:pPr>
                </w:p>
              </w:tc>
              <w:tc>
                <w:tcPr>
                  <w:tcW w:w="874" w:type="pct"/>
                  <w:noWrap w:val="0"/>
                  <w:vAlign w:val="center"/>
                </w:tcPr>
                <w:p>
                  <w:pPr>
                    <w:jc w:val="center"/>
                    <w:rPr>
                      <w:rFonts w:hint="default"/>
                      <w:bCs/>
                      <w:kern w:val="2"/>
                      <w:sz w:val="21"/>
                      <w:szCs w:val="21"/>
                      <w:lang w:val="en-US" w:eastAsia="zh-CN" w:bidi="ar-SA"/>
                    </w:rPr>
                  </w:pPr>
                  <w:r>
                    <w:rPr>
                      <w:bCs/>
                      <w:szCs w:val="21"/>
                    </w:rPr>
                    <w:t>第4次</w:t>
                  </w:r>
                </w:p>
              </w:tc>
              <w:tc>
                <w:tcPr>
                  <w:tcW w:w="1196" w:type="pct"/>
                  <w:noWrap w:val="0"/>
                  <w:vAlign w:val="center"/>
                </w:tcPr>
                <w:p>
                  <w:pPr>
                    <w:widowControl/>
                    <w:jc w:val="center"/>
                    <w:rPr>
                      <w:rFonts w:hint="default" w:eastAsia="宋体"/>
                      <w:bCs/>
                      <w:szCs w:val="21"/>
                      <w:lang w:val="en-US" w:eastAsia="zh-CN"/>
                    </w:rPr>
                  </w:pPr>
                  <w:r>
                    <w:rPr>
                      <w:rFonts w:hint="eastAsia"/>
                      <w:bCs/>
                      <w:szCs w:val="21"/>
                      <w:lang w:val="en-US" w:eastAsia="zh-CN"/>
                    </w:rPr>
                    <w:t>0.63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restart"/>
                  <w:noWrap w:val="0"/>
                  <w:vAlign w:val="center"/>
                </w:tcPr>
                <w:p>
                  <w:pPr>
                    <w:jc w:val="center"/>
                    <w:rPr>
                      <w:bCs/>
                      <w:szCs w:val="21"/>
                    </w:rPr>
                  </w:pPr>
                  <w:r>
                    <w:rPr>
                      <w:rFonts w:hint="eastAsia"/>
                      <w:bCs/>
                      <w:szCs w:val="21"/>
                      <w:lang w:eastAsia="zh-CN"/>
                    </w:rPr>
                    <w:t>2023年</w:t>
                  </w:r>
                  <w:r>
                    <w:rPr>
                      <w:rFonts w:hint="eastAsia"/>
                      <w:bCs/>
                      <w:szCs w:val="21"/>
                      <w:lang w:val="en-US" w:eastAsia="zh-CN"/>
                    </w:rPr>
                    <w:t>7</w:t>
                  </w:r>
                  <w:r>
                    <w:rPr>
                      <w:rFonts w:hint="eastAsia"/>
                      <w:bCs/>
                      <w:szCs w:val="21"/>
                      <w:lang w:eastAsia="zh-CN"/>
                    </w:rPr>
                    <w:t>月</w:t>
                  </w:r>
                  <w:r>
                    <w:rPr>
                      <w:rFonts w:hint="eastAsia"/>
                      <w:bCs/>
                      <w:szCs w:val="21"/>
                      <w:lang w:val="en-US" w:eastAsia="zh-CN"/>
                    </w:rPr>
                    <w:t>22</w:t>
                  </w:r>
                  <w:r>
                    <w:rPr>
                      <w:rFonts w:hint="eastAsia"/>
                      <w:bCs/>
                      <w:szCs w:val="21"/>
                      <w:lang w:eastAsia="zh-CN"/>
                    </w:rPr>
                    <w:t>日</w:t>
                  </w:r>
                </w:p>
              </w:tc>
              <w:tc>
                <w:tcPr>
                  <w:tcW w:w="772" w:type="pct"/>
                  <w:vMerge w:val="restart"/>
                  <w:noWrap w:val="0"/>
                  <w:vAlign w:val="center"/>
                </w:tcPr>
                <w:p>
                  <w:pPr>
                    <w:jc w:val="center"/>
                    <w:rPr>
                      <w:bCs/>
                      <w:szCs w:val="21"/>
                    </w:rPr>
                  </w:pPr>
                  <w:r>
                    <w:rPr>
                      <w:rFonts w:hint="eastAsia"/>
                      <w:color w:val="000000"/>
                      <w:szCs w:val="21"/>
                      <w:lang w:val="en-US" w:eastAsia="zh-CN"/>
                    </w:rPr>
                    <w:t>Q1镜上村</w:t>
                  </w:r>
                </w:p>
              </w:tc>
              <w:tc>
                <w:tcPr>
                  <w:tcW w:w="948" w:type="pct"/>
                  <w:vMerge w:val="restart"/>
                  <w:noWrap w:val="0"/>
                  <w:vAlign w:val="center"/>
                </w:tcPr>
                <w:p>
                  <w:pPr>
                    <w:jc w:val="center"/>
                    <w:rPr>
                      <w:rFonts w:hint="default"/>
                      <w:bCs/>
                      <w:kern w:val="2"/>
                      <w:sz w:val="21"/>
                      <w:szCs w:val="21"/>
                      <w:lang w:val="en-US" w:eastAsia="zh-CN" w:bidi="ar-SA"/>
                    </w:rPr>
                  </w:pPr>
                  <w:r>
                    <w:rPr>
                      <w:rFonts w:hint="eastAsia"/>
                      <w:bCs/>
                      <w:szCs w:val="21"/>
                    </w:rPr>
                    <w:t>非甲烷总烃</w:t>
                  </w:r>
                </w:p>
              </w:tc>
              <w:tc>
                <w:tcPr>
                  <w:tcW w:w="874" w:type="pct"/>
                  <w:noWrap w:val="0"/>
                  <w:vAlign w:val="center"/>
                </w:tcPr>
                <w:p>
                  <w:pPr>
                    <w:jc w:val="center"/>
                    <w:rPr>
                      <w:rFonts w:hint="default"/>
                      <w:bCs/>
                      <w:kern w:val="2"/>
                      <w:sz w:val="21"/>
                      <w:szCs w:val="21"/>
                      <w:lang w:val="en-US" w:eastAsia="zh-CN" w:bidi="ar-SA"/>
                    </w:rPr>
                  </w:pPr>
                  <w:r>
                    <w:rPr>
                      <w:bCs/>
                      <w:szCs w:val="21"/>
                    </w:rPr>
                    <w:t>第1次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0.58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bCs/>
                      <w:kern w:val="2"/>
                      <w:sz w:val="21"/>
                      <w:szCs w:val="21"/>
                      <w:lang w:val="en-US" w:eastAsia="zh-CN" w:bidi="ar-SA"/>
                    </w:rPr>
                  </w:pPr>
                  <w:r>
                    <w:rPr>
                      <w:bCs/>
                      <w:szCs w:val="21"/>
                    </w:rPr>
                    <w:t>第2次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bCs/>
                      <w:kern w:val="2"/>
                      <w:sz w:val="21"/>
                      <w:szCs w:val="21"/>
                      <w:lang w:val="en-US" w:eastAsia="zh-CN" w:bidi="ar-SA"/>
                    </w:rPr>
                  </w:pPr>
                  <w:r>
                    <w:rPr>
                      <w:bCs/>
                      <w:szCs w:val="21"/>
                    </w:rPr>
                    <w:t>第3次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0.76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bCs/>
                      <w:kern w:val="2"/>
                      <w:sz w:val="21"/>
                      <w:szCs w:val="21"/>
                      <w:lang w:val="en-US" w:eastAsia="zh-CN" w:bidi="ar-SA"/>
                    </w:rPr>
                  </w:pPr>
                  <w:r>
                    <w:rPr>
                      <w:bCs/>
                      <w:szCs w:val="21"/>
                    </w:rPr>
                    <w:t>第4次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0.79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restart"/>
                  <w:noWrap w:val="0"/>
                  <w:vAlign w:val="center"/>
                </w:tcPr>
                <w:p>
                  <w:pPr>
                    <w:jc w:val="center"/>
                    <w:rPr>
                      <w:bCs/>
                      <w:szCs w:val="21"/>
                    </w:rPr>
                  </w:pPr>
                  <w:r>
                    <w:rPr>
                      <w:rFonts w:hint="eastAsia"/>
                      <w:bCs/>
                      <w:szCs w:val="21"/>
                      <w:lang w:eastAsia="zh-CN"/>
                    </w:rPr>
                    <w:t>2023年</w:t>
                  </w:r>
                  <w:r>
                    <w:rPr>
                      <w:rFonts w:hint="eastAsia"/>
                      <w:bCs/>
                      <w:szCs w:val="21"/>
                      <w:lang w:val="en-US" w:eastAsia="zh-CN"/>
                    </w:rPr>
                    <w:t>7</w:t>
                  </w:r>
                  <w:r>
                    <w:rPr>
                      <w:rFonts w:hint="eastAsia"/>
                      <w:bCs/>
                      <w:szCs w:val="21"/>
                      <w:lang w:eastAsia="zh-CN"/>
                    </w:rPr>
                    <w:t>月</w:t>
                  </w:r>
                  <w:r>
                    <w:rPr>
                      <w:rFonts w:hint="eastAsia"/>
                      <w:bCs/>
                      <w:szCs w:val="21"/>
                      <w:lang w:val="en-US" w:eastAsia="zh-CN"/>
                    </w:rPr>
                    <w:t>23</w:t>
                  </w:r>
                  <w:r>
                    <w:rPr>
                      <w:rFonts w:hint="eastAsia"/>
                      <w:bCs/>
                      <w:szCs w:val="21"/>
                      <w:lang w:eastAsia="zh-CN"/>
                    </w:rPr>
                    <w:t>日</w:t>
                  </w:r>
                </w:p>
              </w:tc>
              <w:tc>
                <w:tcPr>
                  <w:tcW w:w="772" w:type="pct"/>
                  <w:vMerge w:val="restart"/>
                  <w:noWrap w:val="0"/>
                  <w:vAlign w:val="center"/>
                </w:tcPr>
                <w:p>
                  <w:pPr>
                    <w:jc w:val="center"/>
                    <w:rPr>
                      <w:bCs/>
                      <w:szCs w:val="21"/>
                    </w:rPr>
                  </w:pPr>
                  <w:r>
                    <w:rPr>
                      <w:rFonts w:hint="eastAsia"/>
                      <w:color w:val="000000"/>
                      <w:szCs w:val="21"/>
                      <w:lang w:val="en-US" w:eastAsia="zh-CN"/>
                    </w:rPr>
                    <w:t>Q1镜上村</w:t>
                  </w:r>
                </w:p>
              </w:tc>
              <w:tc>
                <w:tcPr>
                  <w:tcW w:w="948" w:type="pct"/>
                  <w:vMerge w:val="restart"/>
                  <w:noWrap w:val="0"/>
                  <w:vAlign w:val="center"/>
                </w:tcPr>
                <w:p>
                  <w:pPr>
                    <w:widowControl/>
                    <w:jc w:val="center"/>
                    <w:rPr>
                      <w:rFonts w:hint="default"/>
                      <w:bCs/>
                      <w:szCs w:val="21"/>
                      <w:lang w:val="en-US" w:eastAsia="zh-CN"/>
                    </w:rPr>
                  </w:pPr>
                  <w:r>
                    <w:rPr>
                      <w:rFonts w:hint="eastAsia"/>
                      <w:bCs/>
                      <w:szCs w:val="21"/>
                    </w:rPr>
                    <w:t>非甲烷总烃</w:t>
                  </w: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第1次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0.62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第2次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第3次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第4次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restart"/>
                  <w:noWrap w:val="0"/>
                  <w:vAlign w:val="center"/>
                </w:tcPr>
                <w:p>
                  <w:pPr>
                    <w:jc w:val="center"/>
                    <w:rPr>
                      <w:bCs/>
                      <w:szCs w:val="21"/>
                    </w:rPr>
                  </w:pPr>
                  <w:r>
                    <w:rPr>
                      <w:rFonts w:hint="eastAsia"/>
                      <w:bCs/>
                      <w:szCs w:val="21"/>
                      <w:lang w:eastAsia="zh-CN"/>
                    </w:rPr>
                    <w:t>2023年</w:t>
                  </w:r>
                  <w:r>
                    <w:rPr>
                      <w:rFonts w:hint="eastAsia"/>
                      <w:bCs/>
                      <w:szCs w:val="21"/>
                      <w:lang w:val="en-US" w:eastAsia="zh-CN"/>
                    </w:rPr>
                    <w:t>7</w:t>
                  </w:r>
                  <w:r>
                    <w:rPr>
                      <w:rFonts w:hint="eastAsia"/>
                      <w:bCs/>
                      <w:szCs w:val="21"/>
                      <w:lang w:eastAsia="zh-CN"/>
                    </w:rPr>
                    <w:t>月</w:t>
                  </w:r>
                  <w:r>
                    <w:rPr>
                      <w:rFonts w:hint="eastAsia"/>
                      <w:bCs/>
                      <w:szCs w:val="21"/>
                      <w:lang w:val="en-US" w:eastAsia="zh-CN"/>
                    </w:rPr>
                    <w:t>24</w:t>
                  </w:r>
                  <w:r>
                    <w:rPr>
                      <w:rFonts w:hint="eastAsia"/>
                      <w:bCs/>
                      <w:szCs w:val="21"/>
                      <w:lang w:eastAsia="zh-CN"/>
                    </w:rPr>
                    <w:t>日</w:t>
                  </w:r>
                </w:p>
              </w:tc>
              <w:tc>
                <w:tcPr>
                  <w:tcW w:w="772" w:type="pct"/>
                  <w:vMerge w:val="restart"/>
                  <w:noWrap w:val="0"/>
                  <w:vAlign w:val="center"/>
                </w:tcPr>
                <w:p>
                  <w:pPr>
                    <w:jc w:val="center"/>
                    <w:rPr>
                      <w:bCs/>
                      <w:szCs w:val="21"/>
                    </w:rPr>
                  </w:pPr>
                  <w:r>
                    <w:rPr>
                      <w:rFonts w:hint="eastAsia"/>
                      <w:color w:val="000000"/>
                      <w:szCs w:val="21"/>
                      <w:lang w:val="en-US" w:eastAsia="zh-CN"/>
                    </w:rPr>
                    <w:t>Q1镜上村</w:t>
                  </w:r>
                </w:p>
              </w:tc>
              <w:tc>
                <w:tcPr>
                  <w:tcW w:w="948" w:type="pct"/>
                  <w:vMerge w:val="restart"/>
                  <w:noWrap w:val="0"/>
                  <w:vAlign w:val="center"/>
                </w:tcPr>
                <w:p>
                  <w:pPr>
                    <w:widowControl/>
                    <w:jc w:val="center"/>
                    <w:rPr>
                      <w:rFonts w:hint="default"/>
                      <w:bCs/>
                      <w:szCs w:val="21"/>
                      <w:lang w:val="en-US" w:eastAsia="zh-CN"/>
                    </w:rPr>
                  </w:pPr>
                  <w:r>
                    <w:rPr>
                      <w:rFonts w:hint="eastAsia"/>
                      <w:bCs/>
                      <w:szCs w:val="21"/>
                    </w:rPr>
                    <w:t>非甲烷总烃</w:t>
                  </w: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第1次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0.54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第2次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0.77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第3次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0.67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第4次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0.83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restart"/>
                  <w:noWrap w:val="0"/>
                  <w:vAlign w:val="center"/>
                </w:tcPr>
                <w:p>
                  <w:pPr>
                    <w:jc w:val="center"/>
                    <w:rPr>
                      <w:bCs/>
                      <w:szCs w:val="21"/>
                    </w:rPr>
                  </w:pPr>
                  <w:r>
                    <w:rPr>
                      <w:rFonts w:hint="eastAsia"/>
                      <w:bCs/>
                      <w:szCs w:val="21"/>
                      <w:lang w:eastAsia="zh-CN"/>
                    </w:rPr>
                    <w:t>2023年</w:t>
                  </w:r>
                  <w:r>
                    <w:rPr>
                      <w:rFonts w:hint="eastAsia"/>
                      <w:bCs/>
                      <w:szCs w:val="21"/>
                      <w:lang w:val="en-US" w:eastAsia="zh-CN"/>
                    </w:rPr>
                    <w:t>7</w:t>
                  </w:r>
                  <w:r>
                    <w:rPr>
                      <w:rFonts w:hint="eastAsia"/>
                      <w:bCs/>
                      <w:szCs w:val="21"/>
                      <w:lang w:eastAsia="zh-CN"/>
                    </w:rPr>
                    <w:t>月</w:t>
                  </w:r>
                  <w:r>
                    <w:rPr>
                      <w:rFonts w:hint="eastAsia"/>
                      <w:bCs/>
                      <w:szCs w:val="21"/>
                      <w:lang w:val="en-US" w:eastAsia="zh-CN"/>
                    </w:rPr>
                    <w:t>25</w:t>
                  </w:r>
                  <w:r>
                    <w:rPr>
                      <w:rFonts w:hint="eastAsia"/>
                      <w:bCs/>
                      <w:szCs w:val="21"/>
                      <w:lang w:eastAsia="zh-CN"/>
                    </w:rPr>
                    <w:t>日</w:t>
                  </w:r>
                </w:p>
              </w:tc>
              <w:tc>
                <w:tcPr>
                  <w:tcW w:w="772" w:type="pct"/>
                  <w:vMerge w:val="restart"/>
                  <w:noWrap w:val="0"/>
                  <w:vAlign w:val="center"/>
                </w:tcPr>
                <w:p>
                  <w:pPr>
                    <w:jc w:val="center"/>
                    <w:rPr>
                      <w:bCs/>
                      <w:szCs w:val="21"/>
                    </w:rPr>
                  </w:pPr>
                  <w:r>
                    <w:rPr>
                      <w:rFonts w:hint="eastAsia"/>
                      <w:color w:val="000000"/>
                      <w:szCs w:val="21"/>
                      <w:lang w:val="en-US" w:eastAsia="zh-CN"/>
                    </w:rPr>
                    <w:t>Q1镜上村</w:t>
                  </w:r>
                </w:p>
              </w:tc>
              <w:tc>
                <w:tcPr>
                  <w:tcW w:w="948" w:type="pct"/>
                  <w:vMerge w:val="restart"/>
                  <w:noWrap w:val="0"/>
                  <w:vAlign w:val="center"/>
                </w:tcPr>
                <w:p>
                  <w:pPr>
                    <w:widowControl/>
                    <w:jc w:val="center"/>
                    <w:rPr>
                      <w:rFonts w:hint="default"/>
                      <w:bCs/>
                      <w:szCs w:val="21"/>
                      <w:lang w:val="en-US" w:eastAsia="zh-CN"/>
                    </w:rPr>
                  </w:pPr>
                  <w:r>
                    <w:rPr>
                      <w:rFonts w:hint="eastAsia"/>
                      <w:bCs/>
                      <w:szCs w:val="21"/>
                    </w:rPr>
                    <w:t>非甲烷总烃</w:t>
                  </w: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第1次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0.57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第2次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0.69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第3次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0.68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第4次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restart"/>
                  <w:noWrap w:val="0"/>
                  <w:vAlign w:val="center"/>
                </w:tcPr>
                <w:p>
                  <w:pPr>
                    <w:jc w:val="center"/>
                    <w:rPr>
                      <w:bCs/>
                      <w:szCs w:val="21"/>
                    </w:rPr>
                  </w:pPr>
                  <w:r>
                    <w:rPr>
                      <w:rFonts w:hint="eastAsia"/>
                      <w:bCs/>
                      <w:szCs w:val="21"/>
                      <w:lang w:eastAsia="zh-CN"/>
                    </w:rPr>
                    <w:t>2023年</w:t>
                  </w:r>
                  <w:r>
                    <w:rPr>
                      <w:rFonts w:hint="eastAsia"/>
                      <w:bCs/>
                      <w:szCs w:val="21"/>
                      <w:lang w:val="en-US" w:eastAsia="zh-CN"/>
                    </w:rPr>
                    <w:t>7</w:t>
                  </w:r>
                  <w:r>
                    <w:rPr>
                      <w:rFonts w:hint="eastAsia"/>
                      <w:bCs/>
                      <w:szCs w:val="21"/>
                      <w:lang w:eastAsia="zh-CN"/>
                    </w:rPr>
                    <w:t>月</w:t>
                  </w:r>
                  <w:r>
                    <w:rPr>
                      <w:rFonts w:hint="eastAsia"/>
                      <w:bCs/>
                      <w:szCs w:val="21"/>
                      <w:lang w:val="en-US" w:eastAsia="zh-CN"/>
                    </w:rPr>
                    <w:t>26</w:t>
                  </w:r>
                  <w:r>
                    <w:rPr>
                      <w:rFonts w:hint="eastAsia"/>
                      <w:bCs/>
                      <w:szCs w:val="21"/>
                      <w:lang w:eastAsia="zh-CN"/>
                    </w:rPr>
                    <w:t>日</w:t>
                  </w:r>
                </w:p>
              </w:tc>
              <w:tc>
                <w:tcPr>
                  <w:tcW w:w="772" w:type="pct"/>
                  <w:vMerge w:val="restart"/>
                  <w:noWrap w:val="0"/>
                  <w:vAlign w:val="center"/>
                </w:tcPr>
                <w:p>
                  <w:pPr>
                    <w:jc w:val="center"/>
                    <w:rPr>
                      <w:bCs/>
                      <w:szCs w:val="21"/>
                    </w:rPr>
                  </w:pPr>
                  <w:r>
                    <w:rPr>
                      <w:rFonts w:hint="eastAsia"/>
                      <w:color w:val="000000"/>
                      <w:szCs w:val="21"/>
                      <w:lang w:val="en-US" w:eastAsia="zh-CN"/>
                    </w:rPr>
                    <w:t>Q1镜上村</w:t>
                  </w:r>
                </w:p>
              </w:tc>
              <w:tc>
                <w:tcPr>
                  <w:tcW w:w="948" w:type="pct"/>
                  <w:vMerge w:val="restart"/>
                  <w:noWrap w:val="0"/>
                  <w:vAlign w:val="center"/>
                </w:tcPr>
                <w:p>
                  <w:pPr>
                    <w:widowControl/>
                    <w:jc w:val="center"/>
                    <w:rPr>
                      <w:rFonts w:hint="default"/>
                      <w:bCs/>
                      <w:szCs w:val="21"/>
                      <w:lang w:val="en-US" w:eastAsia="zh-CN"/>
                    </w:rPr>
                  </w:pPr>
                  <w:r>
                    <w:rPr>
                      <w:rFonts w:hint="eastAsia"/>
                      <w:bCs/>
                      <w:szCs w:val="21"/>
                    </w:rPr>
                    <w:t>非甲烷总烃</w:t>
                  </w: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第1次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第2次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0.63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第3次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0.58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pct"/>
                  <w:vMerge w:val="continue"/>
                  <w:noWrap w:val="0"/>
                  <w:vAlign w:val="center"/>
                </w:tcPr>
                <w:p>
                  <w:pPr>
                    <w:jc w:val="center"/>
                    <w:rPr>
                      <w:bCs/>
                      <w:szCs w:val="21"/>
                    </w:rPr>
                  </w:pPr>
                </w:p>
              </w:tc>
              <w:tc>
                <w:tcPr>
                  <w:tcW w:w="772" w:type="pct"/>
                  <w:vMerge w:val="continue"/>
                  <w:noWrap w:val="0"/>
                  <w:vAlign w:val="center"/>
                </w:tcPr>
                <w:p>
                  <w:pPr>
                    <w:jc w:val="center"/>
                    <w:rPr>
                      <w:bCs/>
                      <w:szCs w:val="21"/>
                    </w:rPr>
                  </w:pPr>
                </w:p>
              </w:tc>
              <w:tc>
                <w:tcPr>
                  <w:tcW w:w="948" w:type="pct"/>
                  <w:vMerge w:val="continue"/>
                  <w:noWrap w:val="0"/>
                  <w:vAlign w:val="center"/>
                </w:tcPr>
                <w:p>
                  <w:pPr>
                    <w:widowControl/>
                    <w:jc w:val="center"/>
                    <w:rPr>
                      <w:rFonts w:hint="default"/>
                      <w:bCs/>
                      <w:szCs w:val="21"/>
                      <w:lang w:val="en-US" w:eastAsia="zh-CN"/>
                    </w:rPr>
                  </w:pPr>
                </w:p>
              </w:tc>
              <w:tc>
                <w:tcPr>
                  <w:tcW w:w="874" w:type="pct"/>
                  <w:noWrap w:val="0"/>
                  <w:vAlign w:val="center"/>
                </w:tcPr>
                <w:p>
                  <w:pPr>
                    <w:jc w:val="center"/>
                    <w:rPr>
                      <w:rFonts w:hint="default" w:ascii="Times New Roman" w:hAnsi="Times New Roman" w:eastAsia="宋体" w:cs="Times New Roman"/>
                      <w:bCs/>
                      <w:kern w:val="2"/>
                      <w:sz w:val="21"/>
                      <w:szCs w:val="21"/>
                      <w:lang w:val="en-US" w:eastAsia="zh-CN" w:bidi="ar-SA"/>
                    </w:rPr>
                  </w:pPr>
                  <w:r>
                    <w:rPr>
                      <w:bCs/>
                      <w:szCs w:val="21"/>
                    </w:rPr>
                    <w:t>第4次</w:t>
                  </w:r>
                </w:p>
              </w:tc>
              <w:tc>
                <w:tcPr>
                  <w:tcW w:w="1196" w:type="pct"/>
                  <w:noWrap w:val="0"/>
                  <w:vAlign w:val="center"/>
                </w:tcPr>
                <w:p>
                  <w:pPr>
                    <w:widowControl/>
                    <w:jc w:val="center"/>
                    <w:rPr>
                      <w:rFonts w:hint="default"/>
                      <w:bCs/>
                      <w:szCs w:val="21"/>
                      <w:lang w:val="en-US" w:eastAsia="zh-CN"/>
                    </w:rPr>
                  </w:pPr>
                  <w:r>
                    <w:rPr>
                      <w:rFonts w:hint="eastAsia"/>
                      <w:bCs/>
                      <w:szCs w:val="21"/>
                      <w:lang w:val="en-US" w:eastAsia="zh-CN"/>
                    </w:rPr>
                    <w:t>0.60</w:t>
                  </w:r>
                </w:p>
              </w:tc>
            </w:tr>
          </w:tbl>
          <w:p>
            <w:pPr>
              <w:pStyle w:val="8"/>
              <w:ind w:firstLine="480"/>
              <w:jc w:val="center"/>
            </w:pPr>
          </w:p>
          <w:p>
            <w:pPr>
              <w:pStyle w:val="8"/>
              <w:ind w:firstLine="480"/>
              <w:rPr>
                <w:rFonts w:hint="default"/>
              </w:rPr>
            </w:pPr>
            <w:r>
              <w:rPr>
                <w:rFonts w:hint="eastAsia"/>
              </w:rPr>
              <w:t>由上表可知，项目所在区域</w:t>
            </w:r>
            <w:r>
              <w:rPr>
                <w:rFonts w:hint="default"/>
              </w:rPr>
              <w:t>非甲烷总烃</w:t>
            </w:r>
            <w:r>
              <w:rPr>
                <w:rFonts w:hint="default"/>
                <w:lang w:val="en-US" w:eastAsia="zh-CN"/>
              </w:rPr>
              <w:t>可</w:t>
            </w:r>
            <w:r>
              <w:rPr>
                <w:rFonts w:hint="default"/>
              </w:rPr>
              <w:t>满足《大气污染物综合排放标准</w:t>
            </w:r>
            <w:r>
              <w:rPr>
                <w:rFonts w:hint="eastAsia"/>
                <w:lang w:val="en-US" w:eastAsia="zh-CN"/>
              </w:rPr>
              <w:t>详解</w:t>
            </w:r>
            <w:r>
              <w:rPr>
                <w:rFonts w:hint="default"/>
              </w:rPr>
              <w:t>》中的环境质量标准</w:t>
            </w:r>
            <w:r>
              <w:rPr>
                <w:rFonts w:hint="default"/>
                <w:lang w:val="en-US"/>
              </w:rPr>
              <w:t>限值要求</w:t>
            </w:r>
            <w:r>
              <w:rPr>
                <w:rFonts w:hint="eastAsia"/>
                <w:lang w:val="en-US" w:eastAsia="zh-CN"/>
              </w:rPr>
              <w:t>（2mg/m³）</w:t>
            </w:r>
            <w:r>
              <w:rPr>
                <w:rFonts w:hint="default"/>
              </w:rPr>
              <w:t>。因此，项目</w:t>
            </w:r>
            <w:r>
              <w:rPr>
                <w:rFonts w:hint="eastAsia"/>
                <w:lang w:val="en-US" w:eastAsia="zh-CN"/>
              </w:rPr>
              <w:t>所在</w:t>
            </w:r>
            <w:r>
              <w:rPr>
                <w:rFonts w:hint="default"/>
              </w:rPr>
              <w:t>区域环境空气质量现状良好。</w:t>
            </w:r>
          </w:p>
          <w:p>
            <w:pPr>
              <w:pStyle w:val="4"/>
              <w:numPr>
                <w:ilvl w:val="1"/>
                <w:numId w:val="9"/>
              </w:numPr>
              <w:tabs>
                <w:tab w:val="left" w:pos="420"/>
              </w:tabs>
              <w:rPr>
                <w:rFonts w:hint="default"/>
              </w:rPr>
            </w:pPr>
            <w:r>
              <w:rPr>
                <w:rFonts w:hint="default"/>
              </w:rPr>
              <w:t>地表水环境质量现状</w:t>
            </w:r>
          </w:p>
          <w:p>
            <w:pPr>
              <w:pStyle w:val="8"/>
              <w:ind w:firstLine="480"/>
              <w:jc w:val="both"/>
              <w:rPr>
                <w:rFonts w:hint="default"/>
                <w:lang w:val="en-US" w:eastAsia="zh-CN"/>
              </w:rPr>
            </w:pPr>
            <w:r>
              <w:rPr>
                <w:rFonts w:hint="default"/>
              </w:rPr>
              <w:t>本项目</w:t>
            </w:r>
            <w:r>
              <w:rPr>
                <w:rFonts w:hint="eastAsia"/>
                <w:lang w:val="en-US" w:eastAsia="zh-CN"/>
              </w:rPr>
              <w:t>位于</w:t>
            </w:r>
            <w:r>
              <w:rPr>
                <w:rFonts w:hint="default" w:ascii="Times New Roman" w:hAnsi="Times New Roman" w:eastAsia="宋体" w:cs="Times New Roman"/>
                <w:color w:val="auto"/>
                <w:kern w:val="0"/>
                <w:sz w:val="24"/>
                <w:szCs w:val="21"/>
                <w:highlight w:val="none"/>
                <w:lang w:val="en-US" w:eastAsia="zh-CN" w:bidi="ar-SA"/>
              </w:rPr>
              <w:t>福建省</w:t>
            </w:r>
            <w:r>
              <w:rPr>
                <w:rFonts w:hint="eastAsia" w:ascii="Times New Roman" w:hAnsi="Times New Roman" w:eastAsia="宋体" w:cs="Times New Roman"/>
                <w:color w:val="auto"/>
                <w:kern w:val="0"/>
                <w:sz w:val="24"/>
                <w:szCs w:val="21"/>
                <w:highlight w:val="none"/>
                <w:lang w:val="en-US" w:eastAsia="zh-CN" w:bidi="ar-SA"/>
              </w:rPr>
              <w:t>福州</w:t>
            </w:r>
            <w:r>
              <w:rPr>
                <w:rFonts w:hint="default" w:ascii="Times New Roman" w:hAnsi="Times New Roman" w:eastAsia="宋体" w:cs="Times New Roman"/>
                <w:color w:val="auto"/>
                <w:kern w:val="0"/>
                <w:sz w:val="24"/>
                <w:szCs w:val="21"/>
                <w:highlight w:val="none"/>
                <w:lang w:val="en-US" w:eastAsia="zh-CN" w:bidi="ar-SA"/>
              </w:rPr>
              <w:t>市</w:t>
            </w:r>
            <w:r>
              <w:rPr>
                <w:rFonts w:hint="eastAsia" w:ascii="Times New Roman" w:hAnsi="Times New Roman" w:eastAsia="宋体" w:cs="Times New Roman"/>
                <w:color w:val="auto"/>
                <w:kern w:val="0"/>
                <w:sz w:val="24"/>
                <w:szCs w:val="21"/>
                <w:highlight w:val="none"/>
                <w:lang w:val="en-US" w:eastAsia="zh-CN" w:bidi="ar-SA"/>
              </w:rPr>
              <w:t>闽侯县祥谦镇泮洋村祥宏中路20号</w:t>
            </w:r>
            <w:r>
              <w:rPr>
                <w:rFonts w:hint="eastAsia"/>
                <w:lang w:val="en-US" w:eastAsia="zh-CN"/>
              </w:rPr>
              <w:t>，项目周边水体为淘江</w:t>
            </w:r>
            <w:r>
              <w:rPr>
                <w:rFonts w:hint="eastAsia"/>
                <w:lang w:eastAsia="zh-CN"/>
              </w:rPr>
              <w:t>（</w:t>
            </w:r>
            <w:r>
              <w:rPr>
                <w:rFonts w:hint="eastAsia"/>
                <w:lang w:val="en-US" w:eastAsia="zh-CN"/>
              </w:rPr>
              <w:t>属于闽江流域福州段</w:t>
            </w:r>
            <w:r>
              <w:rPr>
                <w:rFonts w:hint="eastAsia"/>
                <w:lang w:eastAsia="zh-CN"/>
              </w:rPr>
              <w:t>），</w:t>
            </w:r>
            <w:r>
              <w:rPr>
                <w:rFonts w:hint="eastAsia"/>
                <w:lang w:val="en-US" w:eastAsia="zh-CN"/>
              </w:rPr>
              <w:t>执行</w:t>
            </w:r>
            <w:r>
              <w:rPr>
                <w:rFonts w:hint="default"/>
                <w:lang w:val="en-US" w:eastAsia="zh-CN"/>
              </w:rPr>
              <w:t>《地表水环境质量标准》</w:t>
            </w:r>
            <w:r>
              <w:rPr>
                <w:rFonts w:hint="eastAsia"/>
                <w:lang w:val="en-US" w:eastAsia="zh-CN"/>
              </w:rPr>
              <w:t>（</w:t>
            </w:r>
            <w:r>
              <w:rPr>
                <w:rFonts w:hint="default"/>
                <w:lang w:val="en-US" w:eastAsia="zh-CN"/>
              </w:rPr>
              <w:t>GB3838-2002</w:t>
            </w:r>
            <w:r>
              <w:rPr>
                <w:rFonts w:hint="eastAsia"/>
                <w:lang w:val="en-US" w:eastAsia="zh-CN"/>
              </w:rPr>
              <w:t>）IV类标准。</w:t>
            </w:r>
            <w:r>
              <w:rPr>
                <w:rFonts w:hint="default"/>
              </w:rPr>
              <w:t>根据</w:t>
            </w:r>
            <w:r>
              <w:rPr>
                <w:rFonts w:hint="eastAsia"/>
                <w:lang w:val="en-US" w:eastAsia="zh-CN"/>
              </w:rPr>
              <w:t>福州市</w:t>
            </w:r>
            <w:r>
              <w:rPr>
                <w:rFonts w:hint="default"/>
              </w:rPr>
              <w:t>生态环境</w:t>
            </w:r>
            <w:r>
              <w:rPr>
                <w:rFonts w:hint="eastAsia"/>
                <w:lang w:val="en-US" w:eastAsia="zh-CN"/>
              </w:rPr>
              <w:t>局</w:t>
            </w:r>
            <w:r>
              <w:rPr>
                <w:rFonts w:hint="default"/>
              </w:rPr>
              <w:t>发布的《</w:t>
            </w:r>
            <w:r>
              <w:rPr>
                <w:rFonts w:hint="eastAsia"/>
                <w:lang w:val="en-US" w:eastAsia="zh-CN"/>
              </w:rPr>
              <w:t>2022年福州市环境状况公报</w:t>
            </w:r>
            <w:r>
              <w:rPr>
                <w:rFonts w:hint="default"/>
              </w:rPr>
              <w:t>》</w:t>
            </w:r>
            <w:r>
              <w:rPr>
                <w:rFonts w:hint="eastAsia"/>
                <w:lang w:val="en-US" w:eastAsia="zh-CN"/>
              </w:rPr>
              <w:t>，2022年，闽江流域福州段总体水质保持优，I~III类水质比例为100%；I~II类水质比例为56.2%。</w:t>
            </w:r>
          </w:p>
          <w:p>
            <w:pPr>
              <w:pStyle w:val="8"/>
              <w:ind w:firstLine="480"/>
              <w:rPr>
                <w:rFonts w:hint="eastAsia"/>
                <w:lang w:val="en-US" w:eastAsia="zh-CN"/>
              </w:rPr>
            </w:pPr>
            <w:r>
              <w:rPr>
                <w:rFonts w:hint="eastAsia"/>
                <w:lang w:val="en-US" w:eastAsia="zh-CN"/>
              </w:rPr>
              <w:t>闽江流域福州段I~III类水质比例为100%</w:t>
            </w:r>
            <w:r>
              <w:rPr>
                <w:rFonts w:hint="eastAsia"/>
                <w:lang w:eastAsia="zh-CN"/>
              </w:rPr>
              <w:t>，</w:t>
            </w:r>
            <w:r>
              <w:rPr>
                <w:rFonts w:hint="eastAsia"/>
                <w:lang w:val="en-US" w:eastAsia="zh-CN"/>
              </w:rPr>
              <w:t>因此，项目所在区域地表水环境质量现状较好。</w:t>
            </w:r>
          </w:p>
          <w:p>
            <w:pPr>
              <w:pStyle w:val="4"/>
              <w:numPr>
                <w:ilvl w:val="1"/>
                <w:numId w:val="9"/>
              </w:numPr>
              <w:tabs>
                <w:tab w:val="left" w:pos="420"/>
              </w:tabs>
              <w:rPr>
                <w:rFonts w:hint="default"/>
                <w:highlight w:val="none"/>
              </w:rPr>
            </w:pPr>
            <w:r>
              <w:rPr>
                <w:rFonts w:hint="default"/>
                <w:highlight w:val="none"/>
              </w:rPr>
              <w:t>声环境质量现状</w:t>
            </w:r>
          </w:p>
          <w:p>
            <w:pPr>
              <w:pStyle w:val="8"/>
              <w:bidi w:val="0"/>
              <w:rPr>
                <w:rFonts w:hint="default"/>
              </w:rPr>
            </w:pPr>
            <w:r>
              <w:rPr>
                <w:rFonts w:hint="default"/>
              </w:rPr>
              <w:t>本</w:t>
            </w:r>
            <w:r>
              <w:rPr>
                <w:rFonts w:hint="eastAsia"/>
                <w:lang w:val="en-US" w:eastAsia="zh-CN"/>
              </w:rPr>
              <w:t>项目位于</w:t>
            </w:r>
            <w:r>
              <w:rPr>
                <w:rFonts w:hint="eastAsia" w:ascii="Times New Roman" w:hAnsi="Times New Roman" w:eastAsia="宋体" w:cs="Times New Roman"/>
                <w:color w:val="auto"/>
                <w:kern w:val="0"/>
                <w:sz w:val="24"/>
                <w:szCs w:val="21"/>
                <w:highlight w:val="none"/>
                <w:lang w:val="en-US" w:eastAsia="zh-CN" w:bidi="ar-SA"/>
              </w:rPr>
              <w:t>闽侯县祥谦镇泮洋村祥宏中路20号</w:t>
            </w:r>
            <w:r>
              <w:rPr>
                <w:rFonts w:hint="eastAsia"/>
                <w:lang w:val="en-US" w:eastAsia="zh-CN"/>
              </w:rPr>
              <w:t>，项目所在区域声环境执行</w:t>
            </w:r>
            <w:r>
              <w:rPr>
                <w:rFonts w:hint="eastAsia"/>
              </w:rPr>
              <w:t>《声环境质量标准》（GB3096-2008）</w:t>
            </w:r>
            <w:r>
              <w:rPr>
                <w:rFonts w:hint="eastAsia"/>
                <w:lang w:val="en-US" w:eastAsia="zh-CN"/>
              </w:rPr>
              <w:t>3类标准。项目周边50m范围内不存在声环境保护目标</w:t>
            </w:r>
            <w:r>
              <w:rPr>
                <w:rFonts w:hint="default"/>
              </w:rPr>
              <w:t>，根据《建设项目环境影响报告表编制技术指南（污染影响类）》（试行），无需</w:t>
            </w:r>
            <w:r>
              <w:rPr>
                <w:rFonts w:hint="default"/>
                <w:lang w:eastAsia="zh-CN"/>
              </w:rPr>
              <w:t>进行</w:t>
            </w:r>
            <w:r>
              <w:rPr>
                <w:rFonts w:hint="eastAsia"/>
                <w:lang w:val="en-US" w:eastAsia="zh-CN"/>
              </w:rPr>
              <w:t>声</w:t>
            </w:r>
            <w:r>
              <w:rPr>
                <w:rFonts w:hint="default"/>
              </w:rPr>
              <w:t>环境现状调查。</w:t>
            </w:r>
          </w:p>
          <w:p>
            <w:pPr>
              <w:pStyle w:val="4"/>
              <w:numPr>
                <w:ilvl w:val="1"/>
                <w:numId w:val="9"/>
              </w:numPr>
              <w:tabs>
                <w:tab w:val="left" w:pos="420"/>
              </w:tabs>
              <w:rPr>
                <w:rFonts w:hint="default"/>
              </w:rPr>
            </w:pPr>
            <w:r>
              <w:rPr>
                <w:rFonts w:hint="default"/>
              </w:rPr>
              <w:t>生态环境</w:t>
            </w:r>
            <w:r>
              <w:rPr>
                <w:rFonts w:hint="eastAsia"/>
                <w:lang w:val="en-US" w:eastAsia="zh-CN"/>
              </w:rPr>
              <w:t>质量现状</w:t>
            </w:r>
          </w:p>
          <w:p>
            <w:pPr>
              <w:pStyle w:val="8"/>
              <w:ind w:firstLine="480"/>
              <w:rPr>
                <w:rFonts w:hint="default"/>
              </w:rPr>
            </w:pPr>
            <w:r>
              <w:rPr>
                <w:rFonts w:hint="default"/>
              </w:rPr>
              <w:t>本次项目租用福建省闽侯县华源工艺品有限公司已建厂房，无新增用地，根据调查，项目用地周边为已出租的其他厂房，出租方厂区内的道路等为主，项目评价区域主要植被为草坪、行道树等景观树种，主要动物为常见的蛙类、鸟类和昆虫类等，评价区域内无珍稀濒危物种、自然保护区、风景名胜区等生态敏感目标，调查区域也未发现国家重点保护的野生动植物等，因此，本环评不对生态环境现状进行评价。</w:t>
            </w:r>
          </w:p>
          <w:p>
            <w:pPr>
              <w:pStyle w:val="4"/>
              <w:numPr>
                <w:ilvl w:val="1"/>
                <w:numId w:val="9"/>
              </w:numPr>
              <w:tabs>
                <w:tab w:val="left" w:pos="420"/>
              </w:tabs>
              <w:rPr>
                <w:rFonts w:hint="default"/>
                <w:highlight w:val="none"/>
              </w:rPr>
            </w:pPr>
            <w:r>
              <w:rPr>
                <w:rFonts w:hint="default"/>
                <w:highlight w:val="none"/>
              </w:rPr>
              <w:t>地下水环境</w:t>
            </w:r>
            <w:r>
              <w:rPr>
                <w:rFonts w:hint="eastAsia"/>
                <w:highlight w:val="none"/>
                <w:lang w:val="en-US" w:eastAsia="zh-CN"/>
              </w:rPr>
              <w:t>质量现状</w:t>
            </w:r>
          </w:p>
          <w:p>
            <w:pPr>
              <w:pStyle w:val="8"/>
              <w:bidi w:val="0"/>
              <w:rPr>
                <w:rFonts w:hint="default"/>
                <w:lang w:val="en-US" w:eastAsia="zh-CN"/>
              </w:rPr>
            </w:pPr>
            <w:r>
              <w:rPr>
                <w:rFonts w:hint="eastAsia"/>
                <w:lang w:val="en-US" w:eastAsia="zh-CN"/>
              </w:rPr>
              <w:t>为了解项目所在区域的地下水环境质量现状，本次评价委托福建九五检测技术服务有限公司于11月23日对车间东侧绿地进行监测。监测频次为1天1次，监测结果见</w:t>
            </w:r>
            <w:r>
              <w:rPr>
                <w:rFonts w:hint="eastAsia"/>
                <w:lang w:val="en-US" w:eastAsia="zh-CN"/>
              </w:rPr>
              <w:fldChar w:fldCharType="begin"/>
            </w:r>
            <w:r>
              <w:rPr>
                <w:rFonts w:hint="eastAsia"/>
                <w:lang w:val="en-US" w:eastAsia="zh-CN"/>
              </w:rPr>
              <w:instrText xml:space="preserve">REF_Ref16029\n\h</w:instrText>
            </w:r>
            <w:r>
              <w:rPr>
                <w:rFonts w:hint="eastAsia"/>
                <w:lang w:val="en-US" w:eastAsia="zh-CN"/>
              </w:rPr>
              <w:fldChar w:fldCharType="separate"/>
            </w:r>
            <w:r>
              <w:rPr>
                <w:rFonts w:hint="eastAsia"/>
                <w:lang w:val="en-US" w:eastAsia="zh-CN"/>
              </w:rPr>
              <w:t>表18</w:t>
            </w:r>
            <w:r>
              <w:rPr>
                <w:rFonts w:hint="eastAsia"/>
                <w:lang w:val="en-US" w:eastAsia="zh-CN"/>
              </w:rPr>
              <w:fldChar w:fldCharType="end"/>
            </w:r>
            <w:r>
              <w:rPr>
                <w:rFonts w:hint="eastAsia"/>
                <w:lang w:val="en-US" w:eastAsia="zh-CN"/>
              </w:rPr>
              <w:t>，监测点位图见附图3。</w:t>
            </w:r>
          </w:p>
          <w:p>
            <w:pPr>
              <w:pStyle w:val="8"/>
              <w:numPr>
                <w:ilvl w:val="0"/>
                <w:numId w:val="10"/>
              </w:numPr>
              <w:bidi w:val="0"/>
              <w:rPr>
                <w:rFonts w:hint="eastAsia"/>
                <w:lang w:val="en-US" w:eastAsia="zh-CN"/>
              </w:rPr>
            </w:pPr>
            <w:r>
              <w:rPr>
                <w:rFonts w:hint="eastAsia"/>
                <w:lang w:val="en-US" w:eastAsia="zh-CN"/>
              </w:rPr>
              <w:t>监测方案</w:t>
            </w:r>
          </w:p>
          <w:p>
            <w:pPr>
              <w:pStyle w:val="8"/>
              <w:numPr>
                <w:ilvl w:val="-1"/>
                <w:numId w:val="0"/>
              </w:numPr>
              <w:bidi w:val="0"/>
              <w:ind w:firstLine="480" w:firstLineChars="200"/>
              <w:rPr>
                <w:rFonts w:hint="default"/>
                <w:lang w:val="en-US" w:eastAsia="zh-CN"/>
              </w:rPr>
            </w:pPr>
            <w:r>
              <w:rPr>
                <w:rFonts w:hint="eastAsia"/>
                <w:lang w:val="en-US" w:eastAsia="zh-CN"/>
              </w:rPr>
              <w:t>本项目监测方案见下表。</w:t>
            </w:r>
          </w:p>
          <w:p>
            <w:pPr>
              <w:pStyle w:val="30"/>
              <w:bidi w:val="0"/>
              <w:rPr>
                <w:rFonts w:hint="eastAsia"/>
                <w:lang w:val="en-US" w:eastAsia="zh-CN"/>
              </w:rPr>
            </w:pPr>
            <w:r>
              <w:rPr>
                <w:rFonts w:hint="eastAsia"/>
                <w:lang w:val="en-US" w:eastAsia="zh-CN"/>
              </w:rPr>
              <w:t>地下水环境质量检测方案</w:t>
            </w:r>
          </w:p>
          <w:tbl>
            <w:tblPr>
              <w:tblStyle w:val="24"/>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51"/>
              <w:gridCol w:w="1762"/>
              <w:gridCol w:w="4812"/>
              <w:gridCol w:w="12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tcBorders>
                    <w:tl2br w:val="nil"/>
                    <w:tr2bl w:val="nil"/>
                  </w:tcBorders>
                  <w:noWrap w:val="0"/>
                  <w:vAlign w:val="center"/>
                </w:tcPr>
                <w:p>
                  <w:pPr>
                    <w:pStyle w:val="31"/>
                    <w:bidi w:val="0"/>
                    <w:rPr>
                      <w:rFonts w:hint="eastAsia"/>
                      <w:lang w:val="en-US" w:eastAsia="zh-CN"/>
                    </w:rPr>
                  </w:pPr>
                  <w:r>
                    <w:rPr>
                      <w:rFonts w:hint="eastAsia"/>
                      <w:lang w:val="en-US" w:eastAsia="zh-CN"/>
                    </w:rPr>
                    <w:t>监测</w:t>
                  </w:r>
                  <w:r>
                    <w:rPr>
                      <w:rFonts w:hint="default"/>
                    </w:rPr>
                    <w:t>位置</w:t>
                  </w:r>
                </w:p>
              </w:tc>
              <w:tc>
                <w:tcPr>
                  <w:tcW w:w="965" w:type="pct"/>
                  <w:tcBorders>
                    <w:tl2br w:val="nil"/>
                    <w:tr2bl w:val="nil"/>
                  </w:tcBorders>
                  <w:noWrap w:val="0"/>
                  <w:vAlign w:val="center"/>
                </w:tcPr>
                <w:p>
                  <w:pPr>
                    <w:pStyle w:val="31"/>
                    <w:bidi w:val="0"/>
                    <w:rPr>
                      <w:rFonts w:hint="default"/>
                      <w:lang w:val="en-US" w:eastAsia="zh-CN"/>
                    </w:rPr>
                  </w:pPr>
                  <w:r>
                    <w:rPr>
                      <w:rFonts w:hint="default"/>
                      <w:lang w:val="en-US" w:eastAsia="zh-CN"/>
                    </w:rPr>
                    <w:t>经纬度</w:t>
                  </w:r>
                </w:p>
              </w:tc>
              <w:tc>
                <w:tcPr>
                  <w:tcW w:w="2680" w:type="pct"/>
                  <w:tcBorders>
                    <w:tl2br w:val="nil"/>
                    <w:tr2bl w:val="nil"/>
                  </w:tcBorders>
                  <w:noWrap w:val="0"/>
                  <w:vAlign w:val="center"/>
                </w:tcPr>
                <w:p>
                  <w:pPr>
                    <w:pStyle w:val="31"/>
                    <w:bidi w:val="0"/>
                    <w:rPr>
                      <w:rFonts w:hint="default"/>
                      <w:lang w:val="en-US" w:eastAsia="zh-CN"/>
                    </w:rPr>
                  </w:pPr>
                  <w:r>
                    <w:rPr>
                      <w:rFonts w:hint="default"/>
                    </w:rPr>
                    <w:t>监测</w:t>
                  </w:r>
                  <w:r>
                    <w:rPr>
                      <w:rFonts w:hint="default"/>
                      <w:lang w:val="en-US" w:eastAsia="zh-CN"/>
                    </w:rPr>
                    <w:t>因子</w:t>
                  </w:r>
                </w:p>
              </w:tc>
              <w:tc>
                <w:tcPr>
                  <w:tcW w:w="708" w:type="pct"/>
                  <w:tcBorders>
                    <w:tl2br w:val="nil"/>
                    <w:tr2bl w:val="nil"/>
                  </w:tcBorders>
                  <w:noWrap w:val="0"/>
                  <w:vAlign w:val="center"/>
                </w:tcPr>
                <w:p>
                  <w:pPr>
                    <w:pStyle w:val="31"/>
                    <w:bidi w:val="0"/>
                    <w:rPr>
                      <w:rFonts w:hint="default"/>
                      <w:lang w:val="en-US" w:eastAsia="zh-CN"/>
                    </w:rPr>
                  </w:pPr>
                  <w:r>
                    <w:rPr>
                      <w:rFonts w:hint="default"/>
                    </w:rPr>
                    <w:t>执行标准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pct"/>
                  <w:tcBorders>
                    <w:tl2br w:val="nil"/>
                    <w:tr2bl w:val="nil"/>
                  </w:tcBorders>
                  <w:noWrap w:val="0"/>
                  <w:vAlign w:val="center"/>
                </w:tcPr>
                <w:p>
                  <w:pPr>
                    <w:pStyle w:val="31"/>
                    <w:bidi w:val="0"/>
                    <w:rPr>
                      <w:rFonts w:hint="default"/>
                      <w:lang w:val="en-US" w:eastAsia="zh-CN"/>
                    </w:rPr>
                  </w:pPr>
                  <w:r>
                    <w:rPr>
                      <w:rFonts w:hint="eastAsia"/>
                      <w:lang w:val="en-US" w:eastAsia="zh-CN"/>
                    </w:rPr>
                    <w:t>D1车间东侧绿地处</w:t>
                  </w:r>
                </w:p>
              </w:tc>
              <w:tc>
                <w:tcPr>
                  <w:tcW w:w="965" w:type="pct"/>
                  <w:tcBorders>
                    <w:tl2br w:val="nil"/>
                    <w:tr2bl w:val="nil"/>
                  </w:tcBorders>
                  <w:noWrap w:val="0"/>
                  <w:vAlign w:val="center"/>
                </w:tcPr>
                <w:p>
                  <w:pPr>
                    <w:pStyle w:val="31"/>
                    <w:bidi w:val="0"/>
                    <w:rPr>
                      <w:rFonts w:hint="default"/>
                      <w:lang w:val="en-US" w:eastAsia="zh-CN"/>
                    </w:rPr>
                  </w:pPr>
                  <w:r>
                    <w:rPr>
                      <w:rFonts w:hint="default"/>
                      <w:lang w:val="en-US" w:eastAsia="zh-CN"/>
                    </w:rPr>
                    <w:t>119°2</w:t>
                  </w:r>
                  <w:r>
                    <w:rPr>
                      <w:rFonts w:hint="eastAsia"/>
                      <w:lang w:val="en-US" w:eastAsia="zh-CN"/>
                    </w:rPr>
                    <w:t>2</w:t>
                  </w:r>
                  <w:r>
                    <w:rPr>
                      <w:rFonts w:hint="default"/>
                      <w:lang w:val="en-US" w:eastAsia="zh-CN"/>
                    </w:rPr>
                    <w:t>′4</w:t>
                  </w:r>
                  <w:r>
                    <w:rPr>
                      <w:rFonts w:hint="eastAsia"/>
                      <w:lang w:val="en-US" w:eastAsia="zh-CN"/>
                    </w:rPr>
                    <w:t>5</w:t>
                  </w:r>
                  <w:r>
                    <w:rPr>
                      <w:rFonts w:hint="default"/>
                      <w:lang w:val="en-US" w:eastAsia="zh-CN"/>
                    </w:rPr>
                    <w:t>.</w:t>
                  </w:r>
                  <w:r>
                    <w:rPr>
                      <w:rFonts w:hint="eastAsia"/>
                      <w:lang w:val="en-US" w:eastAsia="zh-CN"/>
                    </w:rPr>
                    <w:t>24</w:t>
                  </w:r>
                  <w:r>
                    <w:rPr>
                      <w:rFonts w:hint="default"/>
                      <w:lang w:val="en-US" w:eastAsia="zh-CN"/>
                    </w:rPr>
                    <w:t>″</w:t>
                  </w:r>
                  <w:r>
                    <w:rPr>
                      <w:rFonts w:hint="eastAsia"/>
                      <w:lang w:val="en-US" w:eastAsia="zh-CN"/>
                    </w:rPr>
                    <w:t>E，</w:t>
                  </w:r>
                  <w:r>
                    <w:rPr>
                      <w:rFonts w:hint="default"/>
                      <w:lang w:val="en-US" w:eastAsia="zh-CN"/>
                    </w:rPr>
                    <w:t>25°5</w:t>
                  </w:r>
                  <w:r>
                    <w:rPr>
                      <w:rFonts w:hint="eastAsia"/>
                      <w:lang w:val="en-US" w:eastAsia="zh-CN"/>
                    </w:rPr>
                    <w:t>5</w:t>
                  </w:r>
                  <w:r>
                    <w:rPr>
                      <w:rFonts w:hint="default"/>
                      <w:lang w:val="en-US" w:eastAsia="zh-CN"/>
                    </w:rPr>
                    <w:t>′</w:t>
                  </w:r>
                  <w:r>
                    <w:rPr>
                      <w:rFonts w:hint="eastAsia"/>
                      <w:lang w:val="en-US" w:eastAsia="zh-CN"/>
                    </w:rPr>
                    <w:t>55.60</w:t>
                  </w:r>
                  <w:r>
                    <w:rPr>
                      <w:rFonts w:hint="default"/>
                      <w:lang w:val="en-US" w:eastAsia="zh-CN"/>
                    </w:rPr>
                    <w:t>″</w:t>
                  </w:r>
                  <w:r>
                    <w:rPr>
                      <w:rFonts w:hint="eastAsia"/>
                      <w:lang w:val="en-US" w:eastAsia="zh-CN"/>
                    </w:rPr>
                    <w:t>N</w:t>
                  </w:r>
                </w:p>
              </w:tc>
              <w:tc>
                <w:tcPr>
                  <w:tcW w:w="2680" w:type="pct"/>
                  <w:tcBorders>
                    <w:tl2br w:val="nil"/>
                    <w:tr2bl w:val="nil"/>
                  </w:tcBorders>
                  <w:noWrap w:val="0"/>
                  <w:vAlign w:val="center"/>
                </w:tcPr>
                <w:p>
                  <w:pPr>
                    <w:pStyle w:val="31"/>
                    <w:bidi w:val="0"/>
                    <w:rPr>
                      <w:rFonts w:hint="default"/>
                      <w:lang w:val="en-US" w:eastAsia="zh-CN"/>
                    </w:rPr>
                  </w:pPr>
                  <w:r>
                    <w:rPr>
                      <w:rFonts w:hint="default"/>
                    </w:rPr>
                    <w:t>K</w:t>
                  </w:r>
                  <w:r>
                    <w:rPr>
                      <w:rFonts w:hint="default"/>
                      <w:vertAlign w:val="superscript"/>
                    </w:rPr>
                    <w:t>+</w:t>
                  </w:r>
                  <w:r>
                    <w:rPr>
                      <w:rFonts w:hint="default"/>
                    </w:rPr>
                    <w:t>、Na</w:t>
                  </w:r>
                  <w:r>
                    <w:rPr>
                      <w:rFonts w:hint="default"/>
                      <w:vertAlign w:val="superscript"/>
                    </w:rPr>
                    <w:t>+</w:t>
                  </w:r>
                  <w:r>
                    <w:rPr>
                      <w:rFonts w:hint="default"/>
                    </w:rPr>
                    <w:t>、Ca</w:t>
                  </w:r>
                  <w:r>
                    <w:rPr>
                      <w:rFonts w:hint="default"/>
                      <w:vertAlign w:val="superscript"/>
                    </w:rPr>
                    <w:t>2+</w:t>
                  </w:r>
                  <w:r>
                    <w:rPr>
                      <w:rFonts w:hint="default"/>
                    </w:rPr>
                    <w:t>、Mg</w:t>
                  </w:r>
                  <w:r>
                    <w:rPr>
                      <w:rFonts w:hint="default"/>
                      <w:vertAlign w:val="superscript"/>
                    </w:rPr>
                    <w:t>2+</w:t>
                  </w:r>
                  <w:r>
                    <w:rPr>
                      <w:rFonts w:hint="default"/>
                    </w:rPr>
                    <w:t>、HCO</w:t>
                  </w:r>
                  <w:r>
                    <w:rPr>
                      <w:rFonts w:hint="default"/>
                      <w:vertAlign w:val="superscript"/>
                    </w:rPr>
                    <w:t>3-</w:t>
                  </w:r>
                  <w:r>
                    <w:rPr>
                      <w:rFonts w:hint="default"/>
                    </w:rPr>
                    <w:t>、NO</w:t>
                  </w:r>
                  <w:r>
                    <w:rPr>
                      <w:rFonts w:hint="default"/>
                      <w:vertAlign w:val="superscript"/>
                    </w:rPr>
                    <w:t>3-</w:t>
                  </w:r>
                  <w:r>
                    <w:rPr>
                      <w:rFonts w:hint="default"/>
                    </w:rPr>
                    <w:t>、Cl</w:t>
                  </w:r>
                  <w:r>
                    <w:rPr>
                      <w:rFonts w:hint="default"/>
                      <w:vertAlign w:val="superscript"/>
                    </w:rPr>
                    <w:t>-</w:t>
                  </w:r>
                  <w:r>
                    <w:rPr>
                      <w:rFonts w:hint="default"/>
                    </w:rPr>
                    <w:t>、SO4</w:t>
                  </w:r>
                  <w:r>
                    <w:rPr>
                      <w:rFonts w:hint="default"/>
                      <w:vertAlign w:val="superscript"/>
                    </w:rPr>
                    <w:t>2-</w:t>
                  </w:r>
                  <w:r>
                    <w:rPr>
                      <w:rFonts w:hint="eastAsia"/>
                      <w:lang w:val="en-US" w:eastAsia="zh-CN"/>
                    </w:rPr>
                    <w:t>、</w:t>
                  </w:r>
                  <w:r>
                    <w:rPr>
                      <w:rFonts w:hint="default"/>
                    </w:rPr>
                    <w:t>pH、氨氮、硝酸盐、亚硝酸盐、挥发性酚类、氰化物、砷、汞、铬</w:t>
                  </w:r>
                  <w:r>
                    <w:rPr>
                      <w:rFonts w:hint="eastAsia"/>
                      <w:lang w:eastAsia="zh-CN"/>
                    </w:rPr>
                    <w:t>（</w:t>
                  </w:r>
                  <w:r>
                    <w:rPr>
                      <w:rFonts w:hint="default"/>
                    </w:rPr>
                    <w:t>六价</w:t>
                  </w:r>
                  <w:r>
                    <w:rPr>
                      <w:rFonts w:hint="eastAsia"/>
                      <w:lang w:eastAsia="zh-CN"/>
                    </w:rPr>
                    <w:t>）</w:t>
                  </w:r>
                  <w:r>
                    <w:rPr>
                      <w:rFonts w:hint="default"/>
                    </w:rPr>
                    <w:t>、总硬度、铅、氟、镉、铁、锰、溶解性总固体、高锰酸盐指数、硫酸盐、氯化物、大肠菌群</w:t>
                  </w:r>
                  <w:r>
                    <w:rPr>
                      <w:rFonts w:hint="eastAsia"/>
                      <w:lang w:val="en-US" w:eastAsia="zh-CN"/>
                    </w:rPr>
                    <w:t>+石油烃+水位</w:t>
                  </w:r>
                </w:p>
              </w:tc>
              <w:tc>
                <w:tcPr>
                  <w:tcW w:w="708" w:type="pct"/>
                  <w:tcBorders>
                    <w:tl2br w:val="nil"/>
                    <w:tr2bl w:val="nil"/>
                  </w:tcBorders>
                  <w:noWrap w:val="0"/>
                  <w:vAlign w:val="center"/>
                </w:tcPr>
                <w:p>
                  <w:pPr>
                    <w:pStyle w:val="31"/>
                    <w:bidi w:val="0"/>
                    <w:rPr>
                      <w:rFonts w:hint="default"/>
                      <w:lang w:val="en-US" w:eastAsia="zh-CN"/>
                    </w:rPr>
                  </w:pPr>
                  <w:r>
                    <w:rPr>
                      <w:rFonts w:hint="default"/>
                      <w:lang w:val="en-US" w:eastAsia="zh-CN"/>
                    </w:rPr>
                    <w:t>GB</w:t>
                  </w:r>
                  <w:r>
                    <w:rPr>
                      <w:rFonts w:hint="eastAsia"/>
                      <w:lang w:val="en-US" w:eastAsia="zh-CN"/>
                    </w:rPr>
                    <w:t>/T 14848-2017</w:t>
                  </w:r>
                  <w:r>
                    <w:rPr>
                      <w:rFonts w:hint="default"/>
                      <w:lang w:val="en-US" w:eastAsia="zh-CN"/>
                    </w:rPr>
                    <w:t>中</w:t>
                  </w:r>
                  <w:r>
                    <w:rPr>
                      <w:rFonts w:hint="eastAsia"/>
                      <w:lang w:val="en-US" w:eastAsia="zh-CN"/>
                    </w:rPr>
                    <w:t>三类标准</w:t>
                  </w:r>
                </w:p>
              </w:tc>
            </w:tr>
          </w:tbl>
          <w:p>
            <w:pPr>
              <w:pStyle w:val="8"/>
              <w:numPr>
                <w:ilvl w:val="-1"/>
                <w:numId w:val="0"/>
              </w:numPr>
              <w:bidi w:val="0"/>
              <w:ind w:firstLine="0" w:firstLineChars="0"/>
              <w:rPr>
                <w:rFonts w:hint="default"/>
                <w:lang w:val="en-US" w:eastAsia="zh-CN"/>
              </w:rPr>
            </w:pPr>
          </w:p>
          <w:p>
            <w:pPr>
              <w:pStyle w:val="8"/>
              <w:numPr>
                <w:ilvl w:val="0"/>
                <w:numId w:val="10"/>
              </w:numPr>
              <w:bidi w:val="0"/>
              <w:rPr>
                <w:rFonts w:hint="default"/>
                <w:lang w:val="en-US" w:eastAsia="zh-CN"/>
              </w:rPr>
            </w:pPr>
            <w:r>
              <w:rPr>
                <w:rFonts w:hint="eastAsia"/>
                <w:lang w:val="en-US" w:eastAsia="zh-CN"/>
              </w:rPr>
              <w:t>评价标准</w:t>
            </w:r>
          </w:p>
          <w:p>
            <w:pPr>
              <w:pStyle w:val="8"/>
              <w:bidi w:val="0"/>
              <w:rPr>
                <w:rFonts w:hint="default"/>
                <w:lang w:val="en-US" w:eastAsia="zh-CN"/>
              </w:rPr>
            </w:pPr>
            <w:r>
              <w:rPr>
                <w:rFonts w:hint="default"/>
              </w:rPr>
              <w:t>本</w:t>
            </w:r>
            <w:r>
              <w:rPr>
                <w:rFonts w:hint="eastAsia"/>
                <w:lang w:val="en-US" w:eastAsia="zh-CN"/>
              </w:rPr>
              <w:t>项目位于闽侯县青口汽车工业园区，项目所在区域地下水执行《地下水质量标准》（GB/T14848-2017）Ⅲ类标准。</w:t>
            </w:r>
          </w:p>
          <w:p>
            <w:pPr>
              <w:pStyle w:val="8"/>
              <w:numPr>
                <w:ilvl w:val="0"/>
                <w:numId w:val="10"/>
              </w:numPr>
              <w:bidi w:val="0"/>
              <w:rPr>
                <w:rFonts w:hint="default"/>
                <w:lang w:val="en-US" w:eastAsia="zh-CN"/>
              </w:rPr>
            </w:pPr>
            <w:r>
              <w:rPr>
                <w:rFonts w:hint="eastAsia"/>
                <w:lang w:val="en-US" w:eastAsia="zh-CN"/>
              </w:rPr>
              <w:t>监测结果与分析</w:t>
            </w:r>
          </w:p>
          <w:p>
            <w:pPr>
              <w:pStyle w:val="8"/>
              <w:bidi w:val="0"/>
              <w:rPr>
                <w:rFonts w:hint="eastAsia"/>
                <w:lang w:val="en-US" w:eastAsia="zh-CN"/>
              </w:rPr>
            </w:pPr>
            <w:r>
              <w:rPr>
                <w:rFonts w:hint="eastAsia"/>
                <w:lang w:val="en-US" w:eastAsia="zh-CN"/>
              </w:rPr>
              <w:t>根据《建设项目环境影响报告表编制技术指南（污染影响类）（试行）》规定，项目存在土壤、地下水环境污染途径的，应结合污染源、保护目标分布情况开展现状调查以留作背景值。</w:t>
            </w:r>
          </w:p>
          <w:p>
            <w:pPr>
              <w:pStyle w:val="8"/>
              <w:bidi w:val="0"/>
              <w:rPr>
                <w:rFonts w:hint="default"/>
                <w:lang w:val="en-US" w:eastAsia="zh-CN"/>
              </w:rPr>
            </w:pPr>
            <w:r>
              <w:rPr>
                <w:rFonts w:hint="eastAsia"/>
                <w:lang w:val="en-US" w:eastAsia="zh-CN"/>
              </w:rPr>
              <w:t>根据地下水监测结果分析，各项污染物指标均符合执行《地下水质量标准》（GB/T14848-2017）Ⅲ类标准。</w:t>
            </w:r>
          </w:p>
          <w:p>
            <w:pPr>
              <w:pStyle w:val="30"/>
              <w:bidi w:val="0"/>
              <w:rPr>
                <w:rFonts w:hint="default"/>
                <w:lang w:val="en-US" w:eastAsia="zh-CN"/>
              </w:rPr>
            </w:pPr>
            <w:bookmarkStart w:id="55" w:name="_Ref16029"/>
            <w:r>
              <w:rPr>
                <w:rFonts w:hint="eastAsia"/>
                <w:lang w:val="en-US" w:eastAsia="zh-CN"/>
              </w:rPr>
              <w:t>地下水监测结果</w:t>
            </w:r>
            <w:bookmarkEnd w:id="55"/>
          </w:p>
          <w:tbl>
            <w:tblPr>
              <w:tblStyle w:val="2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41"/>
              <w:gridCol w:w="1955"/>
              <w:gridCol w:w="2250"/>
              <w:gridCol w:w="225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pPr>
                  <w:r>
                    <w:t>检测项目</w:t>
                  </w:r>
                </w:p>
              </w:tc>
              <w:tc>
                <w:tcPr>
                  <w:tcW w:w="1086" w:type="pct"/>
                  <w:noWrap w:val="0"/>
                  <w:vAlign w:val="center"/>
                </w:tcPr>
                <w:p>
                  <w:pPr>
                    <w:pStyle w:val="31"/>
                    <w:bidi w:val="0"/>
                    <w:rPr>
                      <w:rFonts w:hint="eastAsia"/>
                    </w:rPr>
                  </w:pPr>
                  <w:r>
                    <w:rPr>
                      <w:rFonts w:hint="eastAsia"/>
                    </w:rPr>
                    <w:t>单位</w:t>
                  </w:r>
                </w:p>
              </w:tc>
              <w:tc>
                <w:tcPr>
                  <w:tcW w:w="1250" w:type="pct"/>
                  <w:noWrap w:val="0"/>
                  <w:vAlign w:val="center"/>
                </w:tcPr>
                <w:p>
                  <w:pPr>
                    <w:pStyle w:val="31"/>
                    <w:bidi w:val="0"/>
                  </w:pPr>
                  <w:r>
                    <w:t>检测结果</w:t>
                  </w:r>
                </w:p>
              </w:tc>
              <w:tc>
                <w:tcPr>
                  <w:tcW w:w="1250" w:type="pct"/>
                  <w:noWrap w:val="0"/>
                  <w:vAlign w:val="center"/>
                </w:tcPr>
                <w:p>
                  <w:pPr>
                    <w:pStyle w:val="31"/>
                    <w:bidi w:val="0"/>
                    <w:rPr>
                      <w:rFonts w:hint="default"/>
                      <w:lang w:val="en-US" w:eastAsia="zh-CN"/>
                    </w:rPr>
                  </w:pPr>
                  <w:r>
                    <w:rPr>
                      <w:rFonts w:hint="eastAsia"/>
                      <w:lang w:val="en-US" w:eastAsia="zh-CN"/>
                    </w:rPr>
                    <w:t>标准限值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rPr>
                      <w:rFonts w:hint="default"/>
                      <w:lang w:val="en-US" w:eastAsia="zh-CN"/>
                    </w:rPr>
                  </w:pPr>
                  <w:r>
                    <w:rPr>
                      <w:rFonts w:hint="eastAsia"/>
                      <w:lang w:val="en-US" w:eastAsia="zh-CN"/>
                    </w:rPr>
                    <w:t>pH值</w:t>
                  </w:r>
                </w:p>
              </w:tc>
              <w:tc>
                <w:tcPr>
                  <w:tcW w:w="1086" w:type="pct"/>
                  <w:noWrap w:val="0"/>
                  <w:vAlign w:val="center"/>
                </w:tcPr>
                <w:p>
                  <w:pPr>
                    <w:pStyle w:val="31"/>
                    <w:bidi w:val="0"/>
                    <w:rPr>
                      <w:rFonts w:hint="eastAsia" w:eastAsia="宋体"/>
                      <w:lang w:val="en-US" w:eastAsia="zh-CN"/>
                    </w:rPr>
                  </w:pPr>
                  <w:r>
                    <w:rPr>
                      <w:rFonts w:hint="eastAsia"/>
                      <w:lang w:val="en-US" w:eastAsia="zh-CN"/>
                    </w:rPr>
                    <w:t>无量纲</w:t>
                  </w:r>
                </w:p>
              </w:tc>
              <w:tc>
                <w:tcPr>
                  <w:tcW w:w="1250" w:type="pct"/>
                  <w:noWrap w:val="0"/>
                  <w:vAlign w:val="center"/>
                </w:tcPr>
                <w:p>
                  <w:pPr>
                    <w:pStyle w:val="31"/>
                    <w:bidi w:val="0"/>
                    <w:rPr>
                      <w:rFonts w:hint="default"/>
                      <w:lang w:val="en-US" w:eastAsia="zh-CN"/>
                    </w:rPr>
                  </w:pPr>
                </w:p>
              </w:tc>
              <w:tc>
                <w:tcPr>
                  <w:tcW w:w="1250" w:type="pct"/>
                  <w:noWrap w:val="0"/>
                  <w:vAlign w:val="center"/>
                </w:tcPr>
                <w:p>
                  <w:pPr>
                    <w:pStyle w:val="31"/>
                    <w:bidi w:val="0"/>
                    <w:rPr>
                      <w:rFonts w:hint="default"/>
                      <w:lang w:val="en-US" w:eastAsia="zh-CN"/>
                    </w:rPr>
                  </w:pPr>
                  <w:r>
                    <w:rPr>
                      <w:rFonts w:hint="eastAsia"/>
                      <w:lang w:val="en-US" w:eastAsia="zh-CN"/>
                    </w:rPr>
                    <w:t>6.5~8.5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rPr>
                    <w:t>总硬度</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450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rPr>
                    <w:t>溶解性总固体</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rPr>
                    <w:t>挥发酚</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0.002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硝酸盐（以氮计）</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氯化物</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氟化物</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rPr>
                    <w:t>硫酸盐</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亚硝酸盐（以氮计）</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氰化物</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rPr>
                      <w:rFonts w:hint="default"/>
                      <w:lang w:val="en-US" w:eastAsia="zh-CN"/>
                    </w:rPr>
                  </w:pPr>
                  <w:r>
                    <w:rPr>
                      <w:rFonts w:hint="eastAsia"/>
                      <w:lang w:val="en-US" w:eastAsia="zh-CN"/>
                    </w:rPr>
                    <w:t>高锰酸盐指数（以O</w:t>
                  </w:r>
                  <w:r>
                    <w:rPr>
                      <w:rFonts w:hint="eastAsia"/>
                      <w:vertAlign w:val="subscript"/>
                      <w:lang w:val="en-US" w:eastAsia="zh-CN"/>
                    </w:rPr>
                    <w:t>2计</w:t>
                  </w:r>
                  <w:r>
                    <w:rPr>
                      <w:rFonts w:hint="eastAsia"/>
                      <w:lang w:val="en-US" w:eastAsia="zh-CN"/>
                    </w:rPr>
                    <w:t>）</w:t>
                  </w:r>
                </w:p>
              </w:tc>
              <w:tc>
                <w:tcPr>
                  <w:tcW w:w="1086" w:type="pct"/>
                  <w:noWrap w:val="0"/>
                  <w:vAlign w:val="center"/>
                </w:tcPr>
                <w:p>
                  <w:pPr>
                    <w:pStyle w:val="31"/>
                    <w:bidi w:val="0"/>
                    <w:rPr>
                      <w:rFonts w:hint="eastAsia"/>
                      <w:lang w:val="en-US" w:eastAsia="zh-CN"/>
                    </w:rPr>
                  </w:pPr>
                  <w:r>
                    <w:rPr>
                      <w:rFonts w:hint="eastAsia"/>
                      <w:lang w:val="en-US" w:eastAsia="zh-CN"/>
                    </w:rPr>
                    <w:t>mg/L</w:t>
                  </w:r>
                </w:p>
              </w:tc>
              <w:tc>
                <w:tcPr>
                  <w:tcW w:w="1250" w:type="pct"/>
                  <w:noWrap w:val="0"/>
                  <w:vAlign w:val="center"/>
                </w:tcPr>
                <w:p>
                  <w:pPr>
                    <w:pStyle w:val="31"/>
                    <w:bidi w:val="0"/>
                    <w:rPr>
                      <w:rFonts w:hint="default"/>
                      <w:lang w:val="en-US" w:eastAsia="zh-CN"/>
                    </w:rPr>
                  </w:pPr>
                </w:p>
              </w:tc>
              <w:tc>
                <w:tcPr>
                  <w:tcW w:w="1250" w:type="pct"/>
                  <w:noWrap w:val="0"/>
                  <w:vAlign w:val="center"/>
                </w:tcPr>
                <w:p>
                  <w:pPr>
                    <w:pStyle w:val="31"/>
                    <w:bidi w:val="0"/>
                    <w:rPr>
                      <w:rFonts w:hint="default"/>
                      <w:lang w:val="en-US" w:eastAsia="zh-CN"/>
                    </w:rPr>
                  </w:pPr>
                  <w:r>
                    <w:rPr>
                      <w:rFonts w:hint="eastAsia"/>
                      <w:lang w:val="en-US" w:eastAsia="zh-CN"/>
                    </w:rPr>
                    <w:t>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氨氮</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rPr>
                    <w:t>铁</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rPr>
                    <w:t>锰</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rPr>
                    <w:t>镉</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rPr>
                    <w:t>汞</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rPr>
                    <w:t>砷</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rPr>
                    <w:t>铅</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rPr>
                    <w:t>六价铬</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eastAsia="zh-CN"/>
                    </w:rPr>
                    <w:t>总大肠菌数</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default"/>
                      <w:lang w:val="en-US" w:eastAsia="zh-CN"/>
                    </w:rPr>
                    <w:t>MPN</w:t>
                  </w:r>
                  <w:r>
                    <w:rPr>
                      <w:rFonts w:hint="default"/>
                    </w:rPr>
                    <w:t>/</w:t>
                  </w:r>
                  <w:r>
                    <w:rPr>
                      <w:rFonts w:hint="eastAsia"/>
                      <w:lang w:val="en-US" w:eastAsia="zh-CN"/>
                    </w:rPr>
                    <w:t>100m</w:t>
                  </w:r>
                  <w:r>
                    <w:rPr>
                      <w:rFonts w:hint="default"/>
                      <w:lang w:val="en-US" w:eastAsia="zh-CN"/>
                    </w:rPr>
                    <w:t>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2"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highlight w:val="none"/>
                      <w:lang w:val="en-US" w:eastAsia="zh-CN" w:bidi="ar-SA"/>
                    </w:rPr>
                  </w:pPr>
                  <w:r>
                    <w:rPr>
                      <w:rFonts w:hint="eastAsia"/>
                      <w:highlight w:val="none"/>
                    </w:rPr>
                    <w:t>石油烃C</w:t>
                  </w:r>
                  <w:r>
                    <w:rPr>
                      <w:rFonts w:hint="eastAsia"/>
                      <w:highlight w:val="none"/>
                      <w:vertAlign w:val="subscript"/>
                    </w:rPr>
                    <w:t>10</w:t>
                  </w:r>
                  <w:r>
                    <w:rPr>
                      <w:rFonts w:hint="eastAsia"/>
                      <w:highlight w:val="none"/>
                    </w:rPr>
                    <w:t>-</w:t>
                  </w:r>
                  <w:r>
                    <w:rPr>
                      <w:rFonts w:hint="eastAsia"/>
                      <w:highlight w:val="none"/>
                      <w:lang w:val="en-US" w:eastAsia="zh-CN"/>
                    </w:rPr>
                    <w:t>C</w:t>
                  </w:r>
                  <w:r>
                    <w:rPr>
                      <w:rFonts w:hint="eastAsia"/>
                      <w:highlight w:val="none"/>
                      <w:vertAlign w:val="subscript"/>
                    </w:rPr>
                    <w:t>40</w:t>
                  </w:r>
                </w:p>
              </w:tc>
              <w:tc>
                <w:tcPr>
                  <w:tcW w:w="1086" w:type="pct"/>
                  <w:noWrap w:val="0"/>
                  <w:vAlign w:val="center"/>
                </w:tcPr>
                <w:p>
                  <w:pPr>
                    <w:pStyle w:val="31"/>
                    <w:bidi w:val="0"/>
                    <w:ind w:left="0" w:leftChars="0" w:firstLine="0" w:firstLineChars="0"/>
                    <w:rPr>
                      <w:rFonts w:hint="eastAsia" w:ascii="Times New Roman" w:hAnsi="Times New Roman" w:eastAsia="宋体" w:cs="Times New Roman"/>
                      <w:kern w:val="2"/>
                      <w:sz w:val="21"/>
                      <w:szCs w:val="24"/>
                      <w:highlight w:val="none"/>
                      <w:lang w:val="en-US" w:eastAsia="zh-CN" w:bidi="ar-SA"/>
                    </w:rPr>
                  </w:pPr>
                  <w:r>
                    <w:rPr>
                      <w:highlight w:val="none"/>
                    </w:rPr>
                    <w:t>mg/L</w:t>
                  </w: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p>
              </w:tc>
              <w:tc>
                <w:tcPr>
                  <w:tcW w:w="1250" w:type="pct"/>
                  <w:noWrap w:val="0"/>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w:t>
                  </w:r>
                </w:p>
              </w:tc>
            </w:tr>
          </w:tbl>
          <w:p>
            <w:pPr>
              <w:pStyle w:val="4"/>
              <w:numPr>
                <w:ilvl w:val="1"/>
                <w:numId w:val="0"/>
              </w:numPr>
              <w:tabs>
                <w:tab w:val="left" w:pos="420"/>
              </w:tabs>
              <w:ind w:leftChars="0"/>
              <w:rPr>
                <w:rFonts w:hint="default"/>
                <w:highlight w:val="none"/>
              </w:rPr>
            </w:pPr>
          </w:p>
          <w:p>
            <w:pPr>
              <w:pStyle w:val="4"/>
              <w:numPr>
                <w:ilvl w:val="1"/>
                <w:numId w:val="9"/>
              </w:numPr>
              <w:tabs>
                <w:tab w:val="left" w:pos="420"/>
              </w:tabs>
              <w:rPr>
                <w:rFonts w:hint="default"/>
                <w:highlight w:val="none"/>
              </w:rPr>
            </w:pPr>
            <w:r>
              <w:rPr>
                <w:rFonts w:hint="eastAsia"/>
                <w:highlight w:val="none"/>
                <w:lang w:val="en-US" w:eastAsia="zh-CN"/>
              </w:rPr>
              <w:t>土壤环境质量现状</w:t>
            </w:r>
          </w:p>
          <w:p>
            <w:pPr>
              <w:pStyle w:val="8"/>
              <w:bidi w:val="0"/>
              <w:rPr>
                <w:rFonts w:hint="eastAsia"/>
                <w:lang w:val="en-US" w:eastAsia="zh-CN"/>
              </w:rPr>
            </w:pPr>
            <w:r>
              <w:rPr>
                <w:rFonts w:hint="eastAsia"/>
                <w:lang w:val="en-US" w:eastAsia="zh-CN"/>
              </w:rPr>
              <w:t>为了解项目所在区域的土壤环境质量现状，本次评价委托福建九五检测技术服务有限公司于11月23日对车间东侧绿地处进行监测。监测频次为1天1次，监测结果见</w:t>
            </w:r>
            <w:r>
              <w:rPr>
                <w:rFonts w:hint="eastAsia"/>
                <w:lang w:val="en-US" w:eastAsia="zh-CN"/>
              </w:rPr>
              <w:fldChar w:fldCharType="begin"/>
            </w:r>
            <w:r>
              <w:rPr>
                <w:rFonts w:hint="eastAsia"/>
                <w:lang w:val="en-US" w:eastAsia="zh-CN"/>
              </w:rPr>
              <w:instrText xml:space="preserve">REF_Ref16470\n\h</w:instrText>
            </w:r>
            <w:r>
              <w:rPr>
                <w:rFonts w:hint="eastAsia"/>
                <w:lang w:val="en-US" w:eastAsia="zh-CN"/>
              </w:rPr>
              <w:fldChar w:fldCharType="separate"/>
            </w:r>
            <w:r>
              <w:rPr>
                <w:rFonts w:hint="eastAsia"/>
                <w:lang w:val="en-US" w:eastAsia="zh-CN"/>
              </w:rPr>
              <w:t>表20</w:t>
            </w:r>
            <w:r>
              <w:rPr>
                <w:rFonts w:hint="eastAsia"/>
                <w:lang w:val="en-US" w:eastAsia="zh-CN"/>
              </w:rPr>
              <w:fldChar w:fldCharType="end"/>
            </w:r>
            <w:r>
              <w:rPr>
                <w:rFonts w:hint="eastAsia"/>
                <w:lang w:val="en-US" w:eastAsia="zh-CN"/>
              </w:rPr>
              <w:t>，监测点位图见附图3。</w:t>
            </w:r>
          </w:p>
          <w:p>
            <w:pPr>
              <w:pStyle w:val="8"/>
              <w:numPr>
                <w:ilvl w:val="0"/>
                <w:numId w:val="11"/>
              </w:numPr>
              <w:bidi w:val="0"/>
              <w:ind w:firstLine="0"/>
              <w:rPr>
                <w:rFonts w:hint="eastAsia"/>
                <w:lang w:val="en-US" w:eastAsia="zh-CN"/>
              </w:rPr>
            </w:pPr>
            <w:r>
              <w:rPr>
                <w:rFonts w:hint="eastAsia"/>
                <w:lang w:val="en-US" w:eastAsia="zh-CN"/>
              </w:rPr>
              <w:t>监测方案</w:t>
            </w:r>
          </w:p>
          <w:p>
            <w:pPr>
              <w:pStyle w:val="8"/>
              <w:numPr>
                <w:ilvl w:val="-1"/>
                <w:numId w:val="0"/>
              </w:numPr>
              <w:bidi w:val="0"/>
              <w:ind w:firstLine="480" w:firstLineChars="200"/>
              <w:rPr>
                <w:rFonts w:hint="default"/>
                <w:lang w:val="en-US" w:eastAsia="zh-CN"/>
              </w:rPr>
            </w:pPr>
            <w:r>
              <w:rPr>
                <w:rFonts w:hint="eastAsia"/>
                <w:lang w:val="en-US" w:eastAsia="zh-CN"/>
              </w:rPr>
              <w:t>本项目监测方案见下表。</w:t>
            </w:r>
          </w:p>
          <w:p>
            <w:pPr>
              <w:pStyle w:val="30"/>
              <w:bidi w:val="0"/>
              <w:rPr>
                <w:rFonts w:hint="eastAsia"/>
                <w:lang w:val="en-US" w:eastAsia="zh-CN"/>
              </w:rPr>
            </w:pPr>
            <w:r>
              <w:rPr>
                <w:rFonts w:hint="eastAsia"/>
                <w:lang w:val="en-US" w:eastAsia="zh-CN"/>
              </w:rPr>
              <w:t>土壤环境质量监测方案</w:t>
            </w:r>
          </w:p>
          <w:tbl>
            <w:tblPr>
              <w:tblStyle w:val="24"/>
              <w:tblW w:w="4997" w:type="pct"/>
              <w:jc w:val="center"/>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0"/>
              <w:gridCol w:w="2493"/>
              <w:gridCol w:w="2456"/>
              <w:gridCol w:w="2067"/>
            </w:tblGrid>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6" w:type="pct"/>
                  <w:tcBorders>
                    <w:tl2br w:val="nil"/>
                    <w:tr2bl w:val="nil"/>
                  </w:tcBorders>
                  <w:noWrap w:val="0"/>
                  <w:vAlign w:val="center"/>
                </w:tcPr>
                <w:p>
                  <w:pPr>
                    <w:pStyle w:val="31"/>
                    <w:bidi w:val="0"/>
                    <w:rPr>
                      <w:rFonts w:hint="eastAsia"/>
                      <w:lang w:val="en-US" w:eastAsia="zh-CN"/>
                    </w:rPr>
                  </w:pPr>
                  <w:r>
                    <w:rPr>
                      <w:rFonts w:hint="eastAsia"/>
                      <w:lang w:val="en-US" w:eastAsia="zh-CN"/>
                    </w:rPr>
                    <w:t>监测</w:t>
                  </w:r>
                  <w:r>
                    <w:rPr>
                      <w:rFonts w:hint="default"/>
                    </w:rPr>
                    <w:t>位置</w:t>
                  </w:r>
                </w:p>
              </w:tc>
              <w:tc>
                <w:tcPr>
                  <w:tcW w:w="1387" w:type="pct"/>
                  <w:tcBorders>
                    <w:tl2br w:val="nil"/>
                    <w:tr2bl w:val="nil"/>
                  </w:tcBorders>
                  <w:noWrap w:val="0"/>
                  <w:vAlign w:val="center"/>
                </w:tcPr>
                <w:p>
                  <w:pPr>
                    <w:pStyle w:val="31"/>
                    <w:bidi w:val="0"/>
                    <w:rPr>
                      <w:rFonts w:hint="default"/>
                      <w:lang w:val="en-US" w:eastAsia="zh-CN"/>
                    </w:rPr>
                  </w:pPr>
                  <w:r>
                    <w:rPr>
                      <w:rFonts w:hint="default"/>
                      <w:lang w:val="en-US" w:eastAsia="zh-CN"/>
                    </w:rPr>
                    <w:t>经纬度</w:t>
                  </w:r>
                </w:p>
              </w:tc>
              <w:tc>
                <w:tcPr>
                  <w:tcW w:w="1366" w:type="pct"/>
                  <w:tcBorders>
                    <w:tl2br w:val="nil"/>
                    <w:tr2bl w:val="nil"/>
                  </w:tcBorders>
                  <w:noWrap w:val="0"/>
                  <w:vAlign w:val="center"/>
                </w:tcPr>
                <w:p>
                  <w:pPr>
                    <w:pStyle w:val="31"/>
                    <w:bidi w:val="0"/>
                    <w:rPr>
                      <w:rFonts w:hint="default"/>
                      <w:lang w:val="en-US" w:eastAsia="zh-CN"/>
                    </w:rPr>
                  </w:pPr>
                  <w:r>
                    <w:rPr>
                      <w:rFonts w:hint="default"/>
                    </w:rPr>
                    <w:t>监测</w:t>
                  </w:r>
                  <w:r>
                    <w:rPr>
                      <w:rFonts w:hint="default"/>
                      <w:lang w:val="en-US" w:eastAsia="zh-CN"/>
                    </w:rPr>
                    <w:t>因子</w:t>
                  </w:r>
                </w:p>
              </w:tc>
              <w:tc>
                <w:tcPr>
                  <w:tcW w:w="1150" w:type="pct"/>
                  <w:tcBorders>
                    <w:right w:val="nil"/>
                    <w:tl2br w:val="nil"/>
                    <w:tr2bl w:val="nil"/>
                  </w:tcBorders>
                  <w:noWrap w:val="0"/>
                  <w:vAlign w:val="center"/>
                </w:tcPr>
                <w:p>
                  <w:pPr>
                    <w:pStyle w:val="31"/>
                    <w:bidi w:val="0"/>
                    <w:rPr>
                      <w:rFonts w:hint="default"/>
                      <w:lang w:val="en-US" w:eastAsia="zh-CN"/>
                    </w:rPr>
                  </w:pPr>
                  <w:r>
                    <w:rPr>
                      <w:rFonts w:hint="default"/>
                    </w:rPr>
                    <w:t>执行标准</w:t>
                  </w:r>
                </w:p>
              </w:tc>
            </w:tr>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6" w:type="pct"/>
                  <w:tcBorders>
                    <w:tl2br w:val="nil"/>
                    <w:tr2bl w:val="nil"/>
                  </w:tcBorders>
                  <w:noWrap w:val="0"/>
                  <w:vAlign w:val="center"/>
                </w:tcPr>
                <w:p>
                  <w:pPr>
                    <w:pStyle w:val="31"/>
                    <w:bidi w:val="0"/>
                    <w:rPr>
                      <w:rFonts w:hint="default"/>
                      <w:lang w:val="en-US" w:eastAsia="zh-CN"/>
                    </w:rPr>
                  </w:pPr>
                  <w:r>
                    <w:rPr>
                      <w:rFonts w:hint="eastAsia"/>
                      <w:lang w:val="en-US" w:eastAsia="zh-CN"/>
                    </w:rPr>
                    <w:t>T1车间东侧绿地处</w:t>
                  </w:r>
                </w:p>
              </w:tc>
              <w:tc>
                <w:tcPr>
                  <w:tcW w:w="1387" w:type="pct"/>
                  <w:tcBorders>
                    <w:tl2br w:val="nil"/>
                    <w:tr2bl w:val="nil"/>
                  </w:tcBorders>
                  <w:noWrap w:val="0"/>
                  <w:vAlign w:val="center"/>
                </w:tcPr>
                <w:p>
                  <w:pPr>
                    <w:pStyle w:val="31"/>
                    <w:bidi w:val="0"/>
                    <w:rPr>
                      <w:rFonts w:hint="default"/>
                      <w:lang w:val="en-US" w:eastAsia="zh-CN"/>
                    </w:rPr>
                  </w:pPr>
                  <w:r>
                    <w:rPr>
                      <w:rFonts w:hint="default"/>
                      <w:lang w:val="en-US" w:eastAsia="zh-CN"/>
                    </w:rPr>
                    <w:t>119°2</w:t>
                  </w:r>
                  <w:r>
                    <w:rPr>
                      <w:rFonts w:hint="eastAsia"/>
                      <w:lang w:val="en-US" w:eastAsia="zh-CN"/>
                    </w:rPr>
                    <w:t>2</w:t>
                  </w:r>
                  <w:r>
                    <w:rPr>
                      <w:rFonts w:hint="default"/>
                      <w:lang w:val="en-US" w:eastAsia="zh-CN"/>
                    </w:rPr>
                    <w:t>′4</w:t>
                  </w:r>
                  <w:r>
                    <w:rPr>
                      <w:rFonts w:hint="eastAsia"/>
                      <w:lang w:val="en-US" w:eastAsia="zh-CN"/>
                    </w:rPr>
                    <w:t>5.24</w:t>
                  </w:r>
                  <w:r>
                    <w:rPr>
                      <w:rFonts w:hint="default"/>
                      <w:lang w:val="en-US" w:eastAsia="zh-CN"/>
                    </w:rPr>
                    <w:t>″</w:t>
                  </w:r>
                  <w:r>
                    <w:rPr>
                      <w:rFonts w:hint="eastAsia"/>
                      <w:lang w:val="en-US" w:eastAsia="zh-CN"/>
                    </w:rPr>
                    <w:t>E，</w:t>
                  </w:r>
                  <w:r>
                    <w:rPr>
                      <w:rFonts w:hint="default"/>
                      <w:lang w:val="en-US" w:eastAsia="zh-CN"/>
                    </w:rPr>
                    <w:t>25°5</w:t>
                  </w:r>
                  <w:r>
                    <w:rPr>
                      <w:rFonts w:hint="eastAsia"/>
                      <w:lang w:val="en-US" w:eastAsia="zh-CN"/>
                    </w:rPr>
                    <w:t>5</w:t>
                  </w:r>
                  <w:r>
                    <w:rPr>
                      <w:rFonts w:hint="default"/>
                      <w:lang w:val="en-US" w:eastAsia="zh-CN"/>
                    </w:rPr>
                    <w:t>′</w:t>
                  </w:r>
                  <w:r>
                    <w:rPr>
                      <w:rFonts w:hint="eastAsia"/>
                      <w:lang w:val="en-US" w:eastAsia="zh-CN"/>
                    </w:rPr>
                    <w:t>58.60</w:t>
                  </w:r>
                  <w:r>
                    <w:rPr>
                      <w:rFonts w:hint="default"/>
                      <w:lang w:val="en-US" w:eastAsia="zh-CN"/>
                    </w:rPr>
                    <w:t>″</w:t>
                  </w:r>
                  <w:r>
                    <w:rPr>
                      <w:rFonts w:hint="eastAsia"/>
                      <w:lang w:val="en-US" w:eastAsia="zh-CN"/>
                    </w:rPr>
                    <w:t>N</w:t>
                  </w:r>
                </w:p>
              </w:tc>
              <w:tc>
                <w:tcPr>
                  <w:tcW w:w="1366" w:type="pct"/>
                  <w:tcBorders>
                    <w:tl2br w:val="nil"/>
                    <w:tr2bl w:val="nil"/>
                  </w:tcBorders>
                  <w:noWrap w:val="0"/>
                  <w:vAlign w:val="center"/>
                </w:tcPr>
                <w:p>
                  <w:pPr>
                    <w:pStyle w:val="31"/>
                    <w:bidi w:val="0"/>
                    <w:rPr>
                      <w:rFonts w:hint="default"/>
                      <w:lang w:val="en-US" w:eastAsia="zh-CN"/>
                    </w:rPr>
                  </w:pPr>
                  <w:r>
                    <w:rPr>
                      <w:rFonts w:hint="eastAsia"/>
                      <w:lang w:val="en-US" w:eastAsia="zh-CN"/>
                    </w:rPr>
                    <w:t>45项+石油烃</w:t>
                  </w:r>
                </w:p>
              </w:tc>
              <w:tc>
                <w:tcPr>
                  <w:tcW w:w="1150" w:type="pct"/>
                  <w:tcBorders>
                    <w:right w:val="nil"/>
                    <w:tl2br w:val="nil"/>
                    <w:tr2bl w:val="nil"/>
                  </w:tcBorders>
                  <w:noWrap w:val="0"/>
                  <w:vAlign w:val="center"/>
                </w:tcPr>
                <w:p>
                  <w:pPr>
                    <w:pStyle w:val="31"/>
                    <w:bidi w:val="0"/>
                    <w:rPr>
                      <w:rFonts w:hint="eastAsia" w:eastAsia="宋体"/>
                      <w:lang w:val="en-US" w:eastAsia="zh-CN"/>
                    </w:rPr>
                  </w:pPr>
                  <w:r>
                    <w:rPr>
                      <w:rFonts w:hint="default"/>
                      <w:lang w:val="en-US" w:eastAsia="zh-CN"/>
                    </w:rPr>
                    <w:t>GB</w:t>
                  </w:r>
                  <w:r>
                    <w:rPr>
                      <w:rFonts w:hint="eastAsia"/>
                      <w:lang w:val="en-US" w:eastAsia="zh-CN"/>
                    </w:rPr>
                    <w:t>36600-2018</w:t>
                  </w:r>
                  <w:r>
                    <w:rPr>
                      <w:rFonts w:hint="default"/>
                      <w:lang w:val="en-US" w:eastAsia="zh-CN"/>
                    </w:rPr>
                    <w:t>中第二类</w:t>
                  </w:r>
                  <w:r>
                    <w:rPr>
                      <w:rFonts w:hint="eastAsia"/>
                      <w:lang w:val="en-US" w:eastAsia="zh-CN"/>
                    </w:rPr>
                    <w:t>用地筛选值</w:t>
                  </w:r>
                </w:p>
              </w:tc>
            </w:tr>
          </w:tbl>
          <w:p>
            <w:pPr>
              <w:pStyle w:val="8"/>
              <w:numPr>
                <w:ilvl w:val="0"/>
                <w:numId w:val="0"/>
              </w:numPr>
              <w:bidi w:val="0"/>
              <w:rPr>
                <w:rFonts w:hint="default"/>
                <w:lang w:val="en-US" w:eastAsia="zh-CN"/>
              </w:rPr>
            </w:pPr>
          </w:p>
          <w:p>
            <w:pPr>
              <w:pStyle w:val="8"/>
              <w:numPr>
                <w:ilvl w:val="0"/>
                <w:numId w:val="11"/>
              </w:numPr>
              <w:bidi w:val="0"/>
              <w:rPr>
                <w:rFonts w:hint="default"/>
                <w:lang w:val="en-US" w:eastAsia="zh-CN"/>
              </w:rPr>
            </w:pPr>
            <w:r>
              <w:rPr>
                <w:rFonts w:hint="eastAsia"/>
                <w:lang w:val="en-US" w:eastAsia="zh-CN"/>
              </w:rPr>
              <w:t>评价标准</w:t>
            </w:r>
          </w:p>
          <w:p>
            <w:pPr>
              <w:pStyle w:val="8"/>
              <w:bidi w:val="0"/>
              <w:rPr>
                <w:rFonts w:hint="default"/>
                <w:lang w:val="en-US" w:eastAsia="zh-CN"/>
              </w:rPr>
            </w:pPr>
            <w:r>
              <w:rPr>
                <w:rFonts w:hint="default"/>
              </w:rPr>
              <w:t>本</w:t>
            </w:r>
            <w:r>
              <w:rPr>
                <w:rFonts w:hint="eastAsia"/>
                <w:lang w:val="en-US" w:eastAsia="zh-CN"/>
              </w:rPr>
              <w:t>项目位于闽侯县青口汽车城内，项目所在区域土壤环境质量执行</w:t>
            </w:r>
            <w:r>
              <w:rPr>
                <w:rFonts w:hint="eastAsia"/>
              </w:rPr>
              <w:t>《土壤环境质量建设用地土壤污染风险管控标准（试行）》（GB36600-2018）</w:t>
            </w:r>
            <w:r>
              <w:rPr>
                <w:rFonts w:hint="eastAsia"/>
                <w:lang w:val="en-US" w:eastAsia="zh-CN"/>
              </w:rPr>
              <w:t>二类用地筛选值。</w:t>
            </w:r>
          </w:p>
          <w:p>
            <w:pPr>
              <w:pStyle w:val="8"/>
              <w:numPr>
                <w:ilvl w:val="0"/>
                <w:numId w:val="11"/>
              </w:numPr>
              <w:bidi w:val="0"/>
              <w:rPr>
                <w:rFonts w:hint="default"/>
                <w:lang w:val="en-US" w:eastAsia="zh-CN"/>
              </w:rPr>
            </w:pPr>
            <w:r>
              <w:rPr>
                <w:rFonts w:hint="eastAsia"/>
                <w:lang w:val="en-US" w:eastAsia="zh-CN"/>
              </w:rPr>
              <w:t>监测结果与分析</w:t>
            </w:r>
          </w:p>
          <w:p>
            <w:pPr>
              <w:pStyle w:val="8"/>
              <w:bidi w:val="0"/>
              <w:rPr>
                <w:rFonts w:hint="default"/>
                <w:lang w:val="en-US" w:eastAsia="zh-CN"/>
              </w:rPr>
            </w:pPr>
            <w:r>
              <w:rPr>
                <w:rFonts w:hint="eastAsia"/>
                <w:lang w:val="en-US" w:eastAsia="zh-CN"/>
              </w:rPr>
              <w:t>根据土壤监测结果分析，各项指标均符合《土壤环境质量建设用地土壤污染风险管控标准（试行）》</w:t>
            </w:r>
            <w:r>
              <w:rPr>
                <w:rFonts w:hint="eastAsia"/>
              </w:rPr>
              <w:t>（GB36600-2018）</w:t>
            </w:r>
            <w:r>
              <w:rPr>
                <w:rFonts w:hint="eastAsia"/>
                <w:lang w:val="en-US" w:eastAsia="zh-CN"/>
              </w:rPr>
              <w:t>二类用地筛选值，因此，本项目所在区域的土壤环境质量较好。</w:t>
            </w:r>
          </w:p>
          <w:p>
            <w:pPr>
              <w:pStyle w:val="30"/>
              <w:bidi w:val="0"/>
              <w:rPr>
                <w:rFonts w:hint="default"/>
                <w:lang w:val="en-US" w:eastAsia="zh-CN"/>
              </w:rPr>
            </w:pPr>
            <w:bookmarkStart w:id="56" w:name="_Ref16470"/>
            <w:r>
              <w:rPr>
                <w:rFonts w:hint="eastAsia"/>
                <w:lang w:val="en-US" w:eastAsia="zh-CN"/>
              </w:rPr>
              <w:t>土壤监测结果</w:t>
            </w:r>
            <w:bookmarkEnd w:id="56"/>
          </w:p>
          <w:tbl>
            <w:tblPr>
              <w:tblStyle w:val="24"/>
              <w:tblW w:w="4881"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8"/>
              <w:gridCol w:w="1739"/>
              <w:gridCol w:w="2325"/>
              <w:gridCol w:w="258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17" w:type="pct"/>
                  <w:noWrap w:val="0"/>
                  <w:vAlign w:val="center"/>
                </w:tcPr>
                <w:p>
                  <w:pPr>
                    <w:pStyle w:val="31"/>
                    <w:bidi w:val="0"/>
                  </w:pPr>
                  <w:r>
                    <w:t>检测项目</w:t>
                  </w:r>
                </w:p>
              </w:tc>
              <w:tc>
                <w:tcPr>
                  <w:tcW w:w="990" w:type="pct"/>
                  <w:noWrap w:val="0"/>
                  <w:vAlign w:val="center"/>
                </w:tcPr>
                <w:p>
                  <w:pPr>
                    <w:pStyle w:val="31"/>
                    <w:bidi w:val="0"/>
                  </w:pPr>
                  <w:r>
                    <w:t>单位</w:t>
                  </w:r>
                </w:p>
              </w:tc>
              <w:tc>
                <w:tcPr>
                  <w:tcW w:w="1323" w:type="pct"/>
                  <w:noWrap w:val="0"/>
                  <w:vAlign w:val="center"/>
                </w:tcPr>
                <w:p>
                  <w:pPr>
                    <w:pStyle w:val="31"/>
                    <w:bidi w:val="0"/>
                    <w:rPr>
                      <w:rFonts w:hint="default" w:eastAsia="宋体"/>
                      <w:lang w:val="en-US" w:eastAsia="zh-CN"/>
                    </w:rPr>
                  </w:pPr>
                  <w:r>
                    <w:rPr>
                      <w:rFonts w:hint="eastAsia"/>
                      <w:lang w:val="en-US" w:eastAsia="zh-CN"/>
                    </w:rPr>
                    <w:t>检测结果</w:t>
                  </w:r>
                </w:p>
              </w:tc>
              <w:tc>
                <w:tcPr>
                  <w:tcW w:w="1468" w:type="pct"/>
                  <w:noWrap w:val="0"/>
                  <w:vAlign w:val="center"/>
                </w:tcPr>
                <w:p>
                  <w:pPr>
                    <w:pStyle w:val="31"/>
                    <w:bidi w:val="0"/>
                    <w:rPr>
                      <w:rFonts w:hint="default" w:eastAsia="宋体"/>
                      <w:lang w:val="en-US" w:eastAsia="zh-CN"/>
                    </w:rPr>
                  </w:pPr>
                  <w:r>
                    <w:rPr>
                      <w:rFonts w:hint="eastAsia"/>
                      <w:lang w:val="en-US" w:eastAsia="zh-CN"/>
                    </w:rPr>
                    <w:t>标准限值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t>汞</w:t>
                  </w:r>
                </w:p>
              </w:tc>
              <w:tc>
                <w:tcPr>
                  <w:tcW w:w="990" w:type="pct"/>
                  <w:noWrap w:val="0"/>
                  <w:vAlign w:val="center"/>
                </w:tcPr>
                <w:p>
                  <w:pPr>
                    <w:pStyle w:val="31"/>
                    <w:bidi w:val="0"/>
                  </w:pPr>
                  <w:r>
                    <w:t>mg/kg</w:t>
                  </w:r>
                </w:p>
              </w:tc>
              <w:tc>
                <w:tcPr>
                  <w:tcW w:w="1323" w:type="pct"/>
                  <w:noWrap w:val="0"/>
                  <w:vAlign w:val="center"/>
                </w:tcPr>
                <w:p>
                  <w:pPr>
                    <w:pStyle w:val="31"/>
                    <w:bidi w:val="0"/>
                    <w:rPr>
                      <w:rFonts w:hint="default"/>
                      <w:lang w:val="en-US" w:eastAsia="zh-CN"/>
                    </w:rPr>
                  </w:pPr>
                </w:p>
              </w:tc>
              <w:tc>
                <w:tcPr>
                  <w:tcW w:w="1468" w:type="pct"/>
                  <w:noWrap w:val="0"/>
                  <w:vAlign w:val="center"/>
                </w:tcPr>
                <w:p>
                  <w:pPr>
                    <w:pStyle w:val="31"/>
                    <w:bidi w:val="0"/>
                    <w:rPr>
                      <w:rFonts w:hint="default"/>
                      <w:lang w:val="en-US" w:eastAsia="zh-CN"/>
                    </w:rPr>
                  </w:pPr>
                  <w:r>
                    <w:rPr>
                      <w:rFonts w:hint="eastAsia"/>
                      <w:lang w:val="en-US" w:eastAsia="zh-CN"/>
                    </w:rPr>
                    <w:t>38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t>砷</w:t>
                  </w:r>
                </w:p>
              </w:tc>
              <w:tc>
                <w:tcPr>
                  <w:tcW w:w="990" w:type="pct"/>
                  <w:noWrap w:val="0"/>
                  <w:vAlign w:val="center"/>
                </w:tcPr>
                <w:p>
                  <w:pPr>
                    <w:pStyle w:val="31"/>
                    <w:bidi w:val="0"/>
                  </w:pPr>
                  <w:r>
                    <w:t>mg/kg</w:t>
                  </w:r>
                </w:p>
              </w:tc>
              <w:tc>
                <w:tcPr>
                  <w:tcW w:w="1323" w:type="pct"/>
                  <w:noWrap w:val="0"/>
                  <w:vAlign w:val="center"/>
                </w:tcPr>
                <w:p>
                  <w:pPr>
                    <w:pStyle w:val="31"/>
                    <w:bidi w:val="0"/>
                    <w:rPr>
                      <w:rFonts w:hint="default"/>
                      <w:lang w:val="en-US" w:eastAsia="zh-CN"/>
                    </w:rPr>
                  </w:pPr>
                </w:p>
              </w:tc>
              <w:tc>
                <w:tcPr>
                  <w:tcW w:w="1468" w:type="pct"/>
                  <w:noWrap w:val="0"/>
                  <w:vAlign w:val="center"/>
                </w:tcPr>
                <w:p>
                  <w:pPr>
                    <w:pStyle w:val="31"/>
                    <w:bidi w:val="0"/>
                    <w:rPr>
                      <w:rFonts w:hint="default"/>
                      <w:lang w:val="en-US" w:eastAsia="zh-CN"/>
                    </w:rPr>
                  </w:pPr>
                  <w:r>
                    <w:rPr>
                      <w:rFonts w:hint="eastAsia"/>
                      <w:lang w:val="en-US" w:eastAsia="zh-CN"/>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t>镉</w:t>
                  </w:r>
                </w:p>
              </w:tc>
              <w:tc>
                <w:tcPr>
                  <w:tcW w:w="990" w:type="pct"/>
                  <w:noWrap w:val="0"/>
                  <w:vAlign w:val="center"/>
                </w:tcPr>
                <w:p>
                  <w:pPr>
                    <w:pStyle w:val="31"/>
                    <w:bidi w:val="0"/>
                  </w:pPr>
                  <w:r>
                    <w:t>mg/kg</w:t>
                  </w:r>
                </w:p>
              </w:tc>
              <w:tc>
                <w:tcPr>
                  <w:tcW w:w="1323" w:type="pct"/>
                  <w:noWrap w:val="0"/>
                  <w:vAlign w:val="center"/>
                </w:tcPr>
                <w:p>
                  <w:pPr>
                    <w:pStyle w:val="31"/>
                    <w:bidi w:val="0"/>
                    <w:rPr>
                      <w:rFonts w:hint="default"/>
                      <w:lang w:val="en-US" w:eastAsia="zh-CN"/>
                    </w:rPr>
                  </w:pPr>
                </w:p>
              </w:tc>
              <w:tc>
                <w:tcPr>
                  <w:tcW w:w="1468" w:type="pct"/>
                  <w:noWrap w:val="0"/>
                  <w:vAlign w:val="center"/>
                </w:tcPr>
                <w:p>
                  <w:pPr>
                    <w:pStyle w:val="31"/>
                    <w:bidi w:val="0"/>
                    <w:rPr>
                      <w:rFonts w:hint="default"/>
                      <w:lang w:val="en-US" w:eastAsia="zh-CN"/>
                    </w:rPr>
                  </w:pPr>
                  <w:r>
                    <w:rPr>
                      <w:rFonts w:hint="eastAsia"/>
                      <w:lang w:val="en-US" w:eastAsia="zh-CN"/>
                    </w:rPr>
                    <w:t>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t>铜</w:t>
                  </w:r>
                </w:p>
              </w:tc>
              <w:tc>
                <w:tcPr>
                  <w:tcW w:w="990" w:type="pct"/>
                  <w:noWrap w:val="0"/>
                  <w:vAlign w:val="center"/>
                </w:tcPr>
                <w:p>
                  <w:pPr>
                    <w:pStyle w:val="31"/>
                    <w:bidi w:val="0"/>
                  </w:pPr>
                  <w:r>
                    <w:t>mg/kg</w:t>
                  </w:r>
                </w:p>
              </w:tc>
              <w:tc>
                <w:tcPr>
                  <w:tcW w:w="1323" w:type="pct"/>
                  <w:noWrap w:val="0"/>
                  <w:vAlign w:val="center"/>
                </w:tcPr>
                <w:p>
                  <w:pPr>
                    <w:pStyle w:val="31"/>
                    <w:bidi w:val="0"/>
                    <w:rPr>
                      <w:rFonts w:hint="default"/>
                      <w:lang w:val="en-US" w:eastAsia="zh-CN"/>
                    </w:rPr>
                  </w:pPr>
                </w:p>
              </w:tc>
              <w:tc>
                <w:tcPr>
                  <w:tcW w:w="1468" w:type="pct"/>
                  <w:noWrap w:val="0"/>
                  <w:vAlign w:val="center"/>
                </w:tcPr>
                <w:p>
                  <w:pPr>
                    <w:pStyle w:val="31"/>
                    <w:bidi w:val="0"/>
                    <w:rPr>
                      <w:rFonts w:hint="default"/>
                      <w:lang w:val="en-US" w:eastAsia="zh-CN"/>
                    </w:rPr>
                  </w:pPr>
                  <w:r>
                    <w:rPr>
                      <w:rFonts w:hint="eastAsia"/>
                      <w:lang w:val="en-US" w:eastAsia="zh-CN"/>
                    </w:rPr>
                    <w:t>18000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t>铅</w:t>
                  </w:r>
                </w:p>
              </w:tc>
              <w:tc>
                <w:tcPr>
                  <w:tcW w:w="990" w:type="pct"/>
                  <w:noWrap w:val="0"/>
                  <w:vAlign w:val="center"/>
                </w:tcPr>
                <w:p>
                  <w:pPr>
                    <w:pStyle w:val="31"/>
                    <w:bidi w:val="0"/>
                  </w:pPr>
                  <w:r>
                    <w:t>mg/kg</w:t>
                  </w:r>
                </w:p>
              </w:tc>
              <w:tc>
                <w:tcPr>
                  <w:tcW w:w="1323" w:type="pct"/>
                  <w:noWrap w:val="0"/>
                  <w:vAlign w:val="center"/>
                </w:tcPr>
                <w:p>
                  <w:pPr>
                    <w:pStyle w:val="31"/>
                    <w:bidi w:val="0"/>
                    <w:rPr>
                      <w:rFonts w:hint="default"/>
                      <w:lang w:val="en-US" w:eastAsia="zh-CN"/>
                    </w:rPr>
                  </w:pPr>
                </w:p>
              </w:tc>
              <w:tc>
                <w:tcPr>
                  <w:tcW w:w="1468" w:type="pct"/>
                  <w:noWrap w:val="0"/>
                  <w:vAlign w:val="center"/>
                </w:tcPr>
                <w:p>
                  <w:pPr>
                    <w:pStyle w:val="31"/>
                    <w:bidi w:val="0"/>
                    <w:rPr>
                      <w:rFonts w:hint="default"/>
                      <w:lang w:val="en-US" w:eastAsia="zh-CN"/>
                    </w:rPr>
                  </w:pPr>
                  <w:r>
                    <w:rPr>
                      <w:rFonts w:hint="eastAsia"/>
                      <w:lang w:val="en-US" w:eastAsia="zh-CN"/>
                    </w:rPr>
                    <w:t>800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t>镍</w:t>
                  </w:r>
                </w:p>
              </w:tc>
              <w:tc>
                <w:tcPr>
                  <w:tcW w:w="990" w:type="pct"/>
                  <w:noWrap w:val="0"/>
                  <w:vAlign w:val="center"/>
                </w:tcPr>
                <w:p>
                  <w:pPr>
                    <w:pStyle w:val="31"/>
                    <w:bidi w:val="0"/>
                  </w:pPr>
                  <w:r>
                    <w:t>mg/kg</w:t>
                  </w:r>
                </w:p>
              </w:tc>
              <w:tc>
                <w:tcPr>
                  <w:tcW w:w="1323" w:type="pct"/>
                  <w:noWrap w:val="0"/>
                  <w:vAlign w:val="center"/>
                </w:tcPr>
                <w:p>
                  <w:pPr>
                    <w:pStyle w:val="31"/>
                    <w:bidi w:val="0"/>
                    <w:rPr>
                      <w:rFonts w:hint="default"/>
                      <w:lang w:val="en-US" w:eastAsia="zh-CN"/>
                    </w:rPr>
                  </w:pPr>
                </w:p>
              </w:tc>
              <w:tc>
                <w:tcPr>
                  <w:tcW w:w="1468" w:type="pct"/>
                  <w:noWrap w:val="0"/>
                  <w:vAlign w:val="center"/>
                </w:tcPr>
                <w:p>
                  <w:pPr>
                    <w:pStyle w:val="31"/>
                    <w:bidi w:val="0"/>
                    <w:rPr>
                      <w:rFonts w:hint="default"/>
                      <w:lang w:val="en-US" w:eastAsia="zh-CN"/>
                    </w:rPr>
                  </w:pPr>
                  <w:r>
                    <w:rPr>
                      <w:rFonts w:hint="eastAsia"/>
                      <w:lang w:val="en-US" w:eastAsia="zh-CN"/>
                    </w:rPr>
                    <w:t>900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t>六价铬</w:t>
                  </w:r>
                </w:p>
              </w:tc>
              <w:tc>
                <w:tcPr>
                  <w:tcW w:w="990" w:type="pct"/>
                  <w:noWrap w:val="0"/>
                  <w:vAlign w:val="center"/>
                </w:tcPr>
                <w:p>
                  <w:pPr>
                    <w:pStyle w:val="31"/>
                    <w:bidi w:val="0"/>
                  </w:pPr>
                  <w:r>
                    <w:t>mg/kg</w:t>
                  </w:r>
                </w:p>
              </w:tc>
              <w:tc>
                <w:tcPr>
                  <w:tcW w:w="1323" w:type="pct"/>
                  <w:noWrap w:val="0"/>
                  <w:vAlign w:val="center"/>
                </w:tcPr>
                <w:p>
                  <w:pPr>
                    <w:pStyle w:val="31"/>
                    <w:bidi w:val="0"/>
                    <w:rPr>
                      <w:rFonts w:hint="default"/>
                      <w:lang w:val="en-US" w:eastAsia="zh-CN"/>
                    </w:rPr>
                  </w:pPr>
                </w:p>
              </w:tc>
              <w:tc>
                <w:tcPr>
                  <w:tcW w:w="1468" w:type="pct"/>
                  <w:noWrap w:val="0"/>
                  <w:vAlign w:val="center"/>
                </w:tcPr>
                <w:p>
                  <w:pPr>
                    <w:pStyle w:val="31"/>
                    <w:bidi w:val="0"/>
                    <w:rPr>
                      <w:rFonts w:hint="default"/>
                      <w:lang w:val="en-US" w:eastAsia="zh-CN"/>
                    </w:rPr>
                  </w:pPr>
                  <w:r>
                    <w:rPr>
                      <w:rFonts w:hint="eastAsia"/>
                      <w:lang w:val="en-US" w:eastAsia="zh-CN"/>
                    </w:rPr>
                    <w:t>5.7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氯甲烷</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37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氯乙烯</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0.43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1,1-二氯乙烯</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eastAsia="zh-CN"/>
                    </w:rPr>
                  </w:pPr>
                </w:p>
              </w:tc>
              <w:tc>
                <w:tcPr>
                  <w:tcW w:w="1468" w:type="pct"/>
                  <w:noWrap w:val="0"/>
                  <w:vAlign w:val="center"/>
                </w:tcPr>
                <w:p>
                  <w:pPr>
                    <w:pStyle w:val="31"/>
                    <w:bidi w:val="0"/>
                    <w:rPr>
                      <w:rFonts w:hint="default"/>
                      <w:lang w:val="en-US" w:eastAsia="zh-CN"/>
                    </w:rPr>
                  </w:pPr>
                  <w:r>
                    <w:rPr>
                      <w:rFonts w:hint="eastAsia"/>
                      <w:lang w:val="en-US" w:eastAsia="zh-CN"/>
                    </w:rPr>
                    <w:t>66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二氯甲烷</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616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反-1,2-二氯乙烯</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54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1,1-二氯乙烷</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顺-1,2-二氯乙烯</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pPr>
                </w:p>
              </w:tc>
              <w:tc>
                <w:tcPr>
                  <w:tcW w:w="1468" w:type="pct"/>
                  <w:noWrap w:val="0"/>
                  <w:vAlign w:val="center"/>
                </w:tcPr>
                <w:p>
                  <w:pPr>
                    <w:pStyle w:val="31"/>
                    <w:bidi w:val="0"/>
                    <w:rPr>
                      <w:rFonts w:hint="default"/>
                      <w:lang w:val="en-US" w:eastAsia="zh-CN"/>
                    </w:rPr>
                  </w:pPr>
                  <w:r>
                    <w:rPr>
                      <w:rFonts w:hint="eastAsia"/>
                      <w:lang w:val="en-US" w:eastAsia="zh-CN"/>
                    </w:rPr>
                    <w:t>569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rPr>
                      <w:rFonts w:hint="eastAsia"/>
                    </w:rPr>
                  </w:pPr>
                  <w:r>
                    <w:rPr>
                      <w:rFonts w:hint="eastAsia"/>
                    </w:rPr>
                    <w:t>氯仿</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0.9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rPr>
                      <w:rFonts w:hint="eastAsia"/>
                    </w:rPr>
                  </w:pPr>
                  <w:r>
                    <w:rPr>
                      <w:rFonts w:hint="eastAsia"/>
                    </w:rPr>
                    <w:t>1,1,1-三氯乙烷</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840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rPr>
                      <w:rFonts w:hint="eastAsia"/>
                    </w:rPr>
                  </w:pPr>
                  <w:r>
                    <w:rPr>
                      <w:rFonts w:hint="eastAsia"/>
                    </w:rPr>
                    <w:t>四氯化碳</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rPr>
                      <w:rFonts w:hint="eastAsia"/>
                    </w:rPr>
                  </w:pPr>
                  <w:r>
                    <w:rPr>
                      <w:rFonts w:hint="eastAsia"/>
                    </w:rPr>
                    <w:t>苯</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rPr>
                      <w:rFonts w:hint="eastAsia"/>
                    </w:rPr>
                  </w:pPr>
                  <w:r>
                    <w:rPr>
                      <w:rFonts w:hint="eastAsia"/>
                    </w:rPr>
                    <w:t>1,2-二氯乙烷</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eastAsia="zh-CN"/>
                    </w:rPr>
                  </w:pPr>
                </w:p>
              </w:tc>
              <w:tc>
                <w:tcPr>
                  <w:tcW w:w="1468" w:type="pct"/>
                  <w:noWrap w:val="0"/>
                  <w:vAlign w:val="center"/>
                </w:tcPr>
                <w:p>
                  <w:pPr>
                    <w:pStyle w:val="31"/>
                    <w:bidi w:val="0"/>
                    <w:rPr>
                      <w:rFonts w:hint="default"/>
                      <w:lang w:val="en-US" w:eastAsia="zh-CN"/>
                    </w:rPr>
                  </w:pPr>
                  <w:r>
                    <w:rPr>
                      <w:rFonts w:hint="eastAsia"/>
                      <w:lang w:val="en-US" w:eastAsia="zh-CN"/>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rPr>
                      <w:rFonts w:hint="eastAsia"/>
                    </w:rPr>
                  </w:pPr>
                  <w:r>
                    <w:rPr>
                      <w:rFonts w:hint="eastAsia"/>
                    </w:rPr>
                    <w:t>三氯乙烯</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rPr>
                      <w:rFonts w:hint="eastAsia"/>
                    </w:rPr>
                  </w:pPr>
                  <w:r>
                    <w:rPr>
                      <w:rFonts w:hint="eastAsia"/>
                    </w:rPr>
                    <w:t>甲苯</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1200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1,2-二氯丙烷</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1,1,2-三氯乙烷</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四氯乙烯</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53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氯苯</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270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1,1,1,2-四氯乙烷</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乙苯</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pPr>
                </w:p>
              </w:tc>
              <w:tc>
                <w:tcPr>
                  <w:tcW w:w="1468" w:type="pct"/>
                  <w:noWrap w:val="0"/>
                  <w:vAlign w:val="center"/>
                </w:tcPr>
                <w:p>
                  <w:pPr>
                    <w:pStyle w:val="31"/>
                    <w:bidi w:val="0"/>
                    <w:rPr>
                      <w:rFonts w:hint="default"/>
                      <w:lang w:val="en-US" w:eastAsia="zh-CN"/>
                    </w:rPr>
                  </w:pPr>
                  <w:r>
                    <w:rPr>
                      <w:rFonts w:hint="eastAsia"/>
                      <w:lang w:val="en-US" w:eastAsia="zh-CN"/>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间</w:t>
                  </w:r>
                  <w:r>
                    <w:rPr>
                      <w:rFonts w:hint="eastAsia"/>
                      <w:lang w:eastAsia="zh-CN"/>
                    </w:rPr>
                    <w:t>，</w:t>
                  </w:r>
                  <w:r>
                    <w:rPr>
                      <w:rFonts w:hint="eastAsia"/>
                    </w:rPr>
                    <w:t>对二甲苯</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570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邻二甲苯</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640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苯乙烯</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1290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1,1,2,2-四氯乙烷</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6.8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1,2,3-三氯丙烷</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1,4-二氯苯</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1,2-二氯苯</w:t>
                  </w:r>
                </w:p>
              </w:tc>
              <w:tc>
                <w:tcPr>
                  <w:tcW w:w="1739" w:type="dxa"/>
                  <w:noWrap w:val="0"/>
                  <w:vAlign w:val="center"/>
                </w:tcPr>
                <w:p>
                  <w:pPr>
                    <w:pStyle w:val="64"/>
                  </w:pPr>
                  <w:r>
                    <w:rPr>
                      <w:rFonts w:hint="eastAsia"/>
                      <w:lang w:val="en-US" w:eastAsia="zh-CN"/>
                    </w:rPr>
                    <w:t>mg/kg</w:t>
                  </w:r>
                </w:p>
              </w:tc>
              <w:tc>
                <w:tcPr>
                  <w:tcW w:w="1323" w:type="pct"/>
                  <w:noWrap w:val="0"/>
                  <w:vAlign w:val="center"/>
                </w:tcPr>
                <w:p>
                  <w:pPr>
                    <w:pStyle w:val="31"/>
                    <w:bidi w:val="0"/>
                    <w:rPr>
                      <w:rFonts w:hint="default"/>
                      <w:lang w:val="en-US"/>
                    </w:rPr>
                  </w:pPr>
                </w:p>
              </w:tc>
              <w:tc>
                <w:tcPr>
                  <w:tcW w:w="1468" w:type="pct"/>
                  <w:noWrap w:val="0"/>
                  <w:vAlign w:val="center"/>
                </w:tcPr>
                <w:p>
                  <w:pPr>
                    <w:pStyle w:val="31"/>
                    <w:bidi w:val="0"/>
                    <w:rPr>
                      <w:rFonts w:hint="default"/>
                      <w:lang w:val="en-US" w:eastAsia="zh-CN"/>
                    </w:rPr>
                  </w:pPr>
                  <w:r>
                    <w:rPr>
                      <w:rFonts w:hint="eastAsia"/>
                      <w:lang w:val="en-US" w:eastAsia="zh-CN"/>
                    </w:rPr>
                    <w:t>560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pPr>
                  <w:r>
                    <w:rPr>
                      <w:rFonts w:hint="eastAsia"/>
                    </w:rPr>
                    <w:t>萘</w:t>
                  </w:r>
                </w:p>
              </w:tc>
              <w:tc>
                <w:tcPr>
                  <w:tcW w:w="990" w:type="pct"/>
                  <w:noWrap w:val="0"/>
                  <w:vAlign w:val="center"/>
                </w:tcPr>
                <w:p>
                  <w:pPr>
                    <w:pStyle w:val="31"/>
                    <w:bidi w:val="0"/>
                    <w:rPr>
                      <w:rFonts w:hint="default"/>
                      <w:lang w:val="en-US" w:eastAsia="zh-CN"/>
                    </w:rPr>
                  </w:pPr>
                  <w:r>
                    <w:rPr>
                      <w:rFonts w:hint="eastAsia"/>
                      <w:lang w:val="en-US" w:eastAsia="zh-CN"/>
                    </w:rPr>
                    <w:t>mg/kg</w:t>
                  </w:r>
                </w:p>
              </w:tc>
              <w:tc>
                <w:tcPr>
                  <w:tcW w:w="1323" w:type="pct"/>
                  <w:noWrap w:val="0"/>
                  <w:vAlign w:val="center"/>
                </w:tcPr>
                <w:p>
                  <w:pPr>
                    <w:pStyle w:val="31"/>
                    <w:bidi w:val="0"/>
                    <w:rPr>
                      <w:rFonts w:hint="default"/>
                      <w:lang w:val="en-US" w:eastAsia="zh-CN"/>
                    </w:rPr>
                  </w:pPr>
                </w:p>
              </w:tc>
              <w:tc>
                <w:tcPr>
                  <w:tcW w:w="1468" w:type="pct"/>
                  <w:noWrap w:val="0"/>
                  <w:vAlign w:val="center"/>
                </w:tcPr>
                <w:p>
                  <w:pPr>
                    <w:pStyle w:val="31"/>
                    <w:bidi w:val="0"/>
                    <w:rPr>
                      <w:rFonts w:hint="default"/>
                      <w:lang w:val="en-US" w:eastAsia="zh-CN"/>
                    </w:rPr>
                  </w:pPr>
                  <w:r>
                    <w:rPr>
                      <w:rFonts w:hint="eastAsia"/>
                      <w:lang w:val="en-US" w:eastAsia="zh-CN"/>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rPr>
                      <w:rFonts w:hint="eastAsia"/>
                    </w:rPr>
                  </w:pPr>
                  <w:r>
                    <w:rPr>
                      <w:rFonts w:hint="eastAsia"/>
                    </w:rPr>
                    <w:t>苯胺</w:t>
                  </w:r>
                </w:p>
              </w:tc>
              <w:tc>
                <w:tcPr>
                  <w:tcW w:w="990" w:type="pct"/>
                  <w:noWrap w:val="0"/>
                  <w:vAlign w:val="center"/>
                </w:tcPr>
                <w:p>
                  <w:pPr>
                    <w:pStyle w:val="31"/>
                    <w:bidi w:val="0"/>
                  </w:pPr>
                  <w:r>
                    <w:rPr>
                      <w:rFonts w:hint="eastAsia"/>
                      <w:lang w:val="en-US" w:eastAsia="zh-CN"/>
                    </w:rPr>
                    <w:t>mg/kg</w:t>
                  </w:r>
                </w:p>
              </w:tc>
              <w:tc>
                <w:tcPr>
                  <w:tcW w:w="1323" w:type="pct"/>
                  <w:noWrap w:val="0"/>
                  <w:vAlign w:val="center"/>
                </w:tcPr>
                <w:p>
                  <w:pPr>
                    <w:pStyle w:val="31"/>
                    <w:bidi w:val="0"/>
                    <w:rPr>
                      <w:rFonts w:hint="default"/>
                      <w:lang w:val="en-US" w:eastAsia="zh-CN"/>
                    </w:rPr>
                  </w:pPr>
                </w:p>
              </w:tc>
              <w:tc>
                <w:tcPr>
                  <w:tcW w:w="1468" w:type="pct"/>
                  <w:noWrap w:val="0"/>
                  <w:vAlign w:val="center"/>
                </w:tcPr>
                <w:p>
                  <w:pPr>
                    <w:pStyle w:val="31"/>
                    <w:bidi w:val="0"/>
                    <w:rPr>
                      <w:rFonts w:hint="default"/>
                      <w:lang w:val="en-US" w:eastAsia="zh-CN"/>
                    </w:rPr>
                  </w:pPr>
                  <w:r>
                    <w:rPr>
                      <w:rFonts w:hint="eastAsia"/>
                      <w:lang w:val="en-US" w:eastAsia="zh-CN"/>
                    </w:rPr>
                    <w:t>260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pStyle w:val="31"/>
                    <w:bidi w:val="0"/>
                    <w:rPr>
                      <w:rFonts w:hint="eastAsia"/>
                    </w:rPr>
                  </w:pPr>
                  <w:r>
                    <w:rPr>
                      <w:rFonts w:hint="eastAsia"/>
                    </w:rPr>
                    <w:t>2-氯酚</w:t>
                  </w:r>
                </w:p>
              </w:tc>
              <w:tc>
                <w:tcPr>
                  <w:tcW w:w="990" w:type="pct"/>
                  <w:noWrap w:val="0"/>
                  <w:vAlign w:val="center"/>
                </w:tcPr>
                <w:p>
                  <w:pPr>
                    <w:pStyle w:val="31"/>
                    <w:bidi w:val="0"/>
                  </w:pPr>
                  <w:r>
                    <w:rPr>
                      <w:rFonts w:hint="eastAsia"/>
                      <w:lang w:val="en-US" w:eastAsia="zh-CN"/>
                    </w:rPr>
                    <w:t>mg/kg</w:t>
                  </w:r>
                </w:p>
              </w:tc>
              <w:tc>
                <w:tcPr>
                  <w:tcW w:w="1323" w:type="pct"/>
                  <w:noWrap w:val="0"/>
                  <w:vAlign w:val="center"/>
                </w:tcPr>
                <w:p>
                  <w:pPr>
                    <w:pStyle w:val="31"/>
                    <w:bidi w:val="0"/>
                    <w:rPr>
                      <w:rFonts w:hint="default"/>
                      <w:lang w:val="en-US" w:eastAsia="zh-CN"/>
                    </w:rPr>
                  </w:pPr>
                </w:p>
              </w:tc>
              <w:tc>
                <w:tcPr>
                  <w:tcW w:w="1468" w:type="pct"/>
                  <w:noWrap w:val="0"/>
                  <w:vAlign w:val="center"/>
                </w:tcPr>
                <w:p>
                  <w:pPr>
                    <w:pStyle w:val="31"/>
                    <w:bidi w:val="0"/>
                    <w:rPr>
                      <w:rFonts w:hint="default"/>
                      <w:lang w:val="en-US" w:eastAsia="zh-CN"/>
                    </w:rPr>
                  </w:pPr>
                  <w:r>
                    <w:rPr>
                      <w:rFonts w:hint="eastAsia"/>
                      <w:lang w:val="en-US" w:eastAsia="zh-CN"/>
                    </w:rPr>
                    <w:t>2256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硝基苯</w:t>
                  </w:r>
                </w:p>
              </w:tc>
              <w:tc>
                <w:tcPr>
                  <w:tcW w:w="990" w:type="pct"/>
                  <w:noWrap w:val="0"/>
                  <w:vAlign w:val="center"/>
                </w:tcPr>
                <w:p>
                  <w:pPr>
                    <w:pStyle w:val="64"/>
                    <w:rPr>
                      <w:rFonts w:ascii="Times New Roman" w:hAnsi="Times New Roman" w:eastAsia="宋体" w:cs="Times New Roman"/>
                      <w:kern w:val="2"/>
                      <w:sz w:val="21"/>
                      <w:szCs w:val="21"/>
                      <w:lang w:val="en-US" w:eastAsia="zh-CN" w:bidi="ar-SA"/>
                    </w:rPr>
                  </w:pPr>
                  <w:r>
                    <w:rPr>
                      <w:rFonts w:hint="eastAsia"/>
                      <w:lang w:val="en-US" w:eastAsia="zh-CN"/>
                    </w:rPr>
                    <w:t>mg/kg</w:t>
                  </w:r>
                </w:p>
              </w:tc>
              <w:tc>
                <w:tcPr>
                  <w:tcW w:w="132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1468" w:type="pct"/>
                  <w:noWrap w:val="0"/>
                  <w:vAlign w:val="center"/>
                </w:tcPr>
                <w:p>
                  <w:pPr>
                    <w:pStyle w:val="31"/>
                    <w:bidi w:val="0"/>
                    <w:rPr>
                      <w:rFonts w:hint="default"/>
                      <w:lang w:val="en-US" w:eastAsia="zh-CN"/>
                    </w:rPr>
                  </w:pPr>
                  <w:r>
                    <w:rPr>
                      <w:rFonts w:hint="eastAsia"/>
                      <w:lang w:val="en-US" w:eastAsia="zh-CN"/>
                    </w:rPr>
                    <w:t>76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苯并</w:t>
                  </w:r>
                  <w:r>
                    <w:rPr>
                      <w:rFonts w:hint="eastAsia"/>
                      <w:szCs w:val="21"/>
                      <w:lang w:val="en-US" w:eastAsia="zh-CN"/>
                    </w:rPr>
                    <w:t>[</w:t>
                  </w:r>
                  <w:r>
                    <w:rPr>
                      <w:rFonts w:hint="eastAsia"/>
                      <w:szCs w:val="21"/>
                    </w:rPr>
                    <w:t>a</w:t>
                  </w:r>
                  <w:r>
                    <w:rPr>
                      <w:rFonts w:hint="eastAsia"/>
                      <w:szCs w:val="21"/>
                      <w:lang w:val="en-US" w:eastAsia="zh-CN"/>
                    </w:rPr>
                    <w:t>]</w:t>
                  </w:r>
                  <w:r>
                    <w:rPr>
                      <w:rFonts w:hint="eastAsia"/>
                      <w:szCs w:val="21"/>
                    </w:rPr>
                    <w:t>蒽</w:t>
                  </w:r>
                </w:p>
              </w:tc>
              <w:tc>
                <w:tcPr>
                  <w:tcW w:w="990" w:type="pct"/>
                  <w:noWrap w:val="0"/>
                  <w:vAlign w:val="center"/>
                </w:tcPr>
                <w:p>
                  <w:pPr>
                    <w:pStyle w:val="64"/>
                    <w:rPr>
                      <w:rFonts w:ascii="Times New Roman" w:hAnsi="Times New Roman" w:eastAsia="宋体" w:cs="Times New Roman"/>
                      <w:kern w:val="2"/>
                      <w:sz w:val="21"/>
                      <w:szCs w:val="21"/>
                      <w:lang w:val="en-US" w:eastAsia="zh-CN" w:bidi="ar-SA"/>
                    </w:rPr>
                  </w:pPr>
                  <w:r>
                    <w:rPr>
                      <w:rFonts w:hint="eastAsia"/>
                      <w:lang w:val="en-US" w:eastAsia="zh-CN"/>
                    </w:rPr>
                    <w:t>mg/kg</w:t>
                  </w:r>
                </w:p>
              </w:tc>
              <w:tc>
                <w:tcPr>
                  <w:tcW w:w="132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1468" w:type="pct"/>
                  <w:noWrap w:val="0"/>
                  <w:vAlign w:val="center"/>
                </w:tcPr>
                <w:p>
                  <w:pPr>
                    <w:pStyle w:val="31"/>
                    <w:bidi w:val="0"/>
                    <w:rPr>
                      <w:rFonts w:hint="default"/>
                      <w:lang w:val="en-US" w:eastAsia="zh-CN"/>
                    </w:rPr>
                  </w:pPr>
                  <w:r>
                    <w:rPr>
                      <w:rFonts w:hint="eastAsia"/>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䓛</w:t>
                  </w:r>
                </w:p>
              </w:tc>
              <w:tc>
                <w:tcPr>
                  <w:tcW w:w="990" w:type="pct"/>
                  <w:noWrap w:val="0"/>
                  <w:vAlign w:val="center"/>
                </w:tcPr>
                <w:p>
                  <w:pPr>
                    <w:pStyle w:val="64"/>
                    <w:rPr>
                      <w:rFonts w:ascii="Times New Roman" w:hAnsi="Times New Roman" w:eastAsia="宋体" w:cs="Times New Roman"/>
                      <w:kern w:val="2"/>
                      <w:sz w:val="21"/>
                      <w:szCs w:val="21"/>
                      <w:lang w:val="en-US" w:eastAsia="zh-CN" w:bidi="ar-SA"/>
                    </w:rPr>
                  </w:pPr>
                  <w:r>
                    <w:rPr>
                      <w:rFonts w:hint="eastAsia"/>
                      <w:lang w:val="en-US" w:eastAsia="zh-CN"/>
                    </w:rPr>
                    <w:t>mg/kg</w:t>
                  </w:r>
                </w:p>
              </w:tc>
              <w:tc>
                <w:tcPr>
                  <w:tcW w:w="132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1468" w:type="pct"/>
                  <w:noWrap w:val="0"/>
                  <w:vAlign w:val="center"/>
                </w:tcPr>
                <w:p>
                  <w:pPr>
                    <w:pStyle w:val="31"/>
                    <w:bidi w:val="0"/>
                    <w:rPr>
                      <w:rFonts w:hint="default"/>
                      <w:lang w:val="en-US" w:eastAsia="zh-CN"/>
                    </w:rPr>
                  </w:pPr>
                  <w:r>
                    <w:rPr>
                      <w:rFonts w:hint="eastAsia"/>
                      <w:lang w:val="en-US" w:eastAsia="zh-CN"/>
                    </w:rPr>
                    <w:t>1293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苯并</w:t>
                  </w:r>
                  <w:r>
                    <w:rPr>
                      <w:rFonts w:hint="eastAsia"/>
                      <w:szCs w:val="21"/>
                      <w:lang w:val="en-US" w:eastAsia="zh-CN"/>
                    </w:rPr>
                    <w:t>[</w:t>
                  </w:r>
                  <w:r>
                    <w:rPr>
                      <w:rFonts w:hint="eastAsia"/>
                      <w:szCs w:val="21"/>
                    </w:rPr>
                    <w:t>b</w:t>
                  </w:r>
                  <w:r>
                    <w:rPr>
                      <w:rFonts w:hint="eastAsia"/>
                      <w:szCs w:val="21"/>
                      <w:lang w:val="en-US" w:eastAsia="zh-CN"/>
                    </w:rPr>
                    <w:t>]</w:t>
                  </w:r>
                  <w:r>
                    <w:rPr>
                      <w:rFonts w:hint="eastAsia"/>
                      <w:szCs w:val="21"/>
                    </w:rPr>
                    <w:t>荧蒽</w:t>
                  </w:r>
                </w:p>
              </w:tc>
              <w:tc>
                <w:tcPr>
                  <w:tcW w:w="990" w:type="pct"/>
                  <w:noWrap w:val="0"/>
                  <w:vAlign w:val="center"/>
                </w:tcPr>
                <w:p>
                  <w:pPr>
                    <w:pStyle w:val="64"/>
                    <w:rPr>
                      <w:rFonts w:ascii="Times New Roman" w:hAnsi="Times New Roman" w:eastAsia="宋体" w:cs="Times New Roman"/>
                      <w:kern w:val="2"/>
                      <w:sz w:val="21"/>
                      <w:szCs w:val="21"/>
                      <w:lang w:val="en-US" w:eastAsia="zh-CN" w:bidi="ar-SA"/>
                    </w:rPr>
                  </w:pPr>
                  <w:r>
                    <w:rPr>
                      <w:rFonts w:hint="eastAsia"/>
                      <w:lang w:val="en-US" w:eastAsia="zh-CN"/>
                    </w:rPr>
                    <w:t>mg/kg</w:t>
                  </w:r>
                </w:p>
              </w:tc>
              <w:tc>
                <w:tcPr>
                  <w:tcW w:w="132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1468" w:type="pct"/>
                  <w:noWrap w:val="0"/>
                  <w:vAlign w:val="center"/>
                </w:tcPr>
                <w:p>
                  <w:pPr>
                    <w:pStyle w:val="31"/>
                    <w:bidi w:val="0"/>
                    <w:rPr>
                      <w:rFonts w:hint="default"/>
                      <w:lang w:val="en-US" w:eastAsia="zh-CN"/>
                    </w:rPr>
                  </w:pPr>
                  <w:r>
                    <w:rPr>
                      <w:rFonts w:hint="eastAsia"/>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苯并</w:t>
                  </w:r>
                  <w:r>
                    <w:rPr>
                      <w:rFonts w:hint="eastAsia"/>
                      <w:szCs w:val="21"/>
                      <w:lang w:val="en-US" w:eastAsia="zh-CN"/>
                    </w:rPr>
                    <w:t>[</w:t>
                  </w:r>
                  <w:r>
                    <w:rPr>
                      <w:rFonts w:hint="eastAsia"/>
                      <w:szCs w:val="21"/>
                    </w:rPr>
                    <w:t>k</w:t>
                  </w:r>
                  <w:r>
                    <w:rPr>
                      <w:rFonts w:hint="eastAsia"/>
                      <w:szCs w:val="21"/>
                      <w:lang w:val="en-US" w:eastAsia="zh-CN"/>
                    </w:rPr>
                    <w:t>]</w:t>
                  </w:r>
                  <w:r>
                    <w:rPr>
                      <w:rFonts w:hint="eastAsia"/>
                      <w:szCs w:val="21"/>
                    </w:rPr>
                    <w:t>荧蒽</w:t>
                  </w:r>
                </w:p>
              </w:tc>
              <w:tc>
                <w:tcPr>
                  <w:tcW w:w="990" w:type="pct"/>
                  <w:noWrap w:val="0"/>
                  <w:vAlign w:val="center"/>
                </w:tcPr>
                <w:p>
                  <w:pPr>
                    <w:pStyle w:val="64"/>
                    <w:rPr>
                      <w:rFonts w:ascii="Times New Roman" w:hAnsi="Times New Roman" w:eastAsia="宋体" w:cs="Times New Roman"/>
                      <w:kern w:val="2"/>
                      <w:sz w:val="21"/>
                      <w:szCs w:val="21"/>
                      <w:lang w:val="en-US" w:eastAsia="zh-CN" w:bidi="ar-SA"/>
                    </w:rPr>
                  </w:pPr>
                  <w:r>
                    <w:rPr>
                      <w:rFonts w:hint="eastAsia"/>
                      <w:lang w:val="en-US" w:eastAsia="zh-CN"/>
                    </w:rPr>
                    <w:t>mg/kg</w:t>
                  </w:r>
                </w:p>
              </w:tc>
              <w:tc>
                <w:tcPr>
                  <w:tcW w:w="132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1468" w:type="pct"/>
                  <w:noWrap w:val="0"/>
                  <w:vAlign w:val="center"/>
                </w:tcPr>
                <w:p>
                  <w:pPr>
                    <w:pStyle w:val="31"/>
                    <w:bidi w:val="0"/>
                    <w:rPr>
                      <w:rFonts w:hint="default"/>
                      <w:lang w:val="en-US" w:eastAsia="zh-CN"/>
                    </w:rPr>
                  </w:pPr>
                  <w:r>
                    <w:rPr>
                      <w:rFonts w:hint="eastAsia"/>
                      <w:lang w:val="en-US" w:eastAsia="zh-CN"/>
                    </w:rPr>
                    <w:t>151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苯并</w:t>
                  </w:r>
                  <w:r>
                    <w:rPr>
                      <w:rFonts w:hint="eastAsia"/>
                      <w:szCs w:val="21"/>
                      <w:lang w:val="en-US" w:eastAsia="zh-CN"/>
                    </w:rPr>
                    <w:t>[</w:t>
                  </w:r>
                  <w:r>
                    <w:rPr>
                      <w:rFonts w:hint="eastAsia"/>
                      <w:szCs w:val="21"/>
                    </w:rPr>
                    <w:t>a</w:t>
                  </w:r>
                  <w:r>
                    <w:rPr>
                      <w:rFonts w:hint="eastAsia"/>
                      <w:szCs w:val="21"/>
                      <w:lang w:val="en-US" w:eastAsia="zh-CN"/>
                    </w:rPr>
                    <w:t>]</w:t>
                  </w:r>
                  <w:r>
                    <w:rPr>
                      <w:rFonts w:hint="eastAsia"/>
                      <w:szCs w:val="21"/>
                    </w:rPr>
                    <w:t>芘</w:t>
                  </w:r>
                </w:p>
              </w:tc>
              <w:tc>
                <w:tcPr>
                  <w:tcW w:w="990" w:type="pct"/>
                  <w:noWrap w:val="0"/>
                  <w:vAlign w:val="center"/>
                </w:tcPr>
                <w:p>
                  <w:pPr>
                    <w:pStyle w:val="64"/>
                    <w:rPr>
                      <w:rFonts w:ascii="Times New Roman" w:hAnsi="Times New Roman" w:eastAsia="宋体" w:cs="Times New Roman"/>
                      <w:kern w:val="2"/>
                      <w:sz w:val="21"/>
                      <w:szCs w:val="21"/>
                      <w:lang w:val="en-US" w:eastAsia="zh-CN" w:bidi="ar-SA"/>
                    </w:rPr>
                  </w:pPr>
                  <w:r>
                    <w:rPr>
                      <w:rFonts w:hint="eastAsia"/>
                      <w:lang w:val="en-US" w:eastAsia="zh-CN"/>
                    </w:rPr>
                    <w:t>mg/kg</w:t>
                  </w:r>
                </w:p>
              </w:tc>
              <w:tc>
                <w:tcPr>
                  <w:tcW w:w="132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1468" w:type="pct"/>
                  <w:noWrap w:val="0"/>
                  <w:vAlign w:val="center"/>
                </w:tcPr>
                <w:p>
                  <w:pPr>
                    <w:pStyle w:val="31"/>
                    <w:bidi w:val="0"/>
                    <w:rPr>
                      <w:rFonts w:hint="default"/>
                      <w:lang w:val="en-US" w:eastAsia="zh-CN"/>
                    </w:rPr>
                  </w:pPr>
                  <w:r>
                    <w:rPr>
                      <w:rFonts w:hint="eastAsia"/>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茚并</w:t>
                  </w:r>
                  <w:r>
                    <w:rPr>
                      <w:rFonts w:hint="eastAsia"/>
                      <w:szCs w:val="21"/>
                      <w:lang w:val="en-US" w:eastAsia="zh-CN"/>
                    </w:rPr>
                    <w:t>[</w:t>
                  </w:r>
                  <w:r>
                    <w:rPr>
                      <w:szCs w:val="21"/>
                    </w:rPr>
                    <w:t>1</w:t>
                  </w:r>
                  <w:r>
                    <w:rPr>
                      <w:rFonts w:hint="eastAsia"/>
                      <w:szCs w:val="21"/>
                    </w:rPr>
                    <w:t>,</w:t>
                  </w:r>
                  <w:r>
                    <w:rPr>
                      <w:szCs w:val="21"/>
                    </w:rPr>
                    <w:t>2</w:t>
                  </w:r>
                  <w:r>
                    <w:rPr>
                      <w:rFonts w:hint="eastAsia"/>
                      <w:szCs w:val="21"/>
                    </w:rPr>
                    <w:t>,</w:t>
                  </w:r>
                  <w:r>
                    <w:rPr>
                      <w:szCs w:val="21"/>
                    </w:rPr>
                    <w:t>3-cd</w:t>
                  </w:r>
                  <w:r>
                    <w:rPr>
                      <w:rFonts w:hint="eastAsia"/>
                      <w:szCs w:val="21"/>
                      <w:lang w:val="en-US" w:eastAsia="zh-CN"/>
                    </w:rPr>
                    <w:t>]</w:t>
                  </w:r>
                  <w:r>
                    <w:rPr>
                      <w:rFonts w:hint="eastAsia"/>
                      <w:szCs w:val="21"/>
                    </w:rPr>
                    <w:t>芘</w:t>
                  </w:r>
                </w:p>
              </w:tc>
              <w:tc>
                <w:tcPr>
                  <w:tcW w:w="990" w:type="pct"/>
                  <w:noWrap w:val="0"/>
                  <w:vAlign w:val="center"/>
                </w:tcPr>
                <w:p>
                  <w:pPr>
                    <w:pStyle w:val="64"/>
                    <w:rPr>
                      <w:rFonts w:ascii="Times New Roman" w:hAnsi="Times New Roman" w:eastAsia="宋体" w:cs="Times New Roman"/>
                      <w:kern w:val="2"/>
                      <w:sz w:val="21"/>
                      <w:szCs w:val="21"/>
                      <w:lang w:val="en-US" w:eastAsia="zh-CN" w:bidi="ar-SA"/>
                    </w:rPr>
                  </w:pPr>
                  <w:r>
                    <w:rPr>
                      <w:rFonts w:hint="eastAsia"/>
                      <w:lang w:val="en-US" w:eastAsia="zh-CN"/>
                    </w:rPr>
                    <w:t>mg/kg</w:t>
                  </w:r>
                </w:p>
              </w:tc>
              <w:tc>
                <w:tcPr>
                  <w:tcW w:w="132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1468" w:type="pct"/>
                  <w:noWrap w:val="0"/>
                  <w:vAlign w:val="center"/>
                </w:tcPr>
                <w:p>
                  <w:pPr>
                    <w:pStyle w:val="31"/>
                    <w:bidi w:val="0"/>
                    <w:rPr>
                      <w:rFonts w:hint="default"/>
                      <w:lang w:val="en-US" w:eastAsia="zh-CN"/>
                    </w:rPr>
                  </w:pPr>
                  <w:r>
                    <w:rPr>
                      <w:rFonts w:hint="eastAsia"/>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二苯并</w:t>
                  </w:r>
                  <w:r>
                    <w:rPr>
                      <w:rFonts w:hint="eastAsia"/>
                      <w:szCs w:val="21"/>
                      <w:lang w:val="en-US" w:eastAsia="zh-CN"/>
                    </w:rPr>
                    <w:t>[</w:t>
                  </w:r>
                  <w:r>
                    <w:rPr>
                      <w:rFonts w:hint="eastAsia"/>
                      <w:szCs w:val="21"/>
                    </w:rPr>
                    <w:t>a,h</w:t>
                  </w:r>
                  <w:r>
                    <w:rPr>
                      <w:rFonts w:hint="eastAsia"/>
                      <w:szCs w:val="21"/>
                      <w:lang w:val="en-US" w:eastAsia="zh-CN"/>
                    </w:rPr>
                    <w:t>]</w:t>
                  </w:r>
                  <w:r>
                    <w:rPr>
                      <w:rFonts w:hint="eastAsia"/>
                      <w:szCs w:val="21"/>
                    </w:rPr>
                    <w:t>蒽</w:t>
                  </w:r>
                </w:p>
              </w:tc>
              <w:tc>
                <w:tcPr>
                  <w:tcW w:w="990" w:type="pct"/>
                  <w:noWrap w:val="0"/>
                  <w:vAlign w:val="center"/>
                </w:tcPr>
                <w:p>
                  <w:pPr>
                    <w:pStyle w:val="64"/>
                    <w:rPr>
                      <w:rFonts w:ascii="Times New Roman" w:hAnsi="Times New Roman" w:eastAsia="宋体" w:cs="Times New Roman"/>
                      <w:kern w:val="2"/>
                      <w:sz w:val="21"/>
                      <w:szCs w:val="21"/>
                      <w:lang w:val="en-US" w:eastAsia="zh-CN" w:bidi="ar-SA"/>
                    </w:rPr>
                  </w:pPr>
                  <w:r>
                    <w:rPr>
                      <w:rFonts w:hint="eastAsia"/>
                      <w:lang w:val="en-US" w:eastAsia="zh-CN"/>
                    </w:rPr>
                    <w:t>mg/kg</w:t>
                  </w:r>
                </w:p>
              </w:tc>
              <w:tc>
                <w:tcPr>
                  <w:tcW w:w="132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p>
              </w:tc>
              <w:tc>
                <w:tcPr>
                  <w:tcW w:w="1468" w:type="pct"/>
                  <w:noWrap w:val="0"/>
                  <w:vAlign w:val="center"/>
                </w:tcPr>
                <w:p>
                  <w:pPr>
                    <w:pStyle w:val="31"/>
                    <w:bidi w:val="0"/>
                    <w:rPr>
                      <w:rFonts w:hint="default"/>
                      <w:lang w:val="en-US" w:eastAsia="zh-CN"/>
                    </w:rPr>
                  </w:pPr>
                  <w:r>
                    <w:rPr>
                      <w:rFonts w:hint="eastAsia"/>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noWrap w:val="0"/>
                  <w:vAlign w:val="center"/>
                </w:tcPr>
                <w:p>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rPr>
                    <w:t>石油烃</w:t>
                  </w:r>
                  <w:r>
                    <w:rPr>
                      <w:rFonts w:hint="default" w:ascii="Times New Roman" w:hAnsi="Times New Roman" w:cs="Times New Roman"/>
                      <w:sz w:val="21"/>
                      <w:szCs w:val="21"/>
                      <w:highlight w:val="none"/>
                    </w:rPr>
                    <w:t>C</w:t>
                  </w:r>
                  <w:r>
                    <w:rPr>
                      <w:rFonts w:hint="default" w:ascii="Times New Roman" w:hAnsi="Times New Roman" w:cs="Times New Roman"/>
                      <w:sz w:val="21"/>
                      <w:szCs w:val="21"/>
                      <w:highlight w:val="none"/>
                      <w:vertAlign w:val="subscript"/>
                    </w:rPr>
                    <w:t>10</w:t>
                  </w:r>
                  <w:r>
                    <w:rPr>
                      <w:rFonts w:hint="default" w:ascii="Times New Roman" w:hAnsi="Times New Roman" w:cs="Times New Roman"/>
                      <w:sz w:val="21"/>
                      <w:szCs w:val="21"/>
                      <w:highlight w:val="none"/>
                    </w:rPr>
                    <w:t>-C</w:t>
                  </w:r>
                  <w:r>
                    <w:rPr>
                      <w:rFonts w:hint="default" w:ascii="Times New Roman" w:hAnsi="Times New Roman" w:cs="Times New Roman"/>
                      <w:sz w:val="21"/>
                      <w:szCs w:val="21"/>
                      <w:highlight w:val="none"/>
                      <w:vertAlign w:val="subscript"/>
                    </w:rPr>
                    <w:t>40</w:t>
                  </w:r>
                </w:p>
              </w:tc>
              <w:tc>
                <w:tcPr>
                  <w:tcW w:w="990" w:type="pct"/>
                  <w:noWrap w:val="0"/>
                  <w:vAlign w:val="center"/>
                </w:tcPr>
                <w:p>
                  <w:pPr>
                    <w:pStyle w:val="64"/>
                    <w:rPr>
                      <w:rFonts w:ascii="Times New Roman" w:hAnsi="Times New Roman" w:eastAsia="宋体" w:cs="Times New Roman"/>
                      <w:kern w:val="2"/>
                      <w:sz w:val="21"/>
                      <w:szCs w:val="21"/>
                      <w:highlight w:val="none"/>
                      <w:lang w:val="en-US" w:eastAsia="zh-CN" w:bidi="ar-SA"/>
                    </w:rPr>
                  </w:pPr>
                  <w:r>
                    <w:rPr>
                      <w:rFonts w:hint="eastAsia"/>
                      <w:highlight w:val="none"/>
                      <w:lang w:val="en-US" w:eastAsia="zh-CN"/>
                    </w:rPr>
                    <w:t>mg/kg</w:t>
                  </w:r>
                </w:p>
              </w:tc>
              <w:tc>
                <w:tcPr>
                  <w:tcW w:w="1323" w:type="pct"/>
                  <w:noWrap w:val="0"/>
                  <w:vAlign w:val="center"/>
                </w:tcPr>
                <w:p>
                  <w:pPr>
                    <w:jc w:val="center"/>
                    <w:rPr>
                      <w:rFonts w:hint="default" w:ascii="Times New Roman" w:hAnsi="Times New Roman" w:eastAsia="宋体" w:cs="Times New Roman"/>
                      <w:color w:val="FF0000"/>
                      <w:kern w:val="2"/>
                      <w:sz w:val="21"/>
                      <w:szCs w:val="21"/>
                      <w:lang w:val="en-US" w:eastAsia="zh-CN" w:bidi="ar-SA"/>
                    </w:rPr>
                  </w:pPr>
                </w:p>
              </w:tc>
              <w:tc>
                <w:tcPr>
                  <w:tcW w:w="1468" w:type="pct"/>
                  <w:noWrap w:val="0"/>
                  <w:vAlign w:val="center"/>
                </w:tcPr>
                <w:p>
                  <w:pPr>
                    <w:pStyle w:val="31"/>
                    <w:bidi w:val="0"/>
                    <w:rPr>
                      <w:rFonts w:hint="default"/>
                      <w:lang w:val="en-US" w:eastAsia="zh-CN"/>
                    </w:rPr>
                  </w:pPr>
                  <w:r>
                    <w:rPr>
                      <w:rFonts w:hint="eastAsia"/>
                      <w:lang w:val="en-US" w:eastAsia="zh-CN"/>
                    </w:rPr>
                    <w:t>4500</w:t>
                  </w:r>
                </w:p>
              </w:tc>
            </w:tr>
          </w:tbl>
          <w:p>
            <w:pPr>
              <w:pStyle w:val="8"/>
              <w:bidi w:val="0"/>
              <w:ind w:left="0" w:leftChars="0" w:firstLine="0" w:firstLineChars="0"/>
              <w:rPr>
                <w:rFonts w:hint="default"/>
                <w:lang w:val="en-US" w:eastAsia="zh-CN"/>
              </w:rPr>
            </w:pPr>
            <w:r>
              <w:rPr>
                <w:rFonts w:hint="eastAsia" w:ascii="Times New Roman" w:hAnsi="Times New Roman" w:eastAsia="宋体" w:cs="Times New Roman"/>
                <w:color w:val="auto"/>
                <w:kern w:val="2"/>
                <w:sz w:val="21"/>
                <w:szCs w:val="24"/>
                <w:lang w:val="en-US" w:eastAsia="zh-CN" w:bidi="ar-SA"/>
              </w:rPr>
              <w:t>备注：“&lt;”表示检测结果低于方法检出限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8" w:type="dxa"/>
            <w:vAlign w:val="center"/>
          </w:tcPr>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保护</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目标</w:t>
            </w:r>
          </w:p>
        </w:tc>
        <w:tc>
          <w:tcPr>
            <w:tcW w:w="9212" w:type="dxa"/>
            <w:vAlign w:val="center"/>
          </w:tcPr>
          <w:p>
            <w:pPr>
              <w:pStyle w:val="4"/>
              <w:numPr>
                <w:ilvl w:val="1"/>
                <w:numId w:val="12"/>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w:t>
            </w:r>
          </w:p>
          <w:p>
            <w:pPr>
              <w:pStyle w:val="8"/>
              <w:bidi w:val="0"/>
              <w:rPr>
                <w:rFonts w:hint="eastAsia" w:cs="Times New Roman"/>
                <w:color w:val="auto"/>
                <w:highlight w:val="none"/>
                <w:lang w:val="en-US" w:eastAsia="zh-CN"/>
              </w:rPr>
            </w:pPr>
            <w:r>
              <w:rPr>
                <w:rFonts w:hint="default" w:ascii="Times New Roman" w:hAnsi="Times New Roman" w:cs="Times New Roman"/>
                <w:color w:val="auto"/>
                <w:highlight w:val="none"/>
              </w:rPr>
              <w:t>本项目位于</w:t>
            </w:r>
            <w:r>
              <w:rPr>
                <w:rFonts w:hint="eastAsia" w:ascii="Times New Roman" w:hAnsi="Times New Roman" w:eastAsia="宋体" w:cs="Times New Roman"/>
                <w:color w:val="auto"/>
                <w:kern w:val="0"/>
                <w:sz w:val="24"/>
                <w:szCs w:val="21"/>
                <w:highlight w:val="none"/>
                <w:lang w:val="en-US" w:eastAsia="zh-CN" w:bidi="ar-SA"/>
              </w:rPr>
              <w:t>闽侯县祥谦镇泮洋村祥宏中路20号</w:t>
            </w:r>
            <w:r>
              <w:rPr>
                <w:rFonts w:hint="default" w:ascii="Times New Roman" w:hAnsi="Times New Roman" w:cs="Times New Roman"/>
                <w:color w:val="auto"/>
                <w:highlight w:val="none"/>
              </w:rPr>
              <w:t>，周边以工业企业为主，</w:t>
            </w:r>
            <w:r>
              <w:rPr>
                <w:rFonts w:hint="eastAsia" w:ascii="Times New Roman" w:hAnsi="Times New Roman" w:cs="Times New Roman"/>
                <w:color w:val="auto"/>
                <w:highlight w:val="none"/>
                <w:lang w:val="en-US" w:eastAsia="zh-CN"/>
              </w:rPr>
              <w:t>50</w:t>
            </w:r>
            <w:r>
              <w:rPr>
                <w:rFonts w:hint="eastAsia" w:cs="Times New Roman"/>
                <w:color w:val="auto"/>
                <w:highlight w:val="none"/>
                <w:lang w:val="en-US" w:eastAsia="zh-CN"/>
              </w:rPr>
              <w:t>0</w:t>
            </w:r>
            <w:r>
              <w:rPr>
                <w:rFonts w:hint="eastAsia" w:ascii="Times New Roman" w:hAnsi="Times New Roman" w:cs="Times New Roman"/>
                <w:color w:val="auto"/>
                <w:highlight w:val="none"/>
                <w:lang w:val="en-US" w:eastAsia="zh-CN"/>
              </w:rPr>
              <w:t>m存在</w:t>
            </w:r>
            <w:r>
              <w:rPr>
                <w:rFonts w:hint="eastAsia" w:cs="Times New Roman"/>
                <w:color w:val="auto"/>
                <w:highlight w:val="none"/>
                <w:lang w:val="en-US" w:eastAsia="zh-CN"/>
              </w:rPr>
              <w:t>居住区，属于大气</w:t>
            </w:r>
            <w:r>
              <w:rPr>
                <w:rFonts w:hint="default" w:ascii="Times New Roman" w:hAnsi="Times New Roman" w:cs="Times New Roman"/>
                <w:color w:val="auto"/>
                <w:highlight w:val="none"/>
                <w:lang w:val="en-US" w:eastAsia="zh-CN"/>
              </w:rPr>
              <w:t>环境保护目标</w:t>
            </w:r>
            <w:r>
              <w:rPr>
                <w:rFonts w:hint="eastAsia" w:ascii="Times New Roman" w:hAnsi="Times New Roman" w:cs="Times New Roman"/>
                <w:color w:val="auto"/>
                <w:highlight w:val="none"/>
                <w:lang w:eastAsia="zh-CN"/>
              </w:rPr>
              <w:t>。</w:t>
            </w:r>
            <w:r>
              <w:rPr>
                <w:rFonts w:hint="eastAsia" w:cs="Times New Roman"/>
                <w:color w:val="auto"/>
                <w:highlight w:val="none"/>
                <w:lang w:val="en-US" w:eastAsia="zh-CN"/>
              </w:rPr>
              <w:t>环境保护目标详见</w:t>
            </w:r>
            <w:r>
              <w:rPr>
                <w:rFonts w:hint="eastAsia" w:cs="Times New Roman"/>
                <w:color w:val="auto"/>
                <w:highlight w:val="none"/>
                <w:lang w:val="en-US" w:eastAsia="zh-CN"/>
              </w:rPr>
              <w:fldChar w:fldCharType="begin"/>
            </w:r>
            <w:r>
              <w:rPr>
                <w:rFonts w:hint="eastAsia" w:cs="Times New Roman"/>
                <w:color w:val="auto"/>
                <w:highlight w:val="none"/>
                <w:lang w:val="en-US" w:eastAsia="zh-CN"/>
              </w:rPr>
              <w:instrText xml:space="preserve">REF_Ref15124\n\h</w:instrText>
            </w:r>
            <w:r>
              <w:rPr>
                <w:rFonts w:hint="eastAsia" w:cs="Times New Roman"/>
                <w:color w:val="auto"/>
                <w:highlight w:val="none"/>
                <w:lang w:val="en-US" w:eastAsia="zh-CN"/>
              </w:rPr>
              <w:fldChar w:fldCharType="separate"/>
            </w:r>
            <w:r>
              <w:rPr>
                <w:rFonts w:hint="eastAsia" w:cs="Times New Roman"/>
                <w:color w:val="auto"/>
                <w:highlight w:val="none"/>
                <w:lang w:val="en-US" w:eastAsia="zh-CN"/>
              </w:rPr>
              <w:t>表22</w:t>
            </w:r>
            <w:r>
              <w:rPr>
                <w:rFonts w:hint="eastAsia" w:cs="Times New Roman"/>
                <w:color w:val="auto"/>
                <w:highlight w:val="none"/>
                <w:lang w:val="en-US" w:eastAsia="zh-CN"/>
              </w:rPr>
              <w:fldChar w:fldCharType="end"/>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环境保护目标</w:t>
            </w:r>
            <w:r>
              <w:rPr>
                <w:rFonts w:hint="eastAsia" w:cs="Times New Roman"/>
                <w:color w:val="auto"/>
                <w:highlight w:val="none"/>
                <w:lang w:val="en-US" w:eastAsia="zh-CN"/>
              </w:rPr>
              <w:t>位置图见附图5。</w:t>
            </w:r>
          </w:p>
          <w:p>
            <w:pPr>
              <w:pStyle w:val="30"/>
              <w:bidi w:val="0"/>
              <w:rPr>
                <w:rFonts w:hint="default"/>
                <w:lang w:val="en-US" w:eastAsia="zh-CN"/>
              </w:rPr>
            </w:pPr>
            <w:bookmarkStart w:id="57" w:name="_Ref15124"/>
            <w:r>
              <w:rPr>
                <w:rFonts w:hint="eastAsia"/>
                <w:lang w:val="en-US" w:eastAsia="zh-CN"/>
              </w:rPr>
              <w:t>大气环境保护目标</w:t>
            </w:r>
            <w:bookmarkEnd w:id="57"/>
          </w:p>
          <w:tbl>
            <w:tblPr>
              <w:tblStyle w:val="25"/>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3"/>
              <w:gridCol w:w="2053"/>
              <w:gridCol w:w="3375"/>
              <w:gridCol w:w="17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tcBorders>
                    <w:left w:val="nil"/>
                  </w:tcBorders>
                  <w:vAlign w:val="center"/>
                </w:tcPr>
                <w:p>
                  <w:pPr>
                    <w:pStyle w:val="31"/>
                    <w:bidi w:val="0"/>
                    <w:rPr>
                      <w:rFonts w:hint="default"/>
                      <w:lang w:val="en-US" w:eastAsia="zh-CN"/>
                    </w:rPr>
                  </w:pPr>
                  <w:r>
                    <w:rPr>
                      <w:rFonts w:hint="eastAsia"/>
                      <w:lang w:val="en-US" w:eastAsia="zh-CN"/>
                    </w:rPr>
                    <w:t>名称</w:t>
                  </w:r>
                </w:p>
              </w:tc>
              <w:tc>
                <w:tcPr>
                  <w:tcW w:w="1154" w:type="pct"/>
                  <w:vAlign w:val="center"/>
                </w:tcPr>
                <w:p>
                  <w:pPr>
                    <w:pStyle w:val="31"/>
                    <w:bidi w:val="0"/>
                    <w:rPr>
                      <w:rFonts w:hint="default"/>
                      <w:lang w:val="en-US" w:eastAsia="zh-CN"/>
                    </w:rPr>
                  </w:pPr>
                  <w:r>
                    <w:rPr>
                      <w:rFonts w:hint="eastAsia"/>
                      <w:lang w:val="en-US" w:eastAsia="zh-CN"/>
                    </w:rPr>
                    <w:t>目标性质/规模</w:t>
                  </w:r>
                </w:p>
              </w:tc>
              <w:tc>
                <w:tcPr>
                  <w:tcW w:w="1897" w:type="pct"/>
                  <w:vAlign w:val="center"/>
                </w:tcPr>
                <w:p>
                  <w:pPr>
                    <w:pStyle w:val="31"/>
                    <w:bidi w:val="0"/>
                    <w:rPr>
                      <w:rFonts w:hint="eastAsia"/>
                      <w:lang w:val="en-US" w:eastAsia="zh-CN"/>
                    </w:rPr>
                  </w:pPr>
                  <w:r>
                    <w:rPr>
                      <w:rFonts w:hint="eastAsia"/>
                      <w:lang w:val="en-US" w:eastAsia="zh-CN"/>
                    </w:rPr>
                    <w:t>地理坐标</w:t>
                  </w:r>
                </w:p>
              </w:tc>
              <w:tc>
                <w:tcPr>
                  <w:tcW w:w="957" w:type="pct"/>
                  <w:tcBorders>
                    <w:right w:val="nil"/>
                  </w:tcBorders>
                  <w:vAlign w:val="center"/>
                </w:tcPr>
                <w:p>
                  <w:pPr>
                    <w:pStyle w:val="31"/>
                    <w:bidi w:val="0"/>
                    <w:rPr>
                      <w:rFonts w:hint="default"/>
                      <w:lang w:val="en-US" w:eastAsia="zh-CN"/>
                    </w:rPr>
                  </w:pPr>
                  <w:r>
                    <w:rPr>
                      <w:rFonts w:hint="eastAsia"/>
                      <w:lang w:val="en-US" w:eastAsia="zh-CN"/>
                    </w:rPr>
                    <w:t>相对方位/距离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tcBorders>
                    <w:left w:val="nil"/>
                  </w:tcBorders>
                  <w:vAlign w:val="center"/>
                </w:tcPr>
                <w:p>
                  <w:pPr>
                    <w:pStyle w:val="31"/>
                    <w:bidi w:val="0"/>
                    <w:rPr>
                      <w:rFonts w:hint="default"/>
                      <w:lang w:val="en-US" w:eastAsia="zh-CN"/>
                    </w:rPr>
                  </w:pPr>
                  <w:r>
                    <w:rPr>
                      <w:rFonts w:hint="eastAsia"/>
                      <w:lang w:val="en-US" w:eastAsia="zh-CN"/>
                    </w:rPr>
                    <w:t>泮洋村居民区</w:t>
                  </w:r>
                </w:p>
              </w:tc>
              <w:tc>
                <w:tcPr>
                  <w:tcW w:w="1154" w:type="pct"/>
                  <w:vAlign w:val="center"/>
                </w:tcPr>
                <w:p>
                  <w:pPr>
                    <w:pStyle w:val="31"/>
                    <w:bidi w:val="0"/>
                    <w:rPr>
                      <w:rFonts w:hint="eastAsia"/>
                      <w:lang w:val="en-US" w:eastAsia="zh-CN"/>
                    </w:rPr>
                  </w:pPr>
                  <w:r>
                    <w:rPr>
                      <w:rFonts w:hint="eastAsia"/>
                      <w:lang w:val="en-US" w:eastAsia="zh-CN"/>
                    </w:rPr>
                    <w:t>约200户居住区</w:t>
                  </w:r>
                </w:p>
              </w:tc>
              <w:tc>
                <w:tcPr>
                  <w:tcW w:w="1897" w:type="pct"/>
                  <w:vAlign w:val="center"/>
                </w:tcPr>
                <w:p>
                  <w:pPr>
                    <w:pStyle w:val="31"/>
                    <w:bidi w:val="0"/>
                    <w:rPr>
                      <w:rFonts w:hint="default"/>
                      <w:lang w:val="en-US" w:eastAsia="zh-CN"/>
                    </w:rPr>
                  </w:pPr>
                  <w:r>
                    <w:rPr>
                      <w:rFonts w:hint="default"/>
                      <w:lang w:val="en-US" w:eastAsia="zh-CN"/>
                    </w:rPr>
                    <w:t>119°22′38.753″</w:t>
                  </w:r>
                  <w:r>
                    <w:rPr>
                      <w:rFonts w:hint="eastAsia"/>
                      <w:lang w:val="en-US" w:eastAsia="zh-CN"/>
                    </w:rPr>
                    <w:t>，</w:t>
                  </w:r>
                  <w:r>
                    <w:rPr>
                      <w:rFonts w:hint="default"/>
                      <w:lang w:val="en-US" w:eastAsia="zh-CN"/>
                    </w:rPr>
                    <w:t>25°56′5.220″</w:t>
                  </w:r>
                </w:p>
              </w:tc>
              <w:tc>
                <w:tcPr>
                  <w:tcW w:w="957" w:type="pct"/>
                  <w:tcBorders>
                    <w:right w:val="nil"/>
                  </w:tcBorders>
                  <w:vAlign w:val="center"/>
                </w:tcPr>
                <w:p>
                  <w:pPr>
                    <w:pStyle w:val="31"/>
                    <w:bidi w:val="0"/>
                    <w:rPr>
                      <w:rFonts w:hint="default"/>
                      <w:lang w:val="en-US" w:eastAsia="zh-CN"/>
                    </w:rPr>
                  </w:pPr>
                  <w:r>
                    <w:rPr>
                      <w:rFonts w:hint="eastAsia"/>
                      <w:lang w:val="en-US" w:eastAsia="zh-CN"/>
                    </w:rPr>
                    <w:t>西北侧212m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tcBorders>
                    <w:left w:val="nil"/>
                  </w:tcBorders>
                  <w:vAlign w:val="center"/>
                </w:tcPr>
                <w:p>
                  <w:pPr>
                    <w:pStyle w:val="31"/>
                    <w:bidi w:val="0"/>
                    <w:rPr>
                      <w:rFonts w:hint="default"/>
                      <w:lang w:val="en-US" w:eastAsia="zh-CN"/>
                    </w:rPr>
                  </w:pPr>
                  <w:r>
                    <w:rPr>
                      <w:rFonts w:hint="eastAsia"/>
                      <w:lang w:val="en-US" w:eastAsia="zh-CN"/>
                    </w:rPr>
                    <w:t>用武居民区</w:t>
                  </w:r>
                </w:p>
              </w:tc>
              <w:tc>
                <w:tcPr>
                  <w:tcW w:w="1154" w:type="pct"/>
                  <w:vAlign w:val="center"/>
                </w:tcPr>
                <w:p>
                  <w:pPr>
                    <w:pStyle w:val="31"/>
                    <w:bidi w:val="0"/>
                    <w:rPr>
                      <w:rFonts w:hint="eastAsia"/>
                      <w:lang w:val="en-US" w:eastAsia="zh-CN"/>
                    </w:rPr>
                  </w:pPr>
                  <w:r>
                    <w:rPr>
                      <w:rFonts w:hint="eastAsia"/>
                      <w:lang w:val="en-US" w:eastAsia="zh-CN"/>
                    </w:rPr>
                    <w:t>约45户居住区</w:t>
                  </w:r>
                </w:p>
              </w:tc>
              <w:tc>
                <w:tcPr>
                  <w:tcW w:w="1897" w:type="pct"/>
                  <w:vAlign w:val="center"/>
                </w:tcPr>
                <w:p>
                  <w:pPr>
                    <w:pStyle w:val="31"/>
                    <w:bidi w:val="0"/>
                    <w:rPr>
                      <w:rFonts w:hint="default"/>
                      <w:lang w:val="en-US" w:eastAsia="zh-CN"/>
                    </w:rPr>
                  </w:pPr>
                  <w:r>
                    <w:rPr>
                      <w:rFonts w:hint="default"/>
                      <w:lang w:val="en-US" w:eastAsia="zh-CN"/>
                    </w:rPr>
                    <w:t>119°22′54.550″</w:t>
                  </w:r>
                  <w:r>
                    <w:rPr>
                      <w:rFonts w:hint="eastAsia"/>
                      <w:lang w:val="en-US" w:eastAsia="zh-CN"/>
                    </w:rPr>
                    <w:t>，</w:t>
                  </w:r>
                  <w:r>
                    <w:rPr>
                      <w:rFonts w:hint="default"/>
                      <w:lang w:val="en-US" w:eastAsia="zh-CN"/>
                    </w:rPr>
                    <w:t>25°55′58.30</w:t>
                  </w:r>
                  <w:r>
                    <w:rPr>
                      <w:rFonts w:hint="eastAsia"/>
                      <w:lang w:val="en-US" w:eastAsia="zh-CN"/>
                    </w:rPr>
                    <w:t>7</w:t>
                  </w:r>
                  <w:r>
                    <w:rPr>
                      <w:rFonts w:hint="default"/>
                      <w:lang w:val="en-US" w:eastAsia="zh-CN"/>
                    </w:rPr>
                    <w:t>″</w:t>
                  </w:r>
                </w:p>
              </w:tc>
              <w:tc>
                <w:tcPr>
                  <w:tcW w:w="957" w:type="pct"/>
                  <w:tcBorders>
                    <w:right w:val="nil"/>
                  </w:tcBorders>
                  <w:vAlign w:val="center"/>
                </w:tcPr>
                <w:p>
                  <w:pPr>
                    <w:pStyle w:val="31"/>
                    <w:bidi w:val="0"/>
                    <w:rPr>
                      <w:rFonts w:hint="default"/>
                      <w:lang w:val="en-US" w:eastAsia="zh-CN"/>
                    </w:rPr>
                  </w:pPr>
                  <w:r>
                    <w:rPr>
                      <w:rFonts w:hint="eastAsia"/>
                      <w:lang w:val="en-US" w:eastAsia="zh-CN"/>
                    </w:rPr>
                    <w:t>西南侧60m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1" w:type="pct"/>
                  <w:tcBorders>
                    <w:left w:val="nil"/>
                  </w:tcBorders>
                  <w:vAlign w:val="center"/>
                </w:tcPr>
                <w:p>
                  <w:pPr>
                    <w:pStyle w:val="31"/>
                    <w:bidi w:val="0"/>
                    <w:rPr>
                      <w:rFonts w:hint="default"/>
                      <w:lang w:val="en-US" w:eastAsia="zh-CN"/>
                    </w:rPr>
                  </w:pPr>
                  <w:r>
                    <w:rPr>
                      <w:rFonts w:hint="eastAsia"/>
                      <w:lang w:val="en-US" w:eastAsia="zh-CN"/>
                    </w:rPr>
                    <w:t>祥谦镇人民政府</w:t>
                  </w:r>
                </w:p>
              </w:tc>
              <w:tc>
                <w:tcPr>
                  <w:tcW w:w="1154" w:type="pct"/>
                  <w:vAlign w:val="center"/>
                </w:tcPr>
                <w:p>
                  <w:pPr>
                    <w:pStyle w:val="31"/>
                    <w:bidi w:val="0"/>
                    <w:rPr>
                      <w:rFonts w:hint="default"/>
                      <w:lang w:val="en-US" w:eastAsia="zh-CN"/>
                    </w:rPr>
                  </w:pPr>
                  <w:r>
                    <w:rPr>
                      <w:rFonts w:hint="eastAsia"/>
                      <w:lang w:val="en-US" w:eastAsia="zh-CN"/>
                    </w:rPr>
                    <w:t>办公场所</w:t>
                  </w:r>
                </w:p>
              </w:tc>
              <w:tc>
                <w:tcPr>
                  <w:tcW w:w="1897" w:type="pct"/>
                  <w:vAlign w:val="center"/>
                </w:tcPr>
                <w:p>
                  <w:pPr>
                    <w:pStyle w:val="31"/>
                    <w:bidi w:val="0"/>
                    <w:rPr>
                      <w:rFonts w:hint="default"/>
                      <w:lang w:val="en-US" w:eastAsia="zh-CN"/>
                    </w:rPr>
                  </w:pPr>
                  <w:r>
                    <w:rPr>
                      <w:rFonts w:hint="default"/>
                      <w:lang w:val="en-US" w:eastAsia="zh-CN"/>
                    </w:rPr>
                    <w:t>119°22′54.60928″</w:t>
                  </w:r>
                  <w:r>
                    <w:rPr>
                      <w:rFonts w:hint="eastAsia"/>
                      <w:lang w:val="en-US" w:eastAsia="zh-CN"/>
                    </w:rPr>
                    <w:t>，</w:t>
                  </w:r>
                  <w:r>
                    <w:rPr>
                      <w:rFonts w:hint="default"/>
                      <w:lang w:val="en-US" w:eastAsia="zh-CN"/>
                    </w:rPr>
                    <w:t>25°55′58.46032″</w:t>
                  </w:r>
                </w:p>
              </w:tc>
              <w:tc>
                <w:tcPr>
                  <w:tcW w:w="957" w:type="pct"/>
                  <w:tcBorders>
                    <w:right w:val="nil"/>
                  </w:tcBorders>
                  <w:vAlign w:val="center"/>
                </w:tcPr>
                <w:p>
                  <w:pPr>
                    <w:pStyle w:val="31"/>
                    <w:bidi w:val="0"/>
                    <w:rPr>
                      <w:rFonts w:hint="default"/>
                      <w:lang w:val="en-US" w:eastAsia="zh-CN"/>
                    </w:rPr>
                  </w:pPr>
                  <w:r>
                    <w:rPr>
                      <w:rFonts w:hint="eastAsia"/>
                      <w:lang w:val="en-US" w:eastAsia="zh-CN"/>
                    </w:rPr>
                    <w:t>东侧233m</w:t>
                  </w:r>
                </w:p>
              </w:tc>
            </w:tr>
          </w:tbl>
          <w:p>
            <w:pPr>
              <w:pStyle w:val="4"/>
              <w:numPr>
                <w:ilvl w:val="1"/>
                <w:numId w:val="12"/>
              </w:numPr>
              <w:tabs>
                <w:tab w:val="left" w:pos="420"/>
              </w:tabs>
              <w:rPr>
                <w:rFonts w:hint="default" w:ascii="Times New Roman" w:hAnsi="Times New Roman" w:cs="Times New Roman"/>
                <w:color w:val="auto"/>
                <w:highlight w:val="none"/>
              </w:rPr>
            </w:pPr>
            <w:r>
              <w:rPr>
                <w:rFonts w:hint="eastAsia" w:cs="Times New Roman"/>
                <w:color w:val="auto"/>
                <w:highlight w:val="none"/>
                <w:lang w:val="en-US" w:eastAsia="zh-CN"/>
              </w:rPr>
              <w:t>地表水</w:t>
            </w:r>
          </w:p>
          <w:p>
            <w:pPr>
              <w:pStyle w:val="8"/>
              <w:bidi w:val="0"/>
              <w:rPr>
                <w:rFonts w:hint="eastAsia" w:cs="Times New Roman"/>
                <w:color w:val="auto"/>
                <w:highlight w:val="none"/>
                <w:lang w:eastAsia="zh-CN"/>
              </w:rPr>
            </w:pPr>
            <w:r>
              <w:rPr>
                <w:rFonts w:hint="default" w:ascii="Times New Roman" w:hAnsi="Times New Roman" w:cs="Times New Roman"/>
                <w:color w:val="auto"/>
                <w:highlight w:val="none"/>
              </w:rPr>
              <w:t>本项目位于</w:t>
            </w:r>
            <w:r>
              <w:rPr>
                <w:rFonts w:hint="eastAsia" w:cs="Times New Roman"/>
                <w:color w:val="auto"/>
                <w:highlight w:val="none"/>
                <w:lang w:val="en-US" w:eastAsia="zh-CN"/>
              </w:rPr>
              <w:t>淘江与闽侯县内河（大脚浦）交汇处北侧360m处</w:t>
            </w:r>
            <w:r>
              <w:rPr>
                <w:rFonts w:hint="default" w:ascii="Times New Roman" w:hAnsi="Times New Roman" w:cs="Times New Roman"/>
                <w:color w:val="auto"/>
                <w:highlight w:val="none"/>
              </w:rPr>
              <w:t>，</w:t>
            </w:r>
            <w:r>
              <w:rPr>
                <w:rFonts w:hint="eastAsia" w:cs="Times New Roman"/>
                <w:color w:val="auto"/>
                <w:highlight w:val="none"/>
                <w:lang w:val="en-US" w:eastAsia="zh-CN"/>
              </w:rPr>
              <w:t>淘江</w:t>
            </w:r>
            <w:r>
              <w:rPr>
                <w:rFonts w:hint="eastAsia"/>
                <w:lang w:val="en-US" w:eastAsia="zh-CN"/>
              </w:rPr>
              <w:t>为闽江支流，大脚浦为闽侯县内河及淘江支流，</w:t>
            </w:r>
            <w:r>
              <w:rPr>
                <w:rFonts w:hint="eastAsia" w:cs="Times New Roman"/>
                <w:color w:val="auto"/>
                <w:highlight w:val="none"/>
                <w:lang w:val="en-US" w:eastAsia="zh-CN"/>
              </w:rPr>
              <w:t>属于地表水</w:t>
            </w:r>
            <w:r>
              <w:rPr>
                <w:rFonts w:hint="default" w:ascii="Times New Roman" w:hAnsi="Times New Roman" w:cs="Times New Roman"/>
                <w:color w:val="auto"/>
                <w:highlight w:val="none"/>
                <w:lang w:val="en-US" w:eastAsia="zh-CN"/>
              </w:rPr>
              <w:t>环境保护目标</w:t>
            </w:r>
            <w:r>
              <w:rPr>
                <w:rFonts w:hint="eastAsia" w:cs="Times New Roman"/>
                <w:color w:val="auto"/>
                <w:highlight w:val="none"/>
                <w:lang w:eastAsia="zh-CN"/>
              </w:rPr>
              <w:t>。</w:t>
            </w:r>
          </w:p>
          <w:p>
            <w:pPr>
              <w:pStyle w:val="30"/>
              <w:bidi w:val="0"/>
              <w:rPr>
                <w:rFonts w:hint="default"/>
                <w:lang w:val="en-US" w:eastAsia="zh-CN"/>
              </w:rPr>
            </w:pPr>
            <w:r>
              <w:rPr>
                <w:rFonts w:hint="eastAsia"/>
                <w:lang w:val="en-US" w:eastAsia="zh-CN"/>
              </w:rPr>
              <w:t>地表水环境保护目标</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4"/>
              <w:gridCol w:w="3665"/>
              <w:gridCol w:w="2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6" w:type="pct"/>
                  <w:tcBorders>
                    <w:left w:val="nil"/>
                  </w:tcBorders>
                  <w:vAlign w:val="center"/>
                </w:tcPr>
                <w:p>
                  <w:pPr>
                    <w:pStyle w:val="31"/>
                    <w:bidi w:val="0"/>
                    <w:rPr>
                      <w:rFonts w:hint="default"/>
                      <w:lang w:val="en-US" w:eastAsia="zh-CN"/>
                    </w:rPr>
                  </w:pPr>
                  <w:r>
                    <w:rPr>
                      <w:rFonts w:hint="eastAsia"/>
                      <w:lang w:val="en-US" w:eastAsia="zh-CN"/>
                    </w:rPr>
                    <w:t>名称</w:t>
                  </w:r>
                </w:p>
              </w:tc>
              <w:tc>
                <w:tcPr>
                  <w:tcW w:w="2040" w:type="pct"/>
                  <w:vAlign w:val="center"/>
                </w:tcPr>
                <w:p>
                  <w:pPr>
                    <w:pStyle w:val="31"/>
                    <w:bidi w:val="0"/>
                    <w:rPr>
                      <w:rFonts w:hint="default"/>
                      <w:lang w:val="en-US" w:eastAsia="zh-CN"/>
                    </w:rPr>
                  </w:pPr>
                  <w:r>
                    <w:rPr>
                      <w:rFonts w:hint="eastAsia"/>
                      <w:lang w:val="en-US" w:eastAsia="zh-CN"/>
                    </w:rPr>
                    <w:t>目标性质</w:t>
                  </w:r>
                </w:p>
              </w:tc>
              <w:tc>
                <w:tcPr>
                  <w:tcW w:w="1543" w:type="pct"/>
                  <w:tcBorders>
                    <w:right w:val="nil"/>
                  </w:tcBorders>
                  <w:vAlign w:val="center"/>
                </w:tcPr>
                <w:p>
                  <w:pPr>
                    <w:pStyle w:val="31"/>
                    <w:bidi w:val="0"/>
                    <w:rPr>
                      <w:rFonts w:hint="default"/>
                      <w:lang w:val="en-US" w:eastAsia="zh-CN"/>
                    </w:rPr>
                  </w:pPr>
                  <w:r>
                    <w:rPr>
                      <w:rFonts w:hint="eastAsia"/>
                      <w:lang w:val="en-US" w:eastAsia="zh-CN"/>
                    </w:rPr>
                    <w:t>相对方位/距离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6" w:type="pct"/>
                  <w:tcBorders>
                    <w:left w:val="nil"/>
                  </w:tcBorders>
                  <w:vAlign w:val="center"/>
                </w:tcPr>
                <w:p>
                  <w:pPr>
                    <w:pStyle w:val="31"/>
                    <w:bidi w:val="0"/>
                    <w:rPr>
                      <w:rFonts w:hint="default"/>
                      <w:lang w:val="en-US" w:eastAsia="zh-CN"/>
                    </w:rPr>
                  </w:pPr>
                  <w:r>
                    <w:rPr>
                      <w:rFonts w:hint="eastAsia"/>
                      <w:lang w:val="en-US" w:eastAsia="zh-CN"/>
                    </w:rPr>
                    <w:t>大脚浦</w:t>
                  </w:r>
                </w:p>
              </w:tc>
              <w:tc>
                <w:tcPr>
                  <w:tcW w:w="2040" w:type="pct"/>
                  <w:vAlign w:val="center"/>
                </w:tcPr>
                <w:p>
                  <w:pPr>
                    <w:pStyle w:val="31"/>
                    <w:bidi w:val="0"/>
                    <w:rPr>
                      <w:rFonts w:hint="default"/>
                      <w:lang w:val="en-US" w:eastAsia="zh-CN"/>
                    </w:rPr>
                  </w:pPr>
                  <w:r>
                    <w:rPr>
                      <w:rFonts w:hint="eastAsia"/>
                      <w:lang w:val="en-US" w:eastAsia="zh-CN"/>
                    </w:rPr>
                    <w:t>闽侯县内河、淘江支流</w:t>
                  </w:r>
                </w:p>
              </w:tc>
              <w:tc>
                <w:tcPr>
                  <w:tcW w:w="1543" w:type="pct"/>
                  <w:tcBorders>
                    <w:right w:val="nil"/>
                  </w:tcBorders>
                  <w:vAlign w:val="center"/>
                </w:tcPr>
                <w:p>
                  <w:pPr>
                    <w:pStyle w:val="31"/>
                    <w:bidi w:val="0"/>
                    <w:rPr>
                      <w:rFonts w:hint="default"/>
                      <w:lang w:val="en-US" w:eastAsia="zh-CN"/>
                    </w:rPr>
                  </w:pPr>
                  <w:r>
                    <w:rPr>
                      <w:rFonts w:hint="eastAsia"/>
                      <w:lang w:val="en-US" w:eastAsia="zh-CN"/>
                    </w:rPr>
                    <w:t>西南侧190m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6" w:type="pct"/>
                  <w:tcBorders>
                    <w:left w:val="nil"/>
                  </w:tcBorders>
                  <w:vAlign w:val="center"/>
                </w:tcPr>
                <w:p>
                  <w:pPr>
                    <w:pStyle w:val="31"/>
                    <w:bidi w:val="0"/>
                    <w:rPr>
                      <w:rFonts w:hint="default"/>
                      <w:lang w:val="en-US" w:eastAsia="zh-CN"/>
                    </w:rPr>
                  </w:pPr>
                  <w:r>
                    <w:rPr>
                      <w:rFonts w:hint="eastAsia"/>
                      <w:lang w:val="en-US" w:eastAsia="zh-CN"/>
                    </w:rPr>
                    <w:t>淘江</w:t>
                  </w:r>
                </w:p>
              </w:tc>
              <w:tc>
                <w:tcPr>
                  <w:tcW w:w="2040" w:type="pct"/>
                  <w:vAlign w:val="center"/>
                </w:tcPr>
                <w:p>
                  <w:pPr>
                    <w:pStyle w:val="31"/>
                    <w:bidi w:val="0"/>
                    <w:rPr>
                      <w:rFonts w:hint="default"/>
                      <w:lang w:val="en-US" w:eastAsia="zh-CN"/>
                    </w:rPr>
                  </w:pPr>
                  <w:r>
                    <w:rPr>
                      <w:rFonts w:hint="eastAsia"/>
                      <w:lang w:val="en-US" w:eastAsia="zh-CN"/>
                    </w:rPr>
                    <w:t>闽江支流</w:t>
                  </w:r>
                </w:p>
              </w:tc>
              <w:tc>
                <w:tcPr>
                  <w:tcW w:w="1543" w:type="pct"/>
                  <w:tcBorders>
                    <w:right w:val="nil"/>
                  </w:tcBorders>
                  <w:vAlign w:val="center"/>
                </w:tcPr>
                <w:p>
                  <w:pPr>
                    <w:pStyle w:val="31"/>
                    <w:bidi w:val="0"/>
                    <w:rPr>
                      <w:rFonts w:hint="default"/>
                      <w:lang w:val="en-US" w:eastAsia="zh-CN"/>
                    </w:rPr>
                  </w:pPr>
                  <w:r>
                    <w:rPr>
                      <w:rFonts w:hint="eastAsia"/>
                      <w:lang w:val="en-US" w:eastAsia="zh-CN"/>
                    </w:rPr>
                    <w:t>东南侧300m</w:t>
                  </w:r>
                </w:p>
              </w:tc>
            </w:tr>
          </w:tbl>
          <w:p>
            <w:pPr>
              <w:pStyle w:val="31"/>
              <w:rPr>
                <w:rFonts w:hint="default"/>
                <w:lang w:val="en-US" w:eastAsia="zh-CN"/>
              </w:rPr>
            </w:pPr>
          </w:p>
          <w:p>
            <w:pPr>
              <w:pStyle w:val="4"/>
              <w:numPr>
                <w:ilvl w:val="1"/>
                <w:numId w:val="12"/>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声环境</w:t>
            </w:r>
          </w:p>
          <w:p>
            <w:pPr>
              <w:pStyle w:val="8"/>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本项目位于</w:t>
            </w:r>
            <w:r>
              <w:rPr>
                <w:rFonts w:hint="eastAsia" w:ascii="Times New Roman" w:hAnsi="Times New Roman" w:eastAsia="宋体" w:cs="Times New Roman"/>
                <w:color w:val="auto"/>
                <w:kern w:val="0"/>
                <w:sz w:val="24"/>
                <w:szCs w:val="21"/>
                <w:highlight w:val="none"/>
                <w:lang w:val="en-US" w:eastAsia="zh-CN" w:bidi="ar-SA"/>
              </w:rPr>
              <w:t>闽侯县祥谦镇泮洋村祥宏中路20号</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rPr>
              <w:t>周边以工业企业为主，</w:t>
            </w:r>
            <w:r>
              <w:rPr>
                <w:rFonts w:hint="default" w:cs="Times New Roman"/>
                <w:color w:val="auto"/>
                <w:highlight w:val="none"/>
                <w:lang w:val="en-US" w:eastAsia="zh-CN"/>
              </w:rPr>
              <w:t>50m</w:t>
            </w:r>
            <w:r>
              <w:rPr>
                <w:rFonts w:hint="eastAsia" w:cs="Times New Roman"/>
                <w:color w:val="auto"/>
                <w:highlight w:val="none"/>
                <w:lang w:val="en-US" w:eastAsia="zh-CN"/>
              </w:rPr>
              <w:t>范围内</w:t>
            </w:r>
            <w:r>
              <w:rPr>
                <w:rFonts w:hint="default" w:cs="Times New Roman"/>
                <w:color w:val="auto"/>
                <w:highlight w:val="none"/>
                <w:lang w:val="en-US" w:eastAsia="zh-CN"/>
              </w:rPr>
              <w:t>不存在</w:t>
            </w:r>
            <w:r>
              <w:rPr>
                <w:rFonts w:hint="default" w:ascii="Times New Roman" w:hAnsi="Times New Roman" w:cs="Times New Roman"/>
                <w:color w:val="auto"/>
                <w:highlight w:val="none"/>
                <w:lang w:val="en-US" w:eastAsia="zh-CN"/>
              </w:rPr>
              <w:t>声环境保护目标</w:t>
            </w:r>
            <w:r>
              <w:rPr>
                <w:rFonts w:hint="eastAsia" w:cs="Times New Roman"/>
                <w:color w:val="auto"/>
                <w:highlight w:val="none"/>
                <w:lang w:eastAsia="zh-CN"/>
              </w:rPr>
              <w:t>。</w:t>
            </w:r>
          </w:p>
          <w:p>
            <w:pPr>
              <w:pStyle w:val="4"/>
              <w:numPr>
                <w:ilvl w:val="1"/>
                <w:numId w:val="12"/>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厂界外500米范围内无地下水集中式饮用水水源和热水、矿泉水、泉水等特殊地下水资源。</w:t>
            </w:r>
          </w:p>
          <w:p>
            <w:pPr>
              <w:pStyle w:val="4"/>
              <w:numPr>
                <w:ilvl w:val="1"/>
                <w:numId w:val="12"/>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生态环境</w:t>
            </w:r>
          </w:p>
          <w:p>
            <w:pPr>
              <w:pStyle w:val="8"/>
              <w:bidi w:val="0"/>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本项目位于</w:t>
            </w:r>
            <w:r>
              <w:rPr>
                <w:rFonts w:hint="eastAsia" w:ascii="Times New Roman" w:hAnsi="Times New Roman" w:eastAsia="宋体" w:cs="Times New Roman"/>
                <w:color w:val="auto"/>
                <w:kern w:val="0"/>
                <w:sz w:val="24"/>
                <w:szCs w:val="21"/>
                <w:highlight w:val="none"/>
                <w:lang w:val="en-US" w:eastAsia="zh-CN" w:bidi="ar-SA"/>
              </w:rPr>
              <w:t>闽侯县祥谦镇泮洋村祥宏中路20号</w:t>
            </w:r>
            <w:r>
              <w:rPr>
                <w:rFonts w:hint="default" w:ascii="Times New Roman" w:hAnsi="Times New Roman" w:cs="Times New Roman"/>
                <w:color w:val="auto"/>
                <w:highlight w:val="none"/>
              </w:rPr>
              <w:t>，</w:t>
            </w:r>
            <w:r>
              <w:rPr>
                <w:rFonts w:hint="eastAsia" w:cs="Times New Roman"/>
                <w:color w:val="auto"/>
                <w:highlight w:val="none"/>
                <w:lang w:val="en-US" w:eastAsia="zh-CN"/>
              </w:rPr>
              <w:t>周边范围内</w:t>
            </w:r>
            <w:r>
              <w:rPr>
                <w:rFonts w:hint="default" w:ascii="Times New Roman" w:hAnsi="Times New Roman" w:cs="Times New Roman"/>
                <w:color w:val="auto"/>
                <w:highlight w:val="none"/>
              </w:rPr>
              <w:t>无生态环境保护目标。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8" w:type="dxa"/>
            <w:tcMar>
              <w:left w:w="28" w:type="dxa"/>
              <w:right w:w="28" w:type="dxa"/>
            </w:tcMar>
            <w:vAlign w:val="center"/>
          </w:tcPr>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物排</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放控</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制标</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准</w:t>
            </w:r>
          </w:p>
        </w:tc>
        <w:tc>
          <w:tcPr>
            <w:tcW w:w="9212" w:type="dxa"/>
            <w:vAlign w:val="center"/>
          </w:tcPr>
          <w:p>
            <w:pPr>
              <w:pStyle w:val="4"/>
              <w:numPr>
                <w:ilvl w:val="1"/>
                <w:numId w:val="13"/>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废气排放标准</w:t>
            </w:r>
          </w:p>
          <w:p>
            <w:pPr>
              <w:pStyle w:val="8"/>
              <w:ind w:firstLine="480"/>
              <w:rPr>
                <w:rFonts w:hint="eastAsia" w:cs="Times New Roman"/>
                <w:color w:val="auto"/>
                <w:highlight w:val="none"/>
                <w:lang w:val="en-US" w:eastAsia="zh-CN"/>
              </w:rPr>
            </w:pPr>
            <w:bookmarkStart w:id="58" w:name="_Ref11732"/>
            <w:r>
              <w:rPr>
                <w:rFonts w:hint="default" w:ascii="Times New Roman" w:hAnsi="Times New Roman" w:cs="Times New Roman"/>
                <w:color w:val="auto"/>
                <w:highlight w:val="none"/>
              </w:rPr>
              <w:t>本项目</w:t>
            </w:r>
            <w:r>
              <w:rPr>
                <w:rFonts w:hint="eastAsia" w:cs="Times New Roman"/>
                <w:color w:val="auto"/>
                <w:highlight w:val="none"/>
                <w:lang w:val="en-US" w:eastAsia="zh-CN"/>
              </w:rPr>
              <w:t>废气来源为是储罐贮存挥发的有机废气，污染因子主要为非甲烷总烃，废气负压收集后经二级活性炭吸附装置处理后，尾气通过15m排气筒排放。</w:t>
            </w:r>
          </w:p>
          <w:p>
            <w:pPr>
              <w:pStyle w:val="8"/>
              <w:ind w:firstLine="480"/>
              <w:rPr>
                <w:rFonts w:hint="eastAsia" w:eastAsia="宋体" w:cs="Times New Roman"/>
                <w:color w:val="auto"/>
                <w:highlight w:val="none"/>
                <w:lang w:val="en-US" w:eastAsia="zh-CN"/>
              </w:rPr>
            </w:pPr>
            <w:r>
              <w:rPr>
                <w:rFonts w:hint="eastAsia" w:cs="Times New Roman"/>
                <w:color w:val="auto"/>
                <w:highlight w:val="none"/>
                <w:lang w:val="en-US" w:eastAsia="zh-CN"/>
              </w:rPr>
              <w:t>有组织</w:t>
            </w:r>
            <w:r>
              <w:rPr>
                <w:rFonts w:hint="default" w:cs="Times New Roman"/>
                <w:color w:val="auto"/>
                <w:highlight w:val="none"/>
                <w:lang w:val="en-US" w:eastAsia="zh-CN"/>
              </w:rPr>
              <w:t>非甲烷总烃</w:t>
            </w:r>
            <w:r>
              <w:rPr>
                <w:rFonts w:hint="eastAsia" w:cs="Times New Roman"/>
                <w:color w:val="auto"/>
                <w:highlight w:val="none"/>
                <w:lang w:val="en-US" w:eastAsia="zh-CN"/>
              </w:rPr>
              <w:t>排放浓度和最高允许排放速率执行</w:t>
            </w:r>
            <w:r>
              <w:rPr>
                <w:rFonts w:hint="eastAsia"/>
                <w:lang w:val="en-US" w:eastAsia="zh-CN"/>
              </w:rPr>
              <w:t>《大气污染物综合排放标准》（GB16297-1996）</w:t>
            </w:r>
            <w:r>
              <w:rPr>
                <w:rFonts w:hint="eastAsia" w:cs="Times New Roman"/>
                <w:color w:val="auto"/>
                <w:highlight w:val="none"/>
                <w:lang w:val="en-US" w:eastAsia="zh-CN"/>
              </w:rPr>
              <w:t>表2中二级排放标准限值要求</w:t>
            </w:r>
            <w:r>
              <w:rPr>
                <w:rFonts w:hint="eastAsia"/>
                <w:highlight w:val="none"/>
                <w:lang w:eastAsia="zh-CN"/>
              </w:rPr>
              <w:t>。</w:t>
            </w:r>
          </w:p>
          <w:p>
            <w:pPr>
              <w:pStyle w:val="8"/>
              <w:ind w:firstLine="480"/>
              <w:rPr>
                <w:rFonts w:hint="eastAsia" w:cs="Times New Roman"/>
                <w:color w:val="auto"/>
                <w:highlight w:val="none"/>
                <w:lang w:val="en-US" w:eastAsia="zh-CN"/>
              </w:rPr>
            </w:pPr>
            <w:r>
              <w:rPr>
                <w:rFonts w:hint="default" w:cs="Times New Roman"/>
                <w:color w:val="auto"/>
                <w:highlight w:val="none"/>
                <w:lang w:val="en-US" w:eastAsia="zh-CN"/>
              </w:rPr>
              <w:t>无组织</w:t>
            </w:r>
            <w:r>
              <w:rPr>
                <w:rFonts w:hint="eastAsia" w:cs="Times New Roman"/>
                <w:color w:val="auto"/>
                <w:highlight w:val="none"/>
                <w:lang w:val="en-US" w:eastAsia="zh-CN"/>
              </w:rPr>
              <w:t>非甲烷总烃排放厂界外最高点浓度值</w:t>
            </w:r>
            <w:r>
              <w:rPr>
                <w:rFonts w:hint="default" w:cs="Times New Roman"/>
                <w:color w:val="auto"/>
                <w:highlight w:val="none"/>
                <w:lang w:val="en-US" w:eastAsia="zh-CN"/>
              </w:rPr>
              <w:t>执行</w:t>
            </w:r>
            <w:r>
              <w:rPr>
                <w:rFonts w:hint="eastAsia"/>
                <w:lang w:val="en-US" w:eastAsia="zh-CN"/>
              </w:rPr>
              <w:t>《大气污染物综合排放标准》（GB16297-1996）</w:t>
            </w:r>
            <w:r>
              <w:rPr>
                <w:rFonts w:hint="eastAsia"/>
                <w:lang w:eastAsia="zh-CN"/>
              </w:rPr>
              <w:t>，</w:t>
            </w:r>
            <w:r>
              <w:rPr>
                <w:rFonts w:hint="eastAsia"/>
                <w:lang w:val="en-US" w:eastAsia="zh-CN"/>
              </w:rPr>
              <w:t>非甲烷总烃厂区内监控点处任意1h平均浓度值和厂区内监控点处任意一次浓度值执行</w:t>
            </w:r>
            <w:r>
              <w:rPr>
                <w:rFonts w:hint="eastAsia" w:cs="Times New Roman"/>
                <w:color w:val="auto"/>
                <w:highlight w:val="none"/>
                <w:lang w:val="en-US" w:eastAsia="zh-CN"/>
              </w:rPr>
              <w:t>《挥发性有机物无组织排放控制标准》（GB37822-2019）</w:t>
            </w:r>
            <w:r>
              <w:rPr>
                <w:rFonts w:hint="default" w:cs="Times New Roman"/>
                <w:color w:val="auto"/>
                <w:highlight w:val="none"/>
                <w:lang w:val="en-US" w:eastAsia="zh-CN"/>
              </w:rPr>
              <w:t>中</w:t>
            </w:r>
            <w:r>
              <w:rPr>
                <w:rFonts w:hint="eastAsia" w:cs="Times New Roman"/>
                <w:color w:val="auto"/>
                <w:highlight w:val="none"/>
                <w:lang w:val="en-US" w:eastAsia="zh-CN"/>
              </w:rPr>
              <w:t>附录A表A.1标准限值。</w:t>
            </w:r>
          </w:p>
          <w:p>
            <w:pPr>
              <w:pStyle w:val="30"/>
              <w:bidi w:val="0"/>
              <w:rPr>
                <w:rFonts w:hint="default"/>
              </w:rPr>
            </w:pPr>
            <w:r>
              <w:rPr>
                <w:rFonts w:hint="eastAsia"/>
                <w:lang w:val="en-US" w:eastAsia="zh-CN"/>
              </w:rPr>
              <w:t>项目废气排放执行标准一览表</w:t>
            </w:r>
          </w:p>
          <w:tbl>
            <w:tblPr>
              <w:tblStyle w:val="24"/>
              <w:tblW w:w="4996" w:type="pct"/>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18"/>
              <w:gridCol w:w="1045"/>
              <w:gridCol w:w="2741"/>
              <w:gridCol w:w="869"/>
              <w:gridCol w:w="3216"/>
            </w:tblGrid>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22" w:type="pct"/>
                  <w:tcBorders>
                    <w:tl2br w:val="nil"/>
                    <w:tr2bl w:val="nil"/>
                  </w:tcBorders>
                  <w:vAlign w:val="center"/>
                </w:tcPr>
                <w:p>
                  <w:pPr>
                    <w:pStyle w:val="31"/>
                    <w:bidi w:val="0"/>
                    <w:rPr>
                      <w:rFonts w:hint="default"/>
                      <w:lang w:val="en-US" w:eastAsia="zh-CN"/>
                    </w:rPr>
                  </w:pPr>
                  <w:r>
                    <w:rPr>
                      <w:rFonts w:hint="eastAsia"/>
                      <w:lang w:val="en-US" w:eastAsia="zh-CN"/>
                    </w:rPr>
                    <w:t>排放方式</w:t>
                  </w:r>
                </w:p>
              </w:tc>
              <w:tc>
                <w:tcPr>
                  <w:tcW w:w="581" w:type="pct"/>
                  <w:tcBorders>
                    <w:tl2br w:val="nil"/>
                    <w:tr2bl w:val="nil"/>
                  </w:tcBorders>
                  <w:vAlign w:val="center"/>
                </w:tcPr>
                <w:p>
                  <w:pPr>
                    <w:pStyle w:val="31"/>
                    <w:bidi w:val="0"/>
                    <w:rPr>
                      <w:rFonts w:hint="default"/>
                    </w:rPr>
                  </w:pPr>
                  <w:r>
                    <w:rPr>
                      <w:rFonts w:hint="default"/>
                    </w:rPr>
                    <w:t>污染物</w:t>
                  </w:r>
                </w:p>
              </w:tc>
              <w:tc>
                <w:tcPr>
                  <w:tcW w:w="2007" w:type="pct"/>
                  <w:gridSpan w:val="2"/>
                  <w:tcBorders>
                    <w:tl2br w:val="nil"/>
                    <w:tr2bl w:val="nil"/>
                  </w:tcBorders>
                  <w:vAlign w:val="center"/>
                </w:tcPr>
                <w:p>
                  <w:pPr>
                    <w:pStyle w:val="31"/>
                    <w:bidi w:val="0"/>
                    <w:rPr>
                      <w:rFonts w:hint="eastAsia"/>
                      <w:lang w:eastAsia="zh-CN"/>
                    </w:rPr>
                  </w:pPr>
                  <w:r>
                    <w:rPr>
                      <w:rFonts w:hint="default"/>
                    </w:rPr>
                    <w:t>排放浓度限值</w:t>
                  </w:r>
                </w:p>
              </w:tc>
              <w:tc>
                <w:tcPr>
                  <w:tcW w:w="1788" w:type="pct"/>
                  <w:tcBorders>
                    <w:tl2br w:val="nil"/>
                    <w:tr2bl w:val="nil"/>
                  </w:tcBorders>
                  <w:vAlign w:val="center"/>
                </w:tcPr>
                <w:p>
                  <w:pPr>
                    <w:pStyle w:val="31"/>
                    <w:bidi w:val="0"/>
                    <w:rPr>
                      <w:rFonts w:hint="eastAsia"/>
                      <w:lang w:eastAsia="zh-CN"/>
                    </w:rPr>
                  </w:pPr>
                  <w:r>
                    <w:rPr>
                      <w:rFonts w:hint="eastAsia"/>
                      <w:lang w:val="en-US" w:eastAsia="zh-CN"/>
                    </w:rPr>
                    <w:t>标准来源</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22" w:type="pct"/>
                  <w:vMerge w:val="restart"/>
                  <w:tcBorders>
                    <w:tl2br w:val="nil"/>
                    <w:tr2bl w:val="nil"/>
                  </w:tcBorders>
                  <w:vAlign w:val="center"/>
                </w:tcPr>
                <w:p>
                  <w:pPr>
                    <w:pStyle w:val="31"/>
                    <w:bidi w:val="0"/>
                    <w:rPr>
                      <w:rFonts w:hint="eastAsia"/>
                      <w:lang w:val="en-US" w:eastAsia="zh-CN"/>
                    </w:rPr>
                  </w:pPr>
                  <w:r>
                    <w:rPr>
                      <w:rFonts w:hint="eastAsia"/>
                      <w:lang w:val="en-US" w:eastAsia="zh-CN"/>
                    </w:rPr>
                    <w:t>有组织</w:t>
                  </w:r>
                </w:p>
              </w:tc>
              <w:tc>
                <w:tcPr>
                  <w:tcW w:w="581" w:type="pct"/>
                  <w:vMerge w:val="restart"/>
                  <w:tcBorders>
                    <w:tl2br w:val="nil"/>
                    <w:tr2bl w:val="nil"/>
                  </w:tcBorders>
                  <w:vAlign w:val="center"/>
                </w:tcPr>
                <w:p>
                  <w:pPr>
                    <w:pStyle w:val="31"/>
                    <w:bidi w:val="0"/>
                    <w:rPr>
                      <w:rFonts w:hint="default"/>
                    </w:rPr>
                  </w:pPr>
                  <w:r>
                    <w:rPr>
                      <w:rFonts w:hint="default"/>
                    </w:rPr>
                    <w:t>非甲烷总烃</w:t>
                  </w:r>
                </w:p>
              </w:tc>
              <w:tc>
                <w:tcPr>
                  <w:tcW w:w="1524" w:type="pct"/>
                  <w:tcBorders>
                    <w:tl2br w:val="nil"/>
                    <w:tr2bl w:val="nil"/>
                  </w:tcBorders>
                  <w:vAlign w:val="center"/>
                </w:tcPr>
                <w:p>
                  <w:pPr>
                    <w:pStyle w:val="31"/>
                    <w:bidi w:val="0"/>
                    <w:rPr>
                      <w:rFonts w:hint="eastAsia"/>
                      <w:lang w:val="en-US" w:eastAsia="zh-CN"/>
                    </w:rPr>
                  </w:pPr>
                  <w:r>
                    <w:rPr>
                      <w:rFonts w:hint="eastAsia"/>
                      <w:lang w:val="en-US" w:eastAsia="zh-CN"/>
                    </w:rPr>
                    <w:t>最高允许排放浓度</w:t>
                  </w:r>
                </w:p>
                <w:p>
                  <w:pPr>
                    <w:pStyle w:val="31"/>
                    <w:bidi w:val="0"/>
                    <w:rPr>
                      <w:rFonts w:hint="eastAsia"/>
                      <w:lang w:val="en-US" w:eastAsia="zh-CN"/>
                    </w:rPr>
                  </w:pPr>
                  <w:r>
                    <w:rPr>
                      <w:rFonts w:hint="eastAsia"/>
                      <w:lang w:val="en-US" w:eastAsia="zh-CN"/>
                    </w:rPr>
                    <w:t>（mg/m³）</w:t>
                  </w:r>
                </w:p>
              </w:tc>
              <w:tc>
                <w:tcPr>
                  <w:tcW w:w="482" w:type="pct"/>
                  <w:tcBorders>
                    <w:tl2br w:val="nil"/>
                    <w:tr2bl w:val="nil"/>
                  </w:tcBorders>
                  <w:vAlign w:val="center"/>
                </w:tcPr>
                <w:p>
                  <w:pPr>
                    <w:pStyle w:val="31"/>
                    <w:bidi w:val="0"/>
                    <w:rPr>
                      <w:rFonts w:hint="default"/>
                      <w:lang w:val="en-US" w:eastAsia="zh-CN"/>
                    </w:rPr>
                  </w:pPr>
                  <w:r>
                    <w:rPr>
                      <w:rFonts w:hint="eastAsia"/>
                      <w:lang w:val="en-US" w:eastAsia="zh-CN"/>
                    </w:rPr>
                    <w:t>120</w:t>
                  </w:r>
                </w:p>
              </w:tc>
              <w:tc>
                <w:tcPr>
                  <w:tcW w:w="1788" w:type="pct"/>
                  <w:tcBorders>
                    <w:tl2br w:val="nil"/>
                    <w:tr2bl w:val="nil"/>
                  </w:tcBorders>
                  <w:vAlign w:val="center"/>
                </w:tcPr>
                <w:p>
                  <w:pPr>
                    <w:pStyle w:val="31"/>
                    <w:bidi w:val="0"/>
                    <w:ind w:left="0" w:leftChars="0" w:firstLine="0" w:firstLineChars="0"/>
                    <w:rPr>
                      <w:rFonts w:hint="default"/>
                    </w:rPr>
                  </w:pPr>
                  <w:r>
                    <w:rPr>
                      <w:rFonts w:hint="eastAsia"/>
                      <w:lang w:val="en-US" w:eastAsia="zh-CN"/>
                    </w:rPr>
                    <w:t>《大气污染物综合排放标准》（GB16297-1996）</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22" w:type="pct"/>
                  <w:vMerge w:val="continue"/>
                  <w:tcBorders>
                    <w:tl2br w:val="nil"/>
                    <w:tr2bl w:val="nil"/>
                  </w:tcBorders>
                  <w:vAlign w:val="center"/>
                </w:tcPr>
                <w:p>
                  <w:pPr>
                    <w:pStyle w:val="31"/>
                    <w:bidi w:val="0"/>
                    <w:rPr>
                      <w:rFonts w:hint="eastAsia"/>
                      <w:lang w:val="en-US" w:eastAsia="zh-CN"/>
                    </w:rPr>
                  </w:pPr>
                </w:p>
              </w:tc>
              <w:tc>
                <w:tcPr>
                  <w:tcW w:w="581" w:type="pct"/>
                  <w:vMerge w:val="continue"/>
                  <w:tcBorders>
                    <w:tl2br w:val="nil"/>
                    <w:tr2bl w:val="nil"/>
                  </w:tcBorders>
                  <w:vAlign w:val="center"/>
                </w:tcPr>
                <w:p>
                  <w:pPr>
                    <w:pStyle w:val="31"/>
                    <w:bidi w:val="0"/>
                    <w:rPr>
                      <w:rFonts w:hint="default"/>
                    </w:rPr>
                  </w:pPr>
                </w:p>
              </w:tc>
              <w:tc>
                <w:tcPr>
                  <w:tcW w:w="1524" w:type="pct"/>
                  <w:tcBorders>
                    <w:tl2br w:val="nil"/>
                    <w:tr2bl w:val="nil"/>
                  </w:tcBorders>
                  <w:vAlign w:val="center"/>
                </w:tcPr>
                <w:p>
                  <w:pPr>
                    <w:pStyle w:val="31"/>
                    <w:bidi w:val="0"/>
                    <w:rPr>
                      <w:rFonts w:hint="eastAsia"/>
                      <w:lang w:val="en-US" w:eastAsia="zh-CN"/>
                    </w:rPr>
                  </w:pPr>
                  <w:r>
                    <w:rPr>
                      <w:rFonts w:hint="eastAsia"/>
                      <w:lang w:val="en-US" w:eastAsia="zh-CN"/>
                    </w:rPr>
                    <w:t>最高允许排放速率</w:t>
                  </w:r>
                </w:p>
                <w:p>
                  <w:pPr>
                    <w:jc w:val="center"/>
                    <w:rPr>
                      <w:rFonts w:hint="default"/>
                      <w:lang w:val="en-US" w:eastAsia="zh-CN"/>
                    </w:rPr>
                  </w:pPr>
                  <w:r>
                    <w:rPr>
                      <w:rFonts w:hint="eastAsia"/>
                      <w:lang w:val="en-US" w:eastAsia="zh-CN"/>
                    </w:rPr>
                    <w:t>（kg/h）</w:t>
                  </w:r>
                </w:p>
              </w:tc>
              <w:tc>
                <w:tcPr>
                  <w:tcW w:w="482" w:type="pct"/>
                  <w:tcBorders>
                    <w:tl2br w:val="nil"/>
                    <w:tr2bl w:val="nil"/>
                  </w:tcBorders>
                  <w:vAlign w:val="center"/>
                </w:tcPr>
                <w:p>
                  <w:pPr>
                    <w:pStyle w:val="31"/>
                    <w:bidi w:val="0"/>
                    <w:rPr>
                      <w:rFonts w:hint="default"/>
                      <w:lang w:val="en-US" w:eastAsia="zh-CN"/>
                    </w:rPr>
                  </w:pPr>
                  <w:r>
                    <w:rPr>
                      <w:rFonts w:hint="eastAsia"/>
                      <w:lang w:val="en-US" w:eastAsia="zh-CN"/>
                    </w:rPr>
                    <w:t>10</w:t>
                  </w:r>
                </w:p>
              </w:tc>
              <w:tc>
                <w:tcPr>
                  <w:tcW w:w="1788" w:type="pct"/>
                  <w:tcBorders>
                    <w:tl2br w:val="nil"/>
                    <w:tr2bl w:val="nil"/>
                  </w:tcBorders>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《大气污染物综合排放标准》（GB16297-1996）</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22" w:type="pct"/>
                  <w:vMerge w:val="restart"/>
                  <w:tcBorders>
                    <w:tl2br w:val="nil"/>
                    <w:tr2bl w:val="nil"/>
                  </w:tcBorders>
                  <w:vAlign w:val="center"/>
                </w:tcPr>
                <w:p>
                  <w:pPr>
                    <w:pStyle w:val="31"/>
                    <w:bidi w:val="0"/>
                    <w:rPr>
                      <w:rFonts w:hint="eastAsia"/>
                      <w:highlight w:val="yellow"/>
                      <w:lang w:val="en-US" w:eastAsia="zh-CN"/>
                    </w:rPr>
                  </w:pPr>
                  <w:r>
                    <w:rPr>
                      <w:rFonts w:hint="eastAsia"/>
                      <w:highlight w:val="none"/>
                      <w:lang w:val="en-US" w:eastAsia="zh-CN"/>
                    </w:rPr>
                    <w:t>无组织</w:t>
                  </w:r>
                </w:p>
              </w:tc>
              <w:tc>
                <w:tcPr>
                  <w:tcW w:w="581" w:type="pct"/>
                  <w:vMerge w:val="restart"/>
                  <w:tcBorders>
                    <w:tl2br w:val="nil"/>
                    <w:tr2bl w:val="nil"/>
                  </w:tcBorders>
                  <w:vAlign w:val="center"/>
                </w:tcPr>
                <w:p>
                  <w:pPr>
                    <w:pStyle w:val="31"/>
                    <w:bidi w:val="0"/>
                    <w:rPr>
                      <w:rFonts w:hint="default"/>
                    </w:rPr>
                  </w:pPr>
                  <w:r>
                    <w:rPr>
                      <w:rFonts w:hint="default"/>
                    </w:rPr>
                    <w:t>非甲烷总烃</w:t>
                  </w:r>
                </w:p>
              </w:tc>
              <w:tc>
                <w:tcPr>
                  <w:tcW w:w="1524" w:type="pct"/>
                  <w:tcBorders>
                    <w:tl2br w:val="nil"/>
                    <w:tr2bl w:val="nil"/>
                  </w:tcBorders>
                  <w:vAlign w:val="center"/>
                </w:tcPr>
                <w:p>
                  <w:pPr>
                    <w:pStyle w:val="31"/>
                    <w:bidi w:val="0"/>
                    <w:rPr>
                      <w:rFonts w:hint="default"/>
                      <w:lang w:val="en-US" w:eastAsia="zh-CN"/>
                    </w:rPr>
                  </w:pPr>
                  <w:r>
                    <w:rPr>
                      <w:rFonts w:hint="eastAsia"/>
                      <w:lang w:val="en-US" w:eastAsia="zh-CN"/>
                    </w:rPr>
                    <w:t>厂界外最高点浓度（mg/m³）</w:t>
                  </w:r>
                </w:p>
              </w:tc>
              <w:tc>
                <w:tcPr>
                  <w:tcW w:w="482" w:type="pct"/>
                  <w:tcBorders>
                    <w:tl2br w:val="nil"/>
                    <w:tr2bl w:val="nil"/>
                  </w:tcBorders>
                  <w:vAlign w:val="center"/>
                </w:tcPr>
                <w:p>
                  <w:pPr>
                    <w:pStyle w:val="31"/>
                    <w:bidi w:val="0"/>
                    <w:rPr>
                      <w:rFonts w:hint="default"/>
                      <w:lang w:val="en-US" w:eastAsia="zh-CN"/>
                    </w:rPr>
                  </w:pPr>
                  <w:r>
                    <w:rPr>
                      <w:rFonts w:hint="eastAsia"/>
                      <w:lang w:val="en-US" w:eastAsia="zh-CN"/>
                    </w:rPr>
                    <w:t>4.0</w:t>
                  </w:r>
                </w:p>
              </w:tc>
              <w:tc>
                <w:tcPr>
                  <w:tcW w:w="1788" w:type="pct"/>
                  <w:tcBorders>
                    <w:tl2br w:val="nil"/>
                    <w:tr2bl w:val="nil"/>
                  </w:tcBorders>
                  <w:vAlign w:val="center"/>
                </w:tcPr>
                <w:p>
                  <w:pPr>
                    <w:pStyle w:val="31"/>
                    <w:bidi w:val="0"/>
                    <w:ind w:left="0" w:leftChars="0" w:firstLine="0" w:firstLineChars="0"/>
                    <w:rPr>
                      <w:rFonts w:hint="default"/>
                      <w:lang w:val="en-US"/>
                    </w:rPr>
                  </w:pPr>
                  <w:r>
                    <w:rPr>
                      <w:rFonts w:hint="eastAsia"/>
                      <w:lang w:val="en-US" w:eastAsia="zh-CN"/>
                    </w:rPr>
                    <w:t>《大气污染物综合排放标准》（GB16297-1996）</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22" w:type="pct"/>
                  <w:vMerge w:val="continue"/>
                  <w:tcBorders>
                    <w:tl2br w:val="nil"/>
                    <w:tr2bl w:val="nil"/>
                  </w:tcBorders>
                  <w:vAlign w:val="center"/>
                </w:tcPr>
                <w:p>
                  <w:pPr>
                    <w:pStyle w:val="31"/>
                    <w:bidi w:val="0"/>
                    <w:rPr>
                      <w:rFonts w:hint="default"/>
                      <w:highlight w:val="yellow"/>
                    </w:rPr>
                  </w:pPr>
                </w:p>
              </w:tc>
              <w:tc>
                <w:tcPr>
                  <w:tcW w:w="581" w:type="pct"/>
                  <w:vMerge w:val="continue"/>
                  <w:tcBorders>
                    <w:tl2br w:val="nil"/>
                    <w:tr2bl w:val="nil"/>
                  </w:tcBorders>
                  <w:vAlign w:val="center"/>
                </w:tcPr>
                <w:p>
                  <w:pPr>
                    <w:pStyle w:val="31"/>
                    <w:bidi w:val="0"/>
                    <w:rPr>
                      <w:rFonts w:hint="default"/>
                    </w:rPr>
                  </w:pPr>
                </w:p>
              </w:tc>
              <w:tc>
                <w:tcPr>
                  <w:tcW w:w="1524" w:type="pct"/>
                  <w:tcBorders>
                    <w:tl2br w:val="nil"/>
                    <w:tr2bl w:val="nil"/>
                  </w:tcBorders>
                  <w:vAlign w:val="center"/>
                </w:tcPr>
                <w:p>
                  <w:pPr>
                    <w:pStyle w:val="31"/>
                    <w:bidi w:val="0"/>
                    <w:rPr>
                      <w:rFonts w:hint="default"/>
                      <w:lang w:val="en-US" w:eastAsia="zh-CN"/>
                    </w:rPr>
                  </w:pPr>
                  <w:r>
                    <w:rPr>
                      <w:rFonts w:hint="eastAsia"/>
                      <w:lang w:val="en-US" w:eastAsia="zh-CN"/>
                    </w:rPr>
                    <w:t>厂区内监控点处任意1h平均浓度值（mg/m³）</w:t>
                  </w:r>
                </w:p>
              </w:tc>
              <w:tc>
                <w:tcPr>
                  <w:tcW w:w="482" w:type="pct"/>
                  <w:tcBorders>
                    <w:tl2br w:val="nil"/>
                    <w:tr2bl w:val="nil"/>
                  </w:tcBorders>
                  <w:vAlign w:val="center"/>
                </w:tcPr>
                <w:p>
                  <w:pPr>
                    <w:pStyle w:val="31"/>
                    <w:bidi w:val="0"/>
                    <w:rPr>
                      <w:rFonts w:hint="default"/>
                      <w:lang w:val="en-US" w:eastAsia="zh-CN"/>
                    </w:rPr>
                  </w:pPr>
                  <w:r>
                    <w:rPr>
                      <w:rFonts w:hint="eastAsia"/>
                      <w:lang w:val="en-US" w:eastAsia="zh-CN"/>
                    </w:rPr>
                    <w:t>10</w:t>
                  </w:r>
                </w:p>
              </w:tc>
              <w:tc>
                <w:tcPr>
                  <w:tcW w:w="1788" w:type="pct"/>
                  <w:vMerge w:val="restart"/>
                  <w:tcBorders>
                    <w:tl2br w:val="nil"/>
                    <w:tr2bl w:val="nil"/>
                  </w:tcBorders>
                  <w:vAlign w:val="center"/>
                </w:tcPr>
                <w:p>
                  <w:pPr>
                    <w:pStyle w:val="31"/>
                    <w:bidi w:val="0"/>
                    <w:rPr>
                      <w:rFonts w:hint="eastAsia"/>
                    </w:rPr>
                  </w:pPr>
                  <w:r>
                    <w:rPr>
                      <w:rFonts w:hint="eastAsia" w:cs="Times New Roman"/>
                      <w:color w:val="auto"/>
                      <w:highlight w:val="none"/>
                      <w:lang w:val="en-US" w:eastAsia="zh-CN"/>
                    </w:rPr>
                    <w:t>《挥发性有机物无组织排放控制标准》（GB37822-2019）</w:t>
                  </w:r>
                  <w:r>
                    <w:rPr>
                      <w:rFonts w:hint="default" w:cs="Times New Roman"/>
                      <w:color w:val="auto"/>
                      <w:highlight w:val="none"/>
                      <w:lang w:val="en-US" w:eastAsia="zh-CN"/>
                    </w:rPr>
                    <w:t>中</w:t>
                  </w:r>
                  <w:r>
                    <w:rPr>
                      <w:rFonts w:hint="eastAsia" w:cs="Times New Roman"/>
                      <w:color w:val="auto"/>
                      <w:highlight w:val="none"/>
                      <w:lang w:val="en-US" w:eastAsia="zh-CN"/>
                    </w:rPr>
                    <w:t>附录A表A.1标准限值</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22" w:type="pct"/>
                  <w:vMerge w:val="continue"/>
                  <w:tcBorders>
                    <w:tl2br w:val="nil"/>
                    <w:tr2bl w:val="nil"/>
                  </w:tcBorders>
                  <w:vAlign w:val="center"/>
                </w:tcPr>
                <w:p>
                  <w:pPr>
                    <w:pStyle w:val="31"/>
                    <w:bidi w:val="0"/>
                    <w:rPr>
                      <w:rFonts w:hint="default"/>
                      <w:highlight w:val="yellow"/>
                    </w:rPr>
                  </w:pPr>
                </w:p>
              </w:tc>
              <w:tc>
                <w:tcPr>
                  <w:tcW w:w="581" w:type="pct"/>
                  <w:vMerge w:val="continue"/>
                  <w:tcBorders>
                    <w:tl2br w:val="nil"/>
                    <w:tr2bl w:val="nil"/>
                  </w:tcBorders>
                  <w:vAlign w:val="center"/>
                </w:tcPr>
                <w:p>
                  <w:pPr>
                    <w:pStyle w:val="31"/>
                    <w:bidi w:val="0"/>
                    <w:rPr>
                      <w:rFonts w:hint="default"/>
                    </w:rPr>
                  </w:pPr>
                </w:p>
              </w:tc>
              <w:tc>
                <w:tcPr>
                  <w:tcW w:w="1524" w:type="pct"/>
                  <w:tcBorders>
                    <w:tl2br w:val="nil"/>
                    <w:tr2bl w:val="nil"/>
                  </w:tcBorders>
                  <w:vAlign w:val="center"/>
                </w:tcPr>
                <w:p>
                  <w:pPr>
                    <w:pStyle w:val="31"/>
                    <w:bidi w:val="0"/>
                    <w:rPr>
                      <w:rFonts w:hint="default"/>
                      <w:lang w:val="en-US" w:eastAsia="zh-CN"/>
                    </w:rPr>
                  </w:pPr>
                  <w:r>
                    <w:rPr>
                      <w:rFonts w:hint="eastAsia"/>
                      <w:lang w:val="en-US" w:eastAsia="zh-CN"/>
                    </w:rPr>
                    <w:t>厂区内监控点处任意一次浓度值（mg/m³）</w:t>
                  </w:r>
                </w:p>
              </w:tc>
              <w:tc>
                <w:tcPr>
                  <w:tcW w:w="482" w:type="pct"/>
                  <w:tcBorders>
                    <w:tl2br w:val="nil"/>
                    <w:tr2bl w:val="nil"/>
                  </w:tcBorders>
                  <w:vAlign w:val="center"/>
                </w:tcPr>
                <w:p>
                  <w:pPr>
                    <w:pStyle w:val="31"/>
                    <w:bidi w:val="0"/>
                    <w:rPr>
                      <w:rFonts w:hint="default"/>
                      <w:lang w:val="en-US" w:eastAsia="zh-CN"/>
                    </w:rPr>
                  </w:pPr>
                  <w:r>
                    <w:rPr>
                      <w:rFonts w:hint="default"/>
                    </w:rPr>
                    <w:t>30</w:t>
                  </w:r>
                </w:p>
              </w:tc>
              <w:tc>
                <w:tcPr>
                  <w:tcW w:w="1788" w:type="pct"/>
                  <w:vMerge w:val="continue"/>
                  <w:tcBorders>
                    <w:tl2br w:val="nil"/>
                    <w:tr2bl w:val="nil"/>
                  </w:tcBorders>
                  <w:vAlign w:val="center"/>
                </w:tcPr>
                <w:p>
                  <w:pPr>
                    <w:pStyle w:val="31"/>
                    <w:bidi w:val="0"/>
                    <w:rPr>
                      <w:rFonts w:hint="default"/>
                    </w:rPr>
                  </w:pPr>
                </w:p>
              </w:tc>
            </w:tr>
            <w:bookmarkEnd w:id="58"/>
          </w:tbl>
          <w:p>
            <w:pPr>
              <w:pStyle w:val="4"/>
              <w:numPr>
                <w:ilvl w:val="1"/>
                <w:numId w:val="0"/>
              </w:numPr>
              <w:tabs>
                <w:tab w:val="left" w:pos="420"/>
              </w:tabs>
              <w:ind w:leftChars="0"/>
              <w:rPr>
                <w:rFonts w:hint="default" w:ascii="Times New Roman" w:hAnsi="Times New Roman" w:cs="Times New Roman"/>
                <w:color w:val="auto"/>
                <w:highlight w:val="none"/>
              </w:rPr>
            </w:pPr>
          </w:p>
          <w:p>
            <w:pPr>
              <w:pStyle w:val="4"/>
              <w:numPr>
                <w:ilvl w:val="1"/>
                <w:numId w:val="13"/>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废水排放标准</w:t>
            </w:r>
          </w:p>
          <w:p>
            <w:pPr>
              <w:pStyle w:val="8"/>
              <w:ind w:firstLine="420" w:firstLineChars="175"/>
              <w:jc w:val="left"/>
              <w:rPr>
                <w:rFonts w:hint="eastAsia" w:eastAsia="宋体"/>
                <w:color w:val="auto"/>
                <w:sz w:val="24"/>
                <w:lang w:val="en-US" w:eastAsia="zh-CN"/>
              </w:rPr>
            </w:pPr>
            <w:bookmarkStart w:id="59" w:name="_Ref11232"/>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w:t>
            </w:r>
            <w:r>
              <w:rPr>
                <w:rFonts w:hint="eastAsia" w:cs="Times New Roman"/>
                <w:color w:val="auto"/>
                <w:highlight w:val="none"/>
                <w:lang w:val="en-US" w:eastAsia="zh-CN"/>
              </w:rPr>
              <w:t>仅生活污水排放，无生产废水排放。生活污水依托厂区化粪池处理，通过市政管网排入</w:t>
            </w:r>
            <w:r>
              <w:rPr>
                <w:rFonts w:hint="eastAsia"/>
                <w:lang w:val="en-US" w:eastAsia="zh-CN"/>
              </w:rPr>
              <w:t>福建省闽侯县华源工艺品有限公司</w:t>
            </w:r>
            <w:r>
              <w:rPr>
                <w:rFonts w:hint="eastAsia"/>
                <w:color w:val="auto"/>
                <w:sz w:val="24"/>
                <w:highlight w:val="none"/>
                <w:lang w:val="en-US" w:eastAsia="zh-CN"/>
              </w:rPr>
              <w:t>的污水处理厂</w:t>
            </w:r>
            <w:r>
              <w:rPr>
                <w:rFonts w:hint="eastAsia"/>
                <w:color w:val="auto"/>
                <w:sz w:val="24"/>
                <w:lang w:val="en-US" w:eastAsia="zh-CN"/>
              </w:rPr>
              <w:t>处理</w:t>
            </w:r>
            <w:r>
              <w:rPr>
                <w:rFonts w:hint="eastAsia" w:eastAsia="宋体"/>
                <w:color w:val="auto"/>
                <w:sz w:val="24"/>
                <w:lang w:eastAsia="zh-CN"/>
              </w:rPr>
              <w:t>，</w:t>
            </w:r>
            <w:r>
              <w:rPr>
                <w:rFonts w:hint="eastAsia" w:cs="Times New Roman"/>
                <w:color w:val="auto"/>
                <w:highlight w:val="none"/>
                <w:lang w:val="en-US" w:eastAsia="zh-CN"/>
              </w:rPr>
              <w:t>执行</w:t>
            </w:r>
            <w:r>
              <w:rPr>
                <w:rFonts w:hint="eastAsia" w:eastAsia="宋体"/>
                <w:color w:val="auto"/>
                <w:sz w:val="24"/>
              </w:rPr>
              <w:t>《污水综合排放标准》（</w:t>
            </w:r>
            <w:r>
              <w:rPr>
                <w:rFonts w:eastAsia="宋体"/>
                <w:color w:val="auto"/>
                <w:sz w:val="24"/>
              </w:rPr>
              <w:t>GB8978-1996</w:t>
            </w:r>
            <w:r>
              <w:rPr>
                <w:rFonts w:hint="eastAsia" w:eastAsia="宋体"/>
                <w:color w:val="auto"/>
                <w:sz w:val="24"/>
              </w:rPr>
              <w:t>）表</w:t>
            </w:r>
            <w:r>
              <w:rPr>
                <w:rFonts w:eastAsia="宋体"/>
                <w:color w:val="auto"/>
                <w:sz w:val="24"/>
              </w:rPr>
              <w:t>4</w:t>
            </w:r>
            <w:r>
              <w:rPr>
                <w:rFonts w:hint="eastAsia" w:eastAsia="宋体"/>
                <w:color w:val="auto"/>
                <w:sz w:val="24"/>
              </w:rPr>
              <w:t>中三级标准</w:t>
            </w:r>
            <w:r>
              <w:rPr>
                <w:rFonts w:hint="eastAsia"/>
                <w:color w:val="auto"/>
                <w:sz w:val="24"/>
                <w:lang w:eastAsia="zh-CN"/>
              </w:rPr>
              <w:t>。</w:t>
            </w:r>
          </w:p>
          <w:p>
            <w:pPr>
              <w:pStyle w:val="30"/>
              <w:bidi w:val="0"/>
              <w:rPr>
                <w:rFonts w:hint="eastAsia"/>
                <w:lang w:val="en-US" w:eastAsia="zh-CN"/>
              </w:rPr>
            </w:pPr>
            <w:r>
              <w:rPr>
                <w:rFonts w:hint="eastAsia"/>
                <w:color w:val="auto"/>
                <w:spacing w:val="4"/>
                <w:kern w:val="0"/>
              </w:rPr>
              <w:t>污水综合排放标准</w:t>
            </w:r>
            <w:r>
              <w:rPr>
                <w:rFonts w:hint="eastAsia"/>
                <w:color w:val="auto"/>
              </w:rPr>
              <w:t>（</w:t>
            </w:r>
            <w:r>
              <w:rPr>
                <w:color w:val="auto"/>
              </w:rPr>
              <w:t>GB8978-1996</w:t>
            </w:r>
            <w:r>
              <w:rPr>
                <w:rFonts w:hint="eastAsia"/>
                <w:color w:val="auto"/>
              </w:rPr>
              <w:t>）</w:t>
            </w:r>
            <w:r>
              <w:rPr>
                <w:rFonts w:hint="eastAsia"/>
                <w:color w:val="auto"/>
                <w:spacing w:val="4"/>
                <w:kern w:val="0"/>
              </w:rPr>
              <w:t>（摘录）</w:t>
            </w:r>
          </w:p>
          <w:tbl>
            <w:tblPr>
              <w:tblStyle w:val="24"/>
              <w:tblW w:w="4998" w:type="pct"/>
              <w:jc w:val="center"/>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2199"/>
              <w:gridCol w:w="3402"/>
              <w:gridCol w:w="3391"/>
            </w:tblGrid>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223" w:type="pct"/>
                  <w:vAlign w:val="center"/>
                </w:tcPr>
                <w:p>
                  <w:pPr>
                    <w:pStyle w:val="31"/>
                    <w:bidi w:val="0"/>
                  </w:pPr>
                  <w:r>
                    <w:rPr>
                      <w:rFonts w:hint="eastAsia"/>
                    </w:rPr>
                    <w:t>项目</w:t>
                  </w:r>
                </w:p>
              </w:tc>
              <w:tc>
                <w:tcPr>
                  <w:tcW w:w="1891" w:type="pct"/>
                  <w:vAlign w:val="center"/>
                </w:tcPr>
                <w:p>
                  <w:pPr>
                    <w:pStyle w:val="31"/>
                    <w:bidi w:val="0"/>
                  </w:pPr>
                  <w:r>
                    <w:rPr>
                      <w:rFonts w:hint="eastAsia"/>
                    </w:rPr>
                    <w:t>标准限值</w:t>
                  </w:r>
                </w:p>
              </w:tc>
              <w:tc>
                <w:tcPr>
                  <w:tcW w:w="1885" w:type="pct"/>
                  <w:vAlign w:val="center"/>
                </w:tcPr>
                <w:p>
                  <w:pPr>
                    <w:pStyle w:val="31"/>
                    <w:bidi w:val="0"/>
                  </w:pPr>
                  <w:r>
                    <w:rPr>
                      <w:rFonts w:hint="eastAsia"/>
                    </w:rPr>
                    <w:t>单位</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223" w:type="pct"/>
                  <w:vAlign w:val="center"/>
                </w:tcPr>
                <w:p>
                  <w:pPr>
                    <w:pStyle w:val="31"/>
                    <w:bidi w:val="0"/>
                  </w:pPr>
                  <w:r>
                    <w:t>COD</w:t>
                  </w:r>
                  <w:r>
                    <w:rPr>
                      <w:vertAlign w:val="subscript"/>
                    </w:rPr>
                    <w:t>Cr</w:t>
                  </w:r>
                </w:p>
              </w:tc>
              <w:tc>
                <w:tcPr>
                  <w:tcW w:w="1891" w:type="pct"/>
                  <w:vAlign w:val="center"/>
                </w:tcPr>
                <w:p>
                  <w:pPr>
                    <w:pStyle w:val="31"/>
                    <w:bidi w:val="0"/>
                  </w:pPr>
                  <w:r>
                    <w:t>500</w:t>
                  </w:r>
                </w:p>
              </w:tc>
              <w:tc>
                <w:tcPr>
                  <w:tcW w:w="1885" w:type="pct"/>
                  <w:vAlign w:val="center"/>
                </w:tcPr>
                <w:p>
                  <w:pPr>
                    <w:pStyle w:val="31"/>
                    <w:bidi w:val="0"/>
                  </w:pPr>
                  <w:r>
                    <w:t>mg/L</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223" w:type="pct"/>
                  <w:vAlign w:val="center"/>
                </w:tcPr>
                <w:p>
                  <w:pPr>
                    <w:pStyle w:val="31"/>
                    <w:bidi w:val="0"/>
                  </w:pPr>
                  <w:r>
                    <w:t>BOD</w:t>
                  </w:r>
                  <w:r>
                    <w:rPr>
                      <w:vertAlign w:val="subscript"/>
                    </w:rPr>
                    <w:t>5</w:t>
                  </w:r>
                </w:p>
              </w:tc>
              <w:tc>
                <w:tcPr>
                  <w:tcW w:w="1891" w:type="pct"/>
                  <w:vAlign w:val="center"/>
                </w:tcPr>
                <w:p>
                  <w:pPr>
                    <w:pStyle w:val="31"/>
                    <w:bidi w:val="0"/>
                  </w:pPr>
                  <w:r>
                    <w:t>300</w:t>
                  </w:r>
                </w:p>
              </w:tc>
              <w:tc>
                <w:tcPr>
                  <w:tcW w:w="1885" w:type="pct"/>
                  <w:vAlign w:val="center"/>
                </w:tcPr>
                <w:p>
                  <w:pPr>
                    <w:pStyle w:val="31"/>
                    <w:bidi w:val="0"/>
                  </w:pPr>
                  <w:r>
                    <w:t>mg/L</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223" w:type="pct"/>
                  <w:vAlign w:val="center"/>
                </w:tcPr>
                <w:p>
                  <w:pPr>
                    <w:pStyle w:val="31"/>
                    <w:bidi w:val="0"/>
                  </w:pPr>
                  <w:r>
                    <w:t>SS</w:t>
                  </w:r>
                </w:p>
              </w:tc>
              <w:tc>
                <w:tcPr>
                  <w:tcW w:w="1891" w:type="pct"/>
                  <w:vAlign w:val="center"/>
                </w:tcPr>
                <w:p>
                  <w:pPr>
                    <w:pStyle w:val="31"/>
                    <w:bidi w:val="0"/>
                  </w:pPr>
                  <w:r>
                    <w:t>400</w:t>
                  </w:r>
                </w:p>
              </w:tc>
              <w:tc>
                <w:tcPr>
                  <w:tcW w:w="1885" w:type="pct"/>
                  <w:vAlign w:val="center"/>
                </w:tcPr>
                <w:p>
                  <w:pPr>
                    <w:pStyle w:val="31"/>
                    <w:bidi w:val="0"/>
                  </w:pPr>
                  <w:r>
                    <w:t>mg/L</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223" w:type="pct"/>
                  <w:vAlign w:val="center"/>
                </w:tcPr>
                <w:p>
                  <w:pPr>
                    <w:pStyle w:val="31"/>
                    <w:bidi w:val="0"/>
                  </w:pPr>
                  <w:r>
                    <w:rPr>
                      <w:rFonts w:hint="eastAsia"/>
                    </w:rPr>
                    <w:t>氨氮</w:t>
                  </w:r>
                </w:p>
              </w:tc>
              <w:tc>
                <w:tcPr>
                  <w:tcW w:w="1891" w:type="pct"/>
                  <w:vAlign w:val="center"/>
                </w:tcPr>
                <w:p>
                  <w:pPr>
                    <w:pStyle w:val="31"/>
                    <w:bidi w:val="0"/>
                    <w:rPr>
                      <w:rFonts w:hint="eastAsia" w:eastAsia="宋体"/>
                      <w:lang w:eastAsia="zh-CN"/>
                    </w:rPr>
                  </w:pPr>
                  <w:r>
                    <w:t>45</w:t>
                  </w:r>
                </w:p>
              </w:tc>
              <w:tc>
                <w:tcPr>
                  <w:tcW w:w="1885" w:type="pct"/>
                  <w:vAlign w:val="center"/>
                </w:tcPr>
                <w:p>
                  <w:pPr>
                    <w:pStyle w:val="31"/>
                    <w:bidi w:val="0"/>
                  </w:pPr>
                  <w:r>
                    <w:t>mg/L</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223" w:type="pct"/>
                  <w:vAlign w:val="center"/>
                </w:tcPr>
                <w:p>
                  <w:pPr>
                    <w:pStyle w:val="31"/>
                    <w:bidi w:val="0"/>
                  </w:pPr>
                  <w:r>
                    <w:t>pH</w:t>
                  </w:r>
                </w:p>
              </w:tc>
              <w:tc>
                <w:tcPr>
                  <w:tcW w:w="1891" w:type="pct"/>
                  <w:vAlign w:val="center"/>
                </w:tcPr>
                <w:p>
                  <w:pPr>
                    <w:pStyle w:val="31"/>
                    <w:bidi w:val="0"/>
                  </w:pPr>
                  <w:r>
                    <w:t>6~9</w:t>
                  </w:r>
                </w:p>
              </w:tc>
              <w:tc>
                <w:tcPr>
                  <w:tcW w:w="1885" w:type="pct"/>
                  <w:vAlign w:val="center"/>
                </w:tcPr>
                <w:p>
                  <w:pPr>
                    <w:pStyle w:val="31"/>
                    <w:bidi w:val="0"/>
                  </w:pPr>
                  <w:r>
                    <w:rPr>
                      <w:rFonts w:hint="eastAsia"/>
                    </w:rPr>
                    <w:t>（无量纲）</w:t>
                  </w:r>
                </w:p>
              </w:tc>
            </w:tr>
            <w:bookmarkEnd w:id="59"/>
          </w:tbl>
          <w:p>
            <w:pPr>
              <w:rPr>
                <w:rFonts w:hint="default" w:ascii="Times New Roman" w:hAnsi="Times New Roman" w:cs="Times New Roman"/>
                <w:color w:val="auto"/>
                <w:highlight w:val="none"/>
              </w:rPr>
            </w:pPr>
            <w:bookmarkStart w:id="60" w:name="_Ref2950"/>
            <w:bookmarkEnd w:id="60"/>
          </w:p>
          <w:p>
            <w:pPr>
              <w:pStyle w:val="4"/>
              <w:numPr>
                <w:ilvl w:val="1"/>
                <w:numId w:val="13"/>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噪声排放标准</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厂界噪声执行《工业企业厂界环境噪声排放标准》</w:t>
            </w:r>
            <w:r>
              <w:rPr>
                <w:rFonts w:hint="eastAsia" w:cs="Times New Roman"/>
                <w:color w:val="auto"/>
                <w:highlight w:val="none"/>
                <w:lang w:eastAsia="zh-CN"/>
              </w:rPr>
              <w:t>（</w:t>
            </w:r>
            <w:r>
              <w:rPr>
                <w:rFonts w:hint="default" w:ascii="Times New Roman" w:hAnsi="Times New Roman" w:cs="Times New Roman"/>
                <w:color w:val="auto"/>
                <w:highlight w:val="none"/>
              </w:rPr>
              <w:t>GB12348-2008</w:t>
            </w:r>
            <w:r>
              <w:rPr>
                <w:rFonts w:hint="eastAsia" w:cs="Times New Roman"/>
                <w:color w:val="auto"/>
                <w:highlight w:val="none"/>
                <w:lang w:eastAsia="zh-CN"/>
              </w:rPr>
              <w:t>）</w:t>
            </w:r>
            <w:r>
              <w:rPr>
                <w:rFonts w:hint="default" w:ascii="Times New Roman" w:hAnsi="Times New Roman" w:cs="Times New Roman"/>
                <w:color w:val="auto"/>
                <w:highlight w:val="none"/>
              </w:rPr>
              <w:t>中3类标准。</w:t>
            </w:r>
          </w:p>
          <w:p>
            <w:pPr>
              <w:pStyle w:val="30"/>
              <w:bidi w:val="0"/>
              <w:rPr>
                <w:rFonts w:hint="default"/>
              </w:rPr>
            </w:pPr>
            <w:r>
              <w:rPr>
                <w:rFonts w:hint="default"/>
              </w:rPr>
              <w:t>《工业企业厂界环境噪声标准值》</w:t>
            </w:r>
            <w:r>
              <w:rPr>
                <w:rFonts w:hint="eastAsia"/>
                <w:lang w:eastAsia="zh-CN"/>
              </w:rPr>
              <w:t>（</w:t>
            </w:r>
            <w:r>
              <w:rPr>
                <w:rFonts w:hint="default"/>
              </w:rPr>
              <w:t>GB12348-2008</w:t>
            </w:r>
            <w:r>
              <w:rPr>
                <w:rFonts w:hint="eastAsia"/>
                <w:lang w:eastAsia="zh-CN"/>
              </w:rPr>
              <w:t>）</w:t>
            </w:r>
            <w:r>
              <w:rPr>
                <w:rFonts w:hint="default"/>
                <w:lang w:eastAsia="zh-CN"/>
              </w:rPr>
              <w:t>（</w:t>
            </w:r>
            <w:r>
              <w:rPr>
                <w:rFonts w:hint="default"/>
              </w:rPr>
              <w:t>摘录</w:t>
            </w:r>
            <w:r>
              <w:rPr>
                <w:rFonts w:hint="default"/>
                <w:lang w:eastAsia="zh-CN"/>
              </w:rPr>
              <w:t>）</w:t>
            </w:r>
            <w:r>
              <w:rPr>
                <w:rFonts w:hint="default"/>
              </w:rPr>
              <w:t>单位：dB(A)</w:t>
            </w:r>
          </w:p>
          <w:tbl>
            <w:tblPr>
              <w:tblStyle w:val="24"/>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99"/>
              <w:gridCol w:w="2999"/>
              <w:gridCol w:w="299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667" w:type="pct"/>
                  <w:tcBorders>
                    <w:tl2br w:val="nil"/>
                    <w:tr2bl w:val="nil"/>
                  </w:tcBorders>
                  <w:vAlign w:val="center"/>
                </w:tcPr>
                <w:p>
                  <w:pPr>
                    <w:pStyle w:val="31"/>
                    <w:bidi w:val="0"/>
                    <w:rPr>
                      <w:rFonts w:hint="default"/>
                    </w:rPr>
                  </w:pPr>
                  <w:r>
                    <w:rPr>
                      <w:rFonts w:hint="default"/>
                    </w:rPr>
                    <w:t>类别</w:t>
                  </w:r>
                </w:p>
              </w:tc>
              <w:tc>
                <w:tcPr>
                  <w:tcW w:w="1667" w:type="pct"/>
                  <w:tcBorders>
                    <w:tl2br w:val="nil"/>
                    <w:tr2bl w:val="nil"/>
                  </w:tcBorders>
                  <w:vAlign w:val="center"/>
                </w:tcPr>
                <w:p>
                  <w:pPr>
                    <w:pStyle w:val="31"/>
                    <w:bidi w:val="0"/>
                    <w:rPr>
                      <w:rFonts w:hint="default"/>
                    </w:rPr>
                  </w:pPr>
                  <w:r>
                    <w:rPr>
                      <w:rFonts w:hint="default"/>
                    </w:rPr>
                    <w:t>昼间</w:t>
                  </w:r>
                </w:p>
              </w:tc>
              <w:tc>
                <w:tcPr>
                  <w:tcW w:w="1665" w:type="pct"/>
                  <w:tcBorders>
                    <w:tl2br w:val="nil"/>
                    <w:tr2bl w:val="nil"/>
                  </w:tcBorders>
                  <w:vAlign w:val="center"/>
                </w:tcPr>
                <w:p>
                  <w:pPr>
                    <w:pStyle w:val="31"/>
                    <w:bidi w:val="0"/>
                    <w:rPr>
                      <w:rFonts w:hint="default"/>
                    </w:rPr>
                  </w:pPr>
                  <w:r>
                    <w:rPr>
                      <w:rFonts w:hint="default"/>
                    </w:rPr>
                    <w:t>夜间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667" w:type="pct"/>
                  <w:tcBorders>
                    <w:tl2br w:val="nil"/>
                    <w:tr2bl w:val="nil"/>
                  </w:tcBorders>
                  <w:vAlign w:val="center"/>
                </w:tcPr>
                <w:p>
                  <w:pPr>
                    <w:pStyle w:val="31"/>
                    <w:bidi w:val="0"/>
                    <w:rPr>
                      <w:rFonts w:hint="default"/>
                    </w:rPr>
                  </w:pPr>
                  <w:r>
                    <w:rPr>
                      <w:rFonts w:hint="default"/>
                    </w:rPr>
                    <w:t>3类</w:t>
                  </w:r>
                </w:p>
              </w:tc>
              <w:tc>
                <w:tcPr>
                  <w:tcW w:w="1667" w:type="pct"/>
                  <w:tcBorders>
                    <w:tl2br w:val="nil"/>
                    <w:tr2bl w:val="nil"/>
                  </w:tcBorders>
                  <w:vAlign w:val="center"/>
                </w:tcPr>
                <w:p>
                  <w:pPr>
                    <w:pStyle w:val="31"/>
                    <w:bidi w:val="0"/>
                    <w:rPr>
                      <w:rFonts w:hint="default"/>
                    </w:rPr>
                  </w:pPr>
                  <w:r>
                    <w:rPr>
                      <w:rFonts w:hint="default"/>
                    </w:rPr>
                    <w:t>65</w:t>
                  </w:r>
                </w:p>
              </w:tc>
              <w:tc>
                <w:tcPr>
                  <w:tcW w:w="1665" w:type="pct"/>
                  <w:tcBorders>
                    <w:tl2br w:val="nil"/>
                    <w:tr2bl w:val="nil"/>
                  </w:tcBorders>
                  <w:vAlign w:val="center"/>
                </w:tcPr>
                <w:p>
                  <w:pPr>
                    <w:pStyle w:val="31"/>
                    <w:bidi w:val="0"/>
                    <w:rPr>
                      <w:rFonts w:hint="default"/>
                    </w:rPr>
                  </w:pPr>
                  <w:r>
                    <w:rPr>
                      <w:rFonts w:hint="default"/>
                    </w:rPr>
                    <w:t>55</w:t>
                  </w:r>
                </w:p>
              </w:tc>
            </w:tr>
          </w:tbl>
          <w:p>
            <w:pPr>
              <w:pStyle w:val="4"/>
              <w:numPr>
                <w:ilvl w:val="1"/>
                <w:numId w:val="0"/>
              </w:numPr>
              <w:tabs>
                <w:tab w:val="left" w:pos="420"/>
              </w:tabs>
              <w:ind w:leftChars="0"/>
              <w:rPr>
                <w:rFonts w:hint="default" w:ascii="Times New Roman" w:hAnsi="Times New Roman" w:cs="Times New Roman"/>
                <w:color w:val="auto"/>
                <w:highlight w:val="none"/>
              </w:rPr>
            </w:pPr>
          </w:p>
          <w:p>
            <w:pPr>
              <w:pStyle w:val="4"/>
              <w:numPr>
                <w:ilvl w:val="1"/>
                <w:numId w:val="13"/>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固体废物执行标准</w:t>
            </w:r>
          </w:p>
          <w:p>
            <w:pPr>
              <w:pStyle w:val="8"/>
              <w:rPr>
                <w:rFonts w:hint="default" w:ascii="Times New Roman" w:hAnsi="Times New Roman" w:eastAsia="宋体" w:cs="Times New Roman"/>
                <w:color w:val="auto"/>
                <w:kern w:val="0"/>
                <w:szCs w:val="21"/>
                <w:highlight w:val="none"/>
                <w:lang w:val="en-US" w:eastAsia="zh-CN"/>
              </w:rPr>
            </w:pPr>
            <w:r>
              <w:rPr>
                <w:rFonts w:hint="default"/>
              </w:rPr>
              <w:t>一般工业固体废物</w:t>
            </w:r>
            <w:r>
              <w:rPr>
                <w:rFonts w:hint="default"/>
                <w:lang w:val="en-US" w:eastAsia="zh-CN"/>
              </w:rPr>
              <w:t>参照</w:t>
            </w:r>
            <w:r>
              <w:rPr>
                <w:rFonts w:hint="default"/>
              </w:rPr>
              <w:t>执行《一般工业固体废物贮存和填埋污染控制标准》（GB18599-2020）；危险废物执行《危险废物贮存污染控制标准》</w:t>
            </w:r>
            <w:r>
              <w:rPr>
                <w:rFonts w:hint="default"/>
                <w:lang w:eastAsia="zh-CN"/>
              </w:rPr>
              <w:t>（</w:t>
            </w:r>
            <w:r>
              <w:rPr>
                <w:rFonts w:hint="default"/>
              </w:rPr>
              <w:t>GB18597-</w:t>
            </w:r>
            <w:r>
              <w:rPr>
                <w:rFonts w:hint="default"/>
                <w:lang w:val="en-US" w:eastAsia="zh-CN"/>
              </w:rPr>
              <w:t>2023</w:t>
            </w:r>
            <w:r>
              <w:rPr>
                <w:rFonts w:hint="default"/>
                <w:lang w:eastAsia="zh-CN"/>
              </w:rPr>
              <w:t>）</w:t>
            </w:r>
            <w:r>
              <w:rPr>
                <w:rFonts w:hint="default"/>
                <w:lang w:val="en-US" w:eastAsia="zh-CN"/>
              </w:rPr>
              <w:t>和《危险废物污染防治技术政策》中的要求。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1" w:hRule="atLeast"/>
          <w:jc w:val="center"/>
        </w:trPr>
        <w:tc>
          <w:tcPr>
            <w:tcW w:w="678" w:type="dxa"/>
            <w:vAlign w:val="center"/>
          </w:tcPr>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总量</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控制</w:t>
            </w:r>
          </w:p>
          <w:p>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指标</w:t>
            </w:r>
          </w:p>
        </w:tc>
        <w:tc>
          <w:tcPr>
            <w:tcW w:w="9212" w:type="dxa"/>
            <w:vAlign w:val="center"/>
          </w:tcPr>
          <w:p>
            <w:pPr>
              <w:pStyle w:val="8"/>
              <w:bidi w:val="0"/>
              <w:rPr>
                <w:rFonts w:hint="default"/>
                <w:highlight w:val="none"/>
                <w:lang w:val="en-US" w:eastAsia="zh-CN"/>
              </w:rPr>
            </w:pPr>
          </w:p>
          <w:p>
            <w:pPr>
              <w:pStyle w:val="8"/>
              <w:bidi w:val="0"/>
              <w:rPr>
                <w:rFonts w:hint="default" w:eastAsia="宋体"/>
                <w:highlight w:val="none"/>
                <w:lang w:val="en-US" w:eastAsia="zh-CN"/>
              </w:rPr>
            </w:pPr>
            <w:r>
              <w:rPr>
                <w:rFonts w:hint="default"/>
                <w:highlight w:val="none"/>
                <w:lang w:val="en-US" w:eastAsia="zh-CN"/>
              </w:rPr>
              <w:t>根据《福建省</w:t>
            </w:r>
            <w:r>
              <w:rPr>
                <w:rFonts w:hint="eastAsia"/>
                <w:highlight w:val="none"/>
                <w:lang w:val="en-US" w:eastAsia="zh-CN"/>
              </w:rPr>
              <w:t>“</w:t>
            </w:r>
            <w:r>
              <w:rPr>
                <w:rFonts w:hint="default"/>
                <w:highlight w:val="none"/>
                <w:lang w:val="en-US" w:eastAsia="zh-CN"/>
              </w:rPr>
              <w:t>十四五</w:t>
            </w:r>
            <w:r>
              <w:rPr>
                <w:rFonts w:hint="eastAsia"/>
                <w:highlight w:val="none"/>
                <w:lang w:val="en-US" w:eastAsia="zh-CN"/>
              </w:rPr>
              <w:t>”</w:t>
            </w:r>
            <w:r>
              <w:rPr>
                <w:rFonts w:hint="default"/>
                <w:highlight w:val="none"/>
                <w:lang w:val="en-US" w:eastAsia="zh-CN"/>
              </w:rPr>
              <w:t>生态环境保护规划》（闽政办〔2021〕59号）、《福建省人民政府关于印发福建省</w:t>
            </w:r>
            <w:r>
              <w:rPr>
                <w:rFonts w:hint="eastAsia"/>
                <w:highlight w:val="none"/>
                <w:lang w:val="en-US" w:eastAsia="zh-CN"/>
              </w:rPr>
              <w:t>“</w:t>
            </w:r>
            <w:r>
              <w:rPr>
                <w:rFonts w:hint="default"/>
                <w:highlight w:val="none"/>
                <w:lang w:val="en-US" w:eastAsia="zh-CN"/>
              </w:rPr>
              <w:t>十四五</w:t>
            </w:r>
            <w:r>
              <w:rPr>
                <w:rFonts w:hint="eastAsia"/>
                <w:highlight w:val="none"/>
                <w:lang w:val="en-US" w:eastAsia="zh-CN"/>
              </w:rPr>
              <w:t>”</w:t>
            </w:r>
            <w:r>
              <w:rPr>
                <w:rFonts w:hint="default"/>
                <w:highlight w:val="none"/>
                <w:lang w:val="en-US" w:eastAsia="zh-CN"/>
              </w:rPr>
              <w:t>节能减排综合性工作方案的通知》</w:t>
            </w:r>
            <w:r>
              <w:rPr>
                <w:rFonts w:hint="eastAsia"/>
                <w:highlight w:val="none"/>
                <w:lang w:val="en-US" w:eastAsia="zh-CN"/>
              </w:rPr>
              <w:t>（</w:t>
            </w:r>
            <w:r>
              <w:rPr>
                <w:rFonts w:hint="default"/>
                <w:highlight w:val="none"/>
                <w:lang w:val="en-US" w:eastAsia="zh-CN"/>
              </w:rPr>
              <w:t>闽政[2022]17号</w:t>
            </w:r>
            <w:r>
              <w:rPr>
                <w:rFonts w:hint="eastAsia"/>
                <w:highlight w:val="none"/>
                <w:lang w:val="en-US" w:eastAsia="zh-CN"/>
              </w:rPr>
              <w:t>）</w:t>
            </w:r>
            <w:r>
              <w:rPr>
                <w:rFonts w:hint="default"/>
                <w:highlight w:val="none"/>
                <w:lang w:val="en-US" w:eastAsia="zh-CN"/>
              </w:rPr>
              <w:t>有关主要污染物排放总量控制计划的要求，结合本项目排污特征，</w:t>
            </w:r>
            <w:r>
              <w:rPr>
                <w:rFonts w:hint="eastAsia"/>
                <w:highlight w:val="none"/>
                <w:lang w:val="en-US" w:eastAsia="zh-CN"/>
              </w:rPr>
              <w:t>项目不涉及总量控制因子COD、氨氮、NOx、SO</w:t>
            </w:r>
            <w:r>
              <w:rPr>
                <w:rFonts w:hint="eastAsia"/>
                <w:highlight w:val="none"/>
                <w:vertAlign w:val="subscript"/>
                <w:lang w:val="en-US" w:eastAsia="zh-CN"/>
              </w:rPr>
              <w:t>2</w:t>
            </w:r>
            <w:r>
              <w:rPr>
                <w:rFonts w:hint="eastAsia"/>
                <w:highlight w:val="none"/>
                <w:vertAlign w:val="baseline"/>
                <w:lang w:val="en-US" w:eastAsia="zh-CN"/>
              </w:rPr>
              <w:t>，</w:t>
            </w:r>
            <w:r>
              <w:rPr>
                <w:rFonts w:hint="default"/>
                <w:highlight w:val="none"/>
                <w:lang w:val="en-US" w:eastAsia="zh-CN"/>
              </w:rPr>
              <w:t>确定本项目</w:t>
            </w:r>
            <w:r>
              <w:rPr>
                <w:rFonts w:hint="eastAsia"/>
                <w:highlight w:val="none"/>
                <w:lang w:val="en-US" w:eastAsia="zh-CN"/>
              </w:rPr>
              <w:t>总量控制因子为挥发性有机物（以非甲烷总烃计）。</w:t>
            </w:r>
          </w:p>
          <w:p>
            <w:pPr>
              <w:pStyle w:val="8"/>
              <w:bidi w:val="0"/>
              <w:rPr>
                <w:rFonts w:hint="eastAsia"/>
                <w:highlight w:val="none"/>
                <w:lang w:val="en-US" w:eastAsia="zh-CN"/>
              </w:rPr>
            </w:pPr>
            <w:r>
              <w:rPr>
                <w:rFonts w:hint="eastAsia"/>
                <w:color w:val="auto"/>
                <w:sz w:val="24"/>
              </w:rPr>
              <w:t>福建旺捷生态环保科技有限公司</w:t>
            </w:r>
            <w:r>
              <w:rPr>
                <w:rFonts w:hint="eastAsia"/>
                <w:color w:val="auto"/>
                <w:sz w:val="24"/>
                <w:lang w:val="en-US" w:eastAsia="zh-CN"/>
              </w:rPr>
              <w:t>需申请VOCs总量为0.0397t/a，</w:t>
            </w:r>
            <w:r>
              <w:rPr>
                <w:rFonts w:hint="eastAsia"/>
                <w:highlight w:val="none"/>
                <w:lang w:val="en-US" w:eastAsia="zh-CN"/>
              </w:rPr>
              <w:t>拟在本项目取得批复后，向福州市闽侯生态环境局申请VOCs总量调剂。</w:t>
            </w:r>
          </w:p>
          <w:p>
            <w:pPr>
              <w:pStyle w:val="8"/>
              <w:bidi w:val="0"/>
              <w:ind w:firstLine="0" w:firstLineChars="0"/>
              <w:rPr>
                <w:rFonts w:hint="default"/>
                <w:highlight w:val="none"/>
                <w:lang w:val="en-US" w:eastAsia="zh-CN"/>
              </w:rPr>
            </w:pPr>
          </w:p>
        </w:tc>
      </w:tr>
    </w:tbl>
    <w:p>
      <w:pPr>
        <w:pStyle w:val="3"/>
        <w:numPr>
          <w:ilvl w:val="0"/>
          <w:numId w:val="3"/>
        </w:numPr>
        <w:bidi w:val="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sz w:val="36"/>
          <w:szCs w:val="36"/>
          <w:highlight w:val="none"/>
        </w:rPr>
        <w:br w:type="page"/>
      </w:r>
      <w:bookmarkStart w:id="61" w:name="_Toc25231"/>
      <w:bookmarkStart w:id="62" w:name="_Toc27323"/>
      <w:bookmarkStart w:id="63" w:name="_Toc28786"/>
      <w:bookmarkStart w:id="64" w:name="_Toc6922"/>
      <w:bookmarkStart w:id="65" w:name="_Toc29446"/>
      <w:bookmarkStart w:id="66" w:name="_Toc19692"/>
      <w:bookmarkStart w:id="67" w:name="_Toc19874"/>
      <w:bookmarkStart w:id="68" w:name="_Toc25111"/>
      <w:bookmarkStart w:id="69" w:name="_Toc30804"/>
      <w:r>
        <w:rPr>
          <w:rFonts w:hint="default" w:ascii="Times New Roman" w:hAnsi="Times New Roman" w:cs="Times New Roman"/>
          <w:snapToGrid w:val="0"/>
          <w:color w:val="auto"/>
          <w:highlight w:val="none"/>
        </w:rPr>
        <w:t>主要环境影响和保护措施</w:t>
      </w:r>
      <w:bookmarkEnd w:id="61"/>
      <w:bookmarkEnd w:id="62"/>
      <w:bookmarkEnd w:id="63"/>
      <w:bookmarkEnd w:id="64"/>
      <w:bookmarkEnd w:id="65"/>
      <w:bookmarkEnd w:id="66"/>
      <w:bookmarkEnd w:id="67"/>
      <w:bookmarkEnd w:id="68"/>
      <w:bookmarkEnd w:id="69"/>
    </w:p>
    <w:tbl>
      <w:tblPr>
        <w:tblStyle w:val="24"/>
        <w:tblW w:w="924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66"/>
        <w:gridCol w:w="918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32" w:hRule="atLeast"/>
          <w:jc w:val="center"/>
        </w:trPr>
        <w:tc>
          <w:tcPr>
            <w:tcW w:w="762" w:type="dxa"/>
            <w:tcMar>
              <w:left w:w="28" w:type="dxa"/>
              <w:right w:w="28" w:type="dxa"/>
            </w:tcMar>
            <w:vAlign w:val="center"/>
          </w:tcPr>
          <w:p>
            <w:pPr>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施工</w:t>
            </w:r>
          </w:p>
          <w:p>
            <w:pPr>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期环</w:t>
            </w:r>
          </w:p>
          <w:p>
            <w:pPr>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境保</w:t>
            </w:r>
          </w:p>
          <w:p>
            <w:pPr>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护措</w:t>
            </w:r>
          </w:p>
          <w:p>
            <w:pPr>
              <w:adjustRightInd w:val="0"/>
              <w:snapToGrid w:val="0"/>
              <w:spacing w:before="0" w:beforeAutospacing="0" w:after="0" w:afterAutospacing="0"/>
              <w:jc w:val="center"/>
              <w:rPr>
                <w:rFonts w:hint="default" w:ascii="Times New Roman" w:hAnsi="Times New Roman" w:cs="Times New Roman"/>
                <w:bCs/>
                <w:color w:val="auto"/>
                <w:kern w:val="2"/>
                <w:sz w:val="21"/>
                <w:szCs w:val="21"/>
                <w:highlight w:val="none"/>
              </w:rPr>
            </w:pPr>
            <w:r>
              <w:rPr>
                <w:rFonts w:hint="default" w:ascii="Times New Roman" w:hAnsi="Times New Roman" w:cs="Times New Roman"/>
                <w:color w:val="auto"/>
                <w:kern w:val="2"/>
                <w:sz w:val="21"/>
                <w:szCs w:val="21"/>
                <w:highlight w:val="none"/>
              </w:rPr>
              <w:t>施</w:t>
            </w:r>
          </w:p>
        </w:tc>
        <w:tc>
          <w:tcPr>
            <w:tcW w:w="8481" w:type="dxa"/>
            <w:vAlign w:val="center"/>
          </w:tcPr>
          <w:p>
            <w:pPr>
              <w:pStyle w:val="8"/>
              <w:bidi w:val="0"/>
              <w:rPr>
                <w:rFonts w:hint="default" w:ascii="Times New Roman" w:hAnsi="Times New Roman" w:cs="Times New Roman"/>
                <w:bCs/>
                <w:color w:val="auto"/>
                <w:highlight w:val="none"/>
              </w:rPr>
            </w:pPr>
            <w:r>
              <w:rPr>
                <w:rFonts w:hint="eastAsia"/>
                <w:lang w:val="en-US" w:eastAsia="zh-CN"/>
              </w:rPr>
              <w:t>本项目为租用</w:t>
            </w:r>
            <w:r>
              <w:rPr>
                <w:rFonts w:hint="default"/>
              </w:rPr>
              <w:t>福建省闽侯县华源工艺品有限公司已建厂房</w:t>
            </w:r>
            <w:r>
              <w:rPr>
                <w:rFonts w:hint="eastAsia"/>
                <w:lang w:val="en-US" w:eastAsia="zh-CN"/>
              </w:rPr>
              <w:t>进行建设。施工期主要为项目防渗施工、围堰建设、事故池施工、设备安装和调试运行等，施工周期较短，且在厂房内施工，因此本评价不对施工期环境影响进行赘述</w:t>
            </w:r>
            <w:r>
              <w:rPr>
                <w:rFonts w:hint="default"/>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53" w:hRule="atLeast"/>
          <w:jc w:val="center"/>
        </w:trPr>
        <w:tc>
          <w:tcPr>
            <w:tcW w:w="762" w:type="dxa"/>
            <w:tcMar>
              <w:left w:w="28" w:type="dxa"/>
              <w:right w:w="28" w:type="dxa"/>
            </w:tcMar>
            <w:vAlign w:val="center"/>
          </w:tcPr>
          <w:p>
            <w:pPr>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p>
        </w:tc>
        <w:tc>
          <w:tcPr>
            <w:tcW w:w="8481" w:type="dxa"/>
            <w:vAlign w:val="center"/>
          </w:tcPr>
          <w:p>
            <w:pPr>
              <w:pStyle w:val="4"/>
              <w:numPr>
                <w:ilvl w:val="1"/>
                <w:numId w:val="14"/>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p>
            <w:pPr>
              <w:pStyle w:val="5"/>
              <w:numPr>
                <w:ilvl w:val="2"/>
                <w:numId w:val="3"/>
              </w:numPr>
              <w:rPr>
                <w:rFonts w:hint="default"/>
              </w:rPr>
            </w:pPr>
            <w:r>
              <w:rPr>
                <w:rFonts w:hint="eastAsia"/>
                <w:lang w:val="en-US" w:eastAsia="zh-CN"/>
              </w:rPr>
              <w:t>废气污染源分析</w:t>
            </w:r>
          </w:p>
          <w:p>
            <w:pPr>
              <w:pStyle w:val="8"/>
              <w:bidi w:val="0"/>
              <w:rPr>
                <w:rFonts w:hint="eastAsia"/>
                <w:lang w:val="en-US" w:eastAsia="zh-CN"/>
              </w:rPr>
            </w:pPr>
            <w:r>
              <w:rPr>
                <w:rFonts w:hint="eastAsia"/>
                <w:lang w:val="en-US" w:eastAsia="zh-CN"/>
              </w:rPr>
              <w:t>本项目收集贮存转运废机油（危废代码：900-214-08）时，储罐会产生呼吸挥发性有机气体（以非甲烷总烃计）。储罐情况见下表。</w:t>
            </w:r>
          </w:p>
          <w:p>
            <w:pPr>
              <w:pStyle w:val="30"/>
              <w:bidi w:val="0"/>
              <w:rPr>
                <w:rFonts w:hint="eastAsia"/>
                <w:lang w:val="en-US" w:eastAsia="zh-CN"/>
              </w:rPr>
            </w:pPr>
            <w:r>
              <w:rPr>
                <w:rFonts w:hint="eastAsia"/>
                <w:lang w:val="en-US" w:eastAsia="zh-CN"/>
              </w:rPr>
              <w:t>项目储油罐参数</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90"/>
              <w:gridCol w:w="2496"/>
              <w:gridCol w:w="1654"/>
              <w:gridCol w:w="18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9" w:hRule="atLeast"/>
              </w:trPr>
              <w:tc>
                <w:tcPr>
                  <w:tcW w:w="2090" w:type="dxa"/>
                  <w:tcBorders>
                    <w:left w:val="nil"/>
                  </w:tcBorders>
                  <w:vAlign w:val="top"/>
                </w:tcPr>
                <w:p>
                  <w:pPr>
                    <w:pStyle w:val="31"/>
                    <w:bidi w:val="0"/>
                    <w:rPr>
                      <w:rFonts w:hint="default"/>
                      <w:lang w:val="en-US" w:eastAsia="zh-CN"/>
                    </w:rPr>
                  </w:pPr>
                  <w:r>
                    <w:rPr>
                      <w:rFonts w:hint="eastAsia"/>
                      <w:lang w:val="en-US" w:eastAsia="zh-CN"/>
                    </w:rPr>
                    <w:t>名称</w:t>
                  </w:r>
                </w:p>
              </w:tc>
              <w:tc>
                <w:tcPr>
                  <w:tcW w:w="2496" w:type="dxa"/>
                  <w:vAlign w:val="top"/>
                </w:tcPr>
                <w:p>
                  <w:pPr>
                    <w:pStyle w:val="31"/>
                    <w:bidi w:val="0"/>
                    <w:rPr>
                      <w:rFonts w:hint="default"/>
                      <w:lang w:val="en-US" w:eastAsia="zh-CN"/>
                    </w:rPr>
                  </w:pPr>
                  <w:r>
                    <w:rPr>
                      <w:rFonts w:hint="eastAsia"/>
                      <w:lang w:val="en-US" w:eastAsia="zh-CN"/>
                    </w:rPr>
                    <w:t>规格型号</w:t>
                  </w:r>
                </w:p>
              </w:tc>
              <w:tc>
                <w:tcPr>
                  <w:tcW w:w="1654" w:type="dxa"/>
                  <w:vAlign w:val="top"/>
                </w:tcPr>
                <w:p>
                  <w:pPr>
                    <w:pStyle w:val="31"/>
                    <w:bidi w:val="0"/>
                    <w:rPr>
                      <w:rFonts w:hint="default"/>
                      <w:lang w:val="en-US" w:eastAsia="zh-CN"/>
                    </w:rPr>
                  </w:pPr>
                  <w:r>
                    <w:rPr>
                      <w:rFonts w:hint="eastAsia"/>
                      <w:lang w:val="en-US" w:eastAsia="zh-CN"/>
                    </w:rPr>
                    <w:t>数量</w:t>
                  </w:r>
                </w:p>
              </w:tc>
              <w:tc>
                <w:tcPr>
                  <w:tcW w:w="1877" w:type="dxa"/>
                  <w:tcBorders>
                    <w:right w:val="nil"/>
                  </w:tcBorders>
                  <w:vAlign w:val="top"/>
                </w:tcPr>
                <w:p>
                  <w:pPr>
                    <w:pStyle w:val="31"/>
                    <w:bidi w:val="0"/>
                    <w:rPr>
                      <w:rFonts w:hint="default"/>
                      <w:lang w:val="en-US" w:eastAsia="zh-CN"/>
                    </w:rPr>
                  </w:pPr>
                  <w:r>
                    <w:rPr>
                      <w:rFonts w:hint="eastAsia"/>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2090" w:type="dxa"/>
                  <w:tcBorders>
                    <w:left w:val="nil"/>
                  </w:tcBorders>
                  <w:vAlign w:val="top"/>
                </w:tcPr>
                <w:p>
                  <w:pPr>
                    <w:pStyle w:val="31"/>
                    <w:bidi w:val="0"/>
                    <w:rPr>
                      <w:rFonts w:hint="default"/>
                      <w:lang w:val="en-US" w:eastAsia="zh-CN"/>
                    </w:rPr>
                  </w:pPr>
                  <w:r>
                    <w:rPr>
                      <w:rFonts w:hint="eastAsia"/>
                      <w:lang w:val="en-US" w:eastAsia="zh-CN"/>
                    </w:rPr>
                    <w:t>储油罐</w:t>
                  </w:r>
                </w:p>
              </w:tc>
              <w:tc>
                <w:tcPr>
                  <w:tcW w:w="2496" w:type="dxa"/>
                  <w:vAlign w:val="top"/>
                </w:tcPr>
                <w:p>
                  <w:pPr>
                    <w:pStyle w:val="31"/>
                    <w:bidi w:val="0"/>
                    <w:rPr>
                      <w:rFonts w:hint="default"/>
                      <w:lang w:val="en-US" w:eastAsia="zh-CN"/>
                    </w:rPr>
                  </w:pPr>
                  <w:r>
                    <w:rPr>
                      <w:rFonts w:hint="eastAsia"/>
                      <w:lang w:val="en-US" w:eastAsia="zh-CN"/>
                    </w:rPr>
                    <w:t>30m³，直径3m，长5m</w:t>
                  </w:r>
                </w:p>
              </w:tc>
              <w:tc>
                <w:tcPr>
                  <w:tcW w:w="1654" w:type="dxa"/>
                  <w:vAlign w:val="top"/>
                </w:tcPr>
                <w:p>
                  <w:pPr>
                    <w:pStyle w:val="31"/>
                    <w:bidi w:val="0"/>
                    <w:rPr>
                      <w:rFonts w:hint="default"/>
                      <w:lang w:val="en-US" w:eastAsia="zh-CN"/>
                    </w:rPr>
                  </w:pPr>
                  <w:r>
                    <w:rPr>
                      <w:rFonts w:hint="eastAsia"/>
                      <w:lang w:val="en-US" w:eastAsia="zh-CN"/>
                    </w:rPr>
                    <w:t>2个</w:t>
                  </w:r>
                </w:p>
              </w:tc>
              <w:tc>
                <w:tcPr>
                  <w:tcW w:w="1877" w:type="dxa"/>
                  <w:tcBorders>
                    <w:right w:val="nil"/>
                  </w:tcBorders>
                  <w:vAlign w:val="top"/>
                </w:tcPr>
                <w:p>
                  <w:pPr>
                    <w:pStyle w:val="31"/>
                    <w:bidi w:val="0"/>
                    <w:rPr>
                      <w:rFonts w:hint="default"/>
                      <w:lang w:val="en-US" w:eastAsia="zh-CN"/>
                    </w:rPr>
                  </w:pPr>
                  <w:r>
                    <w:rPr>
                      <w:rFonts w:hint="eastAsia"/>
                      <w:lang w:val="en-US" w:eastAsia="zh-CN"/>
                    </w:rPr>
                    <w:t>碳钢，卧式罐</w:t>
                  </w:r>
                </w:p>
              </w:tc>
            </w:tr>
          </w:tbl>
          <w:p>
            <w:pPr>
              <w:pStyle w:val="8"/>
              <w:bidi w:val="0"/>
              <w:rPr>
                <w:rFonts w:hint="eastAsia" w:cs="Times New Roman"/>
                <w:color w:val="auto"/>
                <w:highlight w:val="none"/>
                <w:lang w:val="en-US" w:eastAsia="zh-CN"/>
              </w:rPr>
            </w:pPr>
          </w:p>
          <w:p>
            <w:pPr>
              <w:pStyle w:val="8"/>
              <w:bidi w:val="0"/>
              <w:rPr>
                <w:rFonts w:hint="default" w:cs="Times New Roman"/>
                <w:color w:val="auto"/>
                <w:highlight w:val="none"/>
                <w:lang w:val="en-US" w:eastAsia="zh-CN"/>
              </w:rPr>
            </w:pPr>
            <w:r>
              <w:rPr>
                <w:rFonts w:hint="eastAsia" w:cs="Times New Roman"/>
                <w:color w:val="auto"/>
                <w:highlight w:val="none"/>
                <w:lang w:val="en-US" w:eastAsia="zh-CN"/>
              </w:rPr>
              <w:t>（1）小呼吸废气</w:t>
            </w:r>
          </w:p>
          <w:p>
            <w:pPr>
              <w:pStyle w:val="8"/>
              <w:bidi w:val="0"/>
              <w:spacing w:line="360" w:lineRule="auto"/>
            </w:pPr>
            <w:r>
              <w:rPr>
                <w:rFonts w:hint="eastAsia"/>
                <w:lang w:val="en-US" w:eastAsia="zh-CN"/>
              </w:rPr>
              <w:t>储罐“小呼吸”损耗：储罐静贮时，白天受热罐内温度升高，物料蒸发速度加快，蒸气压随之增高，当储罐内混合气体压力增加到储罐控制压力极限时，就要向外放出气体，相反，夜间气温降低时，储罐中的混合蒸气体积收缩，气体压力降低，当压力降低到呼吸阀的负压极限时，储罐又要吸进空气，加速物料蒸发。</w:t>
            </w:r>
          </w:p>
          <w:p>
            <w:pPr>
              <w:keepNext w:val="0"/>
              <w:keepLines w:val="0"/>
              <w:widowControl/>
              <w:suppressLineNumbers w:val="0"/>
              <w:spacing w:line="360" w:lineRule="auto"/>
              <w:jc w:val="left"/>
              <w:rPr>
                <w:rFonts w:hint="eastAsia"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“小呼吸”损耗可用下式计算</w:t>
            </w:r>
            <w:r>
              <w:rPr>
                <w:rFonts w:hint="eastAsia" w:cs="Times New Roman"/>
                <w:color w:val="000000"/>
                <w:kern w:val="2"/>
                <w:sz w:val="24"/>
                <w:szCs w:val="24"/>
                <w:lang w:val="en-US" w:eastAsia="zh-CN" w:bidi="ar-SA"/>
              </w:rPr>
              <w:t>。</w:t>
            </w:r>
          </w:p>
          <w:p>
            <w:pPr>
              <w:pStyle w:val="8"/>
              <w:bidi w:val="0"/>
              <w:spacing w:line="360" w:lineRule="auto"/>
              <w:rPr>
                <w:rFonts w:hint="default"/>
                <w:lang w:val="en-US" w:eastAsia="zh-CN"/>
              </w:rPr>
            </w:pPr>
            <w:r>
              <w:rPr>
                <w:rFonts w:hint="default"/>
                <w:lang w:val="en-US" w:eastAsia="zh-CN"/>
              </w:rPr>
              <w:t>LB=0.191</w:t>
            </w:r>
            <w:r>
              <w:rPr>
                <w:rFonts w:hint="eastAsia"/>
                <w:lang w:val="en-US" w:eastAsia="zh-CN"/>
              </w:rPr>
              <w:t>×</w:t>
            </w:r>
            <w:r>
              <w:rPr>
                <w:rFonts w:hint="default"/>
                <w:lang w:val="en-US" w:eastAsia="zh-CN"/>
              </w:rPr>
              <w:t>M</w:t>
            </w:r>
            <w:r>
              <w:rPr>
                <w:rFonts w:hint="eastAsia"/>
                <w:lang w:val="en-US" w:eastAsia="zh-CN"/>
              </w:rPr>
              <w:t>×（</w:t>
            </w:r>
            <w:r>
              <w:rPr>
                <w:rFonts w:hint="default"/>
                <w:lang w:val="en-US" w:eastAsia="zh-CN"/>
              </w:rPr>
              <w:t>P/</w:t>
            </w:r>
            <w:r>
              <w:rPr>
                <w:rFonts w:hint="eastAsia"/>
                <w:lang w:val="en-US" w:eastAsia="zh-CN"/>
              </w:rPr>
              <w:t>（</w:t>
            </w:r>
            <w:r>
              <w:rPr>
                <w:rFonts w:hint="default"/>
                <w:lang w:val="en-US" w:eastAsia="zh-CN"/>
              </w:rPr>
              <w:t>100910-P</w:t>
            </w:r>
            <w:r>
              <w:rPr>
                <w:rFonts w:hint="eastAsia"/>
                <w:lang w:val="en-US" w:eastAsia="zh-CN"/>
              </w:rPr>
              <w:t>））</w:t>
            </w:r>
            <w:r>
              <w:rPr>
                <w:rFonts w:hint="default"/>
                <w:vertAlign w:val="superscript"/>
                <w:lang w:val="en-US" w:eastAsia="zh-CN"/>
              </w:rPr>
              <w:t>0.68</w:t>
            </w:r>
            <w:r>
              <w:rPr>
                <w:rFonts w:hint="eastAsia"/>
                <w:lang w:val="en-US" w:eastAsia="zh-CN"/>
              </w:rPr>
              <w:t>×</w:t>
            </w:r>
            <w:r>
              <w:rPr>
                <w:rFonts w:hint="default"/>
                <w:lang w:val="en-US" w:eastAsia="zh-CN"/>
              </w:rPr>
              <w:t>D</w:t>
            </w:r>
            <w:r>
              <w:rPr>
                <w:rFonts w:hint="default"/>
                <w:vertAlign w:val="superscript"/>
                <w:lang w:val="en-US" w:eastAsia="zh-CN"/>
              </w:rPr>
              <w:t>1.73</w:t>
            </w:r>
            <w:r>
              <w:rPr>
                <w:rFonts w:hint="eastAsia"/>
                <w:lang w:val="en-US" w:eastAsia="zh-CN"/>
              </w:rPr>
              <w:t>×</w:t>
            </w:r>
            <w:r>
              <w:rPr>
                <w:rFonts w:hint="default"/>
                <w:lang w:val="en-US" w:eastAsia="zh-CN"/>
              </w:rPr>
              <w:t>H</w:t>
            </w:r>
            <w:r>
              <w:rPr>
                <w:rFonts w:hint="default"/>
                <w:vertAlign w:val="superscript"/>
                <w:lang w:val="en-US" w:eastAsia="zh-CN"/>
              </w:rPr>
              <w:t>0.51</w:t>
            </w:r>
            <w:r>
              <w:rPr>
                <w:rFonts w:hint="eastAsia"/>
                <w:lang w:val="en-US" w:eastAsia="zh-CN"/>
              </w:rPr>
              <w:t>×△</w:t>
            </w:r>
            <w:r>
              <w:rPr>
                <w:rFonts w:hint="default"/>
                <w:lang w:val="en-US" w:eastAsia="zh-CN"/>
              </w:rPr>
              <w:t>T</w:t>
            </w:r>
            <w:r>
              <w:rPr>
                <w:rFonts w:hint="default"/>
                <w:vertAlign w:val="superscript"/>
                <w:lang w:val="en-US" w:eastAsia="zh-CN"/>
              </w:rPr>
              <w:t>0.45</w:t>
            </w:r>
            <w:r>
              <w:rPr>
                <w:rFonts w:hint="eastAsia"/>
                <w:lang w:val="en-US" w:eastAsia="zh-CN"/>
              </w:rPr>
              <w:t>×</w:t>
            </w:r>
            <w:r>
              <w:rPr>
                <w:rFonts w:hint="default"/>
                <w:lang w:val="en-US" w:eastAsia="zh-CN"/>
              </w:rPr>
              <w:t>F</w:t>
            </w:r>
            <w:r>
              <w:rPr>
                <w:rFonts w:hint="default"/>
                <w:vertAlign w:val="subscript"/>
                <w:lang w:val="en-US" w:eastAsia="zh-CN"/>
              </w:rPr>
              <w:t>P</w:t>
            </w:r>
            <w:r>
              <w:rPr>
                <w:rFonts w:hint="eastAsia"/>
                <w:lang w:val="en-US" w:eastAsia="zh-CN"/>
              </w:rPr>
              <w:t>×</w:t>
            </w:r>
            <w:r>
              <w:rPr>
                <w:rFonts w:hint="default"/>
                <w:lang w:val="en-US" w:eastAsia="zh-CN"/>
              </w:rPr>
              <w:t>C</w:t>
            </w:r>
            <w:r>
              <w:rPr>
                <w:rFonts w:hint="eastAsia"/>
                <w:lang w:val="en-US" w:eastAsia="zh-CN"/>
              </w:rPr>
              <w:t>×</w:t>
            </w:r>
            <w:r>
              <w:rPr>
                <w:rFonts w:hint="default"/>
                <w:lang w:val="en-US" w:eastAsia="zh-CN"/>
              </w:rPr>
              <w:t>K</w:t>
            </w:r>
            <w:r>
              <w:rPr>
                <w:rFonts w:hint="default"/>
                <w:vertAlign w:val="subscript"/>
                <w:lang w:val="en-US" w:eastAsia="zh-CN"/>
              </w:rPr>
              <w:t>C</w:t>
            </w:r>
          </w:p>
          <w:p>
            <w:pPr>
              <w:pStyle w:val="8"/>
              <w:bidi w:val="0"/>
              <w:spacing w:line="360" w:lineRule="auto"/>
              <w:ind w:left="0" w:leftChars="0" w:firstLine="0" w:firstLineChars="0"/>
              <w:rPr>
                <w:rFonts w:hint="eastAsia"/>
                <w:lang w:val="en-US" w:eastAsia="zh-CN"/>
              </w:rPr>
            </w:pPr>
            <w:r>
              <w:rPr>
                <w:rFonts w:hint="eastAsia"/>
                <w:lang w:val="en-US" w:eastAsia="zh-CN"/>
              </w:rPr>
              <w:t>式中：</w:t>
            </w:r>
            <w:r>
              <w:rPr>
                <w:rFonts w:hint="default"/>
                <w:lang w:val="en-US" w:eastAsia="zh-CN"/>
              </w:rPr>
              <w:t>LB</w:t>
            </w:r>
            <w:r>
              <w:rPr>
                <w:rFonts w:hint="eastAsia"/>
                <w:lang w:val="en-US" w:eastAsia="zh-CN"/>
              </w:rPr>
              <w:t>—固定顶罐的呼吸排放量（</w:t>
            </w:r>
            <w:r>
              <w:rPr>
                <w:rFonts w:hint="default"/>
                <w:lang w:val="en-US" w:eastAsia="zh-CN"/>
              </w:rPr>
              <w:t>kg/a</w:t>
            </w:r>
            <w:r>
              <w:rPr>
                <w:rFonts w:hint="eastAsia"/>
                <w:lang w:val="en-US" w:eastAsia="zh-CN"/>
              </w:rPr>
              <w:t>）；</w:t>
            </w:r>
          </w:p>
          <w:p>
            <w:pPr>
              <w:pStyle w:val="8"/>
              <w:bidi w:val="0"/>
              <w:spacing w:line="360" w:lineRule="auto"/>
              <w:rPr>
                <w:rFonts w:hint="eastAsia"/>
                <w:lang w:val="en-US" w:eastAsia="zh-CN"/>
              </w:rPr>
            </w:pPr>
            <w:r>
              <w:rPr>
                <w:rFonts w:hint="default"/>
                <w:lang w:val="en-US" w:eastAsia="zh-CN"/>
              </w:rPr>
              <w:t>M</w:t>
            </w:r>
            <w:r>
              <w:rPr>
                <w:rFonts w:hint="eastAsia"/>
                <w:lang w:val="en-US" w:eastAsia="zh-CN"/>
              </w:rPr>
              <w:t>—储罐内蒸气的分子量：废油分子量约</w:t>
            </w:r>
            <w:r>
              <w:rPr>
                <w:rFonts w:hint="default"/>
                <w:lang w:val="en-US" w:eastAsia="zh-CN"/>
              </w:rPr>
              <w:t>330~500</w:t>
            </w:r>
            <w:r>
              <w:rPr>
                <w:rFonts w:hint="eastAsia"/>
                <w:lang w:val="en-US" w:eastAsia="zh-CN"/>
              </w:rPr>
              <w:t>，按</w:t>
            </w:r>
            <w:r>
              <w:rPr>
                <w:rFonts w:hint="default"/>
                <w:lang w:val="en-US" w:eastAsia="zh-CN"/>
              </w:rPr>
              <w:t>400</w:t>
            </w:r>
            <w:r>
              <w:rPr>
                <w:rFonts w:hint="eastAsia"/>
                <w:lang w:val="en-US" w:eastAsia="zh-CN"/>
              </w:rPr>
              <w:t>计；</w:t>
            </w:r>
          </w:p>
          <w:p>
            <w:pPr>
              <w:pStyle w:val="8"/>
              <w:bidi w:val="0"/>
              <w:spacing w:line="360" w:lineRule="auto"/>
              <w:rPr>
                <w:rFonts w:hint="eastAsia"/>
                <w:lang w:val="en-US" w:eastAsia="zh-CN"/>
              </w:rPr>
            </w:pPr>
            <w:r>
              <w:rPr>
                <w:rFonts w:hint="default"/>
                <w:lang w:val="en-US" w:eastAsia="zh-CN"/>
              </w:rPr>
              <w:t>P</w:t>
            </w:r>
            <w:r>
              <w:rPr>
                <w:rFonts w:hint="eastAsia"/>
                <w:lang w:val="en-US" w:eastAsia="zh-CN"/>
              </w:rPr>
              <w:t>—在大量液体状态下，真实的蒸气压力（</w:t>
            </w:r>
            <w:r>
              <w:rPr>
                <w:rFonts w:hint="default"/>
                <w:lang w:val="en-US" w:eastAsia="zh-CN"/>
              </w:rPr>
              <w:t>Pa</w:t>
            </w:r>
            <w:r>
              <w:rPr>
                <w:rFonts w:hint="eastAsia"/>
                <w:lang w:val="en-US" w:eastAsia="zh-CN"/>
              </w:rPr>
              <w:t>），废油取</w:t>
            </w:r>
            <w:r>
              <w:rPr>
                <w:rFonts w:hint="default"/>
                <w:lang w:val="en-US" w:eastAsia="zh-CN"/>
              </w:rPr>
              <w:t>130</w:t>
            </w:r>
            <w:r>
              <w:rPr>
                <w:rFonts w:hint="eastAsia"/>
                <w:lang w:val="en-US" w:eastAsia="zh-CN"/>
              </w:rPr>
              <w:t>；</w:t>
            </w:r>
          </w:p>
          <w:p>
            <w:pPr>
              <w:pStyle w:val="8"/>
              <w:bidi w:val="0"/>
              <w:spacing w:line="360" w:lineRule="auto"/>
              <w:rPr>
                <w:rFonts w:hint="eastAsia"/>
                <w:lang w:val="en-US" w:eastAsia="zh-CN"/>
              </w:rPr>
            </w:pPr>
            <w:r>
              <w:rPr>
                <w:rFonts w:hint="default"/>
                <w:lang w:val="en-US" w:eastAsia="zh-CN"/>
              </w:rPr>
              <w:t>D</w:t>
            </w:r>
            <w:r>
              <w:rPr>
                <w:rFonts w:hint="eastAsia"/>
                <w:lang w:val="en-US" w:eastAsia="zh-CN"/>
              </w:rPr>
              <w:t>—罐的直径（</w:t>
            </w:r>
            <w:r>
              <w:rPr>
                <w:rFonts w:hint="default"/>
                <w:lang w:val="en-US" w:eastAsia="zh-CN"/>
              </w:rPr>
              <w:t>m</w:t>
            </w:r>
            <w:r>
              <w:rPr>
                <w:rFonts w:hint="eastAsia"/>
                <w:lang w:val="en-US" w:eastAsia="zh-CN"/>
              </w:rPr>
              <w:t>）；</w:t>
            </w:r>
          </w:p>
          <w:p>
            <w:pPr>
              <w:pStyle w:val="8"/>
              <w:bidi w:val="0"/>
              <w:spacing w:line="360" w:lineRule="auto"/>
              <w:rPr>
                <w:rFonts w:hint="eastAsia"/>
                <w:lang w:val="en-US" w:eastAsia="zh-CN"/>
              </w:rPr>
            </w:pPr>
            <w:r>
              <w:rPr>
                <w:rFonts w:hint="default"/>
                <w:lang w:val="en-US" w:eastAsia="zh-CN"/>
              </w:rPr>
              <w:t>H</w:t>
            </w:r>
            <w:r>
              <w:rPr>
                <w:rFonts w:hint="eastAsia"/>
                <w:lang w:val="en-US" w:eastAsia="zh-CN"/>
              </w:rPr>
              <w:t>—平均蒸气空间高度（</w:t>
            </w:r>
            <w:r>
              <w:rPr>
                <w:rFonts w:hint="default"/>
                <w:lang w:val="en-US" w:eastAsia="zh-CN"/>
              </w:rPr>
              <w:t>m</w:t>
            </w:r>
            <w:r>
              <w:rPr>
                <w:rFonts w:hint="eastAsia"/>
                <w:lang w:val="en-US" w:eastAsia="zh-CN"/>
              </w:rPr>
              <w:t>），取罐高度的一半；</w:t>
            </w:r>
          </w:p>
          <w:p>
            <w:pPr>
              <w:pStyle w:val="8"/>
              <w:bidi w:val="0"/>
              <w:spacing w:line="360" w:lineRule="auto"/>
              <w:rPr>
                <w:rFonts w:hint="eastAsia"/>
                <w:lang w:val="en-US" w:eastAsia="zh-CN"/>
              </w:rPr>
            </w:pPr>
            <w:r>
              <w:rPr>
                <w:rFonts w:hint="eastAsia"/>
                <w:lang w:val="en-US" w:eastAsia="zh-CN"/>
              </w:rPr>
              <w:t>△</w:t>
            </w:r>
            <w:r>
              <w:rPr>
                <w:rFonts w:hint="default"/>
                <w:lang w:val="en-US" w:eastAsia="zh-CN"/>
              </w:rPr>
              <w:t>T</w:t>
            </w:r>
            <w:r>
              <w:rPr>
                <w:rFonts w:hint="eastAsia"/>
                <w:lang w:val="en-US" w:eastAsia="zh-CN"/>
              </w:rPr>
              <w:t>—一天之内的平均温度差（℃）；</w:t>
            </w:r>
          </w:p>
          <w:p>
            <w:pPr>
              <w:pStyle w:val="8"/>
              <w:bidi w:val="0"/>
              <w:spacing w:line="360" w:lineRule="auto"/>
              <w:rPr>
                <w:rFonts w:hint="eastAsia"/>
                <w:lang w:val="en-US" w:eastAsia="zh-CN"/>
              </w:rPr>
            </w:pPr>
            <w:r>
              <w:rPr>
                <w:rFonts w:hint="default"/>
                <w:lang w:val="en-US" w:eastAsia="zh-CN"/>
              </w:rPr>
              <w:t>F</w:t>
            </w:r>
            <w:r>
              <w:rPr>
                <w:rFonts w:hint="default"/>
                <w:vertAlign w:val="subscript"/>
                <w:lang w:val="en-US" w:eastAsia="zh-CN"/>
              </w:rPr>
              <w:t>P</w:t>
            </w:r>
            <w:r>
              <w:rPr>
                <w:rFonts w:hint="eastAsia"/>
                <w:lang w:val="en-US" w:eastAsia="zh-CN"/>
              </w:rPr>
              <w:t>—涂层因子（无量纲），根据油漆状况取值在</w:t>
            </w:r>
            <w:r>
              <w:rPr>
                <w:rFonts w:hint="default"/>
                <w:lang w:val="en-US" w:eastAsia="zh-CN"/>
              </w:rPr>
              <w:t>1~1.5</w:t>
            </w:r>
            <w:r>
              <w:rPr>
                <w:rFonts w:hint="eastAsia"/>
                <w:lang w:val="en-US" w:eastAsia="zh-CN"/>
              </w:rPr>
              <w:t>之间；本项目取</w:t>
            </w:r>
            <w:r>
              <w:rPr>
                <w:rFonts w:hint="default"/>
                <w:lang w:val="en-US" w:eastAsia="zh-CN"/>
              </w:rPr>
              <w:t>1</w:t>
            </w:r>
            <w:r>
              <w:rPr>
                <w:rFonts w:hint="eastAsia"/>
                <w:lang w:val="en-US" w:eastAsia="zh-CN"/>
              </w:rPr>
              <w:t>；</w:t>
            </w:r>
          </w:p>
          <w:p>
            <w:pPr>
              <w:pStyle w:val="8"/>
              <w:bidi w:val="0"/>
              <w:spacing w:line="360" w:lineRule="auto"/>
              <w:rPr>
                <w:rFonts w:hint="eastAsia"/>
                <w:lang w:val="en-US" w:eastAsia="zh-CN"/>
              </w:rPr>
            </w:pPr>
            <w:r>
              <w:rPr>
                <w:rFonts w:hint="default"/>
                <w:lang w:val="en-US" w:eastAsia="zh-CN"/>
              </w:rPr>
              <w:t>C</w:t>
            </w:r>
            <w:r>
              <w:rPr>
                <w:rFonts w:hint="eastAsia"/>
                <w:lang w:val="en-US" w:eastAsia="zh-CN"/>
              </w:rPr>
              <w:t>—用于小直径罐的调节因子（无量纲）；直径在</w:t>
            </w:r>
            <w:r>
              <w:rPr>
                <w:rFonts w:hint="default"/>
                <w:lang w:val="en-US" w:eastAsia="zh-CN"/>
              </w:rPr>
              <w:t>0~9m</w:t>
            </w:r>
            <w:r>
              <w:rPr>
                <w:rFonts w:hint="eastAsia"/>
                <w:lang w:val="en-US" w:eastAsia="zh-CN"/>
              </w:rPr>
              <w:t>之间的罐体，</w:t>
            </w:r>
            <w:r>
              <w:rPr>
                <w:rFonts w:hint="default"/>
                <w:lang w:val="en-US" w:eastAsia="zh-CN"/>
              </w:rPr>
              <w:t>C=1-0.0123(D-9)</w:t>
            </w:r>
            <w:r>
              <w:rPr>
                <w:rFonts w:hint="default"/>
                <w:vertAlign w:val="superscript"/>
                <w:lang w:val="en-US" w:eastAsia="zh-CN"/>
              </w:rPr>
              <w:t>2</w:t>
            </w:r>
            <w:r>
              <w:rPr>
                <w:rFonts w:hint="eastAsia"/>
                <w:lang w:val="en-US" w:eastAsia="zh-CN"/>
              </w:rPr>
              <w:t>；直径大于</w:t>
            </w:r>
            <w:r>
              <w:rPr>
                <w:rFonts w:hint="default"/>
                <w:lang w:val="en-US" w:eastAsia="zh-CN"/>
              </w:rPr>
              <w:t>9m</w:t>
            </w:r>
            <w:r>
              <w:rPr>
                <w:rFonts w:hint="eastAsia"/>
                <w:lang w:val="en-US" w:eastAsia="zh-CN"/>
              </w:rPr>
              <w:t>的</w:t>
            </w:r>
            <w:r>
              <w:rPr>
                <w:rFonts w:hint="default"/>
                <w:lang w:val="en-US" w:eastAsia="zh-CN"/>
              </w:rPr>
              <w:t>C=1</w:t>
            </w:r>
            <w:r>
              <w:rPr>
                <w:rFonts w:hint="eastAsia"/>
                <w:lang w:val="en-US" w:eastAsia="zh-CN"/>
              </w:rPr>
              <w:t>。</w:t>
            </w:r>
          </w:p>
          <w:p>
            <w:pPr>
              <w:pStyle w:val="8"/>
              <w:bidi w:val="0"/>
              <w:rPr>
                <w:rFonts w:hint="eastAsia"/>
                <w:lang w:val="en-US" w:eastAsia="zh-CN"/>
              </w:rPr>
            </w:pPr>
            <w:r>
              <w:rPr>
                <w:rFonts w:hint="default"/>
                <w:lang w:val="en-US" w:eastAsia="zh-CN"/>
              </w:rPr>
              <w:t>K</w:t>
            </w:r>
            <w:r>
              <w:rPr>
                <w:rFonts w:hint="default"/>
                <w:vertAlign w:val="subscript"/>
                <w:lang w:val="en-US" w:eastAsia="zh-CN"/>
              </w:rPr>
              <w:t>C</w:t>
            </w:r>
            <w:r>
              <w:rPr>
                <w:rFonts w:hint="eastAsia"/>
                <w:lang w:val="en-US" w:eastAsia="zh-CN"/>
              </w:rPr>
              <w:t>—产品因子（石油原油</w:t>
            </w:r>
            <w:r>
              <w:rPr>
                <w:rFonts w:hint="default"/>
                <w:lang w:val="en-US" w:eastAsia="zh-CN"/>
              </w:rPr>
              <w:t>KC</w:t>
            </w:r>
            <w:r>
              <w:rPr>
                <w:rFonts w:hint="eastAsia"/>
                <w:lang w:val="en-US" w:eastAsia="zh-CN"/>
              </w:rPr>
              <w:t>取</w:t>
            </w:r>
            <w:r>
              <w:rPr>
                <w:rFonts w:hint="default"/>
                <w:lang w:val="en-US" w:eastAsia="zh-CN"/>
              </w:rPr>
              <w:t>0.65</w:t>
            </w:r>
            <w:r>
              <w:rPr>
                <w:rFonts w:hint="eastAsia"/>
                <w:lang w:val="en-US" w:eastAsia="zh-CN"/>
              </w:rPr>
              <w:t>，其他的有机液体取</w:t>
            </w:r>
            <w:r>
              <w:rPr>
                <w:rFonts w:hint="default"/>
                <w:lang w:val="en-US" w:eastAsia="zh-CN"/>
              </w:rPr>
              <w:t>1.0</w:t>
            </w:r>
            <w:r>
              <w:rPr>
                <w:rFonts w:hint="eastAsia"/>
                <w:lang w:val="en-US" w:eastAsia="zh-CN"/>
              </w:rPr>
              <w:t>）。</w:t>
            </w:r>
          </w:p>
          <w:p>
            <w:pPr>
              <w:pStyle w:val="30"/>
              <w:bidi w:val="0"/>
              <w:spacing w:line="240" w:lineRule="auto"/>
              <w:rPr>
                <w:rFonts w:hint="eastAsia"/>
                <w:lang w:val="en-US" w:eastAsia="zh-CN"/>
              </w:rPr>
            </w:pPr>
            <w:r>
              <w:rPr>
                <w:rFonts w:hint="eastAsia"/>
                <w:lang w:val="en-US" w:eastAsia="zh-CN"/>
              </w:rPr>
              <w:t>储罐小呼吸源强计算参数</w:t>
            </w:r>
          </w:p>
          <w:tbl>
            <w:tblPr>
              <w:tblStyle w:val="24"/>
              <w:tblW w:w="4998" w:type="pct"/>
              <w:jc w:val="center"/>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2592"/>
              <w:gridCol w:w="2911"/>
              <w:gridCol w:w="3463"/>
            </w:tblGrid>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15" w:hRule="exact"/>
                <w:jc w:val="center"/>
              </w:trPr>
              <w:tc>
                <w:tcPr>
                  <w:tcW w:w="1445" w:type="pct"/>
                  <w:vAlign w:val="center"/>
                </w:tcPr>
                <w:p>
                  <w:pPr>
                    <w:pStyle w:val="31"/>
                    <w:bidi w:val="0"/>
                    <w:rPr>
                      <w:rFonts w:hint="eastAsia" w:eastAsia="宋体"/>
                      <w:lang w:eastAsia="zh-CN"/>
                    </w:rPr>
                  </w:pPr>
                  <w:r>
                    <w:rPr>
                      <w:rFonts w:hint="eastAsia"/>
                      <w:lang w:val="en-US" w:eastAsia="zh-CN"/>
                    </w:rPr>
                    <w:t>参数</w:t>
                  </w:r>
                </w:p>
              </w:tc>
              <w:tc>
                <w:tcPr>
                  <w:tcW w:w="1623" w:type="pct"/>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rPr>
                    <w:t>单位</w:t>
                  </w:r>
                </w:p>
              </w:tc>
              <w:tc>
                <w:tcPr>
                  <w:tcW w:w="1931" w:type="pct"/>
                  <w:vAlign w:val="center"/>
                </w:tcPr>
                <w:p>
                  <w:pPr>
                    <w:pStyle w:val="31"/>
                    <w:bidi w:val="0"/>
                    <w:rPr>
                      <w:rFonts w:hint="default" w:eastAsia="宋体"/>
                      <w:lang w:val="en-US" w:eastAsia="zh-CN"/>
                    </w:rPr>
                  </w:pPr>
                  <w:r>
                    <w:rPr>
                      <w:rFonts w:hint="eastAsia"/>
                      <w:lang w:val="en-US" w:eastAsia="zh-CN"/>
                    </w:rPr>
                    <w:t>取值</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1"/>
                    <w:bidi w:val="0"/>
                    <w:rPr>
                      <w:rFonts w:hint="eastAsia" w:eastAsia="宋体"/>
                      <w:lang w:eastAsia="zh-CN"/>
                    </w:rPr>
                  </w:pPr>
                  <w:r>
                    <w:rPr>
                      <w:rFonts w:hint="eastAsia"/>
                      <w:lang w:val="en-US" w:eastAsia="zh-CN"/>
                    </w:rPr>
                    <w:t>M</w:t>
                  </w:r>
                </w:p>
              </w:tc>
              <w:tc>
                <w:tcPr>
                  <w:tcW w:w="1623" w:type="pct"/>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g/mol</w:t>
                  </w:r>
                </w:p>
              </w:tc>
              <w:tc>
                <w:tcPr>
                  <w:tcW w:w="1931" w:type="pct"/>
                  <w:vAlign w:val="center"/>
                </w:tcPr>
                <w:p>
                  <w:pPr>
                    <w:pStyle w:val="31"/>
                    <w:bidi w:val="0"/>
                  </w:pPr>
                  <w:r>
                    <w:rPr>
                      <w:rFonts w:hint="eastAsia"/>
                      <w:lang w:val="en-US" w:eastAsia="zh-CN"/>
                    </w:rPr>
                    <w:t>4</w:t>
                  </w:r>
                  <w:r>
                    <w:t>00</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1"/>
                    <w:bidi w:val="0"/>
                    <w:rPr>
                      <w:rFonts w:hint="eastAsia" w:eastAsia="宋体"/>
                      <w:lang w:eastAsia="zh-CN"/>
                    </w:rPr>
                  </w:pPr>
                  <w:r>
                    <w:rPr>
                      <w:rFonts w:hint="eastAsia"/>
                      <w:lang w:val="en-US" w:eastAsia="zh-CN"/>
                    </w:rPr>
                    <w:t>P</w:t>
                  </w:r>
                </w:p>
              </w:tc>
              <w:tc>
                <w:tcPr>
                  <w:tcW w:w="1623" w:type="pct"/>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Pa</w:t>
                  </w:r>
                </w:p>
              </w:tc>
              <w:tc>
                <w:tcPr>
                  <w:tcW w:w="1931" w:type="pct"/>
                  <w:vAlign w:val="center"/>
                </w:tcPr>
                <w:p>
                  <w:pPr>
                    <w:pStyle w:val="31"/>
                    <w:bidi w:val="0"/>
                  </w:pPr>
                  <w:r>
                    <w:rPr>
                      <w:rFonts w:hint="eastAsia"/>
                      <w:lang w:val="en-US" w:eastAsia="zh-CN"/>
                    </w:rPr>
                    <w:t>1</w:t>
                  </w:r>
                  <w:r>
                    <w:t>30</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1"/>
                    <w:bidi w:val="0"/>
                    <w:rPr>
                      <w:rFonts w:hint="eastAsia" w:eastAsia="宋体"/>
                      <w:lang w:eastAsia="zh-CN"/>
                    </w:rPr>
                  </w:pPr>
                  <w:r>
                    <w:rPr>
                      <w:rFonts w:hint="eastAsia"/>
                      <w:lang w:val="en-US" w:eastAsia="zh-CN"/>
                    </w:rPr>
                    <w:t>D</w:t>
                  </w:r>
                </w:p>
              </w:tc>
              <w:tc>
                <w:tcPr>
                  <w:tcW w:w="1623" w:type="pct"/>
                  <w:vAlign w:val="center"/>
                </w:tcPr>
                <w:p>
                  <w:pPr>
                    <w:pStyle w:val="31"/>
                    <w:bidi w:val="0"/>
                    <w:ind w:left="0" w:leftChars="0" w:firstLine="0" w:firstLineChars="0"/>
                    <w:rPr>
                      <w:rFonts w:ascii="Times New Roman" w:hAnsi="Times New Roman" w:eastAsia="宋体" w:cs="Times New Roman"/>
                      <w:kern w:val="2"/>
                      <w:sz w:val="21"/>
                      <w:szCs w:val="24"/>
                      <w:lang w:val="en-US" w:eastAsia="zh-CN" w:bidi="ar-SA"/>
                    </w:rPr>
                  </w:pPr>
                  <w:r>
                    <w:t>m</w:t>
                  </w:r>
                </w:p>
              </w:tc>
              <w:tc>
                <w:tcPr>
                  <w:tcW w:w="1931" w:type="pct"/>
                  <w:vAlign w:val="center"/>
                </w:tcPr>
                <w:p>
                  <w:pPr>
                    <w:pStyle w:val="31"/>
                    <w:bidi w:val="0"/>
                    <w:rPr>
                      <w:rFonts w:hint="eastAsia" w:eastAsia="宋体"/>
                      <w:lang w:eastAsia="zh-CN"/>
                    </w:rPr>
                  </w:pPr>
                  <w:r>
                    <w:rPr>
                      <w:rFonts w:hint="eastAsia"/>
                      <w:lang w:val="en-US" w:eastAsia="zh-CN"/>
                    </w:rPr>
                    <w:t>3</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1"/>
                    <w:bidi w:val="0"/>
                    <w:rPr>
                      <w:rFonts w:hint="eastAsia" w:eastAsia="宋体"/>
                      <w:lang w:eastAsia="zh-CN"/>
                    </w:rPr>
                  </w:pPr>
                  <w:r>
                    <w:rPr>
                      <w:rFonts w:hint="eastAsia"/>
                      <w:lang w:val="en-US" w:eastAsia="zh-CN"/>
                    </w:rPr>
                    <w:t>H</w:t>
                  </w:r>
                </w:p>
              </w:tc>
              <w:tc>
                <w:tcPr>
                  <w:tcW w:w="1623" w:type="pct"/>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m</w:t>
                  </w:r>
                </w:p>
              </w:tc>
              <w:tc>
                <w:tcPr>
                  <w:tcW w:w="1931" w:type="pct"/>
                  <w:vAlign w:val="center"/>
                </w:tcPr>
                <w:p>
                  <w:pPr>
                    <w:pStyle w:val="31"/>
                    <w:bidi w:val="0"/>
                    <w:rPr>
                      <w:rFonts w:hint="default" w:eastAsia="宋体"/>
                      <w:lang w:val="en-US" w:eastAsia="zh-CN"/>
                    </w:rPr>
                  </w:pPr>
                  <w:r>
                    <w:rPr>
                      <w:rFonts w:hint="eastAsia"/>
                      <w:lang w:val="en-US" w:eastAsia="zh-CN"/>
                    </w:rPr>
                    <w:t>0.5</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1"/>
                    <w:bidi w:val="0"/>
                  </w:pPr>
                  <w:r>
                    <w:rPr>
                      <w:rFonts w:hint="eastAsia"/>
                      <w:lang w:val="en-US" w:eastAsia="zh-CN"/>
                    </w:rPr>
                    <w:t>△</w:t>
                  </w:r>
                  <w:r>
                    <w:rPr>
                      <w:rFonts w:hint="default"/>
                      <w:lang w:val="en-US" w:eastAsia="zh-CN"/>
                    </w:rPr>
                    <w:t>T</w:t>
                  </w:r>
                </w:p>
              </w:tc>
              <w:tc>
                <w:tcPr>
                  <w:tcW w:w="1623" w:type="pct"/>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1931" w:type="pct"/>
                  <w:vAlign w:val="center"/>
                </w:tcPr>
                <w:p>
                  <w:pPr>
                    <w:pStyle w:val="31"/>
                    <w:bidi w:val="0"/>
                    <w:rPr>
                      <w:rFonts w:hint="eastAsia" w:eastAsia="宋体"/>
                      <w:lang w:eastAsia="zh-CN"/>
                    </w:rPr>
                  </w:pPr>
                  <w:r>
                    <w:rPr>
                      <w:rFonts w:hint="eastAsia"/>
                      <w:lang w:val="en-US" w:eastAsia="zh-CN"/>
                    </w:rPr>
                    <w:t>15</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1"/>
                    <w:bidi w:val="0"/>
                    <w:rPr>
                      <w:rFonts w:hint="eastAsia"/>
                      <w:lang w:val="en-US" w:eastAsia="zh-CN"/>
                    </w:rPr>
                  </w:pPr>
                  <w:r>
                    <w:rPr>
                      <w:rFonts w:hint="default"/>
                      <w:lang w:val="en-US" w:eastAsia="zh-CN"/>
                    </w:rPr>
                    <w:t>F</w:t>
                  </w:r>
                  <w:r>
                    <w:rPr>
                      <w:rFonts w:hint="default"/>
                      <w:vertAlign w:val="subscript"/>
                      <w:lang w:val="en-US" w:eastAsia="zh-CN"/>
                    </w:rPr>
                    <w:t>P</w:t>
                  </w:r>
                </w:p>
              </w:tc>
              <w:tc>
                <w:tcPr>
                  <w:tcW w:w="1623" w:type="pct"/>
                  <w:vAlign w:val="center"/>
                </w:tcPr>
                <w:p>
                  <w:pPr>
                    <w:pStyle w:val="31"/>
                    <w:bidi w:val="0"/>
                    <w:ind w:left="0" w:leftChars="0" w:firstLine="0" w:firstLineChars="0"/>
                    <w:rPr>
                      <w:rFonts w:hint="eastAsia" w:eastAsia="宋体"/>
                      <w:lang w:eastAsia="zh-CN"/>
                    </w:rPr>
                  </w:pPr>
                  <w:r>
                    <w:rPr>
                      <w:rFonts w:hint="eastAsia"/>
                      <w:lang w:eastAsia="zh-CN"/>
                    </w:rPr>
                    <w:t>（</w:t>
                  </w:r>
                  <w:r>
                    <w:rPr>
                      <w:rFonts w:hint="eastAsia"/>
                      <w:lang w:val="en-US" w:eastAsia="zh-CN"/>
                    </w:rPr>
                    <w:t>无量纲</w:t>
                  </w:r>
                  <w:r>
                    <w:rPr>
                      <w:rFonts w:hint="eastAsia"/>
                      <w:lang w:eastAsia="zh-CN"/>
                    </w:rPr>
                    <w:t>）</w:t>
                  </w:r>
                </w:p>
              </w:tc>
              <w:tc>
                <w:tcPr>
                  <w:tcW w:w="1931" w:type="pct"/>
                  <w:vAlign w:val="center"/>
                </w:tcPr>
                <w:p>
                  <w:pPr>
                    <w:pStyle w:val="31"/>
                    <w:bidi w:val="0"/>
                    <w:rPr>
                      <w:rFonts w:hint="default" w:eastAsia="宋体"/>
                      <w:lang w:val="en-US" w:eastAsia="zh-CN"/>
                    </w:rPr>
                  </w:pPr>
                  <w:r>
                    <w:rPr>
                      <w:rFonts w:hint="eastAsia"/>
                      <w:lang w:val="en-US" w:eastAsia="zh-CN"/>
                    </w:rPr>
                    <w:t>1.2</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1"/>
                    <w:bidi w:val="0"/>
                    <w:rPr>
                      <w:rFonts w:hint="default"/>
                      <w:lang w:val="en-US" w:eastAsia="zh-CN"/>
                    </w:rPr>
                  </w:pPr>
                  <w:r>
                    <w:rPr>
                      <w:rFonts w:hint="eastAsia"/>
                      <w:lang w:val="en-US" w:eastAsia="zh-CN"/>
                    </w:rPr>
                    <w:t>C</w:t>
                  </w:r>
                </w:p>
              </w:tc>
              <w:tc>
                <w:tcPr>
                  <w:tcW w:w="1623" w:type="pct"/>
                  <w:vAlign w:val="center"/>
                </w:tcPr>
                <w:p>
                  <w:pPr>
                    <w:pStyle w:val="31"/>
                    <w:bidi w:val="0"/>
                    <w:ind w:left="0" w:leftChars="0" w:firstLine="0" w:firstLineChars="0"/>
                    <w:rPr>
                      <w:rFonts w:hint="eastAsia"/>
                    </w:rPr>
                  </w:pPr>
                  <w:r>
                    <w:rPr>
                      <w:rFonts w:hint="eastAsia"/>
                      <w:lang w:eastAsia="zh-CN"/>
                    </w:rPr>
                    <w:t>（</w:t>
                  </w:r>
                  <w:r>
                    <w:rPr>
                      <w:rFonts w:hint="eastAsia"/>
                      <w:lang w:val="en-US" w:eastAsia="zh-CN"/>
                    </w:rPr>
                    <w:t>无量纲</w:t>
                  </w:r>
                  <w:r>
                    <w:rPr>
                      <w:rFonts w:hint="eastAsia"/>
                      <w:lang w:eastAsia="zh-CN"/>
                    </w:rPr>
                    <w:t>）</w:t>
                  </w:r>
                </w:p>
              </w:tc>
              <w:tc>
                <w:tcPr>
                  <w:tcW w:w="1931" w:type="pct"/>
                  <w:vAlign w:val="center"/>
                </w:tcPr>
                <w:p>
                  <w:pPr>
                    <w:pStyle w:val="31"/>
                    <w:bidi w:val="0"/>
                    <w:rPr>
                      <w:rFonts w:hint="default" w:eastAsia="宋体"/>
                      <w:lang w:val="en-US" w:eastAsia="zh-CN"/>
                    </w:rPr>
                  </w:pPr>
                  <w:r>
                    <w:rPr>
                      <w:rFonts w:hint="eastAsia"/>
                      <w:lang w:val="en-US" w:eastAsia="zh-CN"/>
                    </w:rPr>
                    <w:t>0.3973</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1"/>
                    <w:bidi w:val="0"/>
                    <w:rPr>
                      <w:rFonts w:hint="eastAsia"/>
                      <w:lang w:val="en-US" w:eastAsia="zh-CN"/>
                    </w:rPr>
                  </w:pPr>
                  <w:r>
                    <w:rPr>
                      <w:rFonts w:hint="default"/>
                      <w:lang w:val="en-US" w:eastAsia="zh-CN"/>
                    </w:rPr>
                    <w:t>K</w:t>
                  </w:r>
                  <w:r>
                    <w:rPr>
                      <w:rFonts w:hint="default"/>
                      <w:vertAlign w:val="subscript"/>
                      <w:lang w:val="en-US" w:eastAsia="zh-CN"/>
                    </w:rPr>
                    <w:t>C</w:t>
                  </w:r>
                </w:p>
              </w:tc>
              <w:tc>
                <w:tcPr>
                  <w:tcW w:w="1623" w:type="pct"/>
                  <w:vAlign w:val="center"/>
                </w:tcPr>
                <w:p>
                  <w:pPr>
                    <w:pStyle w:val="31"/>
                    <w:bidi w:val="0"/>
                    <w:ind w:left="0" w:leftChars="0" w:firstLine="0" w:firstLineChars="0"/>
                    <w:rPr>
                      <w:rFonts w:hint="eastAsia"/>
                    </w:rPr>
                  </w:pPr>
                  <w:r>
                    <w:rPr>
                      <w:rFonts w:hint="eastAsia"/>
                      <w:lang w:eastAsia="zh-CN"/>
                    </w:rPr>
                    <w:t>（</w:t>
                  </w:r>
                  <w:r>
                    <w:rPr>
                      <w:rFonts w:hint="eastAsia"/>
                      <w:lang w:val="en-US" w:eastAsia="zh-CN"/>
                    </w:rPr>
                    <w:t>无量纲</w:t>
                  </w:r>
                  <w:r>
                    <w:rPr>
                      <w:rFonts w:hint="eastAsia"/>
                      <w:lang w:eastAsia="zh-CN"/>
                    </w:rPr>
                    <w:t>）</w:t>
                  </w:r>
                </w:p>
              </w:tc>
              <w:tc>
                <w:tcPr>
                  <w:tcW w:w="1931" w:type="pct"/>
                  <w:vAlign w:val="center"/>
                </w:tcPr>
                <w:p>
                  <w:pPr>
                    <w:pStyle w:val="31"/>
                    <w:bidi w:val="0"/>
                    <w:rPr>
                      <w:rFonts w:hint="default" w:eastAsia="宋体"/>
                      <w:lang w:val="en-US" w:eastAsia="zh-CN"/>
                    </w:rPr>
                  </w:pPr>
                  <w:r>
                    <w:rPr>
                      <w:rFonts w:hint="eastAsia"/>
                      <w:lang w:val="en-US" w:eastAsia="zh-CN"/>
                    </w:rPr>
                    <w:t>1.0</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1"/>
                    <w:bidi w:val="0"/>
                    <w:rPr>
                      <w:rFonts w:hint="default"/>
                      <w:lang w:val="en-US" w:eastAsia="zh-CN"/>
                    </w:rPr>
                  </w:pPr>
                  <w:r>
                    <w:rPr>
                      <w:rFonts w:hint="eastAsia"/>
                      <w:lang w:val="en-US" w:eastAsia="zh-CN"/>
                    </w:rPr>
                    <w:t>单储罐小呼吸产生量</w:t>
                  </w:r>
                </w:p>
              </w:tc>
              <w:tc>
                <w:tcPr>
                  <w:tcW w:w="1623" w:type="pct"/>
                  <w:vAlign w:val="center"/>
                </w:tcPr>
                <w:p>
                  <w:pPr>
                    <w:pStyle w:val="31"/>
                    <w:bidi w:val="0"/>
                    <w:ind w:left="0" w:leftChars="0" w:firstLine="0" w:firstLineChars="0"/>
                    <w:rPr>
                      <w:rFonts w:hint="default"/>
                      <w:lang w:val="en-US" w:eastAsia="zh-CN"/>
                    </w:rPr>
                  </w:pPr>
                  <w:r>
                    <w:rPr>
                      <w:rFonts w:hint="eastAsia"/>
                      <w:lang w:val="en-US" w:eastAsia="zh-CN"/>
                    </w:rPr>
                    <w:t>kg/a</w:t>
                  </w:r>
                </w:p>
              </w:tc>
              <w:tc>
                <w:tcPr>
                  <w:tcW w:w="3246" w:type="dxa"/>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6.276</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445" w:type="pct"/>
                  <w:vAlign w:val="center"/>
                </w:tcPr>
                <w:p>
                  <w:pPr>
                    <w:pStyle w:val="31"/>
                    <w:bidi w:val="0"/>
                    <w:rPr>
                      <w:rFonts w:hint="default"/>
                      <w:lang w:val="en-US" w:eastAsia="zh-CN"/>
                    </w:rPr>
                  </w:pPr>
                  <w:r>
                    <w:rPr>
                      <w:rFonts w:hint="eastAsia"/>
                      <w:lang w:val="en-US" w:eastAsia="zh-CN"/>
                    </w:rPr>
                    <w:t>小呼吸总产生量</w:t>
                  </w:r>
                </w:p>
              </w:tc>
              <w:tc>
                <w:tcPr>
                  <w:tcW w:w="1623" w:type="pct"/>
                  <w:vAlign w:val="center"/>
                </w:tcPr>
                <w:p>
                  <w:pPr>
                    <w:pStyle w:val="31"/>
                    <w:bidi w:val="0"/>
                    <w:ind w:left="0" w:leftChars="0" w:firstLine="0" w:firstLineChars="0"/>
                    <w:rPr>
                      <w:rFonts w:hint="default"/>
                      <w:lang w:val="en-US" w:eastAsia="zh-CN"/>
                    </w:rPr>
                  </w:pPr>
                  <w:r>
                    <w:rPr>
                      <w:rFonts w:hint="eastAsia"/>
                      <w:lang w:val="en-US" w:eastAsia="zh-CN"/>
                    </w:rPr>
                    <w:t>t/a</w:t>
                  </w:r>
                </w:p>
              </w:tc>
              <w:tc>
                <w:tcPr>
                  <w:tcW w:w="3246" w:type="dxa"/>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0.0126</w:t>
                  </w:r>
                </w:p>
              </w:tc>
            </w:tr>
          </w:tbl>
          <w:p>
            <w:pPr>
              <w:pStyle w:val="8"/>
              <w:bidi w:val="0"/>
              <w:ind w:left="0" w:leftChars="0" w:firstLine="0" w:firstLineChars="0"/>
              <w:rPr>
                <w:rFonts w:hint="default"/>
                <w:lang w:val="en-US" w:eastAsia="zh-CN"/>
              </w:rPr>
            </w:pPr>
          </w:p>
          <w:p>
            <w:pPr>
              <w:pStyle w:val="8"/>
              <w:bidi w:val="0"/>
              <w:rPr>
                <w:rFonts w:hint="default" w:eastAsia="宋体"/>
                <w:lang w:val="en-US" w:eastAsia="zh-CN"/>
              </w:rPr>
            </w:pPr>
            <w:r>
              <w:rPr>
                <w:rFonts w:hint="eastAsia"/>
                <w:lang w:eastAsia="zh-CN"/>
              </w:rPr>
              <w:t>（</w:t>
            </w:r>
            <w:r>
              <w:rPr>
                <w:rFonts w:hint="eastAsia"/>
                <w:lang w:val="en-US" w:eastAsia="zh-CN"/>
              </w:rPr>
              <w:t>2</w:t>
            </w:r>
            <w:r>
              <w:rPr>
                <w:rFonts w:hint="eastAsia"/>
                <w:lang w:eastAsia="zh-CN"/>
              </w:rPr>
              <w:t>）</w:t>
            </w:r>
            <w:r>
              <w:rPr>
                <w:rFonts w:hint="eastAsia"/>
                <w:lang w:val="en-US" w:eastAsia="zh-CN"/>
              </w:rPr>
              <w:t>大呼吸废气</w:t>
            </w:r>
          </w:p>
          <w:p>
            <w:pPr>
              <w:pStyle w:val="8"/>
              <w:bidi w:val="0"/>
              <w:rPr>
                <w:rFonts w:hint="default"/>
                <w:lang w:val="en-US" w:eastAsia="zh-CN"/>
              </w:rPr>
            </w:pPr>
            <w:r>
              <w:rPr>
                <w:rFonts w:hint="eastAsia"/>
                <w:lang w:val="en-US" w:eastAsia="zh-CN"/>
              </w:rPr>
              <w:t>“</w:t>
            </w:r>
            <w:r>
              <w:rPr>
                <w:rFonts w:hint="default"/>
                <w:lang w:val="en-US" w:eastAsia="zh-CN"/>
              </w:rPr>
              <w:t>大呼吸</w:t>
            </w:r>
            <w:r>
              <w:rPr>
                <w:rFonts w:hint="eastAsia"/>
                <w:lang w:val="en-US" w:eastAsia="zh-CN"/>
              </w:rPr>
              <w:t>”</w:t>
            </w:r>
            <w:r>
              <w:rPr>
                <w:rFonts w:hint="default"/>
                <w:lang w:val="en-US" w:eastAsia="zh-CN"/>
              </w:rPr>
              <w:t>损耗</w:t>
            </w:r>
            <w:r>
              <w:rPr>
                <w:rFonts w:hint="eastAsia"/>
                <w:lang w:val="en-US" w:eastAsia="zh-CN"/>
              </w:rPr>
              <w:t>（</w:t>
            </w:r>
            <w:r>
              <w:rPr>
                <w:rFonts w:hint="default"/>
                <w:lang w:val="en-US" w:eastAsia="zh-CN"/>
              </w:rPr>
              <w:t>工作损耗</w:t>
            </w:r>
            <w:r>
              <w:rPr>
                <w:rFonts w:hint="eastAsia"/>
                <w:lang w:val="en-US" w:eastAsia="zh-CN"/>
              </w:rPr>
              <w:t>）</w:t>
            </w:r>
            <w:r>
              <w:rPr>
                <w:rFonts w:hint="default"/>
                <w:lang w:val="en-US" w:eastAsia="zh-CN"/>
              </w:rPr>
              <w:t>：物料进罐时，会有一定量的气体排出而损耗，损耗根据流体密度、温度、压力、流速等操作参数不同而不同，各种物质的损耗系数亦不同。当储罐进行原料作业时，液面不断升高，气体空间不断缩小，液气混合物被压缩而使压力不断升高，这种蒸发损耗称为</w:t>
            </w:r>
            <w:r>
              <w:rPr>
                <w:rFonts w:hint="eastAsia"/>
                <w:lang w:val="en-US" w:eastAsia="zh-CN"/>
              </w:rPr>
              <w:t>“</w:t>
            </w:r>
            <w:r>
              <w:rPr>
                <w:rFonts w:hint="default"/>
                <w:lang w:val="en-US" w:eastAsia="zh-CN"/>
              </w:rPr>
              <w:t>大呼吸</w:t>
            </w:r>
            <w:r>
              <w:rPr>
                <w:rFonts w:hint="eastAsia"/>
                <w:lang w:val="en-US" w:eastAsia="zh-CN"/>
              </w:rPr>
              <w:t>”</w:t>
            </w:r>
            <w:r>
              <w:rPr>
                <w:rFonts w:hint="default"/>
                <w:lang w:val="en-US" w:eastAsia="zh-CN"/>
              </w:rPr>
              <w:t>。当储罐进行排液作业时，液面下降，罐内气体空间压强下降。当压力下降到真空阀的规定值时，真空阀打开，罐外空气被吸入，罐内液体蒸汽浓度大大降低，从而促使液面蒸发。当排液停止时，随着蒸发的进行，罐内压力又逐渐升高，不久又出现气体混合物呼出的现象，称为</w:t>
            </w:r>
            <w:r>
              <w:rPr>
                <w:rFonts w:hint="eastAsia"/>
                <w:lang w:val="en-US" w:eastAsia="zh-CN"/>
              </w:rPr>
              <w:t>“</w:t>
            </w:r>
            <w:r>
              <w:rPr>
                <w:rFonts w:hint="default"/>
                <w:lang w:val="en-US" w:eastAsia="zh-CN"/>
              </w:rPr>
              <w:t>回逆苛刻</w:t>
            </w:r>
            <w:r>
              <w:rPr>
                <w:rFonts w:hint="eastAsia"/>
                <w:lang w:val="en-US" w:eastAsia="zh-CN"/>
              </w:rPr>
              <w:t>”</w:t>
            </w:r>
            <w:r>
              <w:rPr>
                <w:rFonts w:hint="default"/>
                <w:lang w:val="en-US" w:eastAsia="zh-CN"/>
              </w:rPr>
              <w:t>，也就是</w:t>
            </w:r>
            <w:r>
              <w:rPr>
                <w:rFonts w:hint="eastAsia"/>
                <w:lang w:val="en-US" w:eastAsia="zh-CN"/>
              </w:rPr>
              <w:t>“</w:t>
            </w:r>
            <w:r>
              <w:rPr>
                <w:rFonts w:hint="default"/>
                <w:lang w:val="en-US" w:eastAsia="zh-CN"/>
              </w:rPr>
              <w:t>大呼吸</w:t>
            </w:r>
            <w:r>
              <w:rPr>
                <w:rFonts w:hint="eastAsia"/>
                <w:lang w:val="en-US" w:eastAsia="zh-CN"/>
              </w:rPr>
              <w:t>”</w:t>
            </w:r>
            <w:r>
              <w:rPr>
                <w:rFonts w:hint="default"/>
                <w:lang w:val="en-US" w:eastAsia="zh-CN"/>
              </w:rPr>
              <w:t>损耗的一部分。</w:t>
            </w:r>
          </w:p>
          <w:p>
            <w:pPr>
              <w:pStyle w:val="8"/>
              <w:bidi w:val="0"/>
              <w:rPr>
                <w:rFonts w:hint="eastAsia"/>
                <w:lang w:val="en-US" w:eastAsia="zh-CN"/>
              </w:rPr>
            </w:pPr>
            <w:r>
              <w:rPr>
                <w:rFonts w:hint="eastAsia"/>
                <w:lang w:val="en-US" w:eastAsia="zh-CN"/>
              </w:rPr>
              <w:t>固定顶罐大呼吸废气计算公式如下：</w:t>
            </w:r>
          </w:p>
          <w:p>
            <w:pPr>
              <w:pStyle w:val="8"/>
              <w:bidi w:val="0"/>
              <w:jc w:val="center"/>
              <w:rPr>
                <w:rFonts w:hint="default"/>
                <w:lang w:val="en-US" w:eastAsia="zh-CN"/>
              </w:rPr>
            </w:pPr>
            <w:r>
              <w:rPr>
                <w:rFonts w:hint="default"/>
                <w:lang w:val="en-US" w:eastAsia="zh-CN"/>
              </w:rPr>
              <w:t>L</w:t>
            </w:r>
            <w:r>
              <w:rPr>
                <w:rFonts w:hint="default"/>
                <w:vertAlign w:val="subscript"/>
                <w:lang w:val="en-US" w:eastAsia="zh-CN"/>
              </w:rPr>
              <w:t>w</w:t>
            </w:r>
            <w:r>
              <w:rPr>
                <w:rFonts w:hint="default"/>
                <w:lang w:val="en-US" w:eastAsia="zh-CN"/>
              </w:rPr>
              <w:t>=4.188×10</w:t>
            </w:r>
            <w:r>
              <w:rPr>
                <w:rFonts w:hint="default"/>
                <w:vertAlign w:val="superscript"/>
                <w:lang w:val="en-US" w:eastAsia="zh-CN"/>
              </w:rPr>
              <w:t>-7</w:t>
            </w:r>
            <w:r>
              <w:rPr>
                <w:rFonts w:hint="default"/>
                <w:lang w:val="en-US" w:eastAsia="zh-CN"/>
              </w:rPr>
              <w:t>×M×P×K</w:t>
            </w:r>
            <w:r>
              <w:rPr>
                <w:rFonts w:hint="default"/>
                <w:vertAlign w:val="subscript"/>
                <w:lang w:val="en-US" w:eastAsia="zh-CN"/>
              </w:rPr>
              <w:t>N</w:t>
            </w:r>
            <w:r>
              <w:rPr>
                <w:rFonts w:hint="default"/>
                <w:lang w:val="en-US" w:eastAsia="zh-CN"/>
              </w:rPr>
              <w:t>×K</w:t>
            </w:r>
            <w:r>
              <w:rPr>
                <w:rFonts w:hint="default"/>
                <w:vertAlign w:val="subscript"/>
                <w:lang w:val="en-US" w:eastAsia="zh-CN"/>
              </w:rPr>
              <w:t>c</w:t>
            </w:r>
          </w:p>
          <w:p>
            <w:pPr>
              <w:pStyle w:val="8"/>
              <w:bidi w:val="0"/>
              <w:ind w:firstLine="0" w:firstLineChars="0"/>
              <w:rPr>
                <w:rFonts w:hint="default"/>
                <w:lang w:val="en-US" w:eastAsia="zh-CN"/>
              </w:rPr>
            </w:pPr>
            <w:r>
              <w:rPr>
                <w:rFonts w:hint="default"/>
                <w:lang w:val="en-US" w:eastAsia="zh-CN"/>
              </w:rPr>
              <w:t>式中：Lw——固定顶罐的工作损失</w:t>
            </w:r>
            <w:r>
              <w:rPr>
                <w:rFonts w:hint="eastAsia"/>
                <w:lang w:val="en-US" w:eastAsia="zh-CN"/>
              </w:rPr>
              <w:t>（</w:t>
            </w:r>
            <w:r>
              <w:rPr>
                <w:rFonts w:hint="default"/>
                <w:lang w:val="en-US" w:eastAsia="zh-CN"/>
              </w:rPr>
              <w:t>kg/</w:t>
            </w:r>
            <w:r>
              <w:rPr>
                <w:rFonts w:hint="eastAsia"/>
                <w:lang w:val="en-US" w:eastAsia="zh-CN"/>
              </w:rPr>
              <w:t>m³</w:t>
            </w:r>
            <w:r>
              <w:rPr>
                <w:rFonts w:hint="default"/>
                <w:lang w:val="en-US" w:eastAsia="zh-CN"/>
              </w:rPr>
              <w:t>投入量</w:t>
            </w:r>
            <w:r>
              <w:rPr>
                <w:rFonts w:hint="eastAsia"/>
                <w:lang w:val="en-US" w:eastAsia="zh-CN"/>
              </w:rPr>
              <w:t>）</w:t>
            </w:r>
          </w:p>
          <w:p>
            <w:pPr>
              <w:pStyle w:val="8"/>
              <w:bidi w:val="0"/>
              <w:rPr>
                <w:rFonts w:hint="default"/>
                <w:lang w:val="en-US" w:eastAsia="zh-CN"/>
              </w:rPr>
            </w:pPr>
            <w:r>
              <w:rPr>
                <w:rFonts w:hint="default"/>
                <w:lang w:val="en-US" w:eastAsia="zh-CN"/>
              </w:rPr>
              <w:t>K</w:t>
            </w:r>
            <w:r>
              <w:rPr>
                <w:rFonts w:hint="default"/>
                <w:vertAlign w:val="subscript"/>
                <w:lang w:val="en-US" w:eastAsia="zh-CN"/>
              </w:rPr>
              <w:t>N</w:t>
            </w:r>
            <w:r>
              <w:rPr>
                <w:rFonts w:hint="default"/>
                <w:lang w:val="en-US" w:eastAsia="zh-CN"/>
              </w:rPr>
              <w:t>——周转因子</w:t>
            </w:r>
            <w:r>
              <w:rPr>
                <w:rFonts w:hint="eastAsia"/>
                <w:lang w:val="en-US" w:eastAsia="zh-CN"/>
              </w:rPr>
              <w:t>（</w:t>
            </w:r>
            <w:r>
              <w:rPr>
                <w:rFonts w:hint="default"/>
                <w:lang w:val="en-US" w:eastAsia="zh-CN"/>
              </w:rPr>
              <w:t>无量纲</w:t>
            </w:r>
            <w:r>
              <w:rPr>
                <w:rFonts w:hint="eastAsia"/>
                <w:lang w:val="en-US" w:eastAsia="zh-CN"/>
              </w:rPr>
              <w:t>）</w:t>
            </w:r>
            <w:r>
              <w:rPr>
                <w:rFonts w:hint="default"/>
                <w:lang w:val="en-US" w:eastAsia="zh-CN"/>
              </w:rPr>
              <w:t>，取值按次数</w:t>
            </w:r>
            <w:r>
              <w:rPr>
                <w:rFonts w:hint="eastAsia"/>
                <w:lang w:val="en-US" w:eastAsia="zh-CN"/>
              </w:rPr>
              <w:t>（</w:t>
            </w:r>
            <w:r>
              <w:rPr>
                <w:rFonts w:hint="default"/>
                <w:lang w:val="en-US" w:eastAsia="zh-CN"/>
              </w:rPr>
              <w:t>K</w:t>
            </w:r>
            <w:r>
              <w:rPr>
                <w:rFonts w:hint="eastAsia"/>
                <w:lang w:val="en-US" w:eastAsia="zh-CN"/>
              </w:rPr>
              <w:t>）</w:t>
            </w:r>
            <w:r>
              <w:rPr>
                <w:rFonts w:hint="default"/>
                <w:lang w:val="en-US" w:eastAsia="zh-CN"/>
              </w:rPr>
              <w:t>确定。K≤36，K</w:t>
            </w:r>
            <w:r>
              <w:rPr>
                <w:rFonts w:hint="default"/>
                <w:vertAlign w:val="subscript"/>
                <w:lang w:val="en-US" w:eastAsia="zh-CN"/>
              </w:rPr>
              <w:t>N</w:t>
            </w:r>
            <w:r>
              <w:rPr>
                <w:rFonts w:hint="default"/>
                <w:lang w:val="en-US" w:eastAsia="zh-CN"/>
              </w:rPr>
              <w:t>=1；36&lt;K≤220，K</w:t>
            </w:r>
            <w:r>
              <w:rPr>
                <w:rFonts w:hint="default"/>
                <w:vertAlign w:val="subscript"/>
                <w:lang w:val="en-US" w:eastAsia="zh-CN"/>
              </w:rPr>
              <w:t>N</w:t>
            </w:r>
            <w:r>
              <w:rPr>
                <w:rFonts w:hint="default"/>
                <w:lang w:val="en-US" w:eastAsia="zh-CN"/>
              </w:rPr>
              <w:t>=11.467×K</w:t>
            </w:r>
            <w:r>
              <w:rPr>
                <w:rFonts w:hint="eastAsia"/>
                <w:vertAlign w:val="superscript"/>
                <w:lang w:val="en-US" w:eastAsia="zh-CN"/>
              </w:rPr>
              <w:t>-</w:t>
            </w:r>
            <w:r>
              <w:rPr>
                <w:rFonts w:hint="default"/>
                <w:vertAlign w:val="superscript"/>
                <w:lang w:val="en-US" w:eastAsia="zh-CN"/>
              </w:rPr>
              <w:t>0.7026</w:t>
            </w:r>
            <w:r>
              <w:rPr>
                <w:rFonts w:hint="default"/>
                <w:lang w:val="en-US" w:eastAsia="zh-CN"/>
              </w:rPr>
              <w:t>；K&gt;220，K</w:t>
            </w:r>
            <w:r>
              <w:rPr>
                <w:rFonts w:hint="default"/>
                <w:vertAlign w:val="subscript"/>
                <w:lang w:val="en-US" w:eastAsia="zh-CN"/>
              </w:rPr>
              <w:t>N</w:t>
            </w:r>
            <w:r>
              <w:rPr>
                <w:rFonts w:hint="default"/>
                <w:lang w:val="en-US" w:eastAsia="zh-CN"/>
              </w:rPr>
              <w:t>=0.26。本项目</w:t>
            </w:r>
            <w:r>
              <w:rPr>
                <w:rFonts w:hint="eastAsia"/>
                <w:lang w:val="en-US" w:eastAsia="zh-CN"/>
              </w:rPr>
              <w:t>储油罐最大储量为57m³（49t），年收集贮存转运8000t废机油，</w:t>
            </w:r>
            <w:r>
              <w:rPr>
                <w:rFonts w:hint="default"/>
                <w:lang w:val="en-US" w:eastAsia="zh-CN"/>
              </w:rPr>
              <w:t>周转次数为</w:t>
            </w:r>
            <w:r>
              <w:rPr>
                <w:rFonts w:hint="eastAsia"/>
                <w:lang w:val="en-US" w:eastAsia="zh-CN"/>
              </w:rPr>
              <w:t>164</w:t>
            </w:r>
            <w:r>
              <w:rPr>
                <w:rFonts w:hint="default"/>
                <w:lang w:val="en-US" w:eastAsia="zh-CN"/>
              </w:rPr>
              <w:t>次，计算得K</w:t>
            </w:r>
            <w:r>
              <w:rPr>
                <w:rFonts w:hint="default"/>
                <w:vertAlign w:val="subscript"/>
                <w:lang w:val="en-US" w:eastAsia="zh-CN"/>
              </w:rPr>
              <w:t>N</w:t>
            </w:r>
            <w:r>
              <w:rPr>
                <w:rFonts w:hint="default"/>
                <w:lang w:val="en-US" w:eastAsia="zh-CN"/>
              </w:rPr>
              <w:t>=0.</w:t>
            </w:r>
            <w:r>
              <w:rPr>
                <w:rFonts w:hint="eastAsia"/>
                <w:lang w:val="en-US" w:eastAsia="zh-CN"/>
              </w:rPr>
              <w:t>3186</w:t>
            </w:r>
          </w:p>
          <w:p>
            <w:pPr>
              <w:pStyle w:val="8"/>
              <w:bidi w:val="0"/>
              <w:rPr>
                <w:rFonts w:hint="default"/>
                <w:lang w:val="en-US" w:eastAsia="zh-CN"/>
              </w:rPr>
            </w:pPr>
            <w:r>
              <w:rPr>
                <w:rFonts w:hint="default"/>
                <w:lang w:val="en-US" w:eastAsia="zh-CN"/>
              </w:rPr>
              <w:t>P——在大量液体状态下，真实蒸气压，Pa</w:t>
            </w:r>
            <w:r>
              <w:rPr>
                <w:rFonts w:hint="eastAsia"/>
                <w:lang w:val="en-US" w:eastAsia="zh-CN"/>
              </w:rPr>
              <w:t>；</w:t>
            </w:r>
          </w:p>
          <w:p>
            <w:pPr>
              <w:pStyle w:val="8"/>
              <w:bidi w:val="0"/>
              <w:rPr>
                <w:rFonts w:hint="eastAsia"/>
                <w:lang w:val="en-US" w:eastAsia="zh-CN"/>
              </w:rPr>
            </w:pPr>
            <w:r>
              <w:rPr>
                <w:rFonts w:hint="default"/>
                <w:lang w:val="en-US" w:eastAsia="zh-CN"/>
              </w:rPr>
              <w:t>M——储罐内蒸气的分子量</w:t>
            </w:r>
            <w:r>
              <w:rPr>
                <w:rFonts w:hint="eastAsia"/>
                <w:lang w:val="en-US" w:eastAsia="zh-CN"/>
              </w:rPr>
              <w:t>。</w:t>
            </w:r>
          </w:p>
          <w:p>
            <w:pPr>
              <w:pStyle w:val="8"/>
              <w:bidi w:val="0"/>
              <w:rPr>
                <w:rFonts w:hint="eastAsia"/>
                <w:lang w:val="en-US" w:eastAsia="zh-CN"/>
              </w:rPr>
            </w:pPr>
          </w:p>
          <w:p>
            <w:pPr>
              <w:pStyle w:val="8"/>
              <w:bidi w:val="0"/>
              <w:rPr>
                <w:rFonts w:hint="eastAsia"/>
                <w:lang w:val="en-US" w:eastAsia="zh-CN"/>
              </w:rPr>
            </w:pPr>
          </w:p>
          <w:p>
            <w:pPr>
              <w:pStyle w:val="8"/>
              <w:bidi w:val="0"/>
              <w:rPr>
                <w:rFonts w:hint="eastAsia"/>
                <w:lang w:val="en-US" w:eastAsia="zh-CN"/>
              </w:rPr>
            </w:pPr>
          </w:p>
          <w:p>
            <w:pPr>
              <w:pStyle w:val="30"/>
              <w:bidi w:val="0"/>
              <w:spacing w:line="240" w:lineRule="auto"/>
              <w:rPr>
                <w:rFonts w:hint="eastAsia"/>
                <w:lang w:val="en-US" w:eastAsia="zh-CN"/>
              </w:rPr>
            </w:pPr>
            <w:r>
              <w:rPr>
                <w:rFonts w:hint="eastAsia"/>
                <w:lang w:val="en-US" w:eastAsia="zh-CN"/>
              </w:rPr>
              <w:t>储罐大呼吸源强计算参数</w:t>
            </w:r>
          </w:p>
          <w:tbl>
            <w:tblPr>
              <w:tblStyle w:val="24"/>
              <w:tblW w:w="4998" w:type="pct"/>
              <w:jc w:val="center"/>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3029"/>
              <w:gridCol w:w="2473"/>
              <w:gridCol w:w="3464"/>
            </w:tblGrid>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15" w:hRule="exact"/>
                <w:jc w:val="center"/>
              </w:trPr>
              <w:tc>
                <w:tcPr>
                  <w:tcW w:w="1689" w:type="pct"/>
                  <w:vAlign w:val="center"/>
                </w:tcPr>
                <w:p>
                  <w:pPr>
                    <w:pStyle w:val="31"/>
                    <w:bidi w:val="0"/>
                    <w:rPr>
                      <w:rFonts w:hint="eastAsia" w:eastAsia="宋体"/>
                      <w:lang w:eastAsia="zh-CN"/>
                    </w:rPr>
                  </w:pPr>
                  <w:r>
                    <w:rPr>
                      <w:rFonts w:hint="eastAsia"/>
                      <w:lang w:val="en-US" w:eastAsia="zh-CN"/>
                    </w:rPr>
                    <w:t>参数</w:t>
                  </w:r>
                </w:p>
              </w:tc>
              <w:tc>
                <w:tcPr>
                  <w:tcW w:w="1379" w:type="pct"/>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rPr>
                    <w:t>单位</w:t>
                  </w:r>
                </w:p>
              </w:tc>
              <w:tc>
                <w:tcPr>
                  <w:tcW w:w="1931" w:type="pct"/>
                  <w:vAlign w:val="center"/>
                </w:tcPr>
                <w:p>
                  <w:pPr>
                    <w:pStyle w:val="31"/>
                    <w:bidi w:val="0"/>
                    <w:rPr>
                      <w:rFonts w:hint="default" w:eastAsia="宋体"/>
                      <w:lang w:val="en-US" w:eastAsia="zh-CN"/>
                    </w:rPr>
                  </w:pPr>
                  <w:r>
                    <w:rPr>
                      <w:rFonts w:hint="eastAsia"/>
                      <w:lang w:val="en-US" w:eastAsia="zh-CN"/>
                    </w:rPr>
                    <w:t>取值</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1"/>
                    <w:bidi w:val="0"/>
                    <w:rPr>
                      <w:rFonts w:hint="eastAsia" w:eastAsia="宋体"/>
                      <w:lang w:eastAsia="zh-CN"/>
                    </w:rPr>
                  </w:pPr>
                  <w:r>
                    <w:rPr>
                      <w:rFonts w:hint="eastAsia"/>
                      <w:lang w:val="en-US" w:eastAsia="zh-CN"/>
                    </w:rPr>
                    <w:t>M</w:t>
                  </w:r>
                </w:p>
              </w:tc>
              <w:tc>
                <w:tcPr>
                  <w:tcW w:w="1379" w:type="pct"/>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g/mol</w:t>
                  </w:r>
                </w:p>
              </w:tc>
              <w:tc>
                <w:tcPr>
                  <w:tcW w:w="1931" w:type="pct"/>
                  <w:vAlign w:val="center"/>
                </w:tcPr>
                <w:p>
                  <w:pPr>
                    <w:pStyle w:val="31"/>
                    <w:bidi w:val="0"/>
                  </w:pPr>
                  <w:r>
                    <w:rPr>
                      <w:rFonts w:hint="eastAsia"/>
                      <w:lang w:val="en-US" w:eastAsia="zh-CN"/>
                    </w:rPr>
                    <w:t>4</w:t>
                  </w:r>
                  <w:r>
                    <w:t>00</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1"/>
                    <w:bidi w:val="0"/>
                    <w:rPr>
                      <w:rFonts w:hint="eastAsia" w:eastAsia="宋体"/>
                      <w:lang w:eastAsia="zh-CN"/>
                    </w:rPr>
                  </w:pPr>
                  <w:r>
                    <w:rPr>
                      <w:rFonts w:hint="eastAsia"/>
                      <w:lang w:val="en-US" w:eastAsia="zh-CN"/>
                    </w:rPr>
                    <w:t>P</w:t>
                  </w:r>
                </w:p>
              </w:tc>
              <w:tc>
                <w:tcPr>
                  <w:tcW w:w="1379" w:type="pct"/>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Pa</w:t>
                  </w:r>
                </w:p>
              </w:tc>
              <w:tc>
                <w:tcPr>
                  <w:tcW w:w="1931" w:type="pct"/>
                  <w:vAlign w:val="center"/>
                </w:tcPr>
                <w:p>
                  <w:pPr>
                    <w:pStyle w:val="31"/>
                    <w:bidi w:val="0"/>
                  </w:pPr>
                  <w:r>
                    <w:rPr>
                      <w:rFonts w:hint="eastAsia"/>
                      <w:lang w:val="en-US" w:eastAsia="zh-CN"/>
                    </w:rPr>
                    <w:t>1</w:t>
                  </w:r>
                  <w:r>
                    <w:t>30</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1"/>
                    <w:bidi w:val="0"/>
                    <w:rPr>
                      <w:rFonts w:hint="default" w:eastAsia="宋体"/>
                      <w:lang w:val="en-US" w:eastAsia="zh-CN"/>
                    </w:rPr>
                  </w:pPr>
                  <w:r>
                    <w:rPr>
                      <w:rFonts w:hint="eastAsia"/>
                      <w:lang w:val="en-US" w:eastAsia="zh-CN"/>
                    </w:rPr>
                    <w:t>K</w:t>
                  </w:r>
                  <w:r>
                    <w:rPr>
                      <w:rFonts w:hint="eastAsia"/>
                      <w:vertAlign w:val="subscript"/>
                      <w:lang w:val="en-US" w:eastAsia="zh-CN"/>
                    </w:rPr>
                    <w:t>N</w:t>
                  </w:r>
                </w:p>
              </w:tc>
              <w:tc>
                <w:tcPr>
                  <w:tcW w:w="1379" w:type="pct"/>
                  <w:vAlign w:val="center"/>
                </w:tcPr>
                <w:p>
                  <w:pPr>
                    <w:pStyle w:val="31"/>
                    <w:bidi w:val="0"/>
                    <w:ind w:left="0" w:leftChars="0" w:firstLine="0" w:firstLineChars="0"/>
                    <w:rPr>
                      <w:rFonts w:ascii="Times New Roman" w:hAnsi="Times New Roman" w:eastAsia="宋体" w:cs="Times New Roman"/>
                      <w:kern w:val="2"/>
                      <w:sz w:val="21"/>
                      <w:szCs w:val="24"/>
                      <w:lang w:val="en-US" w:eastAsia="zh-CN" w:bidi="ar-SA"/>
                    </w:rPr>
                  </w:pPr>
                  <w:r>
                    <w:rPr>
                      <w:rFonts w:hint="eastAsia"/>
                      <w:lang w:eastAsia="zh-CN"/>
                    </w:rPr>
                    <w:t>（</w:t>
                  </w:r>
                  <w:r>
                    <w:rPr>
                      <w:rFonts w:hint="eastAsia"/>
                      <w:lang w:val="en-US" w:eastAsia="zh-CN"/>
                    </w:rPr>
                    <w:t>无量纲</w:t>
                  </w:r>
                  <w:r>
                    <w:rPr>
                      <w:rFonts w:hint="eastAsia"/>
                      <w:lang w:eastAsia="zh-CN"/>
                    </w:rPr>
                    <w:t>）</w:t>
                  </w:r>
                </w:p>
              </w:tc>
              <w:tc>
                <w:tcPr>
                  <w:tcW w:w="1931" w:type="pct"/>
                  <w:vAlign w:val="center"/>
                </w:tcPr>
                <w:p>
                  <w:pPr>
                    <w:pStyle w:val="31"/>
                    <w:bidi w:val="0"/>
                    <w:rPr>
                      <w:rFonts w:hint="default" w:eastAsia="宋体"/>
                      <w:lang w:val="en-US" w:eastAsia="zh-CN"/>
                    </w:rPr>
                  </w:pPr>
                  <w:r>
                    <w:rPr>
                      <w:rFonts w:hint="eastAsia"/>
                      <w:lang w:val="en-US" w:eastAsia="zh-CN"/>
                    </w:rPr>
                    <w:t>0.3186</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1"/>
                    <w:bidi w:val="0"/>
                    <w:rPr>
                      <w:rFonts w:hint="eastAsia"/>
                      <w:lang w:val="en-US" w:eastAsia="zh-CN"/>
                    </w:rPr>
                  </w:pPr>
                  <w:r>
                    <w:rPr>
                      <w:rFonts w:hint="default"/>
                      <w:lang w:val="en-US" w:eastAsia="zh-CN"/>
                    </w:rPr>
                    <w:t>K</w:t>
                  </w:r>
                  <w:r>
                    <w:rPr>
                      <w:rFonts w:hint="default"/>
                      <w:vertAlign w:val="subscript"/>
                      <w:lang w:val="en-US" w:eastAsia="zh-CN"/>
                    </w:rPr>
                    <w:t>C</w:t>
                  </w:r>
                </w:p>
              </w:tc>
              <w:tc>
                <w:tcPr>
                  <w:tcW w:w="1379" w:type="pct"/>
                  <w:vAlign w:val="center"/>
                </w:tcPr>
                <w:p>
                  <w:pPr>
                    <w:pStyle w:val="31"/>
                    <w:bidi w:val="0"/>
                    <w:ind w:left="0" w:leftChars="0" w:firstLine="0" w:firstLineChars="0"/>
                    <w:rPr>
                      <w:rFonts w:hint="eastAsia"/>
                    </w:rPr>
                  </w:pPr>
                  <w:r>
                    <w:rPr>
                      <w:rFonts w:hint="eastAsia"/>
                      <w:lang w:eastAsia="zh-CN"/>
                    </w:rPr>
                    <w:t>（</w:t>
                  </w:r>
                  <w:r>
                    <w:rPr>
                      <w:rFonts w:hint="eastAsia"/>
                      <w:lang w:val="en-US" w:eastAsia="zh-CN"/>
                    </w:rPr>
                    <w:t>无量纲</w:t>
                  </w:r>
                  <w:r>
                    <w:rPr>
                      <w:rFonts w:hint="eastAsia"/>
                      <w:lang w:eastAsia="zh-CN"/>
                    </w:rPr>
                    <w:t>）</w:t>
                  </w:r>
                </w:p>
              </w:tc>
              <w:tc>
                <w:tcPr>
                  <w:tcW w:w="1931" w:type="pct"/>
                  <w:vAlign w:val="center"/>
                </w:tcPr>
                <w:p>
                  <w:pPr>
                    <w:pStyle w:val="31"/>
                    <w:bidi w:val="0"/>
                    <w:rPr>
                      <w:rFonts w:hint="default" w:eastAsia="宋体"/>
                      <w:lang w:val="en-US" w:eastAsia="zh-CN"/>
                    </w:rPr>
                  </w:pPr>
                  <w:r>
                    <w:rPr>
                      <w:rFonts w:hint="eastAsia"/>
                      <w:lang w:val="en-US" w:eastAsia="zh-CN"/>
                    </w:rPr>
                    <w:t>1.0</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1"/>
                    <w:bidi w:val="0"/>
                    <w:rPr>
                      <w:rFonts w:hint="default"/>
                      <w:lang w:val="en-US" w:eastAsia="zh-CN"/>
                    </w:rPr>
                  </w:pPr>
                  <w:r>
                    <w:rPr>
                      <w:rFonts w:hint="eastAsia"/>
                      <w:lang w:val="en-US" w:eastAsia="zh-CN"/>
                    </w:rPr>
                    <w:t>大呼吸投入量L</w:t>
                  </w:r>
                  <w:r>
                    <w:rPr>
                      <w:rFonts w:hint="eastAsia"/>
                      <w:vertAlign w:val="subscript"/>
                      <w:lang w:val="en-US" w:eastAsia="zh-CN"/>
                    </w:rPr>
                    <w:t>W</w:t>
                  </w:r>
                </w:p>
              </w:tc>
              <w:tc>
                <w:tcPr>
                  <w:tcW w:w="1379" w:type="pct"/>
                  <w:vAlign w:val="center"/>
                </w:tcPr>
                <w:p>
                  <w:pPr>
                    <w:pStyle w:val="31"/>
                    <w:bidi w:val="0"/>
                    <w:ind w:left="0" w:leftChars="0" w:firstLine="0" w:firstLineChars="0"/>
                    <w:rPr>
                      <w:rFonts w:hint="default"/>
                      <w:lang w:val="en-US" w:eastAsia="zh-CN"/>
                    </w:rPr>
                  </w:pPr>
                  <w:r>
                    <w:rPr>
                      <w:rFonts w:hint="eastAsia"/>
                      <w:lang w:val="en-US" w:eastAsia="zh-CN"/>
                    </w:rPr>
                    <w:t>kg/m³</w:t>
                  </w:r>
                </w:p>
              </w:tc>
              <w:tc>
                <w:tcPr>
                  <w:tcW w:w="1931" w:type="pct"/>
                  <w:vAlign w:val="center"/>
                </w:tcPr>
                <w:p>
                  <w:pPr>
                    <w:pStyle w:val="31"/>
                    <w:bidi w:val="0"/>
                    <w:rPr>
                      <w:rFonts w:hint="default"/>
                      <w:lang w:val="en-US" w:eastAsia="zh-CN"/>
                    </w:rPr>
                  </w:pPr>
                  <w:r>
                    <w:rPr>
                      <w:rFonts w:hint="eastAsia"/>
                      <w:lang w:val="en-US" w:eastAsia="zh-CN"/>
                    </w:rPr>
                    <w:t>0.0069</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1"/>
                    <w:bidi w:val="0"/>
                    <w:rPr>
                      <w:rFonts w:hint="default"/>
                      <w:lang w:val="en-US" w:eastAsia="zh-CN"/>
                    </w:rPr>
                  </w:pPr>
                  <w:r>
                    <w:rPr>
                      <w:rFonts w:hint="eastAsia"/>
                      <w:lang w:val="en-US" w:eastAsia="zh-CN"/>
                    </w:rPr>
                    <w:t>储油密度</w:t>
                  </w:r>
                </w:p>
              </w:tc>
              <w:tc>
                <w:tcPr>
                  <w:tcW w:w="1379" w:type="pct"/>
                  <w:vAlign w:val="center"/>
                </w:tcPr>
                <w:p>
                  <w:pPr>
                    <w:pStyle w:val="31"/>
                    <w:bidi w:val="0"/>
                    <w:ind w:left="0" w:leftChars="0" w:firstLine="0" w:firstLineChars="0"/>
                    <w:rPr>
                      <w:rFonts w:hint="default"/>
                      <w:lang w:val="en-US" w:eastAsia="zh-CN"/>
                    </w:rPr>
                  </w:pPr>
                  <w:r>
                    <w:rPr>
                      <w:rFonts w:hint="eastAsia"/>
                      <w:lang w:val="en-US" w:eastAsia="zh-CN"/>
                    </w:rPr>
                    <w:t>kg/m³</w:t>
                  </w:r>
                </w:p>
              </w:tc>
              <w:tc>
                <w:tcPr>
                  <w:tcW w:w="1931" w:type="pct"/>
                  <w:vAlign w:val="center"/>
                </w:tcPr>
                <w:p>
                  <w:pPr>
                    <w:pStyle w:val="31"/>
                    <w:bidi w:val="0"/>
                    <w:rPr>
                      <w:rFonts w:hint="default"/>
                      <w:lang w:val="en-US" w:eastAsia="zh-CN"/>
                    </w:rPr>
                  </w:pPr>
                  <w:r>
                    <w:rPr>
                      <w:rFonts w:hint="eastAsia"/>
                      <w:lang w:val="en-US" w:eastAsia="zh-CN"/>
                    </w:rPr>
                    <w:t>0.86</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1"/>
                    <w:bidi w:val="0"/>
                    <w:rPr>
                      <w:rFonts w:hint="default"/>
                      <w:lang w:val="en-US" w:eastAsia="zh-CN"/>
                    </w:rPr>
                  </w:pPr>
                  <w:r>
                    <w:rPr>
                      <w:rFonts w:hint="eastAsia"/>
                      <w:lang w:val="en-US" w:eastAsia="zh-CN"/>
                    </w:rPr>
                    <w:t>年转运体积</w:t>
                  </w:r>
                </w:p>
              </w:tc>
              <w:tc>
                <w:tcPr>
                  <w:tcW w:w="1379" w:type="pct"/>
                  <w:vAlign w:val="center"/>
                </w:tcPr>
                <w:p>
                  <w:pPr>
                    <w:pStyle w:val="31"/>
                    <w:bidi w:val="0"/>
                    <w:ind w:left="0" w:leftChars="0" w:firstLine="0" w:firstLineChars="0"/>
                    <w:rPr>
                      <w:rFonts w:hint="default"/>
                      <w:lang w:val="en-US" w:eastAsia="zh-CN"/>
                    </w:rPr>
                  </w:pPr>
                  <w:r>
                    <w:rPr>
                      <w:rFonts w:hint="eastAsia"/>
                      <w:lang w:val="en-US" w:eastAsia="zh-CN"/>
                    </w:rPr>
                    <w:t>m³</w:t>
                  </w:r>
                </w:p>
              </w:tc>
              <w:tc>
                <w:tcPr>
                  <w:tcW w:w="1931" w:type="pct"/>
                  <w:vAlign w:val="center"/>
                </w:tcPr>
                <w:p>
                  <w:pPr>
                    <w:pStyle w:val="31"/>
                    <w:bidi w:val="0"/>
                    <w:rPr>
                      <w:rFonts w:hint="default"/>
                      <w:lang w:val="en-US" w:eastAsia="zh-CN"/>
                    </w:rPr>
                  </w:pPr>
                  <w:r>
                    <w:rPr>
                      <w:rFonts w:hint="eastAsia"/>
                      <w:lang w:val="en-US" w:eastAsia="zh-CN"/>
                    </w:rPr>
                    <w:t>9302</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1"/>
                    <w:bidi w:val="0"/>
                    <w:rPr>
                      <w:rFonts w:hint="default"/>
                      <w:lang w:val="en-US" w:eastAsia="zh-CN"/>
                    </w:rPr>
                  </w:pPr>
                  <w:r>
                    <w:rPr>
                      <w:rFonts w:hint="eastAsia"/>
                      <w:lang w:val="en-US" w:eastAsia="zh-CN"/>
                    </w:rPr>
                    <w:t>单储罐大呼吸产生量*</w:t>
                  </w:r>
                </w:p>
              </w:tc>
              <w:tc>
                <w:tcPr>
                  <w:tcW w:w="1379" w:type="pct"/>
                  <w:vAlign w:val="center"/>
                </w:tcPr>
                <w:p>
                  <w:pPr>
                    <w:pStyle w:val="31"/>
                    <w:bidi w:val="0"/>
                    <w:ind w:left="0" w:leftChars="0" w:firstLine="0" w:firstLineChars="0"/>
                    <w:rPr>
                      <w:rFonts w:hint="default"/>
                      <w:lang w:val="en-US" w:eastAsia="zh-CN"/>
                    </w:rPr>
                  </w:pPr>
                  <w:r>
                    <w:rPr>
                      <w:rFonts w:hint="eastAsia"/>
                      <w:lang w:val="en-US" w:eastAsia="zh-CN"/>
                    </w:rPr>
                    <w:t>t/a</w:t>
                  </w:r>
                </w:p>
              </w:tc>
              <w:tc>
                <w:tcPr>
                  <w:tcW w:w="3246" w:type="dxa"/>
                  <w:vAlign w:val="center"/>
                </w:tcPr>
                <w:p>
                  <w:pPr>
                    <w:pStyle w:val="31"/>
                    <w:bidi w:val="0"/>
                    <w:rPr>
                      <w:rFonts w:hint="default"/>
                      <w:lang w:val="en-US" w:eastAsia="zh-CN"/>
                    </w:rPr>
                  </w:pPr>
                  <w:r>
                    <w:rPr>
                      <w:rFonts w:hint="default"/>
                      <w:lang w:val="en-US" w:eastAsia="zh-CN"/>
                    </w:rPr>
                    <w:t>0.0</w:t>
                  </w:r>
                  <w:r>
                    <w:rPr>
                      <w:rFonts w:hint="eastAsia"/>
                      <w:lang w:val="en-US" w:eastAsia="zh-CN"/>
                    </w:rPr>
                    <w:t>645</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exact"/>
                <w:jc w:val="center"/>
              </w:trPr>
              <w:tc>
                <w:tcPr>
                  <w:tcW w:w="1689" w:type="pct"/>
                  <w:vAlign w:val="center"/>
                </w:tcPr>
                <w:p>
                  <w:pPr>
                    <w:pStyle w:val="31"/>
                    <w:bidi w:val="0"/>
                    <w:rPr>
                      <w:rFonts w:hint="default"/>
                      <w:lang w:val="en-US" w:eastAsia="zh-CN"/>
                    </w:rPr>
                  </w:pPr>
                  <w:r>
                    <w:rPr>
                      <w:rFonts w:hint="eastAsia"/>
                      <w:lang w:val="en-US" w:eastAsia="zh-CN"/>
                    </w:rPr>
                    <w:t>大呼吸总产生量</w:t>
                  </w:r>
                </w:p>
              </w:tc>
              <w:tc>
                <w:tcPr>
                  <w:tcW w:w="1379" w:type="pct"/>
                  <w:vAlign w:val="center"/>
                </w:tcPr>
                <w:p>
                  <w:pPr>
                    <w:pStyle w:val="31"/>
                    <w:bidi w:val="0"/>
                    <w:ind w:left="0" w:leftChars="0" w:firstLine="0" w:firstLineChars="0"/>
                    <w:rPr>
                      <w:rFonts w:hint="default"/>
                      <w:lang w:val="en-US" w:eastAsia="zh-CN"/>
                    </w:rPr>
                  </w:pPr>
                  <w:r>
                    <w:rPr>
                      <w:rFonts w:hint="eastAsia"/>
                      <w:lang w:val="en-US" w:eastAsia="zh-CN"/>
                    </w:rPr>
                    <w:t>t/a</w:t>
                  </w:r>
                </w:p>
              </w:tc>
              <w:tc>
                <w:tcPr>
                  <w:tcW w:w="3246" w:type="dxa"/>
                  <w:vAlign w:val="center"/>
                </w:tcPr>
                <w:p>
                  <w:pPr>
                    <w:pStyle w:val="31"/>
                    <w:bidi w:val="0"/>
                    <w:rPr>
                      <w:rFonts w:hint="default"/>
                      <w:lang w:val="en-US" w:eastAsia="zh-CN"/>
                    </w:rPr>
                  </w:pPr>
                  <w:r>
                    <w:rPr>
                      <w:rFonts w:hint="eastAsia"/>
                      <w:lang w:val="en-US" w:eastAsia="zh-CN"/>
                    </w:rPr>
                    <w:t>0.1291</w:t>
                  </w:r>
                </w:p>
              </w:tc>
            </w:tr>
          </w:tbl>
          <w:p>
            <w:pPr>
              <w:pStyle w:val="8"/>
              <w:bidi w:val="0"/>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备注：*由L</w:t>
            </w:r>
            <w:r>
              <w:rPr>
                <w:rFonts w:hint="eastAsia" w:ascii="Times New Roman" w:hAnsi="Times New Roman" w:eastAsia="宋体" w:cs="Times New Roman"/>
                <w:color w:val="auto"/>
                <w:kern w:val="2"/>
                <w:sz w:val="21"/>
                <w:szCs w:val="24"/>
                <w:vertAlign w:val="subscript"/>
                <w:lang w:val="en-US" w:eastAsia="zh-CN" w:bidi="ar-SA"/>
              </w:rPr>
              <w:t>W</w:t>
            </w:r>
            <w:r>
              <w:rPr>
                <w:rFonts w:hint="eastAsia" w:ascii="Times New Roman" w:hAnsi="Times New Roman" w:eastAsia="宋体" w:cs="Times New Roman"/>
                <w:color w:val="auto"/>
                <w:kern w:val="2"/>
                <w:sz w:val="21"/>
                <w:szCs w:val="24"/>
                <w:lang w:val="en-US" w:eastAsia="zh-CN" w:bidi="ar-SA"/>
              </w:rPr>
              <w:t>乘年转运体积</w:t>
            </w:r>
            <w:r>
              <w:rPr>
                <w:rFonts w:hint="eastAsia" w:cs="Times New Roman"/>
                <w:color w:val="auto"/>
                <w:kern w:val="2"/>
                <w:sz w:val="21"/>
                <w:szCs w:val="24"/>
                <w:lang w:val="en-US" w:eastAsia="zh-CN" w:bidi="ar-SA"/>
              </w:rPr>
              <w:t>得出</w:t>
            </w:r>
          </w:p>
          <w:p>
            <w:pPr>
              <w:pStyle w:val="8"/>
              <w:bidi w:val="0"/>
              <w:rPr>
                <w:rFonts w:hint="eastAsia"/>
                <w:lang w:val="en-US" w:eastAsia="zh-CN"/>
              </w:rPr>
            </w:pPr>
            <w:r>
              <w:rPr>
                <w:rFonts w:hint="eastAsia"/>
                <w:lang w:val="en-US" w:eastAsia="zh-CN"/>
              </w:rPr>
              <w:t>综上，本项目废气源强产排情况见</w:t>
            </w:r>
            <w:r>
              <w:rPr>
                <w:rFonts w:hint="eastAsia"/>
                <w:lang w:val="en-US" w:eastAsia="zh-CN"/>
              </w:rPr>
              <w:fldChar w:fldCharType="begin"/>
            </w:r>
            <w:r>
              <w:rPr>
                <w:rFonts w:hint="eastAsia"/>
                <w:lang w:val="en-US" w:eastAsia="zh-CN"/>
              </w:rPr>
              <w:instrText xml:space="preserve">REF_Ref15781\n\h</w:instrText>
            </w:r>
            <w:r>
              <w:rPr>
                <w:rFonts w:hint="eastAsia"/>
                <w:lang w:val="en-US" w:eastAsia="zh-CN"/>
              </w:rPr>
              <w:fldChar w:fldCharType="separate"/>
            </w:r>
            <w:r>
              <w:rPr>
                <w:rFonts w:hint="eastAsia"/>
                <w:lang w:val="en-US" w:eastAsia="zh-CN"/>
              </w:rPr>
              <w:t>表29</w:t>
            </w:r>
            <w:r>
              <w:rPr>
                <w:rFonts w:hint="eastAsia"/>
                <w:lang w:val="en-US" w:eastAsia="zh-CN"/>
              </w:rPr>
              <w:fldChar w:fldCharType="end"/>
            </w:r>
            <w:r>
              <w:rPr>
                <w:rFonts w:hint="eastAsia"/>
                <w:lang w:val="en-US" w:eastAsia="zh-CN"/>
              </w:rPr>
              <w:t>。</w:t>
            </w:r>
          </w:p>
          <w:p>
            <w:pPr>
              <w:pStyle w:val="30"/>
              <w:bidi w:val="0"/>
              <w:rPr>
                <w:rFonts w:hint="eastAsia"/>
                <w:lang w:val="en-US" w:eastAsia="zh-CN"/>
              </w:rPr>
            </w:pPr>
            <w:bookmarkStart w:id="70" w:name="_Ref15781"/>
            <w:r>
              <w:rPr>
                <w:rFonts w:hint="eastAsia"/>
                <w:lang w:val="en-US" w:eastAsia="zh-CN"/>
              </w:rPr>
              <w:t>废气产排情况一览表</w:t>
            </w:r>
            <w:bookmarkEnd w:id="70"/>
          </w:p>
          <w:tbl>
            <w:tblPr>
              <w:tblStyle w:val="24"/>
              <w:tblW w:w="4998" w:type="pct"/>
              <w:jc w:val="center"/>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046"/>
              <w:gridCol w:w="929"/>
              <w:gridCol w:w="1042"/>
              <w:gridCol w:w="1240"/>
              <w:gridCol w:w="1168"/>
              <w:gridCol w:w="1279"/>
              <w:gridCol w:w="1146"/>
              <w:gridCol w:w="1116"/>
            </w:tblGrid>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76" w:hRule="atLeast"/>
                <w:jc w:val="center"/>
              </w:trPr>
              <w:tc>
                <w:tcPr>
                  <w:tcW w:w="583" w:type="pct"/>
                  <w:vMerge w:val="restart"/>
                  <w:vAlign w:val="center"/>
                </w:tcPr>
                <w:p>
                  <w:pPr>
                    <w:pStyle w:val="31"/>
                    <w:bidi w:val="0"/>
                    <w:rPr>
                      <w:rFonts w:hint="default"/>
                      <w:lang w:val="en-US" w:eastAsia="zh-CN"/>
                    </w:rPr>
                  </w:pPr>
                  <w:r>
                    <w:rPr>
                      <w:rFonts w:hint="eastAsia"/>
                      <w:lang w:val="en-US" w:eastAsia="zh-CN"/>
                    </w:rPr>
                    <w:t>废气来源</w:t>
                  </w:r>
                </w:p>
              </w:tc>
              <w:tc>
                <w:tcPr>
                  <w:tcW w:w="518" w:type="pct"/>
                  <w:vMerge w:val="restart"/>
                  <w:vAlign w:val="center"/>
                </w:tcPr>
                <w:p>
                  <w:pPr>
                    <w:pStyle w:val="31"/>
                    <w:bidi w:val="0"/>
                    <w:rPr>
                      <w:rFonts w:hint="default"/>
                      <w:lang w:val="en-US" w:eastAsia="zh-CN"/>
                    </w:rPr>
                  </w:pPr>
                  <w:r>
                    <w:rPr>
                      <w:rFonts w:hint="eastAsia"/>
                      <w:lang w:val="en-US" w:eastAsia="zh-CN"/>
                    </w:rPr>
                    <w:t>污染物</w:t>
                  </w:r>
                </w:p>
              </w:tc>
              <w:tc>
                <w:tcPr>
                  <w:tcW w:w="581" w:type="pct"/>
                  <w:vMerge w:val="restart"/>
                  <w:vAlign w:val="center"/>
                </w:tcPr>
                <w:p>
                  <w:pPr>
                    <w:pStyle w:val="31"/>
                    <w:bidi w:val="0"/>
                    <w:rPr>
                      <w:rFonts w:hint="eastAsia"/>
                      <w:lang w:val="en-US" w:eastAsia="zh-CN"/>
                    </w:rPr>
                  </w:pPr>
                  <w:r>
                    <w:rPr>
                      <w:rFonts w:hint="eastAsia"/>
                      <w:lang w:val="en-US" w:eastAsia="zh-CN"/>
                    </w:rPr>
                    <w:t>产生量</w:t>
                  </w:r>
                </w:p>
                <w:p>
                  <w:pPr>
                    <w:pStyle w:val="31"/>
                    <w:bidi w:val="0"/>
                    <w:rPr>
                      <w:rFonts w:hint="default"/>
                      <w:lang w:val="en-US" w:eastAsia="zh-CN"/>
                    </w:rPr>
                  </w:pPr>
                  <w:r>
                    <w:rPr>
                      <w:rFonts w:hint="eastAsia"/>
                      <w:lang w:val="en-US" w:eastAsia="zh-CN"/>
                    </w:rPr>
                    <w:t>t/a</w:t>
                  </w:r>
                </w:p>
              </w:tc>
              <w:tc>
                <w:tcPr>
                  <w:tcW w:w="691" w:type="pct"/>
                  <w:vMerge w:val="restart"/>
                  <w:vAlign w:val="center"/>
                </w:tcPr>
                <w:p>
                  <w:pPr>
                    <w:pStyle w:val="31"/>
                    <w:bidi w:val="0"/>
                    <w:rPr>
                      <w:rFonts w:hint="default"/>
                      <w:lang w:val="en-US" w:eastAsia="zh-CN"/>
                    </w:rPr>
                  </w:pPr>
                  <w:r>
                    <w:rPr>
                      <w:rFonts w:hint="eastAsia"/>
                      <w:lang w:val="en-US" w:eastAsia="zh-CN"/>
                    </w:rPr>
                    <w:t>废气治理措施</w:t>
                  </w:r>
                </w:p>
              </w:tc>
              <w:tc>
                <w:tcPr>
                  <w:tcW w:w="2003" w:type="pct"/>
                  <w:gridSpan w:val="3"/>
                  <w:vAlign w:val="center"/>
                </w:tcPr>
                <w:p>
                  <w:pPr>
                    <w:pStyle w:val="31"/>
                    <w:bidi w:val="0"/>
                    <w:rPr>
                      <w:rFonts w:hint="default"/>
                      <w:lang w:val="en-US" w:eastAsia="zh-CN"/>
                    </w:rPr>
                  </w:pPr>
                  <w:r>
                    <w:rPr>
                      <w:rFonts w:hint="eastAsia"/>
                      <w:lang w:val="en-US" w:eastAsia="zh-CN"/>
                    </w:rPr>
                    <w:t>有组织排放情况</w:t>
                  </w:r>
                </w:p>
              </w:tc>
              <w:tc>
                <w:tcPr>
                  <w:tcW w:w="622" w:type="pct"/>
                  <w:vMerge w:val="restart"/>
                  <w:vAlign w:val="center"/>
                </w:tcPr>
                <w:p>
                  <w:pPr>
                    <w:pStyle w:val="31"/>
                    <w:bidi w:val="0"/>
                    <w:rPr>
                      <w:rFonts w:hint="eastAsia"/>
                      <w:lang w:val="en-US" w:eastAsia="zh-CN"/>
                    </w:rPr>
                  </w:pPr>
                  <w:r>
                    <w:rPr>
                      <w:rFonts w:hint="eastAsia"/>
                      <w:lang w:val="en-US" w:eastAsia="zh-CN"/>
                    </w:rPr>
                    <w:t>无组织排放量</w:t>
                  </w:r>
                </w:p>
                <w:p>
                  <w:pPr>
                    <w:pStyle w:val="31"/>
                    <w:bidi w:val="0"/>
                    <w:rPr>
                      <w:rFonts w:hint="default"/>
                      <w:lang w:val="en-US" w:eastAsia="zh-CN"/>
                    </w:rPr>
                  </w:pPr>
                  <w:r>
                    <w:rPr>
                      <w:rFonts w:hint="eastAsia"/>
                      <w:lang w:val="en-US" w:eastAsia="zh-CN"/>
                    </w:rPr>
                    <w:t>t/a</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76" w:hRule="atLeast"/>
                <w:jc w:val="center"/>
              </w:trPr>
              <w:tc>
                <w:tcPr>
                  <w:tcW w:w="583" w:type="pct"/>
                  <w:vMerge w:val="continue"/>
                  <w:vAlign w:val="center"/>
                </w:tcPr>
                <w:p>
                  <w:pPr>
                    <w:pStyle w:val="31"/>
                    <w:bidi w:val="0"/>
                  </w:pPr>
                </w:p>
              </w:tc>
              <w:tc>
                <w:tcPr>
                  <w:tcW w:w="518" w:type="pct"/>
                  <w:vMerge w:val="continue"/>
                  <w:vAlign w:val="center"/>
                </w:tcPr>
                <w:p>
                  <w:pPr>
                    <w:pStyle w:val="31"/>
                    <w:bidi w:val="0"/>
                  </w:pPr>
                </w:p>
              </w:tc>
              <w:tc>
                <w:tcPr>
                  <w:tcW w:w="581" w:type="pct"/>
                  <w:vMerge w:val="continue"/>
                  <w:vAlign w:val="center"/>
                </w:tcPr>
                <w:p>
                  <w:pPr>
                    <w:pStyle w:val="31"/>
                    <w:bidi w:val="0"/>
                  </w:pPr>
                </w:p>
              </w:tc>
              <w:tc>
                <w:tcPr>
                  <w:tcW w:w="691" w:type="pct"/>
                  <w:vMerge w:val="continue"/>
                  <w:vAlign w:val="center"/>
                </w:tcPr>
                <w:p>
                  <w:pPr>
                    <w:pStyle w:val="31"/>
                    <w:bidi w:val="0"/>
                  </w:pPr>
                </w:p>
              </w:tc>
              <w:tc>
                <w:tcPr>
                  <w:tcW w:w="651" w:type="pct"/>
                  <w:vAlign w:val="center"/>
                </w:tcPr>
                <w:p>
                  <w:pPr>
                    <w:pStyle w:val="31"/>
                    <w:bidi w:val="0"/>
                    <w:rPr>
                      <w:rFonts w:hint="eastAsia"/>
                      <w:lang w:val="en-US" w:eastAsia="zh-CN"/>
                    </w:rPr>
                  </w:pPr>
                  <w:r>
                    <w:rPr>
                      <w:rFonts w:hint="eastAsia"/>
                      <w:lang w:val="en-US" w:eastAsia="zh-CN"/>
                    </w:rPr>
                    <w:t>排放浓度</w:t>
                  </w:r>
                </w:p>
                <w:p>
                  <w:pPr>
                    <w:pStyle w:val="31"/>
                    <w:bidi w:val="0"/>
                    <w:rPr>
                      <w:rFonts w:hint="default"/>
                      <w:lang w:val="en-US" w:eastAsia="zh-CN"/>
                    </w:rPr>
                  </w:pPr>
                  <w:r>
                    <w:rPr>
                      <w:rFonts w:hint="eastAsia"/>
                      <w:lang w:val="en-US" w:eastAsia="zh-CN"/>
                    </w:rPr>
                    <w:t>mg/m³</w:t>
                  </w:r>
                </w:p>
              </w:tc>
              <w:tc>
                <w:tcPr>
                  <w:tcW w:w="713" w:type="pct"/>
                  <w:vAlign w:val="center"/>
                </w:tcPr>
                <w:p>
                  <w:pPr>
                    <w:pStyle w:val="31"/>
                    <w:bidi w:val="0"/>
                    <w:rPr>
                      <w:rFonts w:hint="eastAsia"/>
                      <w:lang w:val="en-US" w:eastAsia="zh-CN"/>
                    </w:rPr>
                  </w:pPr>
                  <w:r>
                    <w:rPr>
                      <w:rFonts w:hint="eastAsia"/>
                      <w:lang w:val="en-US" w:eastAsia="zh-CN"/>
                    </w:rPr>
                    <w:t>排放速率</w:t>
                  </w:r>
                </w:p>
                <w:p>
                  <w:pPr>
                    <w:pStyle w:val="31"/>
                    <w:bidi w:val="0"/>
                    <w:rPr>
                      <w:rFonts w:hint="default"/>
                      <w:lang w:val="en-US" w:eastAsia="zh-CN"/>
                    </w:rPr>
                  </w:pPr>
                  <w:r>
                    <w:rPr>
                      <w:rFonts w:hint="eastAsia"/>
                      <w:lang w:val="en-US" w:eastAsia="zh-CN"/>
                    </w:rPr>
                    <w:t>kg/h</w:t>
                  </w:r>
                </w:p>
              </w:tc>
              <w:tc>
                <w:tcPr>
                  <w:tcW w:w="638" w:type="pct"/>
                  <w:vAlign w:val="center"/>
                </w:tcPr>
                <w:p>
                  <w:pPr>
                    <w:pStyle w:val="31"/>
                    <w:bidi w:val="0"/>
                    <w:rPr>
                      <w:rFonts w:hint="eastAsia"/>
                      <w:lang w:val="en-US" w:eastAsia="zh-CN"/>
                    </w:rPr>
                  </w:pPr>
                  <w:r>
                    <w:rPr>
                      <w:rFonts w:hint="eastAsia"/>
                      <w:lang w:val="en-US" w:eastAsia="zh-CN"/>
                    </w:rPr>
                    <w:t>排放量</w:t>
                  </w:r>
                </w:p>
                <w:p>
                  <w:pPr>
                    <w:pStyle w:val="31"/>
                    <w:bidi w:val="0"/>
                    <w:rPr>
                      <w:rFonts w:hint="default"/>
                      <w:lang w:val="en-US" w:eastAsia="zh-CN"/>
                    </w:rPr>
                  </w:pPr>
                  <w:r>
                    <w:rPr>
                      <w:rFonts w:hint="eastAsia"/>
                      <w:lang w:val="en-US" w:eastAsia="zh-CN"/>
                    </w:rPr>
                    <w:t>t/a</w:t>
                  </w:r>
                </w:p>
              </w:tc>
              <w:tc>
                <w:tcPr>
                  <w:tcW w:w="622" w:type="pct"/>
                  <w:vMerge w:val="continue"/>
                  <w:vAlign w:val="center"/>
                </w:tcPr>
                <w:p>
                  <w:pPr>
                    <w:pStyle w:val="31"/>
                    <w:bidi w:val="0"/>
                    <w:rPr>
                      <w:rFonts w:hint="eastAsia"/>
                      <w:lang w:val="en-US" w:eastAsia="zh-CN"/>
                    </w:rPr>
                  </w:pP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62" w:hRule="exact"/>
                <w:jc w:val="center"/>
              </w:trPr>
              <w:tc>
                <w:tcPr>
                  <w:tcW w:w="583" w:type="pct"/>
                  <w:vAlign w:val="center"/>
                </w:tcPr>
                <w:p>
                  <w:pPr>
                    <w:pStyle w:val="31"/>
                    <w:bidi w:val="0"/>
                    <w:rPr>
                      <w:rFonts w:hint="default"/>
                      <w:lang w:val="en-US" w:eastAsia="zh-CN"/>
                    </w:rPr>
                  </w:pPr>
                  <w:r>
                    <w:rPr>
                      <w:rFonts w:hint="eastAsia"/>
                      <w:lang w:val="en-US" w:eastAsia="zh-CN"/>
                    </w:rPr>
                    <w:t>储罐小呼吸</w:t>
                  </w:r>
                </w:p>
              </w:tc>
              <w:tc>
                <w:tcPr>
                  <w:tcW w:w="518" w:type="pct"/>
                  <w:vMerge w:val="restart"/>
                  <w:vAlign w:val="center"/>
                </w:tcPr>
                <w:p>
                  <w:pPr>
                    <w:pStyle w:val="31"/>
                    <w:bidi w:val="0"/>
                    <w:rPr>
                      <w:rFonts w:hint="eastAsia"/>
                      <w:lang w:val="en-US" w:eastAsia="zh-CN"/>
                    </w:rPr>
                  </w:pPr>
                  <w:r>
                    <w:rPr>
                      <w:rFonts w:hint="eastAsia"/>
                      <w:lang w:val="en-US" w:eastAsia="zh-CN"/>
                    </w:rPr>
                    <w:t>非甲烷总烃</w:t>
                  </w:r>
                </w:p>
              </w:tc>
              <w:tc>
                <w:tcPr>
                  <w:tcW w:w="581" w:type="pct"/>
                  <w:vAlign w:val="center"/>
                </w:tcPr>
                <w:p>
                  <w:pPr>
                    <w:pStyle w:val="31"/>
                    <w:bidi w:val="0"/>
                    <w:rPr>
                      <w:rFonts w:hint="default"/>
                      <w:lang w:val="en-US" w:eastAsia="zh-CN"/>
                    </w:rPr>
                  </w:pPr>
                  <w:r>
                    <w:rPr>
                      <w:rFonts w:hint="default"/>
                      <w:lang w:val="en-US" w:eastAsia="zh-CN"/>
                    </w:rPr>
                    <w:t>0.0126</w:t>
                  </w:r>
                </w:p>
              </w:tc>
              <w:tc>
                <w:tcPr>
                  <w:tcW w:w="691" w:type="pct"/>
                  <w:vMerge w:val="restart"/>
                  <w:vAlign w:val="center"/>
                </w:tcPr>
                <w:p>
                  <w:pPr>
                    <w:pStyle w:val="31"/>
                    <w:bidi w:val="0"/>
                    <w:rPr>
                      <w:rFonts w:hint="default"/>
                      <w:lang w:val="en-US" w:eastAsia="zh-CN"/>
                    </w:rPr>
                  </w:pPr>
                  <w:r>
                    <w:rPr>
                      <w:rFonts w:hint="eastAsia"/>
                      <w:lang w:val="en-US" w:eastAsia="zh-CN"/>
                    </w:rPr>
                    <w:t>负压收集+二级活性炭吸附+15m排气筒</w:t>
                  </w:r>
                </w:p>
              </w:tc>
              <w:tc>
                <w:tcPr>
                  <w:tcW w:w="1095" w:type="dxa"/>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4"/>
                      <w:lang w:val="en-US" w:eastAsia="zh-CN" w:bidi="ar-SA"/>
                    </w:rPr>
                  </w:pPr>
                  <w:r>
                    <w:rPr>
                      <w:rFonts w:hint="default" w:ascii="Times New Roman" w:hAnsi="Times New Roman" w:eastAsia="宋体" w:cs="Times New Roman"/>
                      <w:i w:val="0"/>
                      <w:iCs w:val="0"/>
                      <w:kern w:val="2"/>
                      <w:sz w:val="21"/>
                      <w:szCs w:val="24"/>
                      <w:u w:val="none"/>
                      <w:lang w:val="en-US" w:eastAsia="zh-CN" w:bidi="ar-SA"/>
                    </w:rPr>
                    <w:t>0.7608</w:t>
                  </w:r>
                </w:p>
              </w:tc>
              <w:tc>
                <w:tcPr>
                  <w:tcW w:w="1199" w:type="dxa"/>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4"/>
                      <w:lang w:val="en-US" w:eastAsia="zh-CN" w:bidi="ar-SA"/>
                    </w:rPr>
                  </w:pPr>
                  <w:r>
                    <w:rPr>
                      <w:rFonts w:hint="default" w:ascii="Times New Roman" w:hAnsi="Times New Roman" w:eastAsia="宋体" w:cs="Times New Roman"/>
                      <w:i w:val="0"/>
                      <w:iCs w:val="0"/>
                      <w:kern w:val="2"/>
                      <w:sz w:val="21"/>
                      <w:szCs w:val="24"/>
                      <w:u w:val="none"/>
                      <w:lang w:val="en-US" w:eastAsia="zh-CN" w:bidi="ar-SA"/>
                    </w:rPr>
                    <w:t>0.0023</w:t>
                  </w:r>
                </w:p>
              </w:tc>
              <w:tc>
                <w:tcPr>
                  <w:tcW w:w="1074"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kern w:val="2"/>
                      <w:sz w:val="21"/>
                      <w:szCs w:val="24"/>
                      <w:u w:val="none"/>
                      <w:lang w:val="en-US" w:eastAsia="zh-CN" w:bidi="ar-SA"/>
                    </w:rPr>
                    <w:t>0.0023</w:t>
                  </w:r>
                </w:p>
              </w:tc>
              <w:tc>
                <w:tcPr>
                  <w:tcW w:w="1046" w:type="dxa"/>
                  <w:vAlign w:val="center"/>
                </w:tcPr>
                <w:p>
                  <w:pPr>
                    <w:pStyle w:val="31"/>
                    <w:bidi w:val="0"/>
                    <w:rPr>
                      <w:rFonts w:hint="default"/>
                      <w:lang w:val="en-US" w:eastAsia="zh-CN"/>
                    </w:rPr>
                  </w:pPr>
                  <w:r>
                    <w:rPr>
                      <w:rFonts w:hint="default"/>
                      <w:lang w:val="en-US" w:eastAsia="zh-CN"/>
                    </w:rPr>
                    <w:t>0.0013</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47" w:hRule="exact"/>
                <w:jc w:val="center"/>
              </w:trPr>
              <w:tc>
                <w:tcPr>
                  <w:tcW w:w="583" w:type="pct"/>
                  <w:vAlign w:val="center"/>
                </w:tcPr>
                <w:p>
                  <w:pPr>
                    <w:pStyle w:val="31"/>
                    <w:bidi w:val="0"/>
                    <w:rPr>
                      <w:rFonts w:hint="default"/>
                      <w:lang w:val="en-US" w:eastAsia="zh-CN"/>
                    </w:rPr>
                  </w:pPr>
                  <w:r>
                    <w:rPr>
                      <w:rFonts w:hint="eastAsia"/>
                      <w:lang w:val="en-US" w:eastAsia="zh-CN"/>
                    </w:rPr>
                    <w:t>储罐大呼吸</w:t>
                  </w:r>
                </w:p>
              </w:tc>
              <w:tc>
                <w:tcPr>
                  <w:tcW w:w="518" w:type="pct"/>
                  <w:vMerge w:val="continue"/>
                  <w:vAlign w:val="center"/>
                </w:tcPr>
                <w:p>
                  <w:pPr>
                    <w:pStyle w:val="31"/>
                    <w:bidi w:val="0"/>
                    <w:rPr>
                      <w:rFonts w:hint="eastAsia"/>
                      <w:lang w:val="en-US" w:eastAsia="zh-CN"/>
                    </w:rPr>
                  </w:pPr>
                </w:p>
              </w:tc>
              <w:tc>
                <w:tcPr>
                  <w:tcW w:w="581" w:type="pct"/>
                  <w:vAlign w:val="center"/>
                </w:tcPr>
                <w:p>
                  <w:pPr>
                    <w:pStyle w:val="31"/>
                    <w:bidi w:val="0"/>
                    <w:rPr>
                      <w:rFonts w:hint="default"/>
                      <w:lang w:val="en-US" w:eastAsia="zh-CN"/>
                    </w:rPr>
                  </w:pPr>
                  <w:r>
                    <w:rPr>
                      <w:rFonts w:hint="default"/>
                      <w:lang w:val="en-US" w:eastAsia="zh-CN"/>
                    </w:rPr>
                    <w:t>0.1291</w:t>
                  </w:r>
                </w:p>
              </w:tc>
              <w:tc>
                <w:tcPr>
                  <w:tcW w:w="691" w:type="pct"/>
                  <w:vMerge w:val="continue"/>
                  <w:vAlign w:val="center"/>
                </w:tcPr>
                <w:p>
                  <w:pPr>
                    <w:pStyle w:val="31"/>
                    <w:bidi w:val="0"/>
                    <w:rPr>
                      <w:rFonts w:hint="default"/>
                      <w:lang w:val="en-US" w:eastAsia="zh-CN"/>
                    </w:rPr>
                  </w:pPr>
                </w:p>
              </w:tc>
              <w:tc>
                <w:tcPr>
                  <w:tcW w:w="1099" w:type="dxa"/>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i w:val="0"/>
                      <w:iCs w:val="0"/>
                      <w:kern w:val="2"/>
                      <w:sz w:val="21"/>
                      <w:szCs w:val="24"/>
                      <w:u w:val="none"/>
                      <w:lang w:val="en-US" w:eastAsia="zh-CN" w:bidi="ar-SA"/>
                    </w:rPr>
                    <w:t>7.8241</w:t>
                  </w:r>
                </w:p>
              </w:tc>
              <w:tc>
                <w:tcPr>
                  <w:tcW w:w="1203" w:type="dxa"/>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i w:val="0"/>
                      <w:iCs w:val="0"/>
                      <w:kern w:val="2"/>
                      <w:sz w:val="21"/>
                      <w:szCs w:val="24"/>
                      <w:u w:val="none"/>
                      <w:lang w:val="en-US" w:eastAsia="zh-CN" w:bidi="ar-SA"/>
                    </w:rPr>
                    <w:t>0.0235</w:t>
                  </w:r>
                </w:p>
              </w:tc>
              <w:tc>
                <w:tcPr>
                  <w:tcW w:w="1078"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kern w:val="2"/>
                      <w:sz w:val="21"/>
                      <w:szCs w:val="24"/>
                      <w:u w:val="none"/>
                      <w:lang w:val="en-US" w:eastAsia="zh-CN" w:bidi="ar-SA"/>
                    </w:rPr>
                    <w:t>0.0232</w:t>
                  </w:r>
                </w:p>
              </w:tc>
              <w:tc>
                <w:tcPr>
                  <w:tcW w:w="622" w:type="pct"/>
                  <w:vAlign w:val="center"/>
                </w:tcPr>
                <w:p>
                  <w:pPr>
                    <w:pStyle w:val="31"/>
                    <w:bidi w:val="0"/>
                    <w:rPr>
                      <w:rFonts w:hint="default"/>
                      <w:lang w:val="en-US" w:eastAsia="zh-CN"/>
                    </w:rPr>
                  </w:pPr>
                  <w:r>
                    <w:rPr>
                      <w:rFonts w:hint="default"/>
                      <w:lang w:val="en-US" w:eastAsia="zh-CN"/>
                    </w:rPr>
                    <w:t>0.0129</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02" w:hRule="exact"/>
                <w:jc w:val="center"/>
              </w:trPr>
              <w:tc>
                <w:tcPr>
                  <w:tcW w:w="583" w:type="pct"/>
                  <w:vAlign w:val="center"/>
                </w:tcPr>
                <w:p>
                  <w:pPr>
                    <w:pStyle w:val="31"/>
                    <w:bidi w:val="0"/>
                    <w:rPr>
                      <w:rFonts w:hint="default"/>
                      <w:lang w:val="en-US" w:eastAsia="zh-CN"/>
                    </w:rPr>
                  </w:pPr>
                  <w:r>
                    <w:rPr>
                      <w:rFonts w:hint="eastAsia"/>
                      <w:lang w:val="en-US" w:eastAsia="zh-CN"/>
                    </w:rPr>
                    <w:t>总计</w:t>
                  </w:r>
                </w:p>
              </w:tc>
              <w:tc>
                <w:tcPr>
                  <w:tcW w:w="518" w:type="pct"/>
                  <w:vAlign w:val="center"/>
                </w:tcPr>
                <w:p>
                  <w:pPr>
                    <w:pStyle w:val="31"/>
                    <w:bidi w:val="0"/>
                    <w:rPr>
                      <w:rFonts w:hint="default"/>
                      <w:lang w:val="en-US" w:eastAsia="zh-CN"/>
                    </w:rPr>
                  </w:pPr>
                  <w:r>
                    <w:rPr>
                      <w:rFonts w:hint="eastAsia"/>
                      <w:lang w:val="en-US" w:eastAsia="zh-CN"/>
                    </w:rPr>
                    <w:t>/</w:t>
                  </w:r>
                </w:p>
              </w:tc>
              <w:tc>
                <w:tcPr>
                  <w:tcW w:w="977" w:type="dxa"/>
                  <w:vAlign w:val="center"/>
                </w:tcPr>
                <w:p>
                  <w:pPr>
                    <w:pStyle w:val="31"/>
                    <w:bidi w:val="0"/>
                    <w:rPr>
                      <w:rFonts w:hint="default"/>
                      <w:lang w:val="en-US" w:eastAsia="zh-CN"/>
                    </w:rPr>
                  </w:pPr>
                  <w:r>
                    <w:rPr>
                      <w:rFonts w:hint="default"/>
                      <w:lang w:val="en-US" w:eastAsia="zh-CN"/>
                    </w:rPr>
                    <w:t>0.1417</w:t>
                  </w:r>
                </w:p>
              </w:tc>
              <w:tc>
                <w:tcPr>
                  <w:tcW w:w="1162" w:type="dxa"/>
                  <w:vAlign w:val="center"/>
                </w:tcPr>
                <w:p>
                  <w:pPr>
                    <w:pStyle w:val="31"/>
                    <w:bidi w:val="0"/>
                    <w:rPr>
                      <w:rFonts w:hint="default"/>
                      <w:lang w:val="en-US" w:eastAsia="zh-CN"/>
                    </w:rPr>
                  </w:pPr>
                  <w:r>
                    <w:rPr>
                      <w:rFonts w:hint="default"/>
                      <w:lang w:val="en-US" w:eastAsia="zh-CN"/>
                    </w:rPr>
                    <w:t>/</w:t>
                  </w:r>
                </w:p>
              </w:tc>
              <w:tc>
                <w:tcPr>
                  <w:tcW w:w="1095" w:type="dxa"/>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i w:val="0"/>
                      <w:iCs w:val="0"/>
                      <w:kern w:val="2"/>
                      <w:sz w:val="21"/>
                      <w:szCs w:val="24"/>
                      <w:u w:val="none"/>
                      <w:lang w:val="en-US" w:eastAsia="zh-CN" w:bidi="ar-SA"/>
                    </w:rPr>
                    <w:t>8.5849</w:t>
                  </w:r>
                </w:p>
              </w:tc>
              <w:tc>
                <w:tcPr>
                  <w:tcW w:w="1199" w:type="dxa"/>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i w:val="0"/>
                      <w:iCs w:val="0"/>
                      <w:kern w:val="2"/>
                      <w:sz w:val="21"/>
                      <w:szCs w:val="24"/>
                      <w:u w:val="none"/>
                      <w:lang w:val="en-US" w:eastAsia="zh-CN" w:bidi="ar-SA"/>
                    </w:rPr>
                    <w:t>0.0258</w:t>
                  </w:r>
                </w:p>
              </w:tc>
              <w:tc>
                <w:tcPr>
                  <w:tcW w:w="1074" w:type="dxa"/>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kern w:val="2"/>
                      <w:sz w:val="21"/>
                      <w:szCs w:val="24"/>
                      <w:u w:val="none"/>
                      <w:lang w:val="en-US" w:eastAsia="zh-CN" w:bidi="ar-SA"/>
                    </w:rPr>
                    <w:t>0.0255</w:t>
                  </w:r>
                </w:p>
              </w:tc>
              <w:tc>
                <w:tcPr>
                  <w:tcW w:w="1046" w:type="dxa"/>
                  <w:vAlign w:val="center"/>
                </w:tcPr>
                <w:p>
                  <w:pPr>
                    <w:pStyle w:val="31"/>
                    <w:bidi w:val="0"/>
                    <w:rPr>
                      <w:rFonts w:hint="default"/>
                      <w:lang w:val="en-US" w:eastAsia="zh-CN"/>
                    </w:rPr>
                  </w:pPr>
                  <w:r>
                    <w:rPr>
                      <w:rFonts w:hint="default"/>
                      <w:lang w:val="en-US" w:eastAsia="zh-CN"/>
                    </w:rPr>
                    <w:t>0.0142</w:t>
                  </w:r>
                </w:p>
              </w:tc>
            </w:tr>
          </w:tbl>
          <w:p>
            <w:pPr>
              <w:pStyle w:val="8"/>
              <w:bidi w:val="0"/>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备注：风量为</w:t>
            </w:r>
            <w:r>
              <w:rPr>
                <w:rFonts w:hint="eastAsia" w:cs="Times New Roman"/>
                <w:color w:val="auto"/>
                <w:kern w:val="2"/>
                <w:sz w:val="21"/>
                <w:szCs w:val="24"/>
                <w:lang w:val="en-US" w:eastAsia="zh-CN" w:bidi="ar-SA"/>
              </w:rPr>
              <w:t>3</w:t>
            </w:r>
            <w:r>
              <w:rPr>
                <w:rFonts w:hint="eastAsia" w:ascii="Times New Roman" w:hAnsi="Times New Roman" w:eastAsia="宋体" w:cs="Times New Roman"/>
                <w:color w:val="auto"/>
                <w:kern w:val="2"/>
                <w:sz w:val="21"/>
                <w:szCs w:val="24"/>
                <w:lang w:val="en-US" w:eastAsia="zh-CN" w:bidi="ar-SA"/>
              </w:rPr>
              <w:t>000m³/h，收集率为90%，</w:t>
            </w:r>
            <w:r>
              <w:rPr>
                <w:rFonts w:hint="eastAsia" w:ascii="Times New Roman" w:hAnsi="Times New Roman" w:eastAsia="宋体" w:cs="Times New Roman"/>
                <w:color w:val="auto"/>
                <w:kern w:val="2"/>
                <w:sz w:val="21"/>
                <w:szCs w:val="24"/>
                <w:highlight w:val="none"/>
                <w:lang w:val="en-US" w:eastAsia="zh-CN" w:bidi="ar-SA"/>
              </w:rPr>
              <w:t>处理率为</w:t>
            </w:r>
            <w:r>
              <w:rPr>
                <w:rFonts w:hint="eastAsia" w:cs="Times New Roman"/>
                <w:color w:val="auto"/>
                <w:kern w:val="2"/>
                <w:sz w:val="21"/>
                <w:szCs w:val="24"/>
                <w:highlight w:val="none"/>
                <w:lang w:val="en-US" w:eastAsia="zh-CN" w:bidi="ar-SA"/>
              </w:rPr>
              <w:t>8</w:t>
            </w:r>
            <w:r>
              <w:rPr>
                <w:rFonts w:hint="eastAsia" w:ascii="Times New Roman" w:hAnsi="Times New Roman" w:eastAsia="宋体" w:cs="Times New Roman"/>
                <w:color w:val="auto"/>
                <w:kern w:val="2"/>
                <w:sz w:val="21"/>
                <w:szCs w:val="24"/>
                <w:highlight w:val="none"/>
                <w:lang w:val="en-US" w:eastAsia="zh-CN" w:bidi="ar-SA"/>
              </w:rPr>
              <w:t>0%。</w:t>
            </w:r>
          </w:p>
          <w:p>
            <w:pPr>
              <w:pStyle w:val="8"/>
              <w:bidi w:val="0"/>
              <w:rPr>
                <w:rFonts w:hint="default"/>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69" w:hRule="atLeast"/>
          <w:jc w:val="center"/>
        </w:trPr>
        <w:tc>
          <w:tcPr>
            <w:tcW w:w="762" w:type="dxa"/>
            <w:tcMar>
              <w:left w:w="28" w:type="dxa"/>
              <w:right w:w="28" w:type="dxa"/>
            </w:tcMar>
            <w:vAlign w:val="center"/>
          </w:tcPr>
          <w:p>
            <w:pPr>
              <w:adjustRightInd w:val="0"/>
              <w:snapToGrid w:val="0"/>
              <w:jc w:val="center"/>
              <w:rPr>
                <w:rFonts w:hint="default" w:ascii="Times New Roman" w:hAnsi="Times New Roman" w:cs="Times New Roman"/>
                <w:bCs/>
                <w:color w:val="auto"/>
                <w:szCs w:val="21"/>
                <w:highlight w:val="none"/>
              </w:rPr>
            </w:pPr>
            <w:r>
              <w:rPr>
                <w:rFonts w:hint="eastAsia"/>
                <w:lang w:val="en-US" w:eastAsia="zh-CN"/>
              </w:rPr>
              <w:t>运</w:t>
            </w:r>
            <w:r>
              <w:rPr>
                <w:rFonts w:hint="default" w:ascii="Times New Roman" w:hAnsi="Times New Roman" w:cs="Times New Roman"/>
                <w:bCs/>
                <w:color w:val="auto"/>
                <w:szCs w:val="21"/>
                <w:highlight w:val="none"/>
              </w:rPr>
              <w:t>营</w:t>
            </w:r>
          </w:p>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期环</w:t>
            </w:r>
          </w:p>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境影</w:t>
            </w:r>
          </w:p>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响和</w:t>
            </w:r>
          </w:p>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保护</w:t>
            </w:r>
          </w:p>
          <w:p>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措施</w:t>
            </w:r>
          </w:p>
        </w:tc>
        <w:tc>
          <w:tcPr>
            <w:tcW w:w="8481" w:type="dxa"/>
            <w:vAlign w:val="center"/>
          </w:tcPr>
          <w:p>
            <w:pPr>
              <w:pStyle w:val="5"/>
              <w:numPr>
                <w:ilvl w:val="2"/>
                <w:numId w:val="3"/>
              </w:numPr>
              <w:ind w:left="0" w:leftChars="0" w:firstLine="0" w:firstLineChars="0"/>
              <w:jc w:val="left"/>
              <w:rPr>
                <w:rFonts w:hint="default"/>
                <w:lang w:val="en-US" w:eastAsia="zh-CN"/>
              </w:rPr>
            </w:pPr>
            <w:r>
              <w:rPr>
                <w:rFonts w:hint="eastAsia"/>
                <w:lang w:val="en-US" w:eastAsia="zh-CN"/>
              </w:rPr>
              <w:t>废气污染治理措施</w:t>
            </w:r>
          </w:p>
          <w:p>
            <w:pPr>
              <w:pStyle w:val="8"/>
              <w:numPr>
                <w:ilvl w:val="0"/>
                <w:numId w:val="0"/>
              </w:numPr>
              <w:ind w:leftChars="200"/>
              <w:rPr>
                <w:rFonts w:hint="eastAsia" w:cs="Times New Roman"/>
                <w:color w:val="auto"/>
                <w:highlight w:val="none"/>
                <w:lang w:val="en-US" w:eastAsia="zh-CN"/>
              </w:rPr>
            </w:pPr>
            <w:r>
              <w:rPr>
                <w:rFonts w:hint="eastAsia" w:cs="Times New Roman"/>
                <w:color w:val="auto"/>
                <w:highlight w:val="none"/>
                <w:lang w:eastAsia="zh-CN"/>
              </w:rPr>
              <w:t>（</w:t>
            </w:r>
            <w:r>
              <w:rPr>
                <w:rFonts w:hint="eastAsia" w:cs="Times New Roman"/>
                <w:color w:val="auto"/>
                <w:highlight w:val="none"/>
                <w:lang w:val="en-US" w:eastAsia="zh-CN"/>
              </w:rPr>
              <w:t>1</w:t>
            </w:r>
            <w:r>
              <w:rPr>
                <w:rFonts w:hint="eastAsia" w:cs="Times New Roman"/>
                <w:color w:val="auto"/>
                <w:highlight w:val="none"/>
                <w:lang w:eastAsia="zh-CN"/>
              </w:rPr>
              <w:t>）</w:t>
            </w:r>
            <w:r>
              <w:rPr>
                <w:rFonts w:hint="eastAsia" w:cs="Times New Roman"/>
                <w:color w:val="auto"/>
                <w:highlight w:val="none"/>
                <w:lang w:val="en-US" w:eastAsia="zh-CN"/>
              </w:rPr>
              <w:t>有组织废气</w:t>
            </w:r>
          </w:p>
          <w:p>
            <w:pPr>
              <w:pStyle w:val="8"/>
              <w:numPr>
                <w:ilvl w:val="0"/>
                <w:numId w:val="0"/>
              </w:numPr>
              <w:ind w:leftChars="200"/>
              <w:rPr>
                <w:rFonts w:hint="default" w:cs="Times New Roman"/>
                <w:color w:val="auto"/>
                <w:highlight w:val="none"/>
                <w:lang w:val="en-US" w:eastAsia="zh-CN"/>
              </w:rPr>
            </w:pPr>
            <w:r>
              <w:rPr>
                <w:rFonts w:hint="eastAsia" w:cs="Times New Roman"/>
                <w:color w:val="auto"/>
                <w:highlight w:val="none"/>
                <w:lang w:val="en-US" w:eastAsia="zh-CN"/>
              </w:rPr>
              <w:t>①废气处理工艺</w:t>
            </w:r>
          </w:p>
          <w:p>
            <w:pPr>
              <w:pStyle w:val="8"/>
              <w:rPr>
                <w:rFonts w:hint="default"/>
                <w:lang w:val="en-US" w:eastAsia="zh-CN"/>
              </w:rPr>
            </w:pPr>
            <w:r>
              <w:rPr>
                <w:rFonts w:hint="eastAsia"/>
                <w:lang w:val="en-US" w:eastAsia="zh-CN"/>
              </w:rPr>
              <w:t>本项目废气污染物主要来源为储罐呼吸过程产生的挥发性有机物（按非甲烷总烃计）。非甲烷总烃经负压收集后采取二级活性炭吸附装置处理，尾气</w:t>
            </w:r>
            <w:r>
              <w:rPr>
                <w:rFonts w:hint="eastAsia" w:cs="Times New Roman"/>
                <w:color w:val="auto"/>
                <w:szCs w:val="21"/>
                <w:highlight w:val="none"/>
                <w:lang w:val="en-US" w:eastAsia="zh-CN"/>
              </w:rPr>
              <w:t>通过15</w:t>
            </w:r>
            <w:r>
              <w:rPr>
                <w:rFonts w:hint="default" w:ascii="Times New Roman" w:hAnsi="Times New Roman" w:cs="Times New Roman"/>
                <w:color w:val="auto"/>
                <w:szCs w:val="21"/>
                <w:highlight w:val="none"/>
              </w:rPr>
              <w:t>m高排气筒</w:t>
            </w:r>
            <w:r>
              <w:rPr>
                <w:rFonts w:hint="eastAsia" w:cs="Times New Roman"/>
                <w:color w:val="auto"/>
                <w:szCs w:val="21"/>
                <w:highlight w:val="none"/>
                <w:lang w:val="en-US" w:eastAsia="zh-CN"/>
              </w:rPr>
              <w:t>达标排放。</w:t>
            </w:r>
          </w:p>
          <w:p>
            <w:pPr>
              <w:pStyle w:val="8"/>
              <w:ind w:firstLine="480"/>
              <w:rPr>
                <w:rFonts w:hint="eastAsia" w:cs="Times New Roman"/>
                <w:color w:val="auto"/>
                <w:highlight w:val="none"/>
                <w:lang w:val="en-US" w:eastAsia="zh-CN"/>
              </w:rPr>
            </w:pPr>
            <w:r>
              <w:rPr>
                <w:rFonts w:hint="eastAsia" w:cs="Times New Roman"/>
                <w:color w:val="auto"/>
                <w:highlight w:val="none"/>
                <w:lang w:val="en-US" w:eastAsia="zh-CN"/>
              </w:rPr>
              <w:t>②</w:t>
            </w:r>
            <w:r>
              <w:rPr>
                <w:rFonts w:hint="default" w:cs="Times New Roman"/>
                <w:color w:val="auto"/>
                <w:highlight w:val="none"/>
                <w:lang w:eastAsia="zh-CN"/>
              </w:rPr>
              <w:t>达标排放</w:t>
            </w:r>
            <w:r>
              <w:rPr>
                <w:rFonts w:hint="eastAsia" w:cs="Times New Roman"/>
                <w:color w:val="auto"/>
                <w:highlight w:val="none"/>
                <w:lang w:val="en-US" w:eastAsia="zh-CN"/>
              </w:rPr>
              <w:t>可行性分析</w:t>
            </w:r>
          </w:p>
          <w:p>
            <w:pPr>
              <w:pStyle w:val="8"/>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本项目</w:t>
            </w:r>
            <w:r>
              <w:rPr>
                <w:rFonts w:hint="eastAsia"/>
                <w:lang w:val="en-US" w:eastAsia="zh-CN"/>
              </w:rPr>
              <w:t>非甲烷总烃采用集气罩负压收集后采用二级活性炭吸附装置处理，</w:t>
            </w:r>
            <w:r>
              <w:rPr>
                <w:rFonts w:hint="default" w:cs="Times New Roman"/>
                <w:color w:val="auto"/>
                <w:highlight w:val="none"/>
                <w:lang w:val="en-US" w:eastAsia="zh-CN"/>
              </w:rPr>
              <w:t>非甲烷总烃</w:t>
            </w:r>
            <w:r>
              <w:rPr>
                <w:rFonts w:hint="eastAsia" w:cs="Times New Roman"/>
                <w:color w:val="auto"/>
                <w:highlight w:val="none"/>
                <w:lang w:val="en-US" w:eastAsia="zh-CN"/>
              </w:rPr>
              <w:t>最高允许排放浓度符合</w:t>
            </w:r>
            <w:r>
              <w:rPr>
                <w:rFonts w:hint="eastAsia"/>
                <w:lang w:val="en-US" w:eastAsia="zh-CN"/>
              </w:rPr>
              <w:t>《大气污染物综合排放标准》（GB16297-1996）表2中二级排放标准限值要求</w:t>
            </w:r>
            <w:r>
              <w:rPr>
                <w:rFonts w:hint="eastAsia" w:cs="Times New Roman"/>
                <w:color w:val="auto"/>
                <w:highlight w:val="none"/>
                <w:lang w:val="en-US" w:eastAsia="zh-CN"/>
              </w:rPr>
              <w:t>；</w:t>
            </w:r>
            <w:r>
              <w:rPr>
                <w:rFonts w:hint="default" w:cs="Times New Roman"/>
                <w:color w:val="auto"/>
                <w:highlight w:val="none"/>
                <w:lang w:val="en-US" w:eastAsia="zh-CN"/>
              </w:rPr>
              <w:t>非甲烷总烃</w:t>
            </w:r>
            <w:r>
              <w:rPr>
                <w:rFonts w:hint="eastAsia" w:cs="Times New Roman"/>
                <w:color w:val="auto"/>
                <w:highlight w:val="none"/>
                <w:lang w:val="en-US" w:eastAsia="zh-CN"/>
              </w:rPr>
              <w:t>的最高允许排放速率符合</w:t>
            </w:r>
            <w:r>
              <w:rPr>
                <w:rFonts w:hint="default"/>
                <w:lang w:val="en-US" w:eastAsia="zh-CN"/>
              </w:rPr>
              <w:t>《工业企业挥发性有机物排放标准》</w:t>
            </w:r>
            <w:r>
              <w:rPr>
                <w:rFonts w:hint="eastAsia"/>
                <w:lang w:val="en-US" w:eastAsia="zh-CN"/>
              </w:rPr>
              <w:t>（</w:t>
            </w:r>
            <w:r>
              <w:rPr>
                <w:rFonts w:hint="default"/>
                <w:lang w:val="en-US" w:eastAsia="zh-CN"/>
              </w:rPr>
              <w:t>DB35/1782-2018</w:t>
            </w:r>
            <w:r>
              <w:rPr>
                <w:rFonts w:hint="eastAsia"/>
                <w:lang w:val="en-US" w:eastAsia="zh-CN"/>
              </w:rPr>
              <w:t>）</w:t>
            </w:r>
            <w:r>
              <w:rPr>
                <w:rFonts w:hint="eastAsia" w:cs="Times New Roman"/>
                <w:color w:val="auto"/>
                <w:szCs w:val="21"/>
                <w:highlight w:val="none"/>
                <w:lang w:val="en-US" w:eastAsia="zh-CN"/>
              </w:rPr>
              <w:t>。因此，本项目采用废气处理设施的废气排放浓度</w:t>
            </w:r>
            <w:r>
              <w:rPr>
                <w:rFonts w:hint="eastAsia" w:cs="Times New Roman"/>
                <w:color w:val="auto"/>
                <w:highlight w:val="none"/>
                <w:lang w:val="en-US" w:eastAsia="zh-CN"/>
              </w:rPr>
              <w:t>具有</w:t>
            </w:r>
            <w:r>
              <w:rPr>
                <w:rFonts w:hint="default" w:ascii="Times New Roman" w:hAnsi="Times New Roman" w:cs="Times New Roman"/>
                <w:color w:val="auto"/>
                <w:highlight w:val="none"/>
                <w:lang w:val="en-US" w:eastAsia="zh-CN"/>
              </w:rPr>
              <w:t>可行</w:t>
            </w:r>
            <w:r>
              <w:rPr>
                <w:rFonts w:hint="eastAsia" w:cs="Times New Roman"/>
                <w:color w:val="auto"/>
                <w:highlight w:val="none"/>
                <w:lang w:val="en-US" w:eastAsia="zh-CN"/>
              </w:rPr>
              <w:t>性</w:t>
            </w:r>
            <w:r>
              <w:rPr>
                <w:rFonts w:hint="default" w:ascii="Times New Roman" w:hAnsi="Times New Roman" w:cs="Times New Roman"/>
                <w:color w:val="auto"/>
                <w:highlight w:val="none"/>
                <w:lang w:val="en-US" w:eastAsia="zh-CN"/>
              </w:rPr>
              <w:t>。</w:t>
            </w:r>
          </w:p>
          <w:p>
            <w:pPr>
              <w:pStyle w:val="8"/>
              <w:ind w:firstLine="480"/>
              <w:rPr>
                <w:rFonts w:hint="eastAsia" w:cs="Times New Roman"/>
                <w:color w:val="auto"/>
                <w:highlight w:val="yellow"/>
                <w:lang w:val="en-US" w:eastAsia="zh-CN"/>
              </w:rPr>
            </w:pPr>
            <w:r>
              <w:rPr>
                <w:rFonts w:hint="eastAsia" w:cs="Times New Roman"/>
                <w:color w:val="auto"/>
                <w:highlight w:val="none"/>
                <w:lang w:val="en-US" w:eastAsia="zh-CN"/>
              </w:rPr>
              <w:t>③措施可行性分析</w:t>
            </w:r>
          </w:p>
          <w:p>
            <w:pPr>
              <w:pStyle w:val="8"/>
              <w:ind w:firstLine="0"/>
              <w:rPr>
                <w:rFonts w:hint="default"/>
                <w:lang w:val="en-US" w:eastAsia="zh-CN"/>
              </w:rPr>
            </w:pPr>
            <w:r>
              <w:rPr>
                <w:rFonts w:hint="eastAsia"/>
              </w:rPr>
              <w:t>根据</w:t>
            </w:r>
            <w:r>
              <w:rPr>
                <w:rFonts w:hint="eastAsia"/>
                <w:lang w:eastAsia="zh-CN"/>
              </w:rPr>
              <w:t>《</w:t>
            </w:r>
            <w:r>
              <w:rPr>
                <w:rFonts w:hint="eastAsia"/>
              </w:rPr>
              <w:t>工业源挥发性有机物治理技术及管理对策研究</w:t>
            </w:r>
            <w:r>
              <w:rPr>
                <w:rFonts w:hint="eastAsia"/>
                <w:lang w:eastAsia="zh-CN"/>
              </w:rPr>
              <w:t>》（</w:t>
            </w:r>
            <w:r>
              <w:rPr>
                <w:rFonts w:hint="eastAsia"/>
              </w:rPr>
              <w:t>马红妍</w:t>
            </w:r>
            <w:r>
              <w:rPr>
                <w:rFonts w:hint="eastAsia"/>
                <w:lang w:val="en-US" w:eastAsia="zh-CN"/>
              </w:rPr>
              <w:t>，2022年</w:t>
            </w:r>
            <w:r>
              <w:rPr>
                <w:rFonts w:hint="eastAsia"/>
                <w:lang w:eastAsia="zh-CN"/>
              </w:rPr>
              <w:t>），工业固定源挥发性有机物末端治理技术主要分为物理法（冷凝、吸收、吸附等）和化学法（氧化、燃烧等），以及在此基础上联合使用的复合方法。</w:t>
            </w:r>
            <w:r>
              <w:rPr>
                <w:rFonts w:hint="eastAsia"/>
                <w:lang w:val="en-US" w:eastAsia="zh-CN"/>
              </w:rPr>
              <w:t>吸附法</w:t>
            </w:r>
            <w:r>
              <w:rPr>
                <w:rFonts w:hint="eastAsia"/>
                <w:lang w:eastAsia="zh-CN"/>
              </w:rPr>
              <w:t>是利用活性炭等吸附剂来吸附有机废气中的污染因子，</w:t>
            </w:r>
            <w:r>
              <w:rPr>
                <w:rFonts w:hint="eastAsia"/>
                <w:lang w:val="en-US" w:eastAsia="zh-CN"/>
              </w:rPr>
              <w:t>其内部具有丰富的空隙结构和化学基团，活性炭吸附处理效率为69.8%~94.2%（本评价取80%），可有效吸附废气中的有机气体分子，</w:t>
            </w:r>
            <w:r>
              <w:rPr>
                <w:rFonts w:hint="eastAsia"/>
                <w:lang w:eastAsia="zh-CN"/>
              </w:rPr>
              <w:t>以此实现废气净化。</w:t>
            </w:r>
          </w:p>
          <w:p>
            <w:pPr>
              <w:pStyle w:val="8"/>
              <w:ind w:left="0" w:leftChars="0" w:firstLine="420" w:firstLineChars="175"/>
              <w:rPr>
                <w:rFonts w:hint="default" w:eastAsia="宋体"/>
                <w:lang w:val="en-US" w:eastAsia="zh-CN"/>
              </w:rPr>
            </w:pPr>
            <w:r>
              <w:rPr>
                <w:rFonts w:hint="eastAsia" w:cs="Times New Roman"/>
                <w:color w:val="auto"/>
                <w:szCs w:val="21"/>
                <w:highlight w:val="none"/>
                <w:lang w:val="en-US" w:eastAsia="zh-CN"/>
              </w:rPr>
              <w:t>因此，本项目采用二级活性炭吸附处理挥发性有机物具有措施可行性。</w:t>
            </w:r>
          </w:p>
          <w:p>
            <w:pPr>
              <w:pStyle w:val="30"/>
              <w:bidi w:val="0"/>
              <w:rPr>
                <w:rFonts w:hint="default"/>
                <w:lang w:val="en-US" w:eastAsia="zh-CN"/>
              </w:rPr>
            </w:pPr>
            <w:r>
              <w:rPr>
                <w:rFonts w:hint="default"/>
                <w:lang w:val="en-US" w:eastAsia="zh-CN"/>
              </w:rPr>
              <w:t>排气筒基本情况一览表</w:t>
            </w:r>
          </w:p>
          <w:tbl>
            <w:tblPr>
              <w:tblStyle w:val="24"/>
              <w:tblW w:w="823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6"/>
              <w:gridCol w:w="1671"/>
              <w:gridCol w:w="1015"/>
              <w:gridCol w:w="2361"/>
              <w:gridCol w:w="1082"/>
              <w:gridCol w:w="118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932" w:type="dxa"/>
                  <w:tcBorders>
                    <w:tl2br w:val="nil"/>
                    <w:tr2bl w:val="nil"/>
                  </w:tcBorders>
                  <w:vAlign w:val="center"/>
                </w:tcPr>
                <w:p>
                  <w:pPr>
                    <w:pStyle w:val="31"/>
                    <w:rPr>
                      <w:rFonts w:hint="default"/>
                    </w:rPr>
                  </w:pPr>
                  <w:r>
                    <w:rPr>
                      <w:rFonts w:hint="default"/>
                    </w:rPr>
                    <w:t>编号</w:t>
                  </w:r>
                </w:p>
              </w:tc>
              <w:tc>
                <w:tcPr>
                  <w:tcW w:w="1752" w:type="dxa"/>
                  <w:tcBorders>
                    <w:tl2br w:val="nil"/>
                    <w:tr2bl w:val="nil"/>
                  </w:tcBorders>
                  <w:vAlign w:val="center"/>
                </w:tcPr>
                <w:p>
                  <w:pPr>
                    <w:pStyle w:val="31"/>
                    <w:rPr>
                      <w:rFonts w:hint="default"/>
                    </w:rPr>
                  </w:pPr>
                  <w:r>
                    <w:rPr>
                      <w:rFonts w:hint="default"/>
                    </w:rPr>
                    <w:t>排气筒名称</w:t>
                  </w:r>
                </w:p>
              </w:tc>
              <w:tc>
                <w:tcPr>
                  <w:tcW w:w="1053" w:type="dxa"/>
                  <w:tcBorders>
                    <w:tl2br w:val="nil"/>
                    <w:tr2bl w:val="nil"/>
                  </w:tcBorders>
                  <w:vAlign w:val="center"/>
                </w:tcPr>
                <w:p>
                  <w:pPr>
                    <w:pStyle w:val="31"/>
                    <w:rPr>
                      <w:rFonts w:hint="default"/>
                    </w:rPr>
                  </w:pPr>
                  <w:r>
                    <w:rPr>
                      <w:rFonts w:hint="default"/>
                    </w:rPr>
                    <w:t>类型</w:t>
                  </w:r>
                </w:p>
              </w:tc>
              <w:tc>
                <w:tcPr>
                  <w:tcW w:w="2149" w:type="dxa"/>
                  <w:tcBorders>
                    <w:tl2br w:val="nil"/>
                    <w:tr2bl w:val="nil"/>
                  </w:tcBorders>
                  <w:vAlign w:val="center"/>
                </w:tcPr>
                <w:p>
                  <w:pPr>
                    <w:pStyle w:val="31"/>
                    <w:rPr>
                      <w:rFonts w:hint="default"/>
                    </w:rPr>
                  </w:pPr>
                  <w:r>
                    <w:rPr>
                      <w:rFonts w:hint="default"/>
                      <w:highlight w:val="none"/>
                    </w:rPr>
                    <w:t>排气筒地理坐标</w:t>
                  </w:r>
                </w:p>
              </w:tc>
              <w:tc>
                <w:tcPr>
                  <w:tcW w:w="1124" w:type="dxa"/>
                  <w:tcBorders>
                    <w:tl2br w:val="nil"/>
                    <w:tr2bl w:val="nil"/>
                  </w:tcBorders>
                  <w:vAlign w:val="center"/>
                </w:tcPr>
                <w:p>
                  <w:pPr>
                    <w:pStyle w:val="31"/>
                    <w:rPr>
                      <w:rFonts w:hint="default"/>
                    </w:rPr>
                  </w:pPr>
                  <w:r>
                    <w:rPr>
                      <w:rFonts w:hint="default"/>
                    </w:rPr>
                    <w:t>排气筒高度/m</w:t>
                  </w:r>
                </w:p>
              </w:tc>
              <w:tc>
                <w:tcPr>
                  <w:tcW w:w="1227" w:type="dxa"/>
                  <w:tcBorders>
                    <w:tl2br w:val="nil"/>
                    <w:tr2bl w:val="nil"/>
                  </w:tcBorders>
                  <w:vAlign w:val="center"/>
                </w:tcPr>
                <w:p>
                  <w:pPr>
                    <w:pStyle w:val="31"/>
                    <w:rPr>
                      <w:rFonts w:hint="default"/>
                    </w:rPr>
                  </w:pPr>
                  <w:r>
                    <w:rPr>
                      <w:rFonts w:hint="default"/>
                    </w:rPr>
                    <w:t>烟气温度/℃</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932" w:type="dxa"/>
                  <w:tcBorders>
                    <w:tl2br w:val="nil"/>
                    <w:tr2bl w:val="nil"/>
                  </w:tcBorders>
                  <w:vAlign w:val="center"/>
                </w:tcPr>
                <w:p>
                  <w:pPr>
                    <w:pStyle w:val="31"/>
                    <w:rPr>
                      <w:rFonts w:hint="eastAsia"/>
                      <w:lang w:eastAsia="zh-CN"/>
                    </w:rPr>
                  </w:pPr>
                  <w:r>
                    <w:rPr>
                      <w:rFonts w:hint="eastAsia"/>
                      <w:lang w:val="en-US" w:eastAsia="zh-CN"/>
                    </w:rPr>
                    <w:t>DA001</w:t>
                  </w:r>
                </w:p>
              </w:tc>
              <w:tc>
                <w:tcPr>
                  <w:tcW w:w="1752" w:type="dxa"/>
                  <w:tcBorders>
                    <w:tl2br w:val="nil"/>
                    <w:tr2bl w:val="nil"/>
                  </w:tcBorders>
                  <w:vAlign w:val="center"/>
                </w:tcPr>
                <w:p>
                  <w:pPr>
                    <w:pStyle w:val="31"/>
                    <w:rPr>
                      <w:rFonts w:hint="default"/>
                      <w:lang w:val="en-US" w:eastAsia="zh-CN"/>
                    </w:rPr>
                  </w:pPr>
                  <w:r>
                    <w:rPr>
                      <w:rFonts w:hint="eastAsia"/>
                      <w:lang w:val="en-US" w:eastAsia="zh-CN"/>
                    </w:rPr>
                    <w:t>呼吸废气排放口</w:t>
                  </w:r>
                </w:p>
              </w:tc>
              <w:tc>
                <w:tcPr>
                  <w:tcW w:w="1053" w:type="dxa"/>
                  <w:tcBorders>
                    <w:tl2br w:val="nil"/>
                    <w:tr2bl w:val="nil"/>
                  </w:tcBorders>
                  <w:vAlign w:val="center"/>
                </w:tcPr>
                <w:p>
                  <w:pPr>
                    <w:pStyle w:val="31"/>
                    <w:rPr>
                      <w:rFonts w:hint="default"/>
                      <w:lang w:val="en-US" w:eastAsia="zh-CN"/>
                    </w:rPr>
                  </w:pPr>
                  <w:r>
                    <w:rPr>
                      <w:rFonts w:hint="default"/>
                      <w:lang w:val="en-US" w:eastAsia="zh-CN"/>
                    </w:rPr>
                    <w:t>一般</w:t>
                  </w:r>
                  <w:r>
                    <w:rPr>
                      <w:rFonts w:hint="default"/>
                    </w:rPr>
                    <w:t>排放口</w:t>
                  </w:r>
                </w:p>
              </w:tc>
              <w:tc>
                <w:tcPr>
                  <w:tcW w:w="2149" w:type="dxa"/>
                  <w:tcBorders>
                    <w:tl2br w:val="nil"/>
                    <w:tr2bl w:val="nil"/>
                  </w:tcBorders>
                  <w:vAlign w:val="center"/>
                </w:tcPr>
                <w:p>
                  <w:pPr>
                    <w:pStyle w:val="31"/>
                    <w:rPr>
                      <w:rFonts w:hint="default"/>
                      <w:lang w:val="en-US" w:eastAsia="zh-CN"/>
                    </w:rPr>
                  </w:pPr>
                  <w:r>
                    <w:rPr>
                      <w:rFonts w:hint="eastAsia"/>
                      <w:lang w:val="en-US" w:eastAsia="zh-CN"/>
                    </w:rPr>
                    <w:t>119°22′45.16485″，25°55′58.74122″</w:t>
                  </w:r>
                </w:p>
              </w:tc>
              <w:tc>
                <w:tcPr>
                  <w:tcW w:w="1124" w:type="dxa"/>
                  <w:tcBorders>
                    <w:tl2br w:val="nil"/>
                    <w:tr2bl w:val="nil"/>
                  </w:tcBorders>
                  <w:vAlign w:val="center"/>
                </w:tcPr>
                <w:p>
                  <w:pPr>
                    <w:pStyle w:val="31"/>
                    <w:rPr>
                      <w:rFonts w:hint="default"/>
                      <w:lang w:val="en-US" w:eastAsia="zh-CN"/>
                    </w:rPr>
                  </w:pPr>
                  <w:r>
                    <w:rPr>
                      <w:rFonts w:hint="eastAsia"/>
                      <w:lang w:val="en-US" w:eastAsia="zh-CN"/>
                    </w:rPr>
                    <w:t>15</w:t>
                  </w:r>
                </w:p>
              </w:tc>
              <w:tc>
                <w:tcPr>
                  <w:tcW w:w="1227" w:type="dxa"/>
                  <w:tcBorders>
                    <w:tl2br w:val="nil"/>
                    <w:tr2bl w:val="nil"/>
                  </w:tcBorders>
                  <w:vAlign w:val="center"/>
                </w:tcPr>
                <w:p>
                  <w:pPr>
                    <w:pStyle w:val="31"/>
                    <w:rPr>
                      <w:rFonts w:hint="default"/>
                      <w:lang w:val="en-US" w:eastAsia="zh-CN"/>
                    </w:rPr>
                  </w:pPr>
                  <w:r>
                    <w:rPr>
                      <w:rFonts w:hint="default"/>
                    </w:rPr>
                    <w:t>25</w:t>
                  </w:r>
                </w:p>
              </w:tc>
            </w:tr>
          </w:tbl>
          <w:p>
            <w:pPr>
              <w:pStyle w:val="8"/>
              <w:ind w:firstLine="480"/>
              <w:rPr>
                <w:rFonts w:hint="eastAsia" w:cs="Times New Roman"/>
                <w:color w:val="auto"/>
                <w:highlight w:val="none"/>
                <w:lang w:val="en-US" w:eastAsia="zh-CN"/>
              </w:rPr>
            </w:pPr>
          </w:p>
          <w:p>
            <w:pPr>
              <w:pStyle w:val="8"/>
              <w:ind w:firstLine="480"/>
              <w:rPr>
                <w:rFonts w:hint="eastAsia" w:cs="Times New Roman"/>
                <w:color w:val="auto"/>
                <w:highlight w:val="none"/>
                <w:lang w:val="en-US" w:eastAsia="zh-CN"/>
              </w:rPr>
            </w:pPr>
            <w:r>
              <w:rPr>
                <w:rFonts w:hint="eastAsia" w:cs="Times New Roman"/>
                <w:color w:val="auto"/>
                <w:highlight w:val="none"/>
                <w:lang w:val="en-US" w:eastAsia="zh-CN"/>
              </w:rPr>
              <w:t>（2）无组织废气</w:t>
            </w:r>
          </w:p>
          <w:p>
            <w:pPr>
              <w:pStyle w:val="8"/>
              <w:ind w:firstLine="480"/>
              <w:jc w:val="left"/>
              <w:rPr>
                <w:rFonts w:hint="default"/>
                <w:color w:val="auto"/>
                <w:highlight w:val="none"/>
              </w:rPr>
            </w:pPr>
            <w:r>
              <w:rPr>
                <w:rFonts w:hint="default"/>
                <w:color w:val="auto"/>
                <w:highlight w:val="none"/>
              </w:rPr>
              <w:t>本项目无组织废气主要产生于</w:t>
            </w:r>
            <w:r>
              <w:rPr>
                <w:rFonts w:hint="eastAsia"/>
                <w:color w:val="auto"/>
                <w:highlight w:val="none"/>
                <w:lang w:val="en-US" w:eastAsia="zh-CN"/>
              </w:rPr>
              <w:t>储罐区</w:t>
            </w:r>
            <w:r>
              <w:rPr>
                <w:rFonts w:hint="default"/>
                <w:color w:val="auto"/>
                <w:highlight w:val="none"/>
              </w:rPr>
              <w:t>，无组织废气产生情况见</w:t>
            </w:r>
            <w:r>
              <w:rPr>
                <w:rFonts w:hint="default"/>
                <w:color w:val="auto"/>
                <w:highlight w:val="none"/>
                <w:lang w:val="en-US"/>
              </w:rPr>
              <w:fldChar w:fldCharType="begin"/>
            </w:r>
            <w:r>
              <w:rPr>
                <w:rFonts w:hint="default"/>
                <w:color w:val="auto"/>
                <w:highlight w:val="none"/>
                <w:lang w:val="en-US"/>
              </w:rPr>
              <w:instrText xml:space="preserve">REF_Ref15781\n\h</w:instrText>
            </w:r>
            <w:r>
              <w:rPr>
                <w:rFonts w:hint="default"/>
                <w:color w:val="auto"/>
                <w:highlight w:val="none"/>
                <w:lang w:val="en-US"/>
              </w:rPr>
              <w:fldChar w:fldCharType="separate"/>
            </w:r>
            <w:r>
              <w:rPr>
                <w:rFonts w:hint="default"/>
                <w:color w:val="auto"/>
                <w:highlight w:val="none"/>
                <w:lang w:val="en-US"/>
              </w:rPr>
              <w:t>表29</w:t>
            </w:r>
            <w:r>
              <w:rPr>
                <w:rFonts w:hint="default"/>
                <w:color w:val="auto"/>
                <w:highlight w:val="none"/>
                <w:lang w:val="en-US"/>
              </w:rPr>
              <w:fldChar w:fldCharType="end"/>
            </w:r>
            <w:r>
              <w:rPr>
                <w:rFonts w:hint="default"/>
                <w:color w:val="auto"/>
                <w:highlight w:val="none"/>
              </w:rPr>
              <w:t>。</w:t>
            </w:r>
          </w:p>
          <w:p>
            <w:pPr>
              <w:pStyle w:val="8"/>
              <w:ind w:firstLine="480"/>
              <w:rPr>
                <w:rFonts w:hint="default"/>
                <w:color w:val="auto"/>
                <w:highlight w:val="none"/>
              </w:rPr>
            </w:pPr>
            <w:r>
              <w:rPr>
                <w:rFonts w:hint="default"/>
                <w:color w:val="auto"/>
                <w:highlight w:val="none"/>
              </w:rPr>
              <w:t>通过对同类企业的调查可知，在不重视预防的情况下，无组织排放的废气对环境的影响比有组织排放的废气对环境的影响大，因此，为减少废气污染物的排放，特别是无组织废气的排放量，本项目应</w:t>
            </w:r>
            <w:r>
              <w:rPr>
                <w:rFonts w:hint="eastAsia"/>
                <w:color w:val="auto"/>
                <w:highlight w:val="none"/>
                <w:lang w:val="en-US" w:eastAsia="zh-CN"/>
              </w:rPr>
              <w:t>注重</w:t>
            </w:r>
            <w:r>
              <w:rPr>
                <w:rFonts w:hint="default"/>
                <w:color w:val="auto"/>
                <w:highlight w:val="none"/>
              </w:rPr>
              <w:t>无组织废气的防治。</w:t>
            </w:r>
          </w:p>
          <w:p>
            <w:pPr>
              <w:pStyle w:val="8"/>
              <w:ind w:firstLine="480"/>
              <w:rPr>
                <w:rFonts w:hint="default"/>
                <w:color w:val="auto"/>
                <w:highlight w:val="none"/>
              </w:rPr>
            </w:pPr>
            <w:r>
              <w:rPr>
                <w:rFonts w:hint="default"/>
                <w:color w:val="auto"/>
                <w:highlight w:val="none"/>
              </w:rPr>
              <w:t>本项目投产后，在有组织废气正常排放情况下，厂界周围污染物浓度由无组织排放源强控制，且无组织排放源强贡献值较高。为控制无组织废气的排放量，必须以清洁生产的指导思想，对物料的运输、贮存及尾气吸收等全过程进行分析，调查废气无组织排放的各个环节，并针对各主要排放环节提出相应改进措施，以减少废气无组织排放量。</w:t>
            </w:r>
          </w:p>
          <w:p>
            <w:pPr>
              <w:pStyle w:val="8"/>
              <w:ind w:firstLine="480"/>
              <w:rPr>
                <w:rFonts w:hint="default"/>
                <w:color w:val="auto"/>
                <w:highlight w:val="none"/>
              </w:rPr>
            </w:pPr>
            <w:r>
              <w:rPr>
                <w:rFonts w:hint="default"/>
                <w:color w:val="auto"/>
                <w:highlight w:val="none"/>
              </w:rPr>
              <w:t>项目应加强生产管理和设备维修，同时还应采取以下具体控制对策：</w:t>
            </w:r>
          </w:p>
          <w:p>
            <w:pPr>
              <w:pStyle w:val="8"/>
              <w:ind w:firstLine="480"/>
              <w:rPr>
                <w:rFonts w:hint="eastAsia"/>
                <w:color w:val="auto"/>
                <w:highlight w:val="none"/>
                <w:lang w:val="en-US" w:eastAsia="zh-CN"/>
              </w:rPr>
            </w:pPr>
            <w:r>
              <w:rPr>
                <w:rFonts w:hint="eastAsia"/>
                <w:color w:val="auto"/>
                <w:highlight w:val="none"/>
                <w:lang w:val="en-US" w:eastAsia="zh-CN"/>
              </w:rPr>
              <w:t>①废机油转入采用输油泵将收集后的废机油直接打入储罐的方式，减少了有机废气的挥发，转送过程中损耗的废机油量较少。</w:t>
            </w:r>
          </w:p>
          <w:p>
            <w:pPr>
              <w:pStyle w:val="8"/>
              <w:ind w:firstLine="480"/>
              <w:rPr>
                <w:rFonts w:hint="eastAsia"/>
                <w:color w:val="auto"/>
                <w:highlight w:val="none"/>
                <w:lang w:val="en-US" w:eastAsia="zh-CN"/>
              </w:rPr>
            </w:pPr>
            <w:r>
              <w:rPr>
                <w:rFonts w:hint="eastAsia"/>
                <w:color w:val="auto"/>
                <w:highlight w:val="none"/>
                <w:lang w:val="en-US" w:eastAsia="zh-CN"/>
              </w:rPr>
              <w:t>②废机油从油罐输送至外运槽罐车过程中，一般会由于“呼吸”作用导致罐内的气压增加或减少，挥发出的物料随着气流排放。本项目采用气压平衡来控制该部分的无阻增加或减少，挥发出的物料随着气流排放。本项目应采用气压平衡来控制该部分的无组织排放量。</w:t>
            </w:r>
          </w:p>
          <w:p>
            <w:pPr>
              <w:pStyle w:val="8"/>
              <w:ind w:firstLine="480"/>
              <w:rPr>
                <w:rFonts w:hint="eastAsia"/>
                <w:color w:val="auto"/>
                <w:highlight w:val="none"/>
                <w:lang w:val="en-US" w:eastAsia="zh-CN"/>
              </w:rPr>
            </w:pPr>
            <w:r>
              <w:rPr>
                <w:rFonts w:hint="eastAsia"/>
                <w:color w:val="auto"/>
                <w:highlight w:val="none"/>
                <w:lang w:val="en-US" w:eastAsia="zh-CN"/>
              </w:rPr>
              <w:t>③项目车间设置通风窗，并配备强制通风装置如电风扇等，日常可使用通风窗通风、大雨时需关闭通风窗，使用风扇强制通风。夏季温度过高时也应使用风扇强制通风降温，同时尽量提高储罐的充装率以减少填充次数。</w:t>
            </w:r>
          </w:p>
          <w:p>
            <w:pPr>
              <w:pStyle w:val="8"/>
              <w:ind w:firstLine="480"/>
              <w:rPr>
                <w:rFonts w:hint="eastAsia"/>
                <w:color w:val="auto"/>
                <w:highlight w:val="none"/>
                <w:lang w:val="en-US" w:eastAsia="zh-CN"/>
              </w:rPr>
            </w:pPr>
            <w:r>
              <w:rPr>
                <w:rFonts w:hint="eastAsia"/>
                <w:color w:val="auto"/>
                <w:highlight w:val="none"/>
                <w:lang w:val="en-US" w:eastAsia="zh-CN"/>
              </w:rPr>
              <w:t>④全面优化考虑机泵和阀门等选择，针对不同介质、温度、压力、流速等选取不同的机泵和阀门，其密封性能为首要考虑因素。</w:t>
            </w:r>
          </w:p>
          <w:p>
            <w:pPr>
              <w:pStyle w:val="8"/>
              <w:ind w:firstLine="480"/>
              <w:rPr>
                <w:rFonts w:hint="eastAsia"/>
                <w:color w:val="auto"/>
                <w:highlight w:val="none"/>
                <w:lang w:val="en-US" w:eastAsia="zh-CN"/>
              </w:rPr>
            </w:pPr>
            <w:r>
              <w:rPr>
                <w:rFonts w:hint="eastAsia"/>
                <w:color w:val="auto"/>
                <w:highlight w:val="none"/>
                <w:lang w:val="en-US" w:eastAsia="zh-CN"/>
              </w:rPr>
              <w:t>⑤加强有关附属设施的维修、保持油罐的严密性，改进油罐的操作管理，对阻火器、机械呼吸阀瓣、量油孔每年彻底检查两次，做到气密性符合要求。</w:t>
            </w:r>
          </w:p>
          <w:p>
            <w:pPr>
              <w:pStyle w:val="8"/>
              <w:ind w:firstLine="480"/>
              <w:rPr>
                <w:rFonts w:hint="default"/>
                <w:color w:val="auto"/>
                <w:highlight w:val="none"/>
                <w:lang w:val="en-US" w:eastAsia="zh-CN"/>
              </w:rPr>
            </w:pPr>
            <w:r>
              <w:rPr>
                <w:rFonts w:hint="eastAsia"/>
                <w:color w:val="auto"/>
                <w:highlight w:val="none"/>
                <w:lang w:val="en-US" w:eastAsia="zh-CN"/>
              </w:rPr>
              <w:t>⑥项目储罐区内部进口及小门处应设置幕帘，防止储罐呼吸废气无组织扩散。</w:t>
            </w:r>
          </w:p>
          <w:p>
            <w:pPr>
              <w:pStyle w:val="8"/>
              <w:ind w:firstLine="480"/>
              <w:rPr>
                <w:rFonts w:hint="eastAsia"/>
                <w:color w:val="auto"/>
                <w:highlight w:val="none"/>
                <w:lang w:val="en-US" w:eastAsia="zh-CN"/>
              </w:rPr>
            </w:pPr>
            <w:r>
              <w:rPr>
                <w:rFonts w:hint="eastAsia"/>
                <w:color w:val="auto"/>
                <w:highlight w:val="none"/>
                <w:lang w:val="en-US" w:eastAsia="zh-CN"/>
              </w:rPr>
              <w:t>本</w:t>
            </w:r>
            <w:r>
              <w:rPr>
                <w:rFonts w:hint="default"/>
                <w:color w:val="auto"/>
                <w:highlight w:val="none"/>
              </w:rPr>
              <w:t>项目对</w:t>
            </w:r>
            <w:r>
              <w:rPr>
                <w:rFonts w:hint="eastAsia"/>
                <w:color w:val="auto"/>
                <w:highlight w:val="none"/>
                <w:lang w:val="en-US" w:eastAsia="zh-CN"/>
              </w:rPr>
              <w:t>收集储存过程</w:t>
            </w:r>
            <w:r>
              <w:rPr>
                <w:rFonts w:hint="default"/>
                <w:color w:val="auto"/>
                <w:highlight w:val="none"/>
              </w:rPr>
              <w:t>中产生的尾气采取了有效的处理措施，</w:t>
            </w:r>
            <w:r>
              <w:rPr>
                <w:rFonts w:hint="eastAsia"/>
                <w:color w:val="auto"/>
                <w:highlight w:val="none"/>
                <w:lang w:eastAsia="zh-CN"/>
              </w:rPr>
              <w:t>控制</w:t>
            </w:r>
            <w:r>
              <w:rPr>
                <w:rFonts w:hint="default"/>
                <w:color w:val="auto"/>
                <w:highlight w:val="none"/>
              </w:rPr>
              <w:t>了无组织污染物的散发，从而确保本项目的废气污染物排放控制在最低限度，降低了污染物的排放</w:t>
            </w:r>
            <w:r>
              <w:rPr>
                <w:rFonts w:hint="eastAsia"/>
                <w:color w:val="auto"/>
                <w:highlight w:val="none"/>
                <w:lang w:val="en-US" w:eastAsia="zh-CN"/>
              </w:rPr>
              <w:t>，可有效降低无组织废气对周边环境的影响。</w:t>
            </w:r>
          </w:p>
          <w:p>
            <w:pPr>
              <w:pStyle w:val="5"/>
              <w:numPr>
                <w:ilvl w:val="2"/>
                <w:numId w:val="3"/>
              </w:numPr>
              <w:ind w:left="0" w:leftChars="0" w:firstLine="0" w:firstLineChars="0"/>
              <w:rPr>
                <w:rFonts w:hint="default" w:ascii="Times New Roman" w:hAnsi="Times New Roman" w:cs="Times New Roman"/>
                <w:color w:val="auto"/>
                <w:kern w:val="2"/>
                <w:szCs w:val="24"/>
                <w:highlight w:val="none"/>
                <w:lang w:val="en-US" w:eastAsia="zh-CN" w:bidi="ar"/>
              </w:rPr>
            </w:pPr>
            <w:r>
              <w:rPr>
                <w:rFonts w:hint="eastAsia"/>
                <w:lang w:val="en-US" w:eastAsia="zh-CN"/>
              </w:rPr>
              <w:t>废</w:t>
            </w:r>
            <w:r>
              <w:rPr>
                <w:rFonts w:hint="eastAsia"/>
              </w:rPr>
              <w:t>气影响分析</w:t>
            </w:r>
          </w:p>
          <w:p>
            <w:pPr>
              <w:pStyle w:val="8"/>
              <w:ind w:firstLine="480"/>
              <w:rPr>
                <w:rFonts w:hint="default" w:ascii="Times New Roman" w:hAnsi="Times New Roman" w:cs="Times New Roman"/>
                <w:color w:val="auto"/>
                <w:kern w:val="2"/>
                <w:szCs w:val="24"/>
                <w:highlight w:val="none"/>
                <w:lang w:val="en-US" w:eastAsia="zh-CN" w:bidi="ar"/>
              </w:rPr>
            </w:pPr>
            <w:r>
              <w:rPr>
                <w:rFonts w:hint="eastAsia"/>
                <w:lang w:val="en-US" w:eastAsia="zh-CN"/>
              </w:rPr>
              <w:t>根据上述分析，本项目</w:t>
            </w:r>
            <w:r>
              <w:rPr>
                <w:rFonts w:hint="eastAsia" w:cs="Times New Roman"/>
                <w:color w:val="auto"/>
                <w:highlight w:val="none"/>
                <w:lang w:val="en-US" w:eastAsia="zh-CN"/>
              </w:rPr>
              <w:t>储罐贮存挥发的有机废气收集后经二级活性炭吸附装置处理后</w:t>
            </w:r>
            <w:r>
              <w:rPr>
                <w:rFonts w:hint="eastAsia"/>
                <w:lang w:val="en-US" w:eastAsia="zh-CN"/>
              </w:rPr>
              <w:t>，尾气</w:t>
            </w:r>
            <w:r>
              <w:rPr>
                <w:rFonts w:hint="eastAsia" w:cs="Times New Roman"/>
                <w:color w:val="auto"/>
                <w:szCs w:val="21"/>
                <w:highlight w:val="none"/>
                <w:lang w:val="en-US" w:eastAsia="zh-CN"/>
              </w:rPr>
              <w:t>通过15</w:t>
            </w:r>
            <w:r>
              <w:rPr>
                <w:rFonts w:hint="default" w:ascii="Times New Roman" w:hAnsi="Times New Roman" w:cs="Times New Roman"/>
                <w:color w:val="auto"/>
                <w:szCs w:val="21"/>
                <w:highlight w:val="none"/>
              </w:rPr>
              <w:t>m高排气筒</w:t>
            </w:r>
            <w:r>
              <w:rPr>
                <w:rFonts w:hint="eastAsia" w:cs="Times New Roman"/>
                <w:color w:val="auto"/>
                <w:szCs w:val="21"/>
                <w:highlight w:val="none"/>
                <w:lang w:val="en-US" w:eastAsia="zh-CN"/>
              </w:rPr>
              <w:t>达标排放</w:t>
            </w:r>
            <w:r>
              <w:rPr>
                <w:rFonts w:hint="eastAsia"/>
                <w:lang w:val="en-US" w:eastAsia="zh-CN"/>
              </w:rPr>
              <w:t>；</w:t>
            </w:r>
          </w:p>
          <w:p>
            <w:pPr>
              <w:pStyle w:val="8"/>
              <w:ind w:firstLine="480"/>
              <w:rPr>
                <w:rFonts w:hint="eastAsia"/>
                <w:lang w:val="en-US" w:eastAsia="zh-CN"/>
              </w:rPr>
            </w:pPr>
            <w:r>
              <w:rPr>
                <w:rFonts w:hint="eastAsia" w:cs="Times New Roman"/>
                <w:color w:val="auto"/>
                <w:kern w:val="2"/>
                <w:szCs w:val="24"/>
                <w:highlight w:val="none"/>
                <w:lang w:val="en-US" w:eastAsia="zh-CN" w:bidi="ar"/>
              </w:rPr>
              <w:t>有组织</w:t>
            </w:r>
            <w:r>
              <w:rPr>
                <w:rFonts w:hint="default" w:ascii="Times New Roman" w:hAnsi="Times New Roman" w:cs="Times New Roman"/>
                <w:color w:val="auto"/>
                <w:kern w:val="2"/>
                <w:szCs w:val="24"/>
                <w:highlight w:val="none"/>
                <w:lang w:val="en-US" w:eastAsia="zh-CN" w:bidi="ar"/>
              </w:rPr>
              <w:t>非甲烷总烃排放浓度能够满足</w:t>
            </w:r>
            <w:r>
              <w:rPr>
                <w:rFonts w:hint="eastAsia"/>
                <w:lang w:val="en-US" w:eastAsia="zh-CN"/>
              </w:rPr>
              <w:t>《大气污染物综合排放标准》（GB16297-1996）表2中二级排放标准限值要求</w:t>
            </w:r>
            <w:r>
              <w:rPr>
                <w:rFonts w:hint="eastAsia" w:cs="Times New Roman"/>
                <w:color w:val="auto"/>
                <w:highlight w:val="none"/>
                <w:lang w:val="en-US" w:eastAsia="zh-CN"/>
              </w:rPr>
              <w:t>，无组织能够满足</w:t>
            </w:r>
            <w:r>
              <w:rPr>
                <w:rFonts w:hint="eastAsia"/>
                <w:lang w:val="en-US" w:eastAsia="zh-CN"/>
              </w:rPr>
              <w:t>《大气污染物综合排放标准》（GB16297-1996）</w:t>
            </w:r>
            <w:r>
              <w:rPr>
                <w:rFonts w:hint="eastAsia" w:cs="Times New Roman"/>
                <w:color w:val="auto"/>
                <w:highlight w:val="none"/>
                <w:lang w:val="en-US" w:eastAsia="zh-CN"/>
              </w:rPr>
              <w:t>中</w:t>
            </w:r>
            <w:r>
              <w:rPr>
                <w:rFonts w:hint="eastAsia"/>
                <w:lang w:val="en-US" w:eastAsia="zh-CN"/>
              </w:rPr>
              <w:t>的无组织排放监控浓度要求。</w:t>
            </w:r>
          </w:p>
          <w:p>
            <w:pPr>
              <w:pStyle w:val="8"/>
              <w:ind w:firstLine="480"/>
              <w:rPr>
                <w:rFonts w:hint="eastAsia" w:cs="Times New Roman"/>
                <w:color w:val="auto"/>
                <w:kern w:val="2"/>
                <w:szCs w:val="24"/>
                <w:highlight w:val="none"/>
                <w:lang w:val="en-US" w:eastAsia="zh-CN" w:bidi="ar"/>
              </w:rPr>
            </w:pPr>
            <w:r>
              <w:rPr>
                <w:rFonts w:hint="eastAsia" w:cs="Times New Roman"/>
                <w:color w:val="auto"/>
                <w:kern w:val="2"/>
                <w:szCs w:val="24"/>
                <w:highlight w:val="none"/>
                <w:lang w:val="en-US" w:eastAsia="zh-CN" w:bidi="ar"/>
              </w:rPr>
              <w:t>因此，本项目废气排放对周边环境影响较小。</w:t>
            </w:r>
          </w:p>
          <w:p>
            <w:pPr>
              <w:pStyle w:val="5"/>
              <w:numPr>
                <w:ilvl w:val="2"/>
                <w:numId w:val="15"/>
              </w:numPr>
              <w:rPr>
                <w:rFonts w:hint="eastAsia"/>
                <w:lang w:val="en-US" w:eastAsia="zh-CN"/>
              </w:rPr>
            </w:pPr>
            <w:r>
              <w:rPr>
                <w:rFonts w:hint="eastAsia"/>
                <w:lang w:val="en-US" w:eastAsia="zh-CN"/>
              </w:rPr>
              <w:t>大气防护距离</w:t>
            </w:r>
          </w:p>
          <w:p>
            <w:pPr>
              <w:pStyle w:val="8"/>
              <w:ind w:firstLine="480"/>
              <w:rPr>
                <w:rFonts w:hint="eastAsia" w:cs="Times New Roman"/>
                <w:color w:val="auto"/>
                <w:kern w:val="2"/>
                <w:szCs w:val="24"/>
                <w:highlight w:val="none"/>
                <w:lang w:val="en-US" w:eastAsia="zh-CN" w:bidi="ar"/>
              </w:rPr>
            </w:pPr>
            <w:r>
              <w:rPr>
                <w:rFonts w:hint="eastAsia" w:cs="Times New Roman"/>
                <w:color w:val="auto"/>
                <w:kern w:val="2"/>
                <w:szCs w:val="24"/>
                <w:highlight w:val="none"/>
                <w:lang w:val="en-US" w:eastAsia="zh-CN" w:bidi="ar"/>
              </w:rPr>
              <w:t>根据《环境评价技术导则-大气环境》（HJ2.2-2018）中的有关规定，对无组织排放的有毒有害气体可通过设置大气防护距离来解决。本项目根据《大气有害物质无组织排放卫生防护距离推导技术导则》（GB/T39499-2020）中计算公式核算环境防护距离，无组织排放所需的卫生防护距离计算如下：</w:t>
            </w:r>
          </w:p>
          <w:p>
            <w:pPr>
              <w:pStyle w:val="8"/>
              <w:ind w:firstLine="480"/>
              <w:jc w:val="center"/>
              <w:rPr>
                <w:rFonts w:hint="eastAsia" w:eastAsia="宋体"/>
                <w:lang w:eastAsia="zh-CN"/>
              </w:rPr>
            </w:pPr>
            <w:r>
              <w:rPr>
                <w:position w:val="-12"/>
              </w:rPr>
              <w:object>
                <v:shape id="_x0000_i1025" o:spt="75" type="#_x0000_t75" style="height:22pt;width:160pt;" o:ole="t" filled="f" o:preferrelative="t" stroked="f" coordsize="21600,21600">
                  <v:path/>
                  <v:fill on="f" focussize="0,0"/>
                  <v:stroke on="f"/>
                  <v:imagedata r:id="rId21" o:title=""/>
                  <o:lock v:ext="edit" aspectratio="t"/>
                  <w10:wrap type="none"/>
                  <w10:anchorlock/>
                </v:shape>
                <o:OLEObject Type="Embed" ProgID="Equation.KSEE3" ShapeID="_x0000_i1025" DrawAspect="Content" ObjectID="_1468075725" r:id="rId20">
                  <o:LockedField>false</o:LockedField>
                </o:OLEObject>
              </w:object>
            </w:r>
          </w:p>
          <w:p>
            <w:pPr>
              <w:pStyle w:val="8"/>
              <w:ind w:firstLine="0" w:firstLineChars="0"/>
              <w:jc w:val="left"/>
              <w:rPr>
                <w:rFonts w:hint="eastAsia"/>
              </w:rPr>
            </w:pPr>
            <w:r>
              <w:rPr>
                <w:rFonts w:hint="eastAsia"/>
              </w:rPr>
              <w:t>式中</w:t>
            </w:r>
            <w:r>
              <w:rPr>
                <w:rFonts w:hint="eastAsia"/>
                <w:lang w:eastAsia="zh-CN"/>
              </w:rPr>
              <w:t>：</w:t>
            </w:r>
            <w:r>
              <w:rPr>
                <w:rFonts w:hint="eastAsia"/>
              </w:rPr>
              <w:t>Q</w:t>
            </w:r>
            <w:r>
              <w:rPr>
                <w:rFonts w:hint="eastAsia"/>
                <w:vertAlign w:val="subscript"/>
              </w:rPr>
              <w:t>c</w:t>
            </w:r>
            <w:r>
              <w:rPr>
                <w:rFonts w:hint="eastAsia"/>
                <w:lang w:val="en-US" w:eastAsia="zh-CN"/>
              </w:rPr>
              <w:t>—</w:t>
            </w:r>
            <w:r>
              <w:rPr>
                <w:rFonts w:hint="eastAsia"/>
              </w:rPr>
              <w:t>无组织排放量，kg/h</w:t>
            </w:r>
            <w:r>
              <w:rPr>
                <w:rFonts w:hint="eastAsia"/>
                <w:lang w:eastAsia="zh-CN"/>
              </w:rPr>
              <w:t>；</w:t>
            </w:r>
          </w:p>
          <w:p>
            <w:pPr>
              <w:pStyle w:val="8"/>
              <w:ind w:firstLine="720" w:firstLineChars="300"/>
              <w:jc w:val="both"/>
              <w:rPr>
                <w:rFonts w:hint="eastAsia" w:eastAsia="宋体"/>
                <w:lang w:eastAsia="zh-CN"/>
              </w:rPr>
            </w:pPr>
            <w:r>
              <w:rPr>
                <w:rFonts w:hint="eastAsia"/>
              </w:rPr>
              <w:t>C</w:t>
            </w:r>
            <w:r>
              <w:rPr>
                <w:rFonts w:hint="eastAsia"/>
                <w:vertAlign w:val="subscript"/>
              </w:rPr>
              <w:t>m</w:t>
            </w:r>
            <w:r>
              <w:rPr>
                <w:rFonts w:hint="eastAsia"/>
                <w:lang w:val="en-US" w:eastAsia="zh-CN"/>
              </w:rPr>
              <w:t>—</w:t>
            </w:r>
            <w:r>
              <w:rPr>
                <w:rFonts w:hint="eastAsia"/>
              </w:rPr>
              <w:t>标准浓度限值，mg</w:t>
            </w:r>
            <w:r>
              <w:rPr>
                <w:rFonts w:hint="eastAsia"/>
                <w:lang w:val="en-US" w:eastAsia="zh-CN"/>
              </w:rPr>
              <w:t>/</w:t>
            </w:r>
            <w:r>
              <w:rPr>
                <w:rFonts w:hint="eastAsia"/>
              </w:rPr>
              <w:t>N</w:t>
            </w:r>
            <w:r>
              <w:rPr>
                <w:rFonts w:hint="eastAsia"/>
                <w:lang w:val="en-US" w:eastAsia="zh-CN"/>
              </w:rPr>
              <w:t>m³</w:t>
            </w:r>
            <w:r>
              <w:rPr>
                <w:rFonts w:hint="eastAsia"/>
                <w:lang w:eastAsia="zh-CN"/>
              </w:rPr>
              <w:t>；</w:t>
            </w:r>
          </w:p>
          <w:p>
            <w:pPr>
              <w:pStyle w:val="8"/>
              <w:ind w:firstLine="720" w:firstLineChars="300"/>
              <w:jc w:val="both"/>
              <w:rPr>
                <w:rFonts w:hint="eastAsia" w:eastAsia="宋体"/>
                <w:lang w:eastAsia="zh-CN"/>
              </w:rPr>
            </w:pPr>
            <w:r>
              <w:rPr>
                <w:rFonts w:hint="eastAsia"/>
              </w:rPr>
              <w:t>L</w:t>
            </w:r>
            <w:r>
              <w:rPr>
                <w:rFonts w:hint="eastAsia"/>
                <w:lang w:val="en-US" w:eastAsia="zh-CN"/>
              </w:rPr>
              <w:t>—</w:t>
            </w:r>
            <w:r>
              <w:rPr>
                <w:rFonts w:hint="eastAsia"/>
              </w:rPr>
              <w:t>卫生防护带距离，m</w:t>
            </w:r>
            <w:r>
              <w:rPr>
                <w:rFonts w:hint="eastAsia"/>
                <w:lang w:eastAsia="zh-CN"/>
              </w:rPr>
              <w:t>；</w:t>
            </w:r>
          </w:p>
          <w:p>
            <w:pPr>
              <w:pStyle w:val="8"/>
              <w:ind w:firstLine="720" w:firstLineChars="300"/>
              <w:jc w:val="both"/>
              <w:rPr>
                <w:rFonts w:hint="eastAsia"/>
              </w:rPr>
            </w:pPr>
            <w:r>
              <w:rPr>
                <w:rFonts w:hint="eastAsia"/>
                <w:lang w:val="en-US" w:eastAsia="zh-CN"/>
              </w:rPr>
              <w:t>r—</w:t>
            </w:r>
            <w:r>
              <w:rPr>
                <w:rFonts w:hint="eastAsia"/>
              </w:rPr>
              <w:t>无组织排放源的等效半径，</w:t>
            </w:r>
            <w:r>
              <w:rPr>
                <w:rFonts w:hint="eastAsia"/>
                <w:lang w:val="en-US" w:eastAsia="zh-CN"/>
              </w:rPr>
              <w:t>m</w:t>
            </w:r>
            <w:r>
              <w:rPr>
                <w:rFonts w:hint="eastAsia"/>
                <w:lang w:eastAsia="zh-CN"/>
              </w:rPr>
              <w:t>。</w:t>
            </w:r>
            <w:r>
              <w:rPr>
                <w:rFonts w:hint="eastAsia"/>
              </w:rPr>
              <w:t>根据生产单元占地面积S</w:t>
            </w:r>
            <w:r>
              <w:rPr>
                <w:rFonts w:hint="eastAsia"/>
                <w:lang w:eastAsia="zh-CN"/>
              </w:rPr>
              <w:t>（</w:t>
            </w:r>
            <w:r>
              <w:rPr>
                <w:rFonts w:hint="eastAsia"/>
                <w:lang w:val="en-US" w:eastAsia="zh-CN"/>
              </w:rPr>
              <w:t>m²</w:t>
            </w:r>
            <w:r>
              <w:rPr>
                <w:rFonts w:hint="eastAsia"/>
                <w:lang w:eastAsia="zh-CN"/>
              </w:rPr>
              <w:t>）</w:t>
            </w:r>
            <w:r>
              <w:rPr>
                <w:rFonts w:hint="eastAsia"/>
              </w:rPr>
              <w:t>计算</w:t>
            </w:r>
            <w:r>
              <w:rPr>
                <w:rFonts w:hint="eastAsia"/>
                <w:lang w:eastAsia="zh-CN"/>
              </w:rPr>
              <w:t>，</w:t>
            </w:r>
            <w:r>
              <w:rPr>
                <w:rFonts w:hint="eastAsia"/>
              </w:rPr>
              <w:t>r=(S/π)</w:t>
            </w:r>
            <w:r>
              <w:rPr>
                <w:rFonts w:hint="eastAsia"/>
                <w:vertAlign w:val="superscript"/>
              </w:rPr>
              <w:t>0.5</w:t>
            </w:r>
            <w:r>
              <w:rPr>
                <w:rFonts w:hint="eastAsia"/>
              </w:rPr>
              <w:t>。</w:t>
            </w:r>
          </w:p>
          <w:p>
            <w:pPr>
              <w:pStyle w:val="8"/>
              <w:numPr>
                <w:ilvl w:val="0"/>
                <w:numId w:val="16"/>
              </w:numPr>
              <w:ind w:firstLine="480"/>
              <w:jc w:val="both"/>
              <w:rPr>
                <w:rFonts w:hint="eastAsia"/>
                <w:lang w:val="en-US" w:eastAsia="zh-CN"/>
              </w:rPr>
            </w:pPr>
            <w:r>
              <w:rPr>
                <w:rFonts w:hint="eastAsia"/>
                <w:lang w:val="en-US" w:eastAsia="zh-CN"/>
              </w:rPr>
              <w:t>B、C、D—卫生防护距离计算系数，见下表。</w:t>
            </w:r>
          </w:p>
          <w:p>
            <w:pPr>
              <w:pStyle w:val="30"/>
              <w:bidi w:val="0"/>
              <w:rPr>
                <w:rFonts w:hint="eastAsia"/>
                <w:lang w:val="en-US" w:eastAsia="zh-CN"/>
              </w:rPr>
            </w:pPr>
            <w:r>
              <w:rPr>
                <w:rFonts w:hint="eastAsia"/>
                <w:lang w:val="en-US" w:eastAsia="zh-CN"/>
              </w:rPr>
              <w:t>卫生防护距离计算系数取值表</w:t>
            </w:r>
          </w:p>
          <w:tbl>
            <w:tblPr>
              <w:tblStyle w:val="25"/>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29"/>
              <w:gridCol w:w="1798"/>
              <w:gridCol w:w="1812"/>
              <w:gridCol w:w="2008"/>
              <w:gridCol w:w="181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pct"/>
                  <w:tcBorders>
                    <w:tl2br w:val="nil"/>
                    <w:tr2bl w:val="nil"/>
                  </w:tcBorders>
                  <w:vAlign w:val="center"/>
                </w:tcPr>
                <w:p>
                  <w:pPr>
                    <w:pStyle w:val="31"/>
                    <w:bidi w:val="0"/>
                    <w:rPr>
                      <w:rFonts w:hint="default"/>
                      <w:lang w:val="en-US" w:eastAsia="zh-CN"/>
                    </w:rPr>
                  </w:pPr>
                  <w:r>
                    <w:rPr>
                      <w:rFonts w:hint="eastAsia"/>
                      <w:lang w:val="en-US" w:eastAsia="zh-CN"/>
                    </w:rPr>
                    <w:t>计算系数</w:t>
                  </w:r>
                </w:p>
              </w:tc>
              <w:tc>
                <w:tcPr>
                  <w:tcW w:w="1002" w:type="pct"/>
                  <w:tcBorders>
                    <w:tl2br w:val="nil"/>
                    <w:tr2bl w:val="nil"/>
                  </w:tcBorders>
                  <w:vAlign w:val="center"/>
                </w:tcPr>
                <w:p>
                  <w:pPr>
                    <w:pStyle w:val="31"/>
                    <w:bidi w:val="0"/>
                    <w:rPr>
                      <w:rFonts w:hint="default"/>
                      <w:lang w:val="en-US" w:eastAsia="zh-CN"/>
                    </w:rPr>
                  </w:pPr>
                  <w:r>
                    <w:rPr>
                      <w:rFonts w:hint="eastAsia"/>
                      <w:lang w:val="en-US" w:eastAsia="zh-CN"/>
                    </w:rPr>
                    <w:t>A</w:t>
                  </w:r>
                </w:p>
              </w:tc>
              <w:tc>
                <w:tcPr>
                  <w:tcW w:w="1010" w:type="pct"/>
                  <w:tcBorders>
                    <w:tl2br w:val="nil"/>
                    <w:tr2bl w:val="nil"/>
                  </w:tcBorders>
                  <w:vAlign w:val="center"/>
                </w:tcPr>
                <w:p>
                  <w:pPr>
                    <w:pStyle w:val="31"/>
                    <w:bidi w:val="0"/>
                    <w:rPr>
                      <w:rFonts w:hint="default"/>
                      <w:lang w:val="en-US" w:eastAsia="zh-CN"/>
                    </w:rPr>
                  </w:pPr>
                  <w:r>
                    <w:rPr>
                      <w:rFonts w:hint="eastAsia"/>
                      <w:lang w:val="en-US" w:eastAsia="zh-CN"/>
                    </w:rPr>
                    <w:t>B</w:t>
                  </w:r>
                </w:p>
              </w:tc>
              <w:tc>
                <w:tcPr>
                  <w:tcW w:w="1119" w:type="pct"/>
                  <w:tcBorders>
                    <w:tl2br w:val="nil"/>
                    <w:tr2bl w:val="nil"/>
                  </w:tcBorders>
                  <w:vAlign w:val="center"/>
                </w:tcPr>
                <w:p>
                  <w:pPr>
                    <w:pStyle w:val="31"/>
                    <w:bidi w:val="0"/>
                    <w:rPr>
                      <w:rFonts w:hint="default"/>
                      <w:lang w:val="en-US" w:eastAsia="zh-CN"/>
                    </w:rPr>
                  </w:pPr>
                  <w:r>
                    <w:rPr>
                      <w:rFonts w:hint="eastAsia"/>
                      <w:lang w:val="en-US" w:eastAsia="zh-CN"/>
                    </w:rPr>
                    <w:t>C</w:t>
                  </w:r>
                </w:p>
              </w:tc>
              <w:tc>
                <w:tcPr>
                  <w:tcW w:w="1014" w:type="pct"/>
                  <w:tcBorders>
                    <w:tl2br w:val="nil"/>
                    <w:tr2bl w:val="nil"/>
                  </w:tcBorders>
                  <w:vAlign w:val="center"/>
                </w:tcPr>
                <w:p>
                  <w:pPr>
                    <w:pStyle w:val="31"/>
                    <w:bidi w:val="0"/>
                    <w:rPr>
                      <w:rFonts w:hint="default"/>
                      <w:lang w:val="en-US" w:eastAsia="zh-CN"/>
                    </w:rPr>
                  </w:pPr>
                  <w:r>
                    <w:rPr>
                      <w:rFonts w:hint="eastAsia"/>
                      <w:lang w:val="en-US" w:eastAsia="zh-CN"/>
                    </w:rPr>
                    <w:t>D</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2" w:type="pct"/>
                  <w:tcBorders>
                    <w:tl2br w:val="nil"/>
                    <w:tr2bl w:val="nil"/>
                  </w:tcBorders>
                  <w:vAlign w:val="center"/>
                </w:tcPr>
                <w:p>
                  <w:pPr>
                    <w:pStyle w:val="31"/>
                    <w:bidi w:val="0"/>
                    <w:rPr>
                      <w:rFonts w:hint="default"/>
                      <w:lang w:val="en-US" w:eastAsia="zh-CN"/>
                    </w:rPr>
                  </w:pPr>
                  <w:r>
                    <w:rPr>
                      <w:rFonts w:hint="eastAsia"/>
                      <w:lang w:val="en-US" w:eastAsia="zh-CN"/>
                    </w:rPr>
                    <w:t>取值</w:t>
                  </w:r>
                </w:p>
              </w:tc>
              <w:tc>
                <w:tcPr>
                  <w:tcW w:w="1002" w:type="pct"/>
                  <w:tcBorders>
                    <w:tl2br w:val="nil"/>
                    <w:tr2bl w:val="nil"/>
                  </w:tcBorders>
                  <w:vAlign w:val="center"/>
                </w:tcPr>
                <w:p>
                  <w:pPr>
                    <w:pStyle w:val="31"/>
                    <w:bidi w:val="0"/>
                    <w:rPr>
                      <w:rFonts w:hint="default"/>
                      <w:lang w:val="en-US" w:eastAsia="zh-CN"/>
                    </w:rPr>
                  </w:pPr>
                  <w:r>
                    <w:rPr>
                      <w:rFonts w:hint="eastAsia"/>
                      <w:lang w:val="en-US" w:eastAsia="zh-CN"/>
                    </w:rPr>
                    <w:t>400</w:t>
                  </w:r>
                </w:p>
              </w:tc>
              <w:tc>
                <w:tcPr>
                  <w:tcW w:w="1010"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0.01</w:t>
                  </w:r>
                </w:p>
              </w:tc>
              <w:tc>
                <w:tcPr>
                  <w:tcW w:w="1119"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1.85</w:t>
                  </w:r>
                </w:p>
              </w:tc>
              <w:tc>
                <w:tcPr>
                  <w:tcW w:w="1014"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0.78</w:t>
                  </w:r>
                </w:p>
              </w:tc>
            </w:tr>
          </w:tbl>
          <w:p>
            <w:pPr>
              <w:pStyle w:val="8"/>
              <w:numPr>
                <w:ilvl w:val="0"/>
                <w:numId w:val="0"/>
              </w:numPr>
              <w:jc w:val="both"/>
              <w:rPr>
                <w:rFonts w:hint="default"/>
                <w:lang w:val="en-US" w:eastAsia="zh-CN"/>
              </w:rPr>
            </w:pPr>
          </w:p>
          <w:p>
            <w:pPr>
              <w:pStyle w:val="30"/>
              <w:bidi w:val="0"/>
              <w:rPr>
                <w:rFonts w:hint="eastAsia"/>
                <w:lang w:val="en-US" w:eastAsia="zh-CN"/>
              </w:rPr>
            </w:pPr>
            <w:r>
              <w:rPr>
                <w:rFonts w:hint="eastAsia"/>
                <w:lang w:val="en-US" w:eastAsia="zh-CN"/>
              </w:rPr>
              <w:t>项目防护距离计算结果</w:t>
            </w:r>
          </w:p>
          <w:tbl>
            <w:tblPr>
              <w:tblStyle w:val="25"/>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8"/>
              <w:gridCol w:w="1174"/>
              <w:gridCol w:w="1183"/>
              <w:gridCol w:w="1310"/>
              <w:gridCol w:w="1186"/>
              <w:gridCol w:w="1007"/>
              <w:gridCol w:w="1066"/>
              <w:gridCol w:w="104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7" w:type="pct"/>
                  <w:tcBorders>
                    <w:tl2br w:val="nil"/>
                    <w:tr2bl w:val="nil"/>
                  </w:tcBorders>
                  <w:vAlign w:val="center"/>
                </w:tcPr>
                <w:p>
                  <w:pPr>
                    <w:pStyle w:val="31"/>
                    <w:bidi w:val="0"/>
                    <w:rPr>
                      <w:rFonts w:hint="default"/>
                      <w:lang w:val="en-US" w:eastAsia="zh-CN"/>
                    </w:rPr>
                  </w:pPr>
                  <w:r>
                    <w:rPr>
                      <w:rFonts w:hint="eastAsia"/>
                      <w:lang w:val="en-US" w:eastAsia="zh-CN"/>
                    </w:rPr>
                    <w:t>区域</w:t>
                  </w:r>
                </w:p>
              </w:tc>
              <w:tc>
                <w:tcPr>
                  <w:tcW w:w="654" w:type="pct"/>
                  <w:tcBorders>
                    <w:tl2br w:val="nil"/>
                    <w:tr2bl w:val="nil"/>
                  </w:tcBorders>
                  <w:vAlign w:val="center"/>
                </w:tcPr>
                <w:p>
                  <w:pPr>
                    <w:pStyle w:val="31"/>
                    <w:bidi w:val="0"/>
                    <w:rPr>
                      <w:rFonts w:hint="default"/>
                      <w:lang w:val="en-US" w:eastAsia="zh-CN"/>
                    </w:rPr>
                  </w:pPr>
                  <w:r>
                    <w:rPr>
                      <w:rFonts w:hint="eastAsia"/>
                      <w:lang w:val="en-US" w:eastAsia="zh-CN"/>
                    </w:rPr>
                    <w:t>污染物</w:t>
                  </w:r>
                </w:p>
              </w:tc>
              <w:tc>
                <w:tcPr>
                  <w:tcW w:w="659" w:type="pct"/>
                  <w:tcBorders>
                    <w:tl2br w:val="nil"/>
                    <w:tr2bl w:val="nil"/>
                  </w:tcBorders>
                  <w:vAlign w:val="center"/>
                </w:tcPr>
                <w:p>
                  <w:pPr>
                    <w:pStyle w:val="31"/>
                    <w:bidi w:val="0"/>
                    <w:rPr>
                      <w:rFonts w:hint="default"/>
                      <w:lang w:val="en-US" w:eastAsia="zh-CN"/>
                    </w:rPr>
                  </w:pPr>
                  <w:r>
                    <w:rPr>
                      <w:rFonts w:hint="eastAsia"/>
                      <w:lang w:val="en-US" w:eastAsia="zh-CN"/>
                    </w:rPr>
                    <w:t>无组织排放速率</w:t>
                  </w:r>
                </w:p>
                <w:p>
                  <w:pPr>
                    <w:pStyle w:val="31"/>
                    <w:bidi w:val="0"/>
                    <w:rPr>
                      <w:rFonts w:hint="default"/>
                      <w:lang w:val="en-US" w:eastAsia="zh-CN"/>
                    </w:rPr>
                  </w:pPr>
                  <w:r>
                    <w:rPr>
                      <w:rFonts w:hint="eastAsia"/>
                      <w:lang w:val="en-US" w:eastAsia="zh-CN"/>
                    </w:rPr>
                    <w:t>（kg/h）</w:t>
                  </w:r>
                </w:p>
              </w:tc>
              <w:tc>
                <w:tcPr>
                  <w:tcW w:w="730" w:type="pct"/>
                  <w:tcBorders>
                    <w:tl2br w:val="nil"/>
                    <w:tr2bl w:val="nil"/>
                  </w:tcBorders>
                  <w:vAlign w:val="center"/>
                </w:tcPr>
                <w:p>
                  <w:pPr>
                    <w:pStyle w:val="31"/>
                    <w:bidi w:val="0"/>
                    <w:rPr>
                      <w:rFonts w:hint="eastAsia"/>
                      <w:lang w:val="en-US" w:eastAsia="zh-CN"/>
                    </w:rPr>
                  </w:pPr>
                  <w:r>
                    <w:rPr>
                      <w:rFonts w:hint="eastAsia"/>
                      <w:lang w:val="en-US" w:eastAsia="zh-CN"/>
                    </w:rPr>
                    <w:t>质量标准</w:t>
                  </w:r>
                </w:p>
                <w:p>
                  <w:pPr>
                    <w:pStyle w:val="31"/>
                    <w:bidi w:val="0"/>
                    <w:rPr>
                      <w:rFonts w:hint="default"/>
                      <w:lang w:val="en-US" w:eastAsia="zh-CN"/>
                    </w:rPr>
                  </w:pPr>
                  <w:r>
                    <w:rPr>
                      <w:rFonts w:hint="eastAsia"/>
                      <w:lang w:val="en-US" w:eastAsia="zh-CN"/>
                    </w:rPr>
                    <w:t>（mg/m³）</w:t>
                  </w:r>
                </w:p>
              </w:tc>
              <w:tc>
                <w:tcPr>
                  <w:tcW w:w="661" w:type="pct"/>
                  <w:tcBorders>
                    <w:tl2br w:val="nil"/>
                    <w:tr2bl w:val="nil"/>
                  </w:tcBorders>
                  <w:vAlign w:val="center"/>
                </w:tcPr>
                <w:p>
                  <w:pPr>
                    <w:pStyle w:val="31"/>
                    <w:bidi w:val="0"/>
                    <w:rPr>
                      <w:rFonts w:hint="default"/>
                      <w:lang w:val="en-US" w:eastAsia="zh-CN"/>
                    </w:rPr>
                  </w:pPr>
                  <w:r>
                    <w:rPr>
                      <w:rFonts w:hint="eastAsia"/>
                      <w:lang w:val="en-US" w:eastAsia="zh-CN"/>
                    </w:rPr>
                    <w:t>生产单元占地面积（m²）</w:t>
                  </w:r>
                </w:p>
              </w:tc>
              <w:tc>
                <w:tcPr>
                  <w:tcW w:w="561" w:type="pct"/>
                  <w:tcBorders>
                    <w:tl2br w:val="nil"/>
                    <w:tr2bl w:val="nil"/>
                  </w:tcBorders>
                  <w:vAlign w:val="center"/>
                </w:tcPr>
                <w:p>
                  <w:pPr>
                    <w:pStyle w:val="31"/>
                    <w:bidi w:val="0"/>
                    <w:rPr>
                      <w:rFonts w:hint="default"/>
                      <w:lang w:val="en-US" w:eastAsia="zh-CN"/>
                    </w:rPr>
                  </w:pPr>
                  <w:r>
                    <w:rPr>
                      <w:rFonts w:hint="eastAsia"/>
                      <w:lang w:val="en-US" w:eastAsia="zh-CN"/>
                    </w:rPr>
                    <w:t>无组织排放源等效半径（m）</w:t>
                  </w:r>
                </w:p>
              </w:tc>
              <w:tc>
                <w:tcPr>
                  <w:tcW w:w="594" w:type="pct"/>
                  <w:tcBorders>
                    <w:tl2br w:val="nil"/>
                    <w:tr2bl w:val="nil"/>
                  </w:tcBorders>
                  <w:vAlign w:val="center"/>
                </w:tcPr>
                <w:p>
                  <w:pPr>
                    <w:pStyle w:val="31"/>
                    <w:bidi w:val="0"/>
                    <w:rPr>
                      <w:rFonts w:hint="default"/>
                      <w:lang w:val="en-US" w:eastAsia="zh-CN"/>
                    </w:rPr>
                  </w:pPr>
                  <w:r>
                    <w:rPr>
                      <w:rFonts w:hint="eastAsia"/>
                      <w:lang w:val="en-US" w:eastAsia="zh-CN"/>
                    </w:rPr>
                    <w:t>计算值（m）</w:t>
                  </w:r>
                </w:p>
              </w:tc>
              <w:tc>
                <w:tcPr>
                  <w:tcW w:w="580" w:type="pct"/>
                  <w:tcBorders>
                    <w:tl2br w:val="nil"/>
                    <w:tr2bl w:val="nil"/>
                  </w:tcBorders>
                  <w:vAlign w:val="center"/>
                </w:tcPr>
                <w:p>
                  <w:pPr>
                    <w:pStyle w:val="31"/>
                    <w:bidi w:val="0"/>
                    <w:rPr>
                      <w:rFonts w:hint="eastAsia"/>
                      <w:lang w:val="en-US" w:eastAsia="zh-CN"/>
                    </w:rPr>
                  </w:pPr>
                  <w:r>
                    <w:rPr>
                      <w:rFonts w:hint="eastAsia"/>
                      <w:lang w:val="en-US" w:eastAsia="zh-CN"/>
                    </w:rPr>
                    <w:t>提级值</w:t>
                  </w:r>
                </w:p>
                <w:p>
                  <w:pPr>
                    <w:jc w:val="center"/>
                    <w:rPr>
                      <w:rFonts w:hint="eastAsia"/>
                      <w:lang w:val="en-US" w:eastAsia="zh-CN"/>
                    </w:rPr>
                  </w:pPr>
                  <w:r>
                    <w:rPr>
                      <w:rFonts w:hint="eastAsia"/>
                      <w:lang w:val="en-US" w:eastAsia="zh-CN"/>
                    </w:rPr>
                    <w:t>（m）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7" w:type="pct"/>
                  <w:tcBorders>
                    <w:tl2br w:val="nil"/>
                    <w:tr2bl w:val="nil"/>
                  </w:tcBorders>
                  <w:vAlign w:val="center"/>
                </w:tcPr>
                <w:p>
                  <w:pPr>
                    <w:pStyle w:val="31"/>
                    <w:bidi w:val="0"/>
                    <w:rPr>
                      <w:rFonts w:hint="default"/>
                      <w:lang w:val="en-US" w:eastAsia="zh-CN"/>
                    </w:rPr>
                  </w:pPr>
                  <w:r>
                    <w:rPr>
                      <w:rFonts w:hint="eastAsia"/>
                      <w:lang w:val="en-US" w:eastAsia="zh-CN"/>
                    </w:rPr>
                    <w:t>储罐区</w:t>
                  </w:r>
                </w:p>
              </w:tc>
              <w:tc>
                <w:tcPr>
                  <w:tcW w:w="654" w:type="pct"/>
                  <w:tcBorders>
                    <w:tl2br w:val="nil"/>
                    <w:tr2bl w:val="nil"/>
                  </w:tcBorders>
                  <w:vAlign w:val="center"/>
                </w:tcPr>
                <w:p>
                  <w:pPr>
                    <w:pStyle w:val="31"/>
                    <w:bidi w:val="0"/>
                    <w:rPr>
                      <w:rFonts w:hint="default"/>
                      <w:lang w:val="en-US" w:eastAsia="zh-CN"/>
                    </w:rPr>
                  </w:pPr>
                  <w:r>
                    <w:rPr>
                      <w:rFonts w:hint="eastAsia" w:cs="Times New Roman"/>
                      <w:color w:val="auto"/>
                      <w:highlight w:val="none"/>
                      <w:lang w:val="en-US" w:eastAsia="zh-CN"/>
                    </w:rPr>
                    <w:t>NMHC</w:t>
                  </w:r>
                </w:p>
              </w:tc>
              <w:tc>
                <w:tcPr>
                  <w:tcW w:w="659"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0.0429</w:t>
                  </w:r>
                </w:p>
              </w:tc>
              <w:tc>
                <w:tcPr>
                  <w:tcW w:w="730"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4.0</w:t>
                  </w:r>
                </w:p>
              </w:tc>
              <w:tc>
                <w:tcPr>
                  <w:tcW w:w="661"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63</w:t>
                  </w:r>
                </w:p>
              </w:tc>
              <w:tc>
                <w:tcPr>
                  <w:tcW w:w="561"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4.478</w:t>
                  </w:r>
                </w:p>
              </w:tc>
              <w:tc>
                <w:tcPr>
                  <w:tcW w:w="594"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2.3</w:t>
                  </w:r>
                </w:p>
              </w:tc>
              <w:tc>
                <w:tcPr>
                  <w:tcW w:w="580" w:type="pct"/>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50</w:t>
                  </w:r>
                </w:p>
              </w:tc>
            </w:tr>
          </w:tbl>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8"/>
              <w:ind w:left="0" w:leftChars="0" w:firstLine="0" w:firstLineChars="0"/>
              <w:jc w:val="center"/>
            </w:pPr>
            <w:r>
              <w:rPr>
                <w:sz w:val="24"/>
              </w:rPr>
              <mc:AlternateContent>
                <mc:Choice Requires="wps">
                  <w:drawing>
                    <wp:anchor distT="0" distB="0" distL="114300" distR="114300" simplePos="0" relativeHeight="251693056" behindDoc="0" locked="0" layoutInCell="1" allowOverlap="1">
                      <wp:simplePos x="0" y="0"/>
                      <wp:positionH relativeFrom="column">
                        <wp:posOffset>2057400</wp:posOffset>
                      </wp:positionH>
                      <wp:positionV relativeFrom="paragraph">
                        <wp:posOffset>1308735</wp:posOffset>
                      </wp:positionV>
                      <wp:extent cx="1623060" cy="1480185"/>
                      <wp:effectExtent l="27940" t="1905" r="6350" b="80010"/>
                      <wp:wrapNone/>
                      <wp:docPr id="221" name="任意多边形 221"/>
                      <wp:cNvGraphicFramePr/>
                      <a:graphic xmlns:a="http://schemas.openxmlformats.org/drawingml/2006/main">
                        <a:graphicData uri="http://schemas.microsoft.com/office/word/2010/wordprocessingShape">
                          <wps:wsp>
                            <wps:cNvSpPr/>
                            <wps:spPr>
                              <a:xfrm rot="1440000">
                                <a:off x="3540760" y="7667625"/>
                                <a:ext cx="1623060" cy="1480185"/>
                              </a:xfrm>
                              <a:custGeom>
                                <a:avLst/>
                                <a:gdLst>
                                  <a:gd name="connsiteX0" fmla="*/ 0 w 2556"/>
                                  <a:gd name="connsiteY0" fmla="*/ 1271 h 2331"/>
                                  <a:gd name="connsiteX1" fmla="*/ 860 w 2556"/>
                                  <a:gd name="connsiteY1" fmla="*/ 106 h 2331"/>
                                  <a:gd name="connsiteX2" fmla="*/ 1051 w 2556"/>
                                  <a:gd name="connsiteY2" fmla="*/ 9 h 2331"/>
                                  <a:gd name="connsiteX3" fmla="*/ 1598 w 2556"/>
                                  <a:gd name="connsiteY3" fmla="*/ 0 h 2331"/>
                                  <a:gd name="connsiteX4" fmla="*/ 2556 w 2556"/>
                                  <a:gd name="connsiteY4" fmla="*/ 1271 h 2331"/>
                                  <a:gd name="connsiteX5" fmla="*/ 2556 w 2556"/>
                                  <a:gd name="connsiteY5" fmla="*/ 1270 h 2331"/>
                                  <a:gd name="connsiteX6" fmla="*/ 1496 w 2556"/>
                                  <a:gd name="connsiteY6" fmla="*/ 2331 h 2331"/>
                                  <a:gd name="connsiteX7" fmla="*/ 1061 w 2556"/>
                                  <a:gd name="connsiteY7" fmla="*/ 2331 h 2331"/>
                                  <a:gd name="connsiteX8" fmla="*/ 0 w 2556"/>
                                  <a:gd name="connsiteY8" fmla="*/ 1271 h 23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56" h="2331">
                                    <a:moveTo>
                                      <a:pt x="0" y="1271"/>
                                    </a:moveTo>
                                    <a:cubicBezTo>
                                      <a:pt x="0" y="685"/>
                                      <a:pt x="274" y="106"/>
                                      <a:pt x="860" y="106"/>
                                    </a:cubicBezTo>
                                    <a:lnTo>
                                      <a:pt x="1051" y="9"/>
                                    </a:lnTo>
                                    <a:lnTo>
                                      <a:pt x="1598" y="0"/>
                                    </a:lnTo>
                                    <a:cubicBezTo>
                                      <a:pt x="2183" y="0"/>
                                      <a:pt x="2556" y="685"/>
                                      <a:pt x="2556" y="1271"/>
                                    </a:cubicBezTo>
                                    <a:lnTo>
                                      <a:pt x="2556" y="1270"/>
                                    </a:lnTo>
                                    <a:cubicBezTo>
                                      <a:pt x="2556" y="1856"/>
                                      <a:pt x="2081" y="2331"/>
                                      <a:pt x="1496" y="2331"/>
                                    </a:cubicBezTo>
                                    <a:lnTo>
                                      <a:pt x="1061" y="2331"/>
                                    </a:lnTo>
                                    <a:cubicBezTo>
                                      <a:pt x="475" y="2331"/>
                                      <a:pt x="0" y="1856"/>
                                      <a:pt x="0" y="1271"/>
                                    </a:cubicBezTo>
                                    <a:close/>
                                  </a:path>
                                </a:pathLst>
                              </a:custGeom>
                              <a:noFill/>
                              <a:ln>
                                <a:solidFill>
                                  <a:srgbClr val="04FAF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162pt;margin-top:103.05pt;height:116.55pt;width:127.8pt;rotation:1572864f;z-index:251693056;v-text-anchor:middle;mso-width-relative:page;mso-height-relative:page;" filled="f" stroked="t" coordsize="2556,2331" o:gfxdata="UEsDBAoAAAAAAIdO4kAAAAAAAAAAAAAAAAAEAAAAZHJzL1BLAwQUAAAACACHTuJAoMmNJtsAAAAL&#10;AQAADwAAAGRycy9kb3ducmV2LnhtbE2PMU/DMBSEdyT+g/WQ2KiTtA1pyEuHSiBgKoWhoxO/xhGx&#10;HdluE/j1mAnG053uvqu2sx7YhZzvrUFIFwkwMq2VvekQPt4f7wpgPggjxWANIXyRh219fVWJUtrJ&#10;vNHlEDoWS4wvBYIKYSw5960iLfzCjmSid7JOixCl67h0YorleuBZkuRci97EBSVG2ilqPw9njWCL&#10;3av7fn7Zr4/zU9NPR67m4oR4e5MmD8ACzeEvDL/4ER3qyNTYs5GeDQjLbBW/BIQsyVNgMbG+3+TA&#10;GoTVcpMBryv+/0P9A1BLAwQUAAAACACHTuJABYi0gGQEAAAmDQAADgAAAGRycy9lMm9Eb2MueG1s&#10;rVfLbuM2FN0X6D8QWhZoLMm2/ECcgZvARYGgEyBTdLqkacoWIJEqScfJrLvvvsuiPzEYTL+mU/Qz&#10;ekhKDu0MKhtoFg4f5x7eJ3l1+eqxKskDV7qQYhYlF3FEuGByVYj1LPrhzeLrcUS0oWJFSyn4LHri&#10;Onp19eUXl7t6ylO5keWKKwISoae7ehZtjKmnvZ5mG15RfSFrLrCZS1VRg6la91aK7sBelb00jrPe&#10;TqpVrSTjWmP1xm9GDaM6hVDmecH4jWTbigvjWRUvqYFJelPUOrpy2uY5Z+Z1nmtuSDmLYKlxvzgE&#10;46X97V1d0ula0XpTsEYFeooKRzZVtBA4dE91Qw0lW1W8oKoKpqSWublgsup5Q5xHYEUSH/nmfkNr&#10;7myBq3W9d7r+/2jZ9w93ihSrWZSmSUQErRDyvz58+PuXXz/98ds/f77/9PF3YrfgqF2tp8Df13eq&#10;mWkMrdWPuaqIkvBuMhjE+HO+gHXkcRb1h4N4lMHhT7NolGWjLB16t/NHQxgASZb2YwtgQCSDcZyM&#10;HaLnie0BbKvNt1xWdkwfbrXxcVth5Ly+ajRnUghdGP4WbHlVIpRf9UhMdiQdDrMm2MfYn0Jsko4S&#10;siFpv+9MRkCP4W/hpj31OOsiD9FJnHVwpwF3Eg+TDs1D+KSDuh9SDyfjDuoQHndQDwJq6+gO6hB+&#10;gr+H57GHcLB36Z4F7Mlg0qV7CLdJ0uGZUcgeZ13xDOEnsOOm3mdiVx6G2COno87WbSXRTVtc7FE0&#10;1YURofZ18GVdS23LOiw11G07RTWhNkEJKVe5/y2M8giFXdGdLIz0D4XTs05GgofC/bOEkcKh8OAs&#10;YWRoKNzedac5DAkYCrtL7WSHIb9C4dFZaiODQuFxKOw1aPJF4dW1723p3lsTEby3yr23SytDpzU1&#10;Ns3aIdnh9bH3M9lgYG9eu1PJB/5GOoyx+eYfEJu6zcHPALZdFuwb/u4lPPMvCY50HOnIBw4XcaOJ&#10;W8Yt7mxrlq0xB4ylCJntvezgk0aRdrv9789KcMc6WFsQ7fYhd6NYMvb52HQkzapzCpx+bEa7Hnjj&#10;kLU964jH3odHSh/KHePH7avZbMRjb/rz++g37M3pjG03On2YHRIB3+r8OY0GI180LX0b0CZuR2q+&#10;SJVDSlZKzf0lZTPR3Vb7lHSKPzcbQi6KsnRZWwqfqGhw0KpQtL45Wk4MqxrtkxbriNByjZ6aGeUy&#10;WMuyWFlxm8RarZfXpSIP1Haig8V8MW8icQCrlTY3VG88zm3tAwZFbQvmmy47WsrVE7o313hBJ12z&#10;RQH5W6rNHVVofrCITt+8xk9eSpQZasqNUGpSvfvcusWjvcRuRHboi2HZz1uqeETK7wQaz4nt8FDY&#10;bjIYjlJMVLizDHfEtrqWMBjBhnZuaPGmbIe5ktWP+CCY21OxRQXD2d6HzeTa+H4dnxSMz+cOhuYZ&#10;EbsV9zWz5NbBQs63RuaFbQ2dn7x3mgnaZxfnptW3/Xk4d6jnz5ur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YBgAAW0NvbnRlbnRfVHlwZXNd&#10;LnhtbFBLAQIUAAoAAAAAAIdO4kAAAAAAAAAAAAAAAAAGAAAAAAAAAAAAEAAAALoFAABfcmVscy9Q&#10;SwECFAAUAAAACACHTuJAihRmPNEAAACUAQAACwAAAAAAAAABACAAAADeBQAAX3JlbHMvLnJlbHNQ&#10;SwECFAAKAAAAAACHTuJAAAAAAAAAAAAAAAAABAAAAAAAAAAAABAAAAAAAAAAZHJzL1BLAQIUABQA&#10;AAAIAIdO4kCgyY0m2wAAAAsBAAAPAAAAAAAAAAEAIAAAACIAAABkcnMvZG93bnJldi54bWxQSwEC&#10;FAAUAAAACACHTuJABYi0gGQEAAAmDQAADgAAAAAAAAABACAAAAAqAQAAZHJzL2Uyb0RvYy54bWxQ&#10;SwUGAAAAAAYABgBZAQAAAAgAAAAA&#10;" path="m0,1271c0,685,274,106,860,106l1051,9,1598,0c2183,0,2556,685,2556,1271l2556,1270c2556,1856,2081,2331,1496,2331l1061,2331c475,2331,0,1856,0,1271xe">
                      <v:path o:connectlocs="0,807085;546100,67310;667385,5715;1014730,0;1623060,807085;1623060,806450;949960,1480185;673735,1480185;0,807085" o:connectangles="0,0,0,0,0,0,0,0,0"/>
                      <v:fill on="f" focussize="0,0"/>
                      <v:stroke weight="2pt" color="#04FAFA [3204]" joinstyle="round"/>
                      <v:imagedata o:title=""/>
                      <o:lock v:ext="edit" aspectratio="f"/>
                    </v:shape>
                  </w:pict>
                </mc:Fallback>
              </mc:AlternateContent>
            </w:r>
            <w:r>
              <w:rPr>
                <w:sz w:val="18"/>
              </w:rPr>
              <mc:AlternateContent>
                <mc:Choice Requires="wpg">
                  <w:drawing>
                    <wp:anchor distT="0" distB="0" distL="114300" distR="114300" simplePos="0" relativeHeight="251692032" behindDoc="0" locked="0" layoutInCell="1" allowOverlap="1">
                      <wp:simplePos x="0" y="0"/>
                      <wp:positionH relativeFrom="column">
                        <wp:posOffset>34925</wp:posOffset>
                      </wp:positionH>
                      <wp:positionV relativeFrom="paragraph">
                        <wp:posOffset>2005965</wp:posOffset>
                      </wp:positionV>
                      <wp:extent cx="1365250" cy="1338580"/>
                      <wp:effectExtent l="4445" t="4445" r="20955" b="9525"/>
                      <wp:wrapNone/>
                      <wp:docPr id="146" name="组合 146"/>
                      <wp:cNvGraphicFramePr/>
                      <a:graphic xmlns:a="http://schemas.openxmlformats.org/drawingml/2006/main">
                        <a:graphicData uri="http://schemas.microsoft.com/office/word/2010/wordprocessingGroup">
                          <wpg:wgp>
                            <wpg:cNvGrpSpPr/>
                            <wpg:grpSpPr>
                              <a:xfrm>
                                <a:off x="0" y="0"/>
                                <a:ext cx="1365250" cy="1338580"/>
                                <a:chOff x="8854" y="620827"/>
                                <a:chExt cx="2150" cy="2108"/>
                              </a:xfrm>
                            </wpg:grpSpPr>
                            <wps:wsp>
                              <wps:cNvPr id="103" name="文本框 103"/>
                              <wps:cNvSpPr txBox="1"/>
                              <wps:spPr>
                                <a:xfrm>
                                  <a:off x="8854" y="620827"/>
                                  <a:ext cx="2150" cy="2108"/>
                                </a:xfrm>
                                <a:prstGeom prst="rect">
                                  <a:avLst/>
                                </a:prstGeom>
                                <a:solidFill>
                                  <a:schemeClr val="lt1">
                                    <a:alpha val="5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24"/>
                                        <w:lang w:val="en-US" w:eastAsia="zh-CN"/>
                                      </w:rPr>
                                    </w:pPr>
                                    <w:r>
                                      <w:rPr>
                                        <w:rFonts w:hint="eastAsia"/>
                                        <w:b/>
                                        <w:bCs/>
                                        <w:sz w:val="24"/>
                                        <w:szCs w:val="24"/>
                                        <w:lang w:val="en-US" w:eastAsia="zh-CN"/>
                                      </w:rPr>
                                      <w:t>图例</w:t>
                                    </w:r>
                                  </w:p>
                                  <w:p>
                                    <w:pPr>
                                      <w:pStyle w:val="28"/>
                                      <w:keepNext w:val="0"/>
                                      <w:keepLines w:val="0"/>
                                      <w:pageBreakBefore w:val="0"/>
                                      <w:widowControl w:val="0"/>
                                      <w:kinsoku/>
                                      <w:wordWrap/>
                                      <w:overflowPunct/>
                                      <w:topLinePunct w:val="0"/>
                                      <w:autoSpaceDE/>
                                      <w:autoSpaceDN/>
                                      <w:bidi w:val="0"/>
                                      <w:adjustRightInd/>
                                      <w:snapToGrid/>
                                      <w:spacing w:line="360" w:lineRule="auto"/>
                                      <w:ind w:left="126" w:leftChars="60" w:firstLine="454" w:firstLineChars="0"/>
                                      <w:textAlignment w:val="auto"/>
                                      <w:rPr>
                                        <w:rFonts w:hint="eastAsia"/>
                                        <w:b w:val="0"/>
                                        <w:bCs w:val="0"/>
                                        <w:sz w:val="21"/>
                                        <w:szCs w:val="21"/>
                                        <w:lang w:val="en-US" w:eastAsia="zh-CN"/>
                                      </w:rPr>
                                    </w:pPr>
                                    <w:r>
                                      <w:rPr>
                                        <w:rFonts w:hint="eastAsia"/>
                                        <w:b w:val="0"/>
                                        <w:bCs w:val="0"/>
                                        <w:sz w:val="21"/>
                                        <w:szCs w:val="21"/>
                                        <w:lang w:val="en-US" w:eastAsia="zh-CN"/>
                                      </w:rPr>
                                      <w:t>项目厂界</w:t>
                                    </w:r>
                                  </w:p>
                                  <w:p>
                                    <w:pPr>
                                      <w:pStyle w:val="28"/>
                                      <w:keepNext w:val="0"/>
                                      <w:keepLines w:val="0"/>
                                      <w:pageBreakBefore w:val="0"/>
                                      <w:widowControl w:val="0"/>
                                      <w:kinsoku/>
                                      <w:wordWrap/>
                                      <w:overflowPunct/>
                                      <w:topLinePunct w:val="0"/>
                                      <w:autoSpaceDE/>
                                      <w:autoSpaceDN/>
                                      <w:bidi w:val="0"/>
                                      <w:adjustRightInd/>
                                      <w:snapToGrid/>
                                      <w:spacing w:line="360" w:lineRule="auto"/>
                                      <w:ind w:left="126" w:leftChars="60" w:firstLine="454" w:firstLineChars="0"/>
                                      <w:textAlignment w:val="auto"/>
                                      <w:rPr>
                                        <w:rFonts w:hint="default"/>
                                        <w:b w:val="0"/>
                                        <w:bCs w:val="0"/>
                                        <w:sz w:val="21"/>
                                        <w:szCs w:val="21"/>
                                        <w:lang w:val="en-US" w:eastAsia="zh-CN"/>
                                      </w:rPr>
                                    </w:pPr>
                                    <w:r>
                                      <w:rPr>
                                        <w:rFonts w:hint="eastAsia"/>
                                        <w:b w:val="0"/>
                                        <w:bCs w:val="0"/>
                                        <w:sz w:val="21"/>
                                        <w:szCs w:val="21"/>
                                        <w:lang w:val="en-US" w:eastAsia="zh-CN"/>
                                      </w:rPr>
                                      <w:t>储罐区位置</w:t>
                                    </w:r>
                                  </w:p>
                                  <w:p>
                                    <w:pPr>
                                      <w:pStyle w:val="28"/>
                                      <w:keepNext w:val="0"/>
                                      <w:keepLines w:val="0"/>
                                      <w:pageBreakBefore w:val="0"/>
                                      <w:widowControl w:val="0"/>
                                      <w:kinsoku/>
                                      <w:wordWrap/>
                                      <w:overflowPunct/>
                                      <w:topLinePunct w:val="0"/>
                                      <w:autoSpaceDE/>
                                      <w:autoSpaceDN/>
                                      <w:bidi w:val="0"/>
                                      <w:adjustRightInd/>
                                      <w:snapToGrid/>
                                      <w:spacing w:line="360" w:lineRule="auto"/>
                                      <w:ind w:left="126" w:leftChars="60" w:firstLine="454" w:firstLineChars="0"/>
                                      <w:textAlignment w:val="auto"/>
                                      <w:rPr>
                                        <w:rFonts w:hint="default"/>
                                        <w:b w:val="0"/>
                                        <w:bCs w:val="0"/>
                                        <w:sz w:val="21"/>
                                        <w:szCs w:val="21"/>
                                        <w:lang w:val="en-US" w:eastAsia="zh-CN"/>
                                      </w:rPr>
                                    </w:pPr>
                                    <w:r>
                                      <w:rPr>
                                        <w:rFonts w:hint="eastAsia"/>
                                        <w:b w:val="0"/>
                                        <w:bCs w:val="0"/>
                                        <w:sz w:val="21"/>
                                        <w:szCs w:val="21"/>
                                        <w:lang w:val="en-US" w:eastAsia="zh-CN"/>
                                      </w:rPr>
                                      <w:t>华源工艺厂区</w:t>
                                    </w:r>
                                  </w:p>
                                  <w:p>
                                    <w:pPr>
                                      <w:pStyle w:val="28"/>
                                      <w:keepNext w:val="0"/>
                                      <w:keepLines w:val="0"/>
                                      <w:pageBreakBefore w:val="0"/>
                                      <w:widowControl w:val="0"/>
                                      <w:kinsoku/>
                                      <w:wordWrap/>
                                      <w:overflowPunct/>
                                      <w:topLinePunct w:val="0"/>
                                      <w:autoSpaceDE/>
                                      <w:autoSpaceDN/>
                                      <w:bidi w:val="0"/>
                                      <w:adjustRightInd/>
                                      <w:snapToGrid/>
                                      <w:spacing w:line="360" w:lineRule="auto"/>
                                      <w:ind w:left="126" w:leftChars="60" w:firstLine="454" w:firstLineChars="0"/>
                                      <w:textAlignment w:val="auto"/>
                                      <w:rPr>
                                        <w:rFonts w:hint="default"/>
                                        <w:b w:val="0"/>
                                        <w:bCs w:val="0"/>
                                        <w:sz w:val="21"/>
                                        <w:szCs w:val="21"/>
                                        <w:lang w:val="en-US" w:eastAsia="zh-CN"/>
                                      </w:rPr>
                                    </w:pPr>
                                    <w:r>
                                      <w:rPr>
                                        <w:rFonts w:hint="eastAsia"/>
                                        <w:b w:val="0"/>
                                        <w:bCs w:val="0"/>
                                        <w:sz w:val="21"/>
                                        <w:szCs w:val="21"/>
                                        <w:lang w:val="en-US" w:eastAsia="zh-CN"/>
                                      </w:rPr>
                                      <w:t>大气防护距离</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wpg:grpSp>
                              <wpg:cNvPr id="139" name="组合 139"/>
                              <wpg:cNvGrpSpPr/>
                              <wpg:grpSpPr>
                                <a:xfrm>
                                  <a:off x="8927" y="621345"/>
                                  <a:ext cx="561" cy="1202"/>
                                  <a:chOff x="7342" y="595417"/>
                                  <a:chExt cx="561" cy="1202"/>
                                </a:xfrm>
                              </wpg:grpSpPr>
                              <wpg:grpSp>
                                <wpg:cNvPr id="56" name="组合 56"/>
                                <wpg:cNvGrpSpPr/>
                                <wpg:grpSpPr>
                                  <a:xfrm>
                                    <a:off x="7370" y="595417"/>
                                    <a:ext cx="533" cy="1202"/>
                                    <a:chOff x="5026" y="947385"/>
                                    <a:chExt cx="620" cy="1203"/>
                                  </a:xfrm>
                                </wpg:grpSpPr>
                                <wps:wsp>
                                  <wps:cNvPr id="57" name="直接连接符 63"/>
                                  <wps:cNvCnPr/>
                                  <wps:spPr>
                                    <a:xfrm>
                                      <a:off x="5057" y="947385"/>
                                      <a:ext cx="55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2" name="直接连接符 64"/>
                                  <wps:cNvCnPr/>
                                  <wps:spPr>
                                    <a:xfrm>
                                      <a:off x="5026" y="948588"/>
                                      <a:ext cx="570" cy="0"/>
                                    </a:xfrm>
                                    <a:prstGeom prst="line">
                                      <a:avLst/>
                                    </a:prstGeom>
                                    <a:ln w="28575">
                                      <a:solidFill>
                                        <a:srgbClr val="04FAFA"/>
                                      </a:solidFill>
                                    </a:ln>
                                  </wps:spPr>
                                  <wps:style>
                                    <a:lnRef idx="1">
                                      <a:schemeClr val="accent1"/>
                                    </a:lnRef>
                                    <a:fillRef idx="0">
                                      <a:schemeClr val="accent1"/>
                                    </a:fillRef>
                                    <a:effectRef idx="0">
                                      <a:schemeClr val="accent1"/>
                                    </a:effectRef>
                                    <a:fontRef idx="minor">
                                      <a:schemeClr val="tx1"/>
                                    </a:fontRef>
                                  </wps:style>
                                  <wps:bodyPr/>
                                </wps:wsp>
                                <wps:wsp>
                                  <wps:cNvPr id="102" name="直接连接符 70"/>
                                  <wps:cNvCnPr/>
                                  <wps:spPr>
                                    <a:xfrm>
                                      <a:off x="5040" y="947808"/>
                                      <a:ext cx="606" cy="0"/>
                                    </a:xfrm>
                                    <a:prstGeom prst="line">
                                      <a:avLst/>
                                    </a:prstGeom>
                                    <a:ln w="28575">
                                      <a:solidFill>
                                        <a:srgbClr val="D7861F"/>
                                      </a:solidFill>
                                    </a:ln>
                                  </wps:spPr>
                                  <wps:style>
                                    <a:lnRef idx="1">
                                      <a:schemeClr val="accent1"/>
                                    </a:lnRef>
                                    <a:fillRef idx="0">
                                      <a:schemeClr val="accent1"/>
                                    </a:fillRef>
                                    <a:effectRef idx="0">
                                      <a:schemeClr val="accent1"/>
                                    </a:effectRef>
                                    <a:fontRef idx="minor">
                                      <a:schemeClr val="tx1"/>
                                    </a:fontRef>
                                  </wps:style>
                                  <wps:bodyPr/>
                                </wps:wsp>
                              </wpg:grpSp>
                              <wps:wsp>
                                <wps:cNvPr id="138" name="直接连接符 64"/>
                                <wps:cNvCnPr/>
                                <wps:spPr>
                                  <a:xfrm>
                                    <a:off x="7342" y="596241"/>
                                    <a:ext cx="553" cy="0"/>
                                  </a:xfrm>
                                  <a:prstGeom prst="line">
                                    <a:avLst/>
                                  </a:prstGeom>
                                  <a:ln w="28575">
                                    <a:solidFill>
                                      <a:srgbClr val="292DE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_x0000_s1026" o:spid="_x0000_s1026" o:spt="203" style="position:absolute;left:0pt;margin-left:2.75pt;margin-top:157.95pt;height:105.4pt;width:107.5pt;z-index:251692032;mso-width-relative:page;mso-height-relative:page;" coordorigin="8854,620827" coordsize="2150,2108" o:gfxdata="UEsDBAoAAAAAAIdO4kAAAAAAAAAAAAAAAAAEAAAAZHJzL1BLAwQUAAAACACHTuJA6TbhHdkAAAAJ&#10;AQAADwAAAGRycy9kb3ducmV2LnhtbE2PwU7DMAyG70i8Q2Qkbixppw4oTSc0AacJiQ1p2i1rvLZa&#10;41RN1m5vjznB0f5+/f5cLC+uEyMOofWkIZkpEEiVty3VGr637w9PIEI0ZE3nCTVcMcCyvL0pTG79&#10;RF84bmItuIRCbjQ0Mfa5lKFq0Jkw8z0Ss6MfnIk8DrW0g5m43HUyVWohnWmJLzSmx1WD1Wlzdho+&#10;JjO9zpO3cX06rq77bfa5Wyeo9f1dol5ARLzEvzD86rM6lOx08GeyQXQasoyDGuZJ9gyCeZoq3hwY&#10;pItHkGUh/39Q/gBQSwMEFAAAAAgAh07iQKTDptxpBAAApA8AAA4AAABkcnMvZTJvRG9jLnhtbM1X&#10;TW8jNRi+I/EfrLnTzHcmUdNVaDYVUsVWKoiz48yXmLGN7TQp5xVwQpz2sgiJA5z2yI0Dv4YuP4PX&#10;9ngS0gZ1YVs1h4nHH6/9Ps/7Pq/n+NmmbdBVLmTN6MQLjnwP5ZSwZU3Liff5Z/OPMg9JhekSN4zm&#10;E+86l96zkw8/OF7zcR6yijXLXCAwQuV4zSdepRQfDwaSVHmL5RHjOYXBgokWK3gV5WAp8Bqst80g&#10;9P10sGZiyQUjuZTQO7ODXmdR3McgK4qa5DNGVm1OlbUq8gYrcElWNZfeiTltUeREvSgKmSvUTDzw&#10;VJknbALthX4OTo7xuBSYVzXpjoDvc4Q9n1pcU9i0NzXDCqOVqG+ZamsimGSFOiKsHVhHDCLgReDv&#10;YXMm2IobX8rxuuQ96EDUHur/2Sz59OpCoHoJkRCnHqK4Bcrf/v7yzx++Q7oH8FnzcgzTzgS/5Bei&#10;6yjtm3Z5U4hW/4MzaGOQve6RzTcKEegMojQJEwCdwFgQRVmSddiTCgjS67IsiT0Ew2noZ+HQMkOq&#10;552FMHDLw8DP9OjAbT3QJ+wPtOYQl3ILlvx/YF1WmOeGA6lRcGD5kQPr5tW3Nz++ufn5GxRAp4HH&#10;zNRgIbX5mGn3Xb+Ezjswu9N3h92/eI7HXEh1lrMW6cbEExDwJg7x1blUFiQ3Re8rWVMv53XTmBdR&#10;Lk4bga4wJMfc/OzahlfY9iY+/DqwpZ1ugP+HnYaiNdAWAUG39tCb93ssGky+dNa2JwEiGwpmNXMW&#10;IN1Sm8WmQ3PBltcApmA2fSUn8xrsnmOpLrCAfIXAAkVTL+BRNAwOw7qWhyomvr6rX8+HyIBRD60h&#10;/yee/GqFRe6h5hMKMTMK4lgLhnmJk2EIL2J3ZLE7QlftKQMUA9BOTkxTz1eNaxaCtV+A8E31rjCE&#10;KYG9J55yzVNlVQmEk+TTqZm04qIuK7sA5IJjdU4vOdHbaKApm64UK2rDs4bM4tQhCTlgc9dkxgNr&#10;RzRy6eC0A3oMe++kHdkIEt9qQBDFibaAxy4PkhTQNfoR+qEd6sVjGMWhWZiMkji4JR63lh7Ujk5I&#10;HhauZF9poePdwRpGQwgkEMxdn3uwIhCoA2AlfggHgIWjeAhK7KB0Sgv62y81gnYQrEcQ2gTioStK&#10;r3+7+f6Xv/74CZ5v3/yK0l2xPaVdZXIK4mpDX5YSX5vac7pHK0msy07rXE1z2tnJa1NTXQvw+IC8&#10;Uqa11UStFcUwS4batNaXAi4o0Gz5ErSGlpD4TQk3MKLEbdnstNZJ864Kb3XTqv8My8rOM6Ks2bxb&#10;UK066OGuRGp5eAQKU8jMAxTGNuxNvbwPhX3cwv3B3AF21EEngw74J0mhH8+n82nHjeHJFWEdYU+e&#10;wgAE9wCHALuRrntzqKuqTcPM3uO2HKY+6NKT5XA2zNJg/hAcbi+wj5SSQQQfee8lJ3cKbxrG5p67&#10;5TNJuiL0JHMyHIWz5+bEoJfvNSd3+TRt+Hgzqtx9aOqvw913I8nbj+uT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bBgAAW0NvbnRlbnRfVHlw&#10;ZXNdLnhtbFBLAQIUAAoAAAAAAIdO4kAAAAAAAAAAAAAAAAAGAAAAAAAAAAAAEAAAAL0FAABfcmVs&#10;cy9QSwECFAAUAAAACACHTuJAihRmPNEAAACUAQAACwAAAAAAAAABACAAAADhBQAAX3JlbHMvLnJl&#10;bHNQSwECFAAKAAAAAACHTuJAAAAAAAAAAAAAAAAABAAAAAAAAAAAABAAAAAAAAAAZHJzL1BLAQIU&#10;ABQAAAAIAIdO4kDpNuEd2QAAAAkBAAAPAAAAAAAAAAEAIAAAACIAAABkcnMvZG93bnJldi54bWxQ&#10;SwECFAAUAAAACACHTuJApMOm3GkEAACkDwAADgAAAAAAAAABACAAAAAoAQAAZHJzL2Uyb0RvYy54&#10;bWxQSwUGAAAAAAYABgBZAQAAAwgAAAAA&#10;">
                      <o:lock v:ext="edit" aspectratio="f"/>
                      <v:shape id="_x0000_s1026" o:spid="_x0000_s1026" o:spt="202" type="#_x0000_t202" style="position:absolute;left:8854;top:620827;height:2108;width:2150;" fillcolor="#FFFFFF [3201]" filled="t" stroked="t" coordsize="21600,21600" o:gfxdata="UEsDBAoAAAAAAIdO4kAAAAAAAAAAAAAAAAAEAAAAZHJzL1BLAwQUAAAACACHTuJA+Wy+RLkAAADc&#10;AAAADwAAAGRycy9kb3ducmV2LnhtbEVPTYvCMBC9L/gfwgh7WxMVRKpRUCgUFhda9T40Y1tsJqWJ&#10;rfvvNwuCt3m8z9nun7YVA/W+caxhPlMgiEtnGq40XM7p1xqED8gGW8ek4Zc87HeTjy0mxo2c01CE&#10;SsQQ9glqqEPoEil9WZNFP3MdceRurrcYIuwraXocY7ht5UKplbTYcGyosaNjTeW9eFgNp0uRDoef&#10;jG2afS98vhrz5jpq/Tmdqw2IQM/wFr/cmYnz1RL+n4kXyN0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lsvkS5AAAA3AAA&#10;AA8AAAAAAAAAAQAgAAAAIgAAAGRycy9kb3ducmV2LnhtbFBLAQIUABQAAAAIAIdO4kAzLwWeOwAA&#10;ADkAAAAQAAAAAAAAAAEAIAAAAAgBAABkcnMvc2hhcGV4bWwueG1sUEsFBgAAAAAGAAYAWwEAALID&#10;AAAAAA==&#10;">
                        <v:fill on="t" opacity="32768f" focussize="0,0"/>
                        <v:stroke weight="0.5pt" color="#000000 [3204]" joinstyle="round"/>
                        <v:imagedata o:title=""/>
                        <o:lock v:ext="edit" aspectratio="f"/>
                        <v:textbox>
                          <w:txbxContent>
                            <w:p>
                              <w:pPr>
                                <w:rPr>
                                  <w:rFonts w:hint="eastAsia"/>
                                  <w:b/>
                                  <w:bCs/>
                                  <w:sz w:val="24"/>
                                  <w:szCs w:val="24"/>
                                  <w:lang w:val="en-US" w:eastAsia="zh-CN"/>
                                </w:rPr>
                              </w:pPr>
                              <w:r>
                                <w:rPr>
                                  <w:rFonts w:hint="eastAsia"/>
                                  <w:b/>
                                  <w:bCs/>
                                  <w:sz w:val="24"/>
                                  <w:szCs w:val="24"/>
                                  <w:lang w:val="en-US" w:eastAsia="zh-CN"/>
                                </w:rPr>
                                <w:t>图例</w:t>
                              </w:r>
                            </w:p>
                            <w:p>
                              <w:pPr>
                                <w:pStyle w:val="28"/>
                                <w:keepNext w:val="0"/>
                                <w:keepLines w:val="0"/>
                                <w:pageBreakBefore w:val="0"/>
                                <w:widowControl w:val="0"/>
                                <w:kinsoku/>
                                <w:wordWrap/>
                                <w:overflowPunct/>
                                <w:topLinePunct w:val="0"/>
                                <w:autoSpaceDE/>
                                <w:autoSpaceDN/>
                                <w:bidi w:val="0"/>
                                <w:adjustRightInd/>
                                <w:snapToGrid/>
                                <w:spacing w:line="360" w:lineRule="auto"/>
                                <w:ind w:left="126" w:leftChars="60" w:firstLine="454" w:firstLineChars="0"/>
                                <w:textAlignment w:val="auto"/>
                                <w:rPr>
                                  <w:rFonts w:hint="eastAsia"/>
                                  <w:b w:val="0"/>
                                  <w:bCs w:val="0"/>
                                  <w:sz w:val="21"/>
                                  <w:szCs w:val="21"/>
                                  <w:lang w:val="en-US" w:eastAsia="zh-CN"/>
                                </w:rPr>
                              </w:pPr>
                              <w:r>
                                <w:rPr>
                                  <w:rFonts w:hint="eastAsia"/>
                                  <w:b w:val="0"/>
                                  <w:bCs w:val="0"/>
                                  <w:sz w:val="21"/>
                                  <w:szCs w:val="21"/>
                                  <w:lang w:val="en-US" w:eastAsia="zh-CN"/>
                                </w:rPr>
                                <w:t>项目厂界</w:t>
                              </w:r>
                            </w:p>
                            <w:p>
                              <w:pPr>
                                <w:pStyle w:val="28"/>
                                <w:keepNext w:val="0"/>
                                <w:keepLines w:val="0"/>
                                <w:pageBreakBefore w:val="0"/>
                                <w:widowControl w:val="0"/>
                                <w:kinsoku/>
                                <w:wordWrap/>
                                <w:overflowPunct/>
                                <w:topLinePunct w:val="0"/>
                                <w:autoSpaceDE/>
                                <w:autoSpaceDN/>
                                <w:bidi w:val="0"/>
                                <w:adjustRightInd/>
                                <w:snapToGrid/>
                                <w:spacing w:line="360" w:lineRule="auto"/>
                                <w:ind w:left="126" w:leftChars="60" w:firstLine="454" w:firstLineChars="0"/>
                                <w:textAlignment w:val="auto"/>
                                <w:rPr>
                                  <w:rFonts w:hint="default"/>
                                  <w:b w:val="0"/>
                                  <w:bCs w:val="0"/>
                                  <w:sz w:val="21"/>
                                  <w:szCs w:val="21"/>
                                  <w:lang w:val="en-US" w:eastAsia="zh-CN"/>
                                </w:rPr>
                              </w:pPr>
                              <w:r>
                                <w:rPr>
                                  <w:rFonts w:hint="eastAsia"/>
                                  <w:b w:val="0"/>
                                  <w:bCs w:val="0"/>
                                  <w:sz w:val="21"/>
                                  <w:szCs w:val="21"/>
                                  <w:lang w:val="en-US" w:eastAsia="zh-CN"/>
                                </w:rPr>
                                <w:t>储罐区位置</w:t>
                              </w:r>
                            </w:p>
                            <w:p>
                              <w:pPr>
                                <w:pStyle w:val="28"/>
                                <w:keepNext w:val="0"/>
                                <w:keepLines w:val="0"/>
                                <w:pageBreakBefore w:val="0"/>
                                <w:widowControl w:val="0"/>
                                <w:kinsoku/>
                                <w:wordWrap/>
                                <w:overflowPunct/>
                                <w:topLinePunct w:val="0"/>
                                <w:autoSpaceDE/>
                                <w:autoSpaceDN/>
                                <w:bidi w:val="0"/>
                                <w:adjustRightInd/>
                                <w:snapToGrid/>
                                <w:spacing w:line="360" w:lineRule="auto"/>
                                <w:ind w:left="126" w:leftChars="60" w:firstLine="454" w:firstLineChars="0"/>
                                <w:textAlignment w:val="auto"/>
                                <w:rPr>
                                  <w:rFonts w:hint="default"/>
                                  <w:b w:val="0"/>
                                  <w:bCs w:val="0"/>
                                  <w:sz w:val="21"/>
                                  <w:szCs w:val="21"/>
                                  <w:lang w:val="en-US" w:eastAsia="zh-CN"/>
                                </w:rPr>
                              </w:pPr>
                              <w:r>
                                <w:rPr>
                                  <w:rFonts w:hint="eastAsia"/>
                                  <w:b w:val="0"/>
                                  <w:bCs w:val="0"/>
                                  <w:sz w:val="21"/>
                                  <w:szCs w:val="21"/>
                                  <w:lang w:val="en-US" w:eastAsia="zh-CN"/>
                                </w:rPr>
                                <w:t>华源工艺厂区</w:t>
                              </w:r>
                            </w:p>
                            <w:p>
                              <w:pPr>
                                <w:pStyle w:val="28"/>
                                <w:keepNext w:val="0"/>
                                <w:keepLines w:val="0"/>
                                <w:pageBreakBefore w:val="0"/>
                                <w:widowControl w:val="0"/>
                                <w:kinsoku/>
                                <w:wordWrap/>
                                <w:overflowPunct/>
                                <w:topLinePunct w:val="0"/>
                                <w:autoSpaceDE/>
                                <w:autoSpaceDN/>
                                <w:bidi w:val="0"/>
                                <w:adjustRightInd/>
                                <w:snapToGrid/>
                                <w:spacing w:line="360" w:lineRule="auto"/>
                                <w:ind w:left="126" w:leftChars="60" w:firstLine="454" w:firstLineChars="0"/>
                                <w:textAlignment w:val="auto"/>
                                <w:rPr>
                                  <w:rFonts w:hint="default"/>
                                  <w:b w:val="0"/>
                                  <w:bCs w:val="0"/>
                                  <w:sz w:val="21"/>
                                  <w:szCs w:val="21"/>
                                  <w:lang w:val="en-US" w:eastAsia="zh-CN"/>
                                </w:rPr>
                              </w:pPr>
                              <w:r>
                                <w:rPr>
                                  <w:rFonts w:hint="eastAsia"/>
                                  <w:b w:val="0"/>
                                  <w:bCs w:val="0"/>
                                  <w:sz w:val="21"/>
                                  <w:szCs w:val="21"/>
                                  <w:lang w:val="en-US" w:eastAsia="zh-CN"/>
                                </w:rPr>
                                <w:t>大气防护距离</w:t>
                              </w:r>
                            </w:p>
                          </w:txbxContent>
                        </v:textbox>
                      </v:shape>
                      <v:group id="_x0000_s1026" o:spid="_x0000_s1026" o:spt="203" style="position:absolute;left:8927;top:621345;height:1202;width:561;" coordorigin="7342,595417" coordsize="561,1202" o:gfxdata="UEsDBAoAAAAAAIdO4kAAAAAAAAAAAAAAAAAEAAAAZHJzL1BLAwQUAAAACACHTuJA0sz+8bwAAADc&#10;AAAADwAAAGRycy9kb3ducmV2LnhtbEVPTYvCMBC9C/6HMIK3Na2yy1qNIqKyB1nYKoi3oRnbYjMp&#10;TWz13xthwds83ufMl3dTiZYaV1pWEI8iEMSZ1SXnCo6H7cc3COeRNVaWScGDHCwX/d4cE207/qM2&#10;9bkIIewSVFB4XydSuqwgg25ka+LAXWxj0AfY5FI32IVwU8lxFH1JgyWHhgJrWheUXdObUbDrsFtN&#10;4k27v17Wj/Ph8/e0j0mp4SCOZiA83f1b/O/+0WH+ZAqvZ8IFcvE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SzP7xvAAAANwAAAAPAAAAAAAAAAEAIAAAACIAAABkcnMvZG93bnJldi54bWxQ&#10;SwECFAAUAAAACACHTuJAMy8FnjsAAAA5AAAAFQAAAAAAAAABACAAAAALAQAAZHJzL2dyb3Vwc2hh&#10;cGV4bWwueG1sUEsFBgAAAAAGAAYAYAEAAMgDAAAAAA==&#10;">
                        <o:lock v:ext="edit" aspectratio="f"/>
                        <v:group id="_x0000_s1026" o:spid="_x0000_s1026" o:spt="203" style="position:absolute;left:7370;top:595417;height:1202;width:533;" coordorigin="5026,947385" coordsize="620,1203" o:gfxdata="UEsDBAoAAAAAAIdO4kAAAAAAAAAAAAAAAAAEAAAAZHJzL1BLAwQUAAAACACHTuJAhMEVOr0AAADb&#10;AAAADwAAAGRycy9kb3ducmV2LnhtbEWPT4vCMBTE7wt+h/CEva1pFUWqqYio7EEWVgXx9mhe/2Dz&#10;UprY6rc3wsIeh5n5DbNcPUwtOmpdZVlBPIpAEGdWV1woOJ92X3MQziNrrC2Tgic5WKWDjyUm2vb8&#10;S93RFyJA2CWooPS+SaR0WUkG3cg2xMHLbWvQB9kWUrfYB7ip5TiKZtJgxWGhxIY2JWW3490o2PfY&#10;ryfxtjvc8s3zepr+XA4xKfU5jKMFCE8P/x/+a39rBdMZvL+EHyDT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hMEVOr0AAADbAAAADwAAAAAAAAABACAAAAAiAAAAZHJzL2Rvd25yZXYueG1s&#10;UEsBAhQAFAAAAAgAh07iQDMvBZ47AAAAOQAAABUAAAAAAAAAAQAgAAAADAEAAGRycy9ncm91cHNo&#10;YXBleG1sLnhtbFBLBQYAAAAABgAGAGABAADJAwAAAAA=&#10;">
                          <o:lock v:ext="edit" aspectratio="f"/>
                          <v:line id="直接连接符 63" o:spid="_x0000_s1026" o:spt="20" style="position:absolute;left:5057;top:947385;height:0;width:555;" filled="f" stroked="t" coordsize="21600,21600" o:gfxdata="UEsDBAoAAAAAAIdO4kAAAAAAAAAAAAAAAAAEAAAAZHJzL1BLAwQUAAAACACHTuJAJlJyur0AAADb&#10;AAAADwAAAGRycy9kb3ducmV2LnhtbEWPT4vCMBTE7wt+h/CEva2pgrtSjaKisIcF2a5/ro/m2RSb&#10;l9LEWr+9EYQ9DjPzG2a26GwlWmp86VjBcJCAIM6dLrlQsP/bfkxA+ICssXJMCu7kYTHvvc0w1e7G&#10;v9RmoRARwj5FBSaEOpXS54Ys+oGriaN3do3FEGVTSN3gLcJtJUdJ8iktlhwXDNa0NpRfsqtV0B0n&#10;S3P6CauNO+zMpTtlth3dlXrvD5MpiEBd+A+/2t9awfgLnl/iD5D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UnK6vQAA&#10;ANsAAAAPAAAAAAAAAAEAIAAAACIAAABkcnMvZG93bnJldi54bWxQSwECFAAUAAAACACHTuJAMy8F&#10;njsAAAA5AAAAEAAAAAAAAAABACAAAAAMAQAAZHJzL3NoYXBleG1sLnhtbFBLBQYAAAAABgAGAFsB&#10;AAC2AwAAAAA=&#10;">
                            <v:fill on="f" focussize="0,0"/>
                            <v:stroke weight="2.25pt" color="#FF0000 [3204]" joinstyle="round"/>
                            <v:imagedata o:title=""/>
                            <o:lock v:ext="edit" aspectratio="f"/>
                          </v:line>
                          <v:line id="直接连接符 64" o:spid="_x0000_s1026" o:spt="20" style="position:absolute;left:5026;top:948588;height:0;width:570;" filled="f" stroked="t" coordsize="21600,21600" o:gfxdata="UEsDBAoAAAAAAIdO4kAAAAAAAAAAAAAAAAAEAAAAZHJzL1BLAwQUAAAACACHTuJAVnsZL70AAADb&#10;AAAADwAAAGRycy9kb3ducmV2LnhtbEWPQWvCQBSE7wX/w/KE3upGLSrR1YNSEMmlthdvj+wziWbf&#10;xt1XY/99t1DocZiZb5jV5uFadacQG88GxqMMFHHpbcOVgc+Pt5cFqCjIFlvPZOCbImzWg6cV5tb3&#10;/E73o1QqQTjmaKAW6XKtY1mTwzjyHXHyzj44lCRDpW3APsFdqydZNtMOG04LNXa0ram8Hr+cAVvI&#10;ri9OPL8JXorp6+4Qzt3BmOfhOFuCEnrIf/ivvbcGZhP4/ZJ+gF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exkvvQAA&#10;ANsAAAAPAAAAAAAAAAEAIAAAACIAAABkcnMvZG93bnJldi54bWxQSwECFAAUAAAACACHTuJAMy8F&#10;njsAAAA5AAAAEAAAAAAAAAABACAAAAAMAQAAZHJzL3NoYXBleG1sLnhtbFBLBQYAAAAABgAGAFsB&#10;AAC2AwAAAAA=&#10;">
                            <v:fill on="f" focussize="0,0"/>
                            <v:stroke weight="2.25pt" color="#04FAFA [3204]" joinstyle="round"/>
                            <v:imagedata o:title=""/>
                            <o:lock v:ext="edit" aspectratio="f"/>
                          </v:line>
                          <v:line id="直接连接符 70" o:spid="_x0000_s1026" o:spt="20" style="position:absolute;left:5040;top:947808;height:0;width:606;" filled="f" stroked="t" coordsize="21600,21600" o:gfxdata="UEsDBAoAAAAAAIdO4kAAAAAAAAAAAAAAAAAEAAAAZHJzL1BLAwQUAAAACACHTuJA9KU1O7sAAADc&#10;AAAADwAAAGRycy9kb3ducmV2LnhtbEVPS2rDMBDdF3IHMYHsGslZpMWxnEVMQqGQUrcHGKyJ5cQa&#10;GUv5nr4qFLqbx/tOsb65XlxoDJ1nDdlcgSBuvOm41fD9tX1+BREissHeM2m4U4B1OXkqMDf+yp90&#10;qWMrUgiHHDXYGIdcytBYchjmfiBO3MGPDmOCYyvNiNcU7nq5UGopHXacGiwOtLHUnOqz07DFvhpe&#10;jh+P3fL0fqz3cVMFW2s9m2ZqBSLSLf6L/9xvJs1XC/h9Jl0gy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KU1O7sAAADc&#10;AAAADwAAAAAAAAABACAAAAAiAAAAZHJzL2Rvd25yZXYueG1sUEsBAhQAFAAAAAgAh07iQDMvBZ47&#10;AAAAOQAAABAAAAAAAAAAAQAgAAAACgEAAGRycy9zaGFwZXhtbC54bWxQSwUGAAAAAAYABgBbAQAA&#10;tAMAAAAA&#10;">
                            <v:fill on="f" focussize="0,0"/>
                            <v:stroke weight="2.25pt" color="#D7861F [3204]" joinstyle="round"/>
                            <v:imagedata o:title=""/>
                            <o:lock v:ext="edit" aspectratio="f"/>
                          </v:line>
                        </v:group>
                        <v:line id="直接连接符 64" o:spid="_x0000_s1026" o:spt="20" style="position:absolute;left:7342;top:596241;height:0;width:553;" filled="f" stroked="t" coordsize="21600,21600" o:gfxdata="UEsDBAoAAAAAAIdO4kAAAAAAAAAAAAAAAAAEAAAAZHJzL1BLAwQUAAAACACHTuJAcqK83LsAAADc&#10;AAAADwAAAGRycy9kb3ducmV2LnhtbEWPS6vCQAyF9xf8D0MEd9epD0Sqo4jgY+tj4TJ0YlvsZEpn&#10;tOqvNwvBXcI5OefLfPl0lXpQE0rPBgb9BBRx5m3JuYHzafM/BRUissXKMxl4UYDlovM3x9T6lg/0&#10;OMZcSQiHFA0UMdap1iEryGHo+5pYtKtvHEZZm1zbBlsJd5UeJslEOyxZGgqsaV1QdjvenQH00/Er&#10;0Obarm7+vduOL9kQ98b0uoNkBirSM/7M3+u9FfyR0MozMoFef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qK83LsAAADc&#10;AAAADwAAAAAAAAABACAAAAAiAAAAZHJzL2Rvd25yZXYueG1sUEsBAhQAFAAAAAgAh07iQDMvBZ47&#10;AAAAOQAAABAAAAAAAAAAAQAgAAAACgEAAGRycy9zaGFwZXhtbC54bWxQSwUGAAAAAAYABgBbAQAA&#10;tAMAAAAA&#10;">
                          <v:fill on="f" focussize="0,0"/>
                          <v:stroke weight="2.25pt" color="#292DE1 [3204]" joinstyle="round"/>
                          <v:imagedata o:title=""/>
                          <o:lock v:ext="edit" aspectratio="f"/>
                        </v:line>
                      </v:group>
                    </v:group>
                  </w:pict>
                </mc:Fallback>
              </mc:AlternateContent>
            </w:r>
            <w:r>
              <w:drawing>
                <wp:inline distT="0" distB="0" distL="114300" distR="114300">
                  <wp:extent cx="5695950" cy="3457575"/>
                  <wp:effectExtent l="0" t="0" r="0" b="9525"/>
                  <wp:docPr id="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
                          <pic:cNvPicPr>
                            <a:picLocks noChangeAspect="1"/>
                          </pic:cNvPicPr>
                        </pic:nvPicPr>
                        <pic:blipFill>
                          <a:blip r:embed="rId22"/>
                          <a:stretch>
                            <a:fillRect/>
                          </a:stretch>
                        </pic:blipFill>
                        <pic:spPr>
                          <a:xfrm>
                            <a:off x="0" y="0"/>
                            <a:ext cx="5695950" cy="3457575"/>
                          </a:xfrm>
                          <a:prstGeom prst="rect">
                            <a:avLst/>
                          </a:prstGeom>
                          <a:noFill/>
                          <a:ln>
                            <a:noFill/>
                          </a:ln>
                        </pic:spPr>
                      </pic:pic>
                    </a:graphicData>
                  </a:graphic>
                </wp:inline>
              </w:drawing>
            </w:r>
          </w:p>
          <w:p>
            <w:pPr>
              <w:pStyle w:val="33"/>
              <w:bidi w:val="0"/>
            </w:pPr>
            <w:bookmarkStart w:id="71" w:name="_Ref2355"/>
            <w:r>
              <w:rPr>
                <w:rFonts w:hint="eastAsia"/>
                <w:lang w:val="en-US" w:eastAsia="zh-CN"/>
              </w:rPr>
              <w:t>大气防护距离示意图</w:t>
            </w:r>
            <w:bookmarkEnd w:id="71"/>
          </w:p>
          <w:p>
            <w:pPr>
              <w:pStyle w:val="8"/>
              <w:ind w:firstLine="480"/>
              <w:jc w:val="center"/>
              <w:rPr>
                <w:rFonts w:hint="eastAsia"/>
                <w:lang w:val="en-US" w:eastAsia="zh-CN"/>
              </w:rPr>
            </w:pPr>
          </w:p>
          <w:p>
            <w:pPr>
              <w:pStyle w:val="8"/>
              <w:ind w:firstLine="480"/>
              <w:rPr>
                <w:rFonts w:hint="default" w:cs="Times New Roman"/>
                <w:color w:val="auto"/>
                <w:kern w:val="2"/>
                <w:szCs w:val="24"/>
                <w:highlight w:val="none"/>
                <w:lang w:val="en-US" w:eastAsia="zh-CN" w:bidi="ar"/>
              </w:rPr>
            </w:pPr>
            <w:r>
              <w:rPr>
                <w:rFonts w:hint="eastAsia" w:cs="Times New Roman"/>
                <w:color w:val="auto"/>
                <w:kern w:val="2"/>
                <w:szCs w:val="24"/>
                <w:highlight w:val="none"/>
                <w:lang w:val="en-US" w:eastAsia="zh-CN" w:bidi="ar"/>
              </w:rPr>
              <w:t>由上图知，本项目的大气防护距离为储罐区50m范围内，该范围内不存在大气环境保护目标，能达到环境防护距离要求。</w:t>
            </w:r>
          </w:p>
          <w:p>
            <w:pPr>
              <w:pStyle w:val="5"/>
              <w:numPr>
                <w:ilvl w:val="2"/>
                <w:numId w:val="3"/>
              </w:numPr>
              <w:rPr>
                <w:rFonts w:hint="eastAsia"/>
                <w:lang w:val="en-US" w:eastAsia="zh-CN"/>
              </w:rPr>
            </w:pPr>
            <w:r>
              <w:rPr>
                <w:rFonts w:hint="eastAsia"/>
                <w:lang w:val="en-US" w:eastAsia="zh-CN"/>
              </w:rPr>
              <w:t>废气环境监测要求</w:t>
            </w:r>
          </w:p>
          <w:p>
            <w:pPr>
              <w:pStyle w:val="8"/>
              <w:numPr>
                <w:ilvl w:val="-1"/>
                <w:numId w:val="0"/>
              </w:numPr>
              <w:ind w:firstLine="480" w:firstLineChars="200"/>
              <w:rPr>
                <w:rFonts w:hint="eastAsia" w:cs="Times New Roman"/>
                <w:color w:val="auto"/>
                <w:highlight w:val="none"/>
                <w:lang w:val="en-US" w:eastAsia="zh-CN"/>
              </w:rPr>
            </w:pPr>
            <w:r>
              <w:rPr>
                <w:rFonts w:hint="eastAsia" w:cs="Times New Roman"/>
                <w:color w:val="auto"/>
                <w:highlight w:val="none"/>
                <w:lang w:val="en-US" w:eastAsia="zh-CN"/>
              </w:rPr>
              <w:t>根据《排污许可证申请与核发技术规范工业固体废物和危险废物治理》（HJ 1033-2019），危险废物贮存单元的污染物监测频次为1次/半年，监测计划如下表。</w:t>
            </w:r>
          </w:p>
          <w:p>
            <w:pPr>
              <w:pStyle w:val="30"/>
              <w:rPr>
                <w:rFonts w:hint="default"/>
                <w:lang w:val="en-US" w:eastAsia="zh-CN"/>
              </w:rPr>
            </w:pPr>
            <w:r>
              <w:rPr>
                <w:rFonts w:hint="eastAsia"/>
                <w:lang w:val="en-US" w:eastAsia="zh-CN"/>
              </w:rPr>
              <w:t>废气环境监测计划</w:t>
            </w:r>
          </w:p>
          <w:tbl>
            <w:tblPr>
              <w:tblStyle w:val="24"/>
              <w:tblW w:w="8238"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11"/>
              <w:gridCol w:w="942"/>
              <w:gridCol w:w="3280"/>
              <w:gridCol w:w="935"/>
              <w:gridCol w:w="177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1311" w:type="dxa"/>
                  <w:tcBorders>
                    <w:tl2br w:val="nil"/>
                    <w:tr2bl w:val="nil"/>
                  </w:tcBorders>
                  <w:vAlign w:val="center"/>
                </w:tcPr>
                <w:p>
                  <w:pPr>
                    <w:pStyle w:val="31"/>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w:t>
                  </w:r>
                </w:p>
              </w:tc>
              <w:tc>
                <w:tcPr>
                  <w:tcW w:w="942" w:type="dxa"/>
                  <w:tcBorders>
                    <w:tl2br w:val="nil"/>
                    <w:tr2bl w:val="nil"/>
                  </w:tcBorders>
                  <w:vAlign w:val="center"/>
                </w:tcPr>
                <w:p>
                  <w:pPr>
                    <w:pStyle w:val="31"/>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w:t>
                  </w:r>
                </w:p>
              </w:tc>
              <w:tc>
                <w:tcPr>
                  <w:tcW w:w="3280" w:type="dxa"/>
                  <w:tcBorders>
                    <w:tl2br w:val="nil"/>
                    <w:tr2bl w:val="nil"/>
                  </w:tcBorders>
                  <w:vAlign w:val="center"/>
                </w:tcPr>
                <w:p>
                  <w:pPr>
                    <w:pStyle w:val="31"/>
                    <w:rPr>
                      <w:rFonts w:hint="default" w:ascii="Times New Roman" w:hAnsi="Times New Roman" w:cs="Times New Roman"/>
                      <w:color w:val="auto"/>
                      <w:highlight w:val="none"/>
                    </w:rPr>
                  </w:pPr>
                  <w:r>
                    <w:rPr>
                      <w:rFonts w:hint="default" w:ascii="Times New Roman" w:hAnsi="Times New Roman" w:cs="Times New Roman"/>
                      <w:color w:val="auto"/>
                      <w:highlight w:val="none"/>
                    </w:rPr>
                    <w:t>执行标准</w:t>
                  </w:r>
                </w:p>
              </w:tc>
              <w:tc>
                <w:tcPr>
                  <w:tcW w:w="935" w:type="dxa"/>
                  <w:tcBorders>
                    <w:tl2br w:val="nil"/>
                    <w:tr2bl w:val="nil"/>
                  </w:tcBorders>
                  <w:vAlign w:val="center"/>
                </w:tcPr>
                <w:p>
                  <w:pPr>
                    <w:pStyle w:val="31"/>
                    <w:rPr>
                      <w:rFonts w:hint="default" w:ascii="Times New Roman" w:hAnsi="Times New Roman" w:cs="Times New Roman"/>
                      <w:color w:val="auto"/>
                      <w:highlight w:val="none"/>
                    </w:rPr>
                  </w:pPr>
                  <w:r>
                    <w:rPr>
                      <w:rFonts w:hint="default" w:ascii="Times New Roman" w:hAnsi="Times New Roman" w:cs="Times New Roman"/>
                      <w:color w:val="auto"/>
                      <w:highlight w:val="none"/>
                    </w:rPr>
                    <w:t>监测频率</w:t>
                  </w:r>
                </w:p>
              </w:tc>
              <w:tc>
                <w:tcPr>
                  <w:tcW w:w="1770" w:type="dxa"/>
                  <w:tcBorders>
                    <w:tl2br w:val="nil"/>
                    <w:tr2bl w:val="nil"/>
                  </w:tcBorders>
                  <w:vAlign w:val="center"/>
                </w:tcPr>
                <w:p>
                  <w:pPr>
                    <w:pStyle w:val="31"/>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监测依据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7" w:hRule="atLeast"/>
                <w:jc w:val="center"/>
              </w:trPr>
              <w:tc>
                <w:tcPr>
                  <w:tcW w:w="1311" w:type="dxa"/>
                  <w:tcBorders>
                    <w:tl2br w:val="nil"/>
                    <w:tr2bl w:val="nil"/>
                  </w:tcBorders>
                  <w:vAlign w:val="center"/>
                </w:tcPr>
                <w:p>
                  <w:pPr>
                    <w:pStyle w:val="31"/>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废气排气筒</w:t>
                  </w:r>
                </w:p>
              </w:tc>
              <w:tc>
                <w:tcPr>
                  <w:tcW w:w="942" w:type="dxa"/>
                  <w:tcBorders>
                    <w:tl2br w:val="nil"/>
                    <w:tr2bl w:val="nil"/>
                  </w:tcBorders>
                  <w:vAlign w:val="center"/>
                </w:tcPr>
                <w:p>
                  <w:pPr>
                    <w:pStyle w:val="31"/>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NMHC</w:t>
                  </w:r>
                </w:p>
              </w:tc>
              <w:tc>
                <w:tcPr>
                  <w:tcW w:w="3280" w:type="dxa"/>
                  <w:tcBorders>
                    <w:tl2br w:val="nil"/>
                    <w:tr2bl w:val="nil"/>
                  </w:tcBorders>
                  <w:vAlign w:val="center"/>
                </w:tcPr>
                <w:p>
                  <w:pPr>
                    <w:pStyle w:val="31"/>
                    <w:rPr>
                      <w:rFonts w:hint="default" w:ascii="Times New Roman" w:hAnsi="Times New Roman" w:cs="Times New Roman"/>
                      <w:color w:val="auto"/>
                      <w:highlight w:val="none"/>
                    </w:rPr>
                  </w:pPr>
                  <w:r>
                    <w:rPr>
                      <w:rFonts w:hint="eastAsia"/>
                      <w:lang w:val="en-US" w:eastAsia="zh-CN"/>
                    </w:rPr>
                    <w:t>《大气污染物综合排放标准》（GB16297-1996）</w:t>
                  </w:r>
                </w:p>
              </w:tc>
              <w:tc>
                <w:tcPr>
                  <w:tcW w:w="935" w:type="dxa"/>
                  <w:tcBorders>
                    <w:tl2br w:val="nil"/>
                    <w:tr2bl w:val="nil"/>
                  </w:tcBorders>
                  <w:vAlign w:val="center"/>
                </w:tcPr>
                <w:p>
                  <w:pPr>
                    <w:pStyle w:val="31"/>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1次/</w:t>
                  </w:r>
                  <w:r>
                    <w:rPr>
                      <w:rFonts w:hint="eastAsia" w:cs="Times New Roman"/>
                      <w:color w:val="auto"/>
                      <w:highlight w:val="none"/>
                      <w:lang w:val="en-US" w:eastAsia="zh-CN"/>
                    </w:rPr>
                    <w:t>半年</w:t>
                  </w:r>
                </w:p>
              </w:tc>
              <w:tc>
                <w:tcPr>
                  <w:tcW w:w="1770" w:type="dxa"/>
                  <w:vMerge w:val="restart"/>
                  <w:tcBorders>
                    <w:tl2br w:val="nil"/>
                    <w:tr2bl w:val="nil"/>
                  </w:tcBorders>
                  <w:vAlign w:val="center"/>
                </w:tcPr>
                <w:p>
                  <w:pPr>
                    <w:pStyle w:val="13"/>
                  </w:pPr>
                  <w:r>
                    <w:rPr>
                      <w:rFonts w:hint="eastAsia"/>
                    </w:rPr>
                    <w:t>《排污许可证申请与核发技术规范工业固体废物和危险废物治理》(HJ1033-2019)</w:t>
                  </w:r>
                </w:p>
                <w:p>
                  <w:pPr>
                    <w:pStyle w:val="31"/>
                    <w:rPr>
                      <w:rFonts w:hint="default" w:ascii="Times New Roman" w:hAnsi="Times New Roman" w:cs="Times New Roman"/>
                      <w:color w:val="auto"/>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1" w:hRule="atLeast"/>
                <w:jc w:val="center"/>
              </w:trPr>
              <w:tc>
                <w:tcPr>
                  <w:tcW w:w="1311" w:type="dxa"/>
                  <w:tcBorders>
                    <w:tl2br w:val="nil"/>
                    <w:tr2bl w:val="nil"/>
                  </w:tcBorders>
                  <w:vAlign w:val="center"/>
                </w:tcPr>
                <w:p>
                  <w:pPr>
                    <w:pStyle w:val="31"/>
                    <w:rPr>
                      <w:rFonts w:hint="default" w:cs="Times New Roman"/>
                      <w:color w:val="auto"/>
                      <w:highlight w:val="none"/>
                      <w:lang w:val="en-US" w:eastAsia="zh-CN"/>
                    </w:rPr>
                  </w:pPr>
                  <w:r>
                    <w:rPr>
                      <w:rFonts w:hint="eastAsia" w:cs="Times New Roman"/>
                      <w:color w:val="auto"/>
                      <w:highlight w:val="none"/>
                      <w:lang w:val="en-US" w:eastAsia="zh-CN"/>
                    </w:rPr>
                    <w:t>厂区无组织废气</w:t>
                  </w:r>
                </w:p>
              </w:tc>
              <w:tc>
                <w:tcPr>
                  <w:tcW w:w="942" w:type="dxa"/>
                  <w:tcBorders>
                    <w:tl2br w:val="nil"/>
                    <w:tr2bl w:val="nil"/>
                  </w:tcBorders>
                  <w:vAlign w:val="center"/>
                </w:tcPr>
                <w:p>
                  <w:pPr>
                    <w:pStyle w:val="31"/>
                    <w:rPr>
                      <w:rFonts w:hint="default" w:cs="Times New Roman"/>
                      <w:color w:val="auto"/>
                      <w:highlight w:val="none"/>
                      <w:lang w:val="en-US" w:eastAsia="zh-CN"/>
                    </w:rPr>
                  </w:pPr>
                  <w:r>
                    <w:rPr>
                      <w:rFonts w:hint="eastAsia" w:cs="Times New Roman"/>
                      <w:color w:val="auto"/>
                      <w:highlight w:val="none"/>
                      <w:lang w:val="en-US" w:eastAsia="zh-CN"/>
                    </w:rPr>
                    <w:t>NMHC</w:t>
                  </w:r>
                </w:p>
              </w:tc>
              <w:tc>
                <w:tcPr>
                  <w:tcW w:w="3280" w:type="dxa"/>
                  <w:tcBorders>
                    <w:tl2br w:val="nil"/>
                    <w:tr2bl w:val="nil"/>
                  </w:tcBorders>
                  <w:vAlign w:val="center"/>
                </w:tcPr>
                <w:p>
                  <w:pPr>
                    <w:pStyle w:val="31"/>
                    <w:rPr>
                      <w:rFonts w:hint="eastAsia"/>
                      <w:lang w:val="en-US" w:eastAsia="zh-CN"/>
                    </w:rPr>
                  </w:pPr>
                  <w:r>
                    <w:rPr>
                      <w:rFonts w:hint="eastAsia"/>
                      <w:lang w:val="en-US" w:eastAsia="zh-CN"/>
                    </w:rPr>
                    <w:t>《大气污染物综合排放标准》（GB16297-1996）、</w:t>
                  </w:r>
                </w:p>
                <w:p>
                  <w:pPr>
                    <w:pStyle w:val="31"/>
                    <w:rPr>
                      <w:rFonts w:hint="eastAsia" w:cs="Times New Roman"/>
                      <w:color w:val="auto"/>
                      <w:highlight w:val="none"/>
                      <w:lang w:val="en-US" w:eastAsia="zh-CN"/>
                    </w:rPr>
                  </w:pPr>
                  <w:r>
                    <w:rPr>
                      <w:rFonts w:hint="eastAsia"/>
                    </w:rPr>
                    <w:t>《挥发性有机物无组织排放控制标准》(GB37822-2019)</w:t>
                  </w:r>
                </w:p>
              </w:tc>
              <w:tc>
                <w:tcPr>
                  <w:tcW w:w="935" w:type="dxa"/>
                  <w:tcBorders>
                    <w:tl2br w:val="nil"/>
                    <w:tr2bl w:val="nil"/>
                  </w:tcBorders>
                  <w:vAlign w:val="center"/>
                </w:tcPr>
                <w:p>
                  <w:pPr>
                    <w:pStyle w:val="31"/>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1次/半年</w:t>
                  </w:r>
                </w:p>
              </w:tc>
              <w:tc>
                <w:tcPr>
                  <w:tcW w:w="1770" w:type="dxa"/>
                  <w:vMerge w:val="continue"/>
                  <w:tcBorders>
                    <w:tl2br w:val="nil"/>
                    <w:tr2bl w:val="nil"/>
                  </w:tcBorders>
                  <w:vAlign w:val="center"/>
                </w:tcPr>
                <w:p>
                  <w:pPr>
                    <w:pStyle w:val="31"/>
                    <w:rPr>
                      <w:rFonts w:hint="default" w:ascii="Times New Roman" w:hAnsi="Times New Roman" w:cs="Times New Roman"/>
                      <w:color w:val="auto"/>
                      <w:highlight w:val="none"/>
                    </w:rPr>
                  </w:pPr>
                </w:p>
              </w:tc>
            </w:tr>
          </w:tbl>
          <w:p>
            <w:pPr>
              <w:rPr>
                <w:rFonts w:hint="default"/>
                <w:lang w:val="en-US" w:eastAsia="zh-CN"/>
              </w:rPr>
            </w:pPr>
          </w:p>
          <w:p>
            <w:pPr>
              <w:pStyle w:val="4"/>
              <w:numPr>
                <w:ilvl w:val="1"/>
                <w:numId w:val="14"/>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p>
            <w:pPr>
              <w:pStyle w:val="8"/>
              <w:numPr>
                <w:ilvl w:val="-1"/>
                <w:numId w:val="0"/>
              </w:numPr>
              <w:ind w:firstLine="480" w:firstLineChars="200"/>
              <w:rPr>
                <w:rFonts w:hint="default" w:cs="Times New Roman"/>
                <w:color w:val="auto"/>
                <w:highlight w:val="none"/>
                <w:lang w:val="en-US" w:eastAsia="zh-CN"/>
              </w:rPr>
            </w:pPr>
            <w:r>
              <w:rPr>
                <w:rFonts w:hint="eastAsia" w:cs="Times New Roman"/>
                <w:color w:val="auto"/>
                <w:highlight w:val="none"/>
                <w:lang w:val="en-US" w:eastAsia="zh-CN"/>
              </w:rPr>
              <w:t>（1）废水污染源分析</w:t>
            </w:r>
          </w:p>
          <w:p>
            <w:pPr>
              <w:pStyle w:val="8"/>
              <w:numPr>
                <w:ilvl w:val="-1"/>
                <w:numId w:val="0"/>
              </w:numPr>
              <w:ind w:firstLine="480" w:firstLineChars="20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①生活污水</w:t>
            </w:r>
          </w:p>
          <w:p>
            <w:pPr>
              <w:pStyle w:val="8"/>
              <w:rPr>
                <w:rFonts w:hint="eastAsia"/>
                <w:color w:val="auto"/>
              </w:rPr>
            </w:pPr>
            <w:r>
              <w:rPr>
                <w:rFonts w:hint="eastAsia" w:cs="Times New Roman"/>
                <w:color w:val="auto"/>
                <w:highlight w:val="none"/>
                <w:lang w:val="en-US" w:eastAsia="zh-CN"/>
              </w:rPr>
              <w:t>本项目生活用水依托厂区，</w:t>
            </w:r>
            <w:r>
              <w:rPr>
                <w:rFonts w:hint="eastAsia"/>
                <w:color w:val="auto"/>
              </w:rPr>
              <w:t>生活污水中的主要污染物为</w:t>
            </w:r>
            <w:r>
              <w:rPr>
                <w:color w:val="auto"/>
              </w:rPr>
              <w:t>COD</w:t>
            </w:r>
            <w:r>
              <w:rPr>
                <w:rFonts w:hint="eastAsia"/>
                <w:color w:val="auto"/>
              </w:rPr>
              <w:t>、</w:t>
            </w:r>
            <w:r>
              <w:rPr>
                <w:color w:val="auto"/>
              </w:rPr>
              <w:t>BOD</w:t>
            </w:r>
            <w:r>
              <w:rPr>
                <w:color w:val="auto"/>
                <w:vertAlign w:val="subscript"/>
              </w:rPr>
              <w:t>5</w:t>
            </w:r>
            <w:r>
              <w:rPr>
                <w:rFonts w:hint="eastAsia"/>
                <w:color w:val="auto"/>
              </w:rPr>
              <w:t>、</w:t>
            </w:r>
            <w:r>
              <w:rPr>
                <w:color w:val="auto"/>
              </w:rPr>
              <w:t>SS</w:t>
            </w:r>
            <w:r>
              <w:rPr>
                <w:rFonts w:hint="eastAsia"/>
                <w:color w:val="auto"/>
              </w:rPr>
              <w:t>和</w:t>
            </w:r>
            <w:r>
              <w:rPr>
                <w:color w:val="auto"/>
              </w:rPr>
              <w:t>NH</w:t>
            </w:r>
            <w:r>
              <w:rPr>
                <w:color w:val="auto"/>
                <w:vertAlign w:val="subscript"/>
              </w:rPr>
              <w:t>3</w:t>
            </w:r>
            <w:r>
              <w:rPr>
                <w:color w:val="auto"/>
              </w:rPr>
              <w:t>-N</w:t>
            </w:r>
            <w:r>
              <w:rPr>
                <w:rFonts w:hint="eastAsia"/>
                <w:color w:val="auto"/>
              </w:rPr>
              <w:t>等，参考《给排水常用数据手册》，取典型生活污水中主要污染浓度为：</w:t>
            </w:r>
            <w:r>
              <w:rPr>
                <w:color w:val="auto"/>
              </w:rPr>
              <w:t>COD</w:t>
            </w:r>
            <w:r>
              <w:rPr>
                <w:rFonts w:hint="eastAsia"/>
                <w:color w:val="auto"/>
              </w:rPr>
              <w:t>：</w:t>
            </w:r>
            <w:r>
              <w:rPr>
                <w:color w:val="auto"/>
              </w:rPr>
              <w:t>400 mg/L</w:t>
            </w:r>
            <w:r>
              <w:rPr>
                <w:rFonts w:hint="eastAsia"/>
                <w:color w:val="auto"/>
              </w:rPr>
              <w:t>、</w:t>
            </w:r>
            <w:r>
              <w:rPr>
                <w:color w:val="auto"/>
              </w:rPr>
              <w:t>BOD</w:t>
            </w:r>
            <w:r>
              <w:rPr>
                <w:color w:val="auto"/>
                <w:vertAlign w:val="subscript"/>
              </w:rPr>
              <w:t>5</w:t>
            </w:r>
            <w:r>
              <w:rPr>
                <w:rFonts w:hint="eastAsia"/>
                <w:color w:val="auto"/>
              </w:rPr>
              <w:t>：</w:t>
            </w:r>
            <w:r>
              <w:rPr>
                <w:color w:val="auto"/>
              </w:rPr>
              <w:t>2</w:t>
            </w:r>
            <w:r>
              <w:rPr>
                <w:rFonts w:hint="eastAsia"/>
                <w:color w:val="auto"/>
                <w:lang w:val="en-US" w:eastAsia="zh-CN"/>
              </w:rPr>
              <w:t>2</w:t>
            </w:r>
            <w:r>
              <w:rPr>
                <w:color w:val="auto"/>
              </w:rPr>
              <w:t>0 mg/L</w:t>
            </w:r>
            <w:r>
              <w:rPr>
                <w:rFonts w:hint="eastAsia"/>
                <w:color w:val="auto"/>
              </w:rPr>
              <w:t>、</w:t>
            </w:r>
            <w:r>
              <w:rPr>
                <w:color w:val="auto"/>
              </w:rPr>
              <w:t>SS</w:t>
            </w:r>
            <w:r>
              <w:rPr>
                <w:rFonts w:hint="eastAsia"/>
                <w:color w:val="auto"/>
              </w:rPr>
              <w:t>：</w:t>
            </w:r>
            <w:r>
              <w:rPr>
                <w:rFonts w:hint="eastAsia"/>
                <w:color w:val="auto"/>
                <w:lang w:val="en-US" w:eastAsia="zh-CN"/>
              </w:rPr>
              <w:t>11</w:t>
            </w:r>
            <w:r>
              <w:rPr>
                <w:color w:val="auto"/>
              </w:rPr>
              <w:t>0 mg/L</w:t>
            </w:r>
            <w:r>
              <w:rPr>
                <w:rFonts w:hint="eastAsia"/>
                <w:color w:val="auto"/>
              </w:rPr>
              <w:t>、</w:t>
            </w:r>
            <w:r>
              <w:rPr>
                <w:color w:val="auto"/>
              </w:rPr>
              <w:t>NH</w:t>
            </w:r>
            <w:r>
              <w:rPr>
                <w:color w:val="auto"/>
                <w:vertAlign w:val="subscript"/>
              </w:rPr>
              <w:t>3</w:t>
            </w:r>
            <w:r>
              <w:rPr>
                <w:color w:val="auto"/>
              </w:rPr>
              <w:t>-N</w:t>
            </w:r>
            <w:r>
              <w:rPr>
                <w:rFonts w:hint="eastAsia"/>
                <w:color w:val="auto"/>
              </w:rPr>
              <w:t>：</w:t>
            </w:r>
            <w:r>
              <w:rPr>
                <w:color w:val="auto"/>
              </w:rPr>
              <w:t>3</w:t>
            </w:r>
            <w:r>
              <w:rPr>
                <w:rFonts w:hint="eastAsia"/>
                <w:color w:val="auto"/>
                <w:lang w:val="en-US" w:eastAsia="zh-CN"/>
              </w:rPr>
              <w:t>0</w:t>
            </w:r>
            <w:r>
              <w:rPr>
                <w:color w:val="auto"/>
              </w:rPr>
              <w:t xml:space="preserve"> mg/L</w:t>
            </w:r>
            <w:r>
              <w:rPr>
                <w:rFonts w:hint="eastAsia"/>
                <w:color w:val="auto"/>
              </w:rPr>
              <w:t>，</w:t>
            </w:r>
            <w:r>
              <w:rPr>
                <w:color w:val="auto"/>
              </w:rPr>
              <w:t>参考环评手册中《常用污水处理设备及去除率》，三级化粪池对污水的处理效率一般为COD：15%、SS：30%、氨氮：3%、BOD</w:t>
            </w:r>
            <w:r>
              <w:rPr>
                <w:color w:val="auto"/>
                <w:vertAlign w:val="subscript"/>
              </w:rPr>
              <w:t>5</w:t>
            </w:r>
            <w:r>
              <w:rPr>
                <w:color w:val="auto"/>
              </w:rPr>
              <w:t>：9%</w:t>
            </w:r>
            <w:r>
              <w:rPr>
                <w:rFonts w:hint="eastAsia"/>
                <w:color w:val="auto"/>
              </w:rPr>
              <w:t>。</w:t>
            </w:r>
          </w:p>
          <w:p>
            <w:pPr>
              <w:pStyle w:val="8"/>
              <w:rPr>
                <w:rFonts w:hint="eastAsia"/>
                <w:color w:val="auto"/>
                <w:lang w:val="en-US" w:eastAsia="zh-CN"/>
              </w:rPr>
            </w:pPr>
            <w:r>
              <w:rPr>
                <w:rFonts w:hint="eastAsia"/>
                <w:color w:val="auto"/>
                <w:lang w:val="en-US" w:eastAsia="zh-CN"/>
              </w:rPr>
              <w:t>②生产废水</w:t>
            </w:r>
          </w:p>
          <w:p>
            <w:pPr>
              <w:pStyle w:val="8"/>
              <w:rPr>
                <w:rFonts w:hint="default"/>
                <w:color w:val="auto"/>
                <w:lang w:val="en-US" w:eastAsia="zh-CN"/>
              </w:rPr>
            </w:pPr>
            <w:r>
              <w:rPr>
                <w:rFonts w:hint="eastAsia"/>
                <w:color w:val="auto"/>
                <w:lang w:val="en-US" w:eastAsia="zh-CN"/>
              </w:rPr>
              <w:t>本项目</w:t>
            </w:r>
            <w:r>
              <w:rPr>
                <w:rFonts w:hint="eastAsia"/>
                <w:color w:val="auto"/>
              </w:rPr>
              <w:t>运输车辆不在项目厂区内清洗，不用水冲洗地面，无地面冲洗水产生；废机油装卸时偶尔有滴漏，采用抹布</w:t>
            </w:r>
            <w:r>
              <w:rPr>
                <w:rFonts w:hint="eastAsia"/>
                <w:color w:val="auto"/>
                <w:lang w:val="en-US" w:eastAsia="zh-CN"/>
              </w:rPr>
              <w:t>、拖布</w:t>
            </w:r>
            <w:r>
              <w:rPr>
                <w:rFonts w:hint="eastAsia"/>
                <w:color w:val="auto"/>
              </w:rPr>
              <w:t>擦拭</w:t>
            </w:r>
            <w:r>
              <w:rPr>
                <w:rFonts w:hint="eastAsia"/>
                <w:color w:val="auto"/>
                <w:lang w:eastAsia="zh-CN"/>
              </w:rPr>
              <w:t>，</w:t>
            </w:r>
            <w:r>
              <w:rPr>
                <w:rFonts w:hint="eastAsia"/>
                <w:color w:val="auto"/>
                <w:lang w:val="en-US" w:eastAsia="zh-CN"/>
              </w:rPr>
              <w:t>因此无生产废水排放。</w:t>
            </w:r>
          </w:p>
          <w:p>
            <w:pPr>
              <w:pStyle w:val="8"/>
              <w:numPr>
                <w:ilvl w:val="0"/>
                <w:numId w:val="0"/>
              </w:numPr>
              <w:ind w:leftChars="200"/>
              <w:rPr>
                <w:rFonts w:hint="eastAsia"/>
                <w:lang w:val="en-US" w:eastAsia="zh-CN"/>
              </w:rPr>
            </w:pPr>
            <w:r>
              <w:rPr>
                <w:rFonts w:hint="eastAsia"/>
                <w:lang w:val="en-US" w:eastAsia="zh-CN"/>
              </w:rPr>
              <w:t>（2）废水影响分析</w:t>
            </w:r>
          </w:p>
          <w:p>
            <w:pPr>
              <w:pStyle w:val="8"/>
              <w:bidi w:val="0"/>
              <w:rPr>
                <w:rFonts w:hint="eastAsia"/>
                <w:lang w:val="en-US" w:eastAsia="zh-CN"/>
              </w:rPr>
            </w:pPr>
            <w:r>
              <w:rPr>
                <w:rFonts w:hint="eastAsia"/>
                <w:lang w:val="en-US" w:eastAsia="zh-CN"/>
              </w:rPr>
              <w:t>本项目</w:t>
            </w:r>
            <w:r>
              <w:rPr>
                <w:rFonts w:hint="eastAsia" w:cs="Times New Roman"/>
                <w:color w:val="auto"/>
                <w:highlight w:val="none"/>
                <w:lang w:val="en-US" w:eastAsia="zh-CN"/>
              </w:rPr>
              <w:t>仅生活污水排放，无生产废水排放。生活污水依托厂区，通过市政管网排入</w:t>
            </w:r>
            <w:r>
              <w:rPr>
                <w:rFonts w:hint="eastAsia"/>
                <w:lang w:val="en-US" w:eastAsia="zh-CN"/>
              </w:rPr>
              <w:t>福建省闽侯县华源工艺品有限公司</w:t>
            </w:r>
            <w:r>
              <w:rPr>
                <w:rFonts w:hint="eastAsia"/>
                <w:color w:val="auto"/>
                <w:sz w:val="24"/>
                <w:highlight w:val="none"/>
                <w:lang w:val="en-US" w:eastAsia="zh-CN"/>
              </w:rPr>
              <w:t>的污水处理厂</w:t>
            </w:r>
            <w:r>
              <w:rPr>
                <w:rFonts w:hint="eastAsia"/>
                <w:color w:val="auto"/>
                <w:sz w:val="24"/>
                <w:lang w:val="en-US" w:eastAsia="zh-CN"/>
              </w:rPr>
              <w:t>处理</w:t>
            </w:r>
            <w:r>
              <w:rPr>
                <w:rFonts w:hint="eastAsia" w:eastAsia="宋体"/>
                <w:color w:val="auto"/>
                <w:sz w:val="24"/>
                <w:lang w:eastAsia="zh-CN"/>
              </w:rPr>
              <w:t>，</w:t>
            </w:r>
            <w:r>
              <w:rPr>
                <w:rFonts w:hint="eastAsia"/>
                <w:lang w:val="en-US" w:eastAsia="zh-CN"/>
              </w:rPr>
              <w:t>对周边环境的影响较小。</w:t>
            </w:r>
          </w:p>
          <w:p>
            <w:pPr>
              <w:pStyle w:val="30"/>
              <w:bidi w:val="0"/>
              <w:rPr>
                <w:rFonts w:hint="eastAsia"/>
                <w:lang w:val="en-US" w:eastAsia="zh-CN"/>
              </w:rPr>
            </w:pPr>
            <w:r>
              <w:rPr>
                <w:rFonts w:hint="eastAsia"/>
                <w:lang w:val="en-US" w:eastAsia="zh-CN"/>
              </w:rPr>
              <w:t>运营期废水产排情况一览表</w:t>
            </w:r>
          </w:p>
          <w:tbl>
            <w:tblPr>
              <w:tblStyle w:val="25"/>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8"/>
              <w:gridCol w:w="901"/>
              <w:gridCol w:w="1245"/>
              <w:gridCol w:w="1254"/>
              <w:gridCol w:w="1073"/>
              <w:gridCol w:w="1258"/>
              <w:gridCol w:w="1075"/>
              <w:gridCol w:w="109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7" w:type="pct"/>
                  <w:tcBorders>
                    <w:tl2br w:val="nil"/>
                    <w:tr2bl w:val="nil"/>
                  </w:tcBorders>
                  <w:vAlign w:val="center"/>
                </w:tcPr>
                <w:p>
                  <w:pPr>
                    <w:pStyle w:val="31"/>
                    <w:bidi w:val="0"/>
                    <w:rPr>
                      <w:rFonts w:hint="default"/>
                      <w:lang w:val="en-US" w:eastAsia="zh-CN"/>
                    </w:rPr>
                  </w:pPr>
                  <w:r>
                    <w:rPr>
                      <w:rFonts w:hint="eastAsia"/>
                      <w:lang w:val="en-US" w:eastAsia="zh-CN"/>
                    </w:rPr>
                    <w:t>类型</w:t>
                  </w:r>
                </w:p>
              </w:tc>
              <w:tc>
                <w:tcPr>
                  <w:tcW w:w="503" w:type="pct"/>
                  <w:tcBorders>
                    <w:tl2br w:val="nil"/>
                    <w:tr2bl w:val="nil"/>
                  </w:tcBorders>
                  <w:vAlign w:val="center"/>
                </w:tcPr>
                <w:p>
                  <w:pPr>
                    <w:pStyle w:val="31"/>
                    <w:bidi w:val="0"/>
                    <w:rPr>
                      <w:rFonts w:hint="eastAsia"/>
                      <w:lang w:val="en-US" w:eastAsia="zh-CN"/>
                    </w:rPr>
                  </w:pPr>
                  <w:r>
                    <w:rPr>
                      <w:rFonts w:hint="eastAsia"/>
                      <w:lang w:val="en-US" w:eastAsia="zh-CN"/>
                    </w:rPr>
                    <w:t>水量</w:t>
                  </w:r>
                </w:p>
                <w:p>
                  <w:pPr>
                    <w:pStyle w:val="31"/>
                    <w:bidi w:val="0"/>
                    <w:rPr>
                      <w:rFonts w:hint="default"/>
                      <w:lang w:val="en-US" w:eastAsia="zh-CN"/>
                    </w:rPr>
                  </w:pPr>
                  <w:r>
                    <w:rPr>
                      <w:rFonts w:hint="eastAsia"/>
                      <w:lang w:val="en-US" w:eastAsia="zh-CN"/>
                    </w:rPr>
                    <w:t>（t/a）</w:t>
                  </w:r>
                </w:p>
              </w:tc>
              <w:tc>
                <w:tcPr>
                  <w:tcW w:w="695" w:type="pct"/>
                  <w:tcBorders>
                    <w:tl2br w:val="nil"/>
                    <w:tr2bl w:val="nil"/>
                  </w:tcBorders>
                  <w:vAlign w:val="center"/>
                </w:tcPr>
                <w:p>
                  <w:pPr>
                    <w:pStyle w:val="31"/>
                    <w:bidi w:val="0"/>
                    <w:rPr>
                      <w:rFonts w:hint="default"/>
                      <w:lang w:val="en-US" w:eastAsia="zh-CN"/>
                    </w:rPr>
                  </w:pPr>
                  <w:r>
                    <w:rPr>
                      <w:rFonts w:hint="eastAsia"/>
                      <w:lang w:val="en-US" w:eastAsia="zh-CN"/>
                    </w:rPr>
                    <w:t>污染物</w:t>
                  </w:r>
                </w:p>
              </w:tc>
              <w:tc>
                <w:tcPr>
                  <w:tcW w:w="700" w:type="pct"/>
                  <w:tcBorders>
                    <w:tl2br w:val="nil"/>
                    <w:tr2bl w:val="nil"/>
                  </w:tcBorders>
                  <w:vAlign w:val="center"/>
                </w:tcPr>
                <w:p>
                  <w:pPr>
                    <w:pStyle w:val="31"/>
                    <w:bidi w:val="0"/>
                    <w:rPr>
                      <w:rFonts w:hint="eastAsia"/>
                      <w:lang w:val="en-US" w:eastAsia="zh-CN"/>
                    </w:rPr>
                  </w:pPr>
                  <w:r>
                    <w:rPr>
                      <w:rFonts w:hint="eastAsia"/>
                      <w:lang w:val="en-US" w:eastAsia="zh-CN"/>
                    </w:rPr>
                    <w:t>产生浓度</w:t>
                  </w:r>
                </w:p>
                <w:p>
                  <w:pPr>
                    <w:pStyle w:val="31"/>
                    <w:bidi w:val="0"/>
                    <w:rPr>
                      <w:rFonts w:hint="default"/>
                      <w:lang w:val="en-US" w:eastAsia="zh-CN"/>
                    </w:rPr>
                  </w:pPr>
                  <w:r>
                    <w:rPr>
                      <w:rFonts w:hint="eastAsia"/>
                      <w:lang w:val="en-US" w:eastAsia="zh-CN"/>
                    </w:rPr>
                    <w:t>（mg/L）</w:t>
                  </w:r>
                </w:p>
              </w:tc>
              <w:tc>
                <w:tcPr>
                  <w:tcW w:w="599" w:type="pct"/>
                  <w:tcBorders>
                    <w:tl2br w:val="nil"/>
                    <w:tr2bl w:val="nil"/>
                  </w:tcBorders>
                  <w:vAlign w:val="center"/>
                </w:tcPr>
                <w:p>
                  <w:pPr>
                    <w:pStyle w:val="31"/>
                    <w:bidi w:val="0"/>
                    <w:rPr>
                      <w:rFonts w:hint="eastAsia"/>
                      <w:lang w:val="en-US" w:eastAsia="zh-CN"/>
                    </w:rPr>
                  </w:pPr>
                  <w:r>
                    <w:rPr>
                      <w:rFonts w:hint="eastAsia"/>
                      <w:lang w:val="en-US" w:eastAsia="zh-CN"/>
                    </w:rPr>
                    <w:t>产生量</w:t>
                  </w:r>
                </w:p>
                <w:p>
                  <w:pPr>
                    <w:pStyle w:val="31"/>
                    <w:bidi w:val="0"/>
                    <w:rPr>
                      <w:rFonts w:hint="default"/>
                      <w:lang w:val="en-US" w:eastAsia="zh-CN"/>
                    </w:rPr>
                  </w:pPr>
                  <w:r>
                    <w:rPr>
                      <w:rFonts w:hint="eastAsia"/>
                      <w:lang w:val="en-US" w:eastAsia="zh-CN"/>
                    </w:rPr>
                    <w:t>（t/a）</w:t>
                  </w:r>
                </w:p>
              </w:tc>
              <w:tc>
                <w:tcPr>
                  <w:tcW w:w="702" w:type="pct"/>
                  <w:tcBorders>
                    <w:tl2br w:val="nil"/>
                    <w:tr2bl w:val="nil"/>
                  </w:tcBorders>
                  <w:vAlign w:val="center"/>
                </w:tcPr>
                <w:p>
                  <w:pPr>
                    <w:pStyle w:val="31"/>
                    <w:bidi w:val="0"/>
                    <w:rPr>
                      <w:rFonts w:hint="eastAsia"/>
                      <w:lang w:val="en-US" w:eastAsia="zh-CN"/>
                    </w:rPr>
                  </w:pPr>
                  <w:r>
                    <w:rPr>
                      <w:rFonts w:hint="eastAsia"/>
                      <w:lang w:val="en-US" w:eastAsia="zh-CN"/>
                    </w:rPr>
                    <w:t>排放浓度</w:t>
                  </w:r>
                </w:p>
                <w:p>
                  <w:pPr>
                    <w:pStyle w:val="31"/>
                    <w:bidi w:val="0"/>
                    <w:rPr>
                      <w:rFonts w:hint="eastAsia"/>
                      <w:lang w:val="en-US" w:eastAsia="zh-CN"/>
                    </w:rPr>
                  </w:pPr>
                  <w:r>
                    <w:rPr>
                      <w:rFonts w:hint="eastAsia"/>
                      <w:lang w:val="en-US" w:eastAsia="zh-CN"/>
                    </w:rPr>
                    <w:t>（mg/L）</w:t>
                  </w:r>
                </w:p>
              </w:tc>
              <w:tc>
                <w:tcPr>
                  <w:tcW w:w="600" w:type="pct"/>
                  <w:tcBorders>
                    <w:tl2br w:val="nil"/>
                    <w:tr2bl w:val="nil"/>
                  </w:tcBorders>
                  <w:vAlign w:val="center"/>
                </w:tcPr>
                <w:p>
                  <w:pPr>
                    <w:pStyle w:val="31"/>
                    <w:bidi w:val="0"/>
                    <w:rPr>
                      <w:rFonts w:hint="eastAsia"/>
                      <w:lang w:val="en-US" w:eastAsia="zh-CN"/>
                    </w:rPr>
                  </w:pPr>
                  <w:r>
                    <w:rPr>
                      <w:rFonts w:hint="eastAsia"/>
                      <w:lang w:val="en-US" w:eastAsia="zh-CN"/>
                    </w:rPr>
                    <w:t>排放量</w:t>
                  </w:r>
                </w:p>
                <w:p>
                  <w:pPr>
                    <w:pStyle w:val="31"/>
                    <w:bidi w:val="0"/>
                    <w:rPr>
                      <w:rFonts w:hint="default"/>
                      <w:lang w:val="en-US" w:eastAsia="zh-CN"/>
                    </w:rPr>
                  </w:pPr>
                  <w:r>
                    <w:rPr>
                      <w:rFonts w:hint="eastAsia"/>
                      <w:lang w:val="en-US" w:eastAsia="zh-CN"/>
                    </w:rPr>
                    <w:t>（t/a）</w:t>
                  </w:r>
                </w:p>
              </w:tc>
              <w:tc>
                <w:tcPr>
                  <w:tcW w:w="600" w:type="pct"/>
                  <w:tcBorders>
                    <w:tl2br w:val="nil"/>
                    <w:tr2bl w:val="nil"/>
                  </w:tcBorders>
                  <w:vAlign w:val="center"/>
                </w:tcPr>
                <w:p>
                  <w:pPr>
                    <w:pStyle w:val="31"/>
                    <w:bidi w:val="0"/>
                    <w:rPr>
                      <w:rFonts w:hint="eastAsia"/>
                      <w:lang w:val="en-US" w:eastAsia="zh-CN"/>
                    </w:rPr>
                  </w:pPr>
                  <w:r>
                    <w:rPr>
                      <w:rFonts w:hint="eastAsia"/>
                      <w:lang w:val="en-US" w:eastAsia="zh-CN"/>
                    </w:rPr>
                    <w:t>排放限值</w:t>
                  </w:r>
                </w:p>
                <w:p>
                  <w:pPr>
                    <w:rPr>
                      <w:rFonts w:hint="eastAsia"/>
                      <w:lang w:val="en-US" w:eastAsia="zh-CN"/>
                    </w:rPr>
                  </w:pPr>
                  <w:r>
                    <w:rPr>
                      <w:rFonts w:hint="eastAsia"/>
                      <w:lang w:val="en-US" w:eastAsia="zh-CN"/>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7" w:type="pct"/>
                  <w:vMerge w:val="restart"/>
                  <w:tcBorders>
                    <w:tl2br w:val="nil"/>
                    <w:tr2bl w:val="nil"/>
                  </w:tcBorders>
                  <w:vAlign w:val="center"/>
                </w:tcPr>
                <w:p>
                  <w:pPr>
                    <w:pStyle w:val="31"/>
                    <w:bidi w:val="0"/>
                    <w:rPr>
                      <w:rFonts w:hint="default"/>
                      <w:lang w:val="en-US" w:eastAsia="zh-CN"/>
                    </w:rPr>
                  </w:pPr>
                  <w:r>
                    <w:rPr>
                      <w:rFonts w:hint="eastAsia"/>
                      <w:lang w:val="en-US" w:eastAsia="zh-CN"/>
                    </w:rPr>
                    <w:t>生活污水</w:t>
                  </w:r>
                </w:p>
              </w:tc>
              <w:tc>
                <w:tcPr>
                  <w:tcW w:w="503" w:type="pct"/>
                  <w:vMerge w:val="restart"/>
                  <w:tcBorders>
                    <w:tl2br w:val="nil"/>
                    <w:tr2bl w:val="nil"/>
                  </w:tcBorders>
                  <w:vAlign w:val="center"/>
                </w:tcPr>
                <w:p>
                  <w:pPr>
                    <w:pStyle w:val="31"/>
                    <w:bidi w:val="0"/>
                    <w:rPr>
                      <w:rFonts w:hint="default"/>
                      <w:lang w:val="en-US" w:eastAsia="zh-CN"/>
                    </w:rPr>
                  </w:pPr>
                  <w:r>
                    <w:rPr>
                      <w:rFonts w:hint="eastAsia"/>
                      <w:lang w:val="en-US" w:eastAsia="zh-CN"/>
                    </w:rPr>
                    <w:t>79.2</w:t>
                  </w:r>
                </w:p>
              </w:tc>
              <w:tc>
                <w:tcPr>
                  <w:tcW w:w="695" w:type="pct"/>
                  <w:tcBorders>
                    <w:tl2br w:val="nil"/>
                    <w:tr2bl w:val="nil"/>
                  </w:tcBorders>
                  <w:vAlign w:val="center"/>
                </w:tcPr>
                <w:p>
                  <w:pPr>
                    <w:pStyle w:val="31"/>
                    <w:bidi w:val="0"/>
                    <w:rPr>
                      <w:rFonts w:hint="default"/>
                      <w:lang w:val="en-US" w:eastAsia="zh-CN"/>
                    </w:rPr>
                  </w:pPr>
                  <w:r>
                    <w:rPr>
                      <w:rFonts w:hint="eastAsia"/>
                      <w:lang w:val="en-US" w:eastAsia="zh-CN"/>
                    </w:rPr>
                    <w:t>COD</w:t>
                  </w:r>
                </w:p>
              </w:tc>
              <w:tc>
                <w:tcPr>
                  <w:tcW w:w="1163"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400</w:t>
                  </w:r>
                </w:p>
              </w:tc>
              <w:tc>
                <w:tcPr>
                  <w:tcW w:w="993"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0.0317</w:t>
                  </w:r>
                </w:p>
              </w:tc>
              <w:tc>
                <w:tcPr>
                  <w:tcW w:w="1167"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340</w:t>
                  </w:r>
                </w:p>
              </w:tc>
              <w:tc>
                <w:tcPr>
                  <w:tcW w:w="996"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0.0269</w:t>
                  </w:r>
                </w:p>
              </w:tc>
              <w:tc>
                <w:tcPr>
                  <w:tcW w:w="1092"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500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7" w:type="pct"/>
                  <w:vMerge w:val="continue"/>
                  <w:tcBorders>
                    <w:tl2br w:val="nil"/>
                    <w:tr2bl w:val="nil"/>
                  </w:tcBorders>
                  <w:vAlign w:val="center"/>
                </w:tcPr>
                <w:p>
                  <w:pPr>
                    <w:pStyle w:val="31"/>
                    <w:bidi w:val="0"/>
                    <w:rPr>
                      <w:rFonts w:hint="eastAsia"/>
                      <w:lang w:val="en-US" w:eastAsia="zh-CN"/>
                    </w:rPr>
                  </w:pPr>
                </w:p>
              </w:tc>
              <w:tc>
                <w:tcPr>
                  <w:tcW w:w="503" w:type="pct"/>
                  <w:vMerge w:val="continue"/>
                  <w:tcBorders>
                    <w:tl2br w:val="nil"/>
                    <w:tr2bl w:val="nil"/>
                  </w:tcBorders>
                  <w:vAlign w:val="center"/>
                </w:tcPr>
                <w:p>
                  <w:pPr>
                    <w:pStyle w:val="31"/>
                    <w:bidi w:val="0"/>
                    <w:rPr>
                      <w:rFonts w:hint="eastAsia"/>
                      <w:lang w:val="en-US" w:eastAsia="zh-CN"/>
                    </w:rPr>
                  </w:pPr>
                </w:p>
              </w:tc>
              <w:tc>
                <w:tcPr>
                  <w:tcW w:w="695" w:type="pct"/>
                  <w:tcBorders>
                    <w:tl2br w:val="nil"/>
                    <w:tr2bl w:val="nil"/>
                  </w:tcBorders>
                  <w:vAlign w:val="center"/>
                </w:tcPr>
                <w:p>
                  <w:pPr>
                    <w:pStyle w:val="31"/>
                    <w:bidi w:val="0"/>
                    <w:rPr>
                      <w:rFonts w:hint="default"/>
                      <w:lang w:val="en-US" w:eastAsia="zh-CN"/>
                    </w:rPr>
                  </w:pPr>
                  <w:r>
                    <w:rPr>
                      <w:rFonts w:hint="eastAsia"/>
                      <w:lang w:val="en-US" w:eastAsia="zh-CN"/>
                    </w:rPr>
                    <w:t>BOD</w:t>
                  </w:r>
                  <w:r>
                    <w:rPr>
                      <w:rFonts w:hint="eastAsia"/>
                      <w:vertAlign w:val="subscript"/>
                      <w:lang w:val="en-US" w:eastAsia="zh-CN"/>
                    </w:rPr>
                    <w:t>5</w:t>
                  </w:r>
                </w:p>
              </w:tc>
              <w:tc>
                <w:tcPr>
                  <w:tcW w:w="1163"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220</w:t>
                  </w:r>
                </w:p>
              </w:tc>
              <w:tc>
                <w:tcPr>
                  <w:tcW w:w="993"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0.0174</w:t>
                  </w:r>
                </w:p>
              </w:tc>
              <w:tc>
                <w:tcPr>
                  <w:tcW w:w="1167"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200.2</w:t>
                  </w:r>
                </w:p>
              </w:tc>
              <w:tc>
                <w:tcPr>
                  <w:tcW w:w="996"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0.0159</w:t>
                  </w:r>
                </w:p>
              </w:tc>
              <w:tc>
                <w:tcPr>
                  <w:tcW w:w="1092"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300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7" w:type="pct"/>
                  <w:vMerge w:val="continue"/>
                  <w:tcBorders>
                    <w:tl2br w:val="nil"/>
                    <w:tr2bl w:val="nil"/>
                  </w:tcBorders>
                  <w:vAlign w:val="center"/>
                </w:tcPr>
                <w:p>
                  <w:pPr>
                    <w:pStyle w:val="31"/>
                    <w:bidi w:val="0"/>
                    <w:rPr>
                      <w:rFonts w:hint="eastAsia"/>
                      <w:lang w:val="en-US" w:eastAsia="zh-CN"/>
                    </w:rPr>
                  </w:pPr>
                </w:p>
              </w:tc>
              <w:tc>
                <w:tcPr>
                  <w:tcW w:w="503" w:type="pct"/>
                  <w:vMerge w:val="continue"/>
                  <w:tcBorders>
                    <w:tl2br w:val="nil"/>
                    <w:tr2bl w:val="nil"/>
                  </w:tcBorders>
                  <w:vAlign w:val="center"/>
                </w:tcPr>
                <w:p>
                  <w:pPr>
                    <w:pStyle w:val="31"/>
                    <w:bidi w:val="0"/>
                    <w:rPr>
                      <w:rFonts w:hint="eastAsia"/>
                      <w:lang w:val="en-US" w:eastAsia="zh-CN"/>
                    </w:rPr>
                  </w:pPr>
                </w:p>
              </w:tc>
              <w:tc>
                <w:tcPr>
                  <w:tcW w:w="695" w:type="pct"/>
                  <w:tcBorders>
                    <w:tl2br w:val="nil"/>
                    <w:tr2bl w:val="nil"/>
                  </w:tcBorders>
                  <w:vAlign w:val="center"/>
                </w:tcPr>
                <w:p>
                  <w:pPr>
                    <w:pStyle w:val="31"/>
                    <w:bidi w:val="0"/>
                    <w:rPr>
                      <w:rFonts w:hint="default"/>
                      <w:lang w:val="en-US" w:eastAsia="zh-CN"/>
                    </w:rPr>
                  </w:pPr>
                  <w:r>
                    <w:rPr>
                      <w:rFonts w:hint="eastAsia"/>
                      <w:lang w:val="en-US" w:eastAsia="zh-CN"/>
                    </w:rPr>
                    <w:t>SS</w:t>
                  </w:r>
                </w:p>
              </w:tc>
              <w:tc>
                <w:tcPr>
                  <w:tcW w:w="1163"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110</w:t>
                  </w:r>
                </w:p>
              </w:tc>
              <w:tc>
                <w:tcPr>
                  <w:tcW w:w="993"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0.0087</w:t>
                  </w:r>
                </w:p>
              </w:tc>
              <w:tc>
                <w:tcPr>
                  <w:tcW w:w="1167"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77</w:t>
                  </w:r>
                </w:p>
              </w:tc>
              <w:tc>
                <w:tcPr>
                  <w:tcW w:w="996"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0.0061</w:t>
                  </w:r>
                </w:p>
              </w:tc>
              <w:tc>
                <w:tcPr>
                  <w:tcW w:w="1092"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7" w:type="pct"/>
                  <w:vMerge w:val="continue"/>
                  <w:tcBorders>
                    <w:tl2br w:val="nil"/>
                    <w:tr2bl w:val="nil"/>
                  </w:tcBorders>
                  <w:vAlign w:val="center"/>
                </w:tcPr>
                <w:p>
                  <w:pPr>
                    <w:pStyle w:val="31"/>
                    <w:bidi w:val="0"/>
                    <w:rPr>
                      <w:rFonts w:hint="eastAsia"/>
                      <w:lang w:val="en-US" w:eastAsia="zh-CN"/>
                    </w:rPr>
                  </w:pPr>
                </w:p>
              </w:tc>
              <w:tc>
                <w:tcPr>
                  <w:tcW w:w="503" w:type="pct"/>
                  <w:vMerge w:val="continue"/>
                  <w:tcBorders>
                    <w:tl2br w:val="nil"/>
                    <w:tr2bl w:val="nil"/>
                  </w:tcBorders>
                  <w:vAlign w:val="center"/>
                </w:tcPr>
                <w:p>
                  <w:pPr>
                    <w:pStyle w:val="31"/>
                    <w:bidi w:val="0"/>
                    <w:rPr>
                      <w:rFonts w:hint="eastAsia"/>
                      <w:lang w:val="en-US" w:eastAsia="zh-CN"/>
                    </w:rPr>
                  </w:pPr>
                </w:p>
              </w:tc>
              <w:tc>
                <w:tcPr>
                  <w:tcW w:w="695" w:type="pct"/>
                  <w:tcBorders>
                    <w:tl2br w:val="nil"/>
                    <w:tr2bl w:val="nil"/>
                  </w:tcBorders>
                  <w:vAlign w:val="center"/>
                </w:tcPr>
                <w:p>
                  <w:pPr>
                    <w:pStyle w:val="31"/>
                    <w:bidi w:val="0"/>
                    <w:rPr>
                      <w:rFonts w:hint="default"/>
                      <w:lang w:val="en-US" w:eastAsia="zh-CN"/>
                    </w:rPr>
                  </w:pPr>
                  <w:r>
                    <w:rPr>
                      <w:rFonts w:hint="eastAsia"/>
                      <w:lang w:val="en-US" w:eastAsia="zh-CN"/>
                    </w:rPr>
                    <w:t>氨氮</w:t>
                  </w:r>
                </w:p>
              </w:tc>
              <w:tc>
                <w:tcPr>
                  <w:tcW w:w="1163"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993"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0.0024</w:t>
                  </w:r>
                </w:p>
              </w:tc>
              <w:tc>
                <w:tcPr>
                  <w:tcW w:w="1167"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29.1</w:t>
                  </w:r>
                </w:p>
              </w:tc>
              <w:tc>
                <w:tcPr>
                  <w:tcW w:w="996"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0.0023</w:t>
                  </w:r>
                </w:p>
              </w:tc>
              <w:tc>
                <w:tcPr>
                  <w:tcW w:w="1092"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default" w:ascii="Times New Roman" w:hAnsi="Times New Roman" w:eastAsia="宋体" w:cs="Times New Roman"/>
                      <w:i w:val="0"/>
                      <w:iCs w:val="0"/>
                      <w:color w:val="000000"/>
                      <w:kern w:val="0"/>
                      <w:sz w:val="21"/>
                      <w:szCs w:val="21"/>
                      <w:u w:val="none"/>
                      <w:lang w:val="en-US" w:eastAsia="zh-CN" w:bidi="ar"/>
                    </w:rPr>
                    <w:t>45</w:t>
                  </w:r>
                </w:p>
              </w:tc>
            </w:tr>
          </w:tbl>
          <w:p>
            <w:pPr>
              <w:pStyle w:val="31"/>
              <w:bidi w:val="0"/>
              <w:jc w:val="left"/>
              <w:rPr>
                <w:rFonts w:hint="default"/>
                <w:lang w:val="en-US" w:eastAsia="zh-CN"/>
              </w:rPr>
            </w:pPr>
            <w:r>
              <w:rPr>
                <w:rFonts w:hint="eastAsia"/>
                <w:lang w:val="en-US" w:eastAsia="zh-CN"/>
              </w:rPr>
              <w:t>注：废水排放执行</w:t>
            </w:r>
            <w:r>
              <w:rPr>
                <w:rFonts w:hint="eastAsia"/>
              </w:rPr>
              <w:t>《污水综合排放标准》（</w:t>
            </w:r>
            <w:r>
              <w:t>GB8978-1996</w:t>
            </w:r>
            <w:r>
              <w:rPr>
                <w:rFonts w:hint="eastAsia"/>
              </w:rPr>
              <w:t>）表</w:t>
            </w:r>
            <w:r>
              <w:t>4</w:t>
            </w:r>
            <w:r>
              <w:rPr>
                <w:rFonts w:hint="eastAsia"/>
              </w:rPr>
              <w:t>中三级标准</w:t>
            </w:r>
          </w:p>
          <w:p>
            <w:pPr>
              <w:pStyle w:val="4"/>
              <w:numPr>
                <w:ilvl w:val="1"/>
                <w:numId w:val="0"/>
              </w:numPr>
              <w:tabs>
                <w:tab w:val="left" w:pos="420"/>
              </w:tabs>
              <w:ind w:leftChars="0"/>
              <w:rPr>
                <w:rFonts w:hint="default" w:ascii="Times New Roman" w:hAnsi="Times New Roman" w:cs="Times New Roman"/>
                <w:color w:val="auto"/>
                <w:highlight w:val="none"/>
              </w:rPr>
            </w:pPr>
          </w:p>
          <w:p>
            <w:pPr>
              <w:pStyle w:val="4"/>
              <w:numPr>
                <w:ilvl w:val="1"/>
                <w:numId w:val="14"/>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噪声</w:t>
            </w:r>
          </w:p>
          <w:p>
            <w:pPr>
              <w:pStyle w:val="8"/>
              <w:numPr>
                <w:ilvl w:val="0"/>
                <w:numId w:val="0"/>
              </w:numPr>
              <w:ind w:left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噪声污染源分析</w:t>
            </w:r>
          </w:p>
          <w:p>
            <w:pPr>
              <w:pStyle w:val="8"/>
              <w:bidi w:val="0"/>
              <w:rPr>
                <w:rFonts w:hint="default"/>
              </w:rPr>
            </w:pPr>
            <w:r>
              <w:rPr>
                <w:color w:val="auto"/>
              </w:rPr>
              <w:t>本项目噪声为</w:t>
            </w:r>
            <w:r>
              <w:rPr>
                <w:rFonts w:hint="eastAsia"/>
                <w:color w:val="auto"/>
                <w:lang w:val="en-US" w:eastAsia="zh-CN"/>
              </w:rPr>
              <w:t>风机、油泵</w:t>
            </w:r>
            <w:r>
              <w:rPr>
                <w:color w:val="auto"/>
              </w:rPr>
              <w:t>产生的噪声，</w:t>
            </w:r>
            <w:r>
              <w:rPr>
                <w:rFonts w:hint="eastAsia"/>
                <w:color w:val="auto"/>
                <w:lang w:val="en-US" w:eastAsia="zh-CN"/>
              </w:rPr>
              <w:t>仅在昼间进行收集贮存工作，</w:t>
            </w:r>
            <w:r>
              <w:rPr>
                <w:rFonts w:hint="eastAsia"/>
                <w:lang w:val="en-US" w:eastAsia="zh-CN"/>
              </w:rPr>
              <w:t>噪声持续时间为8h，</w:t>
            </w:r>
            <w:r>
              <w:rPr>
                <w:rFonts w:hint="eastAsia"/>
                <w:color w:val="auto"/>
                <w:lang w:val="en-US" w:eastAsia="zh-CN"/>
              </w:rPr>
              <w:t>声源</w:t>
            </w:r>
            <w:r>
              <w:rPr>
                <w:rFonts w:hint="eastAsia"/>
                <w:color w:val="auto"/>
              </w:rPr>
              <w:t>均在</w:t>
            </w:r>
            <w:r>
              <w:rPr>
                <w:rFonts w:hint="eastAsia"/>
                <w:color w:val="auto"/>
                <w:lang w:val="en-US" w:eastAsia="zh-CN"/>
              </w:rPr>
              <w:t>储罐区，</w:t>
            </w:r>
            <w:r>
              <w:rPr>
                <w:color w:val="auto"/>
              </w:rPr>
              <w:t>因此将</w:t>
            </w:r>
            <w:r>
              <w:rPr>
                <w:rFonts w:hint="eastAsia"/>
                <w:color w:val="auto"/>
                <w:lang w:val="en-US" w:eastAsia="zh-CN"/>
              </w:rPr>
              <w:t>该区域</w:t>
            </w:r>
            <w:r>
              <w:rPr>
                <w:color w:val="auto"/>
              </w:rPr>
              <w:t>作为一个整体噪声源考虑。</w:t>
            </w:r>
            <w:r>
              <w:rPr>
                <w:rFonts w:hint="eastAsia"/>
                <w:color w:val="000000" w:themeColor="text1"/>
                <w:highlight w:val="none"/>
                <w:lang w:val="en-US" w:eastAsia="zh-CN"/>
                <w14:textFill>
                  <w14:solidFill>
                    <w14:schemeClr w14:val="tx1"/>
                  </w14:solidFill>
                </w14:textFill>
              </w:rPr>
              <w:t>以</w:t>
            </w:r>
            <w:r>
              <w:rPr>
                <w:rFonts w:hint="default" w:ascii="Times New Roman" w:hAnsi="Times New Roman" w:eastAsia="宋体" w:cs="Times New Roman"/>
                <w:caps w:val="0"/>
                <w:smallCaps w:val="0"/>
                <w:color w:val="000000" w:themeColor="text1"/>
                <w:highlight w:val="none"/>
                <w14:textFill>
                  <w14:solidFill>
                    <w14:schemeClr w14:val="tx1"/>
                  </w14:solidFill>
                </w14:textFill>
              </w:rPr>
              <w:t>地平面为Z轴0点，正北方向为Y轴正方向，正东方向为X轴正方向，</w:t>
            </w:r>
            <w:r>
              <w:rPr>
                <w:rFonts w:hint="eastAsia" w:ascii="Times New Roman" w:hAnsi="Times New Roman" w:cs="Times New Roman"/>
                <w:caps w:val="0"/>
                <w:smallCaps w:val="0"/>
                <w:color w:val="000000" w:themeColor="text1"/>
                <w:highlight w:val="none"/>
                <w:lang w:val="en-US" w:eastAsia="zh-CN"/>
                <w14:textFill>
                  <w14:solidFill>
                    <w14:schemeClr w14:val="tx1"/>
                  </w14:solidFill>
                </w14:textFill>
              </w:rPr>
              <w:t>厂界</w:t>
            </w:r>
            <w:r>
              <w:rPr>
                <w:rFonts w:hint="eastAsia" w:cs="Times New Roman"/>
                <w:caps w:val="0"/>
                <w:smallCaps w:val="0"/>
                <w:color w:val="000000" w:themeColor="text1"/>
                <w:highlight w:val="none"/>
                <w:lang w:val="en-US" w:eastAsia="zh-CN"/>
                <w14:textFill>
                  <w14:solidFill>
                    <w14:schemeClr w14:val="tx1"/>
                  </w14:solidFill>
                </w14:textFill>
              </w:rPr>
              <w:t>最南</w:t>
            </w:r>
            <w:r>
              <w:rPr>
                <w:rFonts w:hint="default" w:ascii="Times New Roman" w:hAnsi="Times New Roman" w:eastAsia="宋体" w:cs="Times New Roman"/>
                <w:caps w:val="0"/>
                <w:smallCaps w:val="0"/>
                <w:color w:val="000000" w:themeColor="text1"/>
                <w:highlight w:val="none"/>
                <w14:textFill>
                  <w14:solidFill>
                    <w14:schemeClr w14:val="tx1"/>
                  </w14:solidFill>
                </w14:textFill>
              </w:rPr>
              <w:t>侧角落坐标</w:t>
            </w:r>
            <w:r>
              <w:rPr>
                <w:rFonts w:hint="eastAsia"/>
                <w:color w:val="000000" w:themeColor="text1"/>
                <w:highlight w:val="none"/>
                <w:lang w:val="en-US" w:eastAsia="zh-CN"/>
                <w14:textFill>
                  <w14:solidFill>
                    <w14:schemeClr w14:val="tx1"/>
                  </w14:solidFill>
                </w14:textFill>
              </w:rPr>
              <w:t>为原点（X=0，Y=0，Z=0），</w:t>
            </w:r>
            <w:r>
              <w:rPr>
                <w:rFonts w:hint="default"/>
              </w:rPr>
              <w:t>噪声源强</w:t>
            </w:r>
            <w:r>
              <w:rPr>
                <w:rFonts w:hint="default"/>
                <w:lang w:val="en-US" w:eastAsia="zh-CN"/>
              </w:rPr>
              <w:t>及设备分布情况</w:t>
            </w:r>
            <w:r>
              <w:rPr>
                <w:rFonts w:hint="default"/>
              </w:rPr>
              <w:t>见下表。</w:t>
            </w:r>
          </w:p>
          <w:p>
            <w:pPr>
              <w:pStyle w:val="30"/>
              <w:bidi w:val="0"/>
              <w:rPr>
                <w:rFonts w:hint="default"/>
              </w:rPr>
            </w:pPr>
            <w:bookmarkStart w:id="72" w:name="_Ref28004"/>
            <w:r>
              <w:rPr>
                <w:rFonts w:hint="eastAsia"/>
                <w:lang w:val="en-US" w:eastAsia="zh-CN"/>
              </w:rPr>
              <w:t>工业企业噪声源强调查清单（室内声源）</w:t>
            </w:r>
            <w:bookmarkEnd w:id="72"/>
          </w:p>
          <w:tbl>
            <w:tblPr>
              <w:tblStyle w:val="25"/>
              <w:tblW w:w="4872"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0"/>
              <w:gridCol w:w="770"/>
              <w:gridCol w:w="876"/>
              <w:gridCol w:w="817"/>
              <w:gridCol w:w="1163"/>
              <w:gridCol w:w="733"/>
              <w:gridCol w:w="1004"/>
              <w:gridCol w:w="1072"/>
              <w:gridCol w:w="80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8" w:type="pct"/>
                  <w:vMerge w:val="restart"/>
                  <w:tcBorders>
                    <w:tl2br w:val="nil"/>
                    <w:tr2bl w:val="nil"/>
                  </w:tcBorders>
                  <w:vAlign w:val="center"/>
                </w:tcPr>
                <w:p>
                  <w:pPr>
                    <w:pStyle w:val="31"/>
                    <w:bidi w:val="0"/>
                    <w:rPr>
                      <w:rFonts w:hint="default"/>
                    </w:rPr>
                  </w:pPr>
                  <w:r>
                    <w:rPr>
                      <w:rFonts w:hint="default"/>
                    </w:rPr>
                    <w:t>噪声源</w:t>
                  </w:r>
                </w:p>
              </w:tc>
              <w:tc>
                <w:tcPr>
                  <w:tcW w:w="1408" w:type="pct"/>
                  <w:gridSpan w:val="3"/>
                  <w:tcBorders>
                    <w:tl2br w:val="nil"/>
                    <w:tr2bl w:val="nil"/>
                  </w:tcBorders>
                  <w:vAlign w:val="center"/>
                </w:tcPr>
                <w:p>
                  <w:pPr>
                    <w:pStyle w:val="31"/>
                    <w:bidi w:val="0"/>
                    <w:rPr>
                      <w:rFonts w:hint="default" w:eastAsia="宋体"/>
                      <w:lang w:val="en-US" w:eastAsia="zh-CN"/>
                    </w:rPr>
                  </w:pPr>
                  <w:r>
                    <w:rPr>
                      <w:rFonts w:hint="eastAsia"/>
                      <w:lang w:val="en-US" w:eastAsia="zh-CN"/>
                    </w:rPr>
                    <w:t>空间相对位置</w:t>
                  </w:r>
                </w:p>
              </w:tc>
              <w:tc>
                <w:tcPr>
                  <w:tcW w:w="665" w:type="pct"/>
                  <w:vMerge w:val="restart"/>
                  <w:tcBorders>
                    <w:tl2br w:val="nil"/>
                    <w:tr2bl w:val="nil"/>
                  </w:tcBorders>
                  <w:vAlign w:val="center"/>
                </w:tcPr>
                <w:p>
                  <w:pPr>
                    <w:pStyle w:val="31"/>
                    <w:bidi w:val="0"/>
                    <w:rPr>
                      <w:rFonts w:hint="default"/>
                    </w:rPr>
                  </w:pPr>
                  <w:r>
                    <w:rPr>
                      <w:rFonts w:hint="default"/>
                    </w:rPr>
                    <w:t>单台声级</w:t>
                  </w:r>
                  <w:r>
                    <w:rPr>
                      <w:rFonts w:hint="eastAsia"/>
                      <w:lang w:val="en-US" w:eastAsia="zh-CN"/>
                    </w:rPr>
                    <w:t>/</w:t>
                  </w:r>
                  <w:r>
                    <w:rPr>
                      <w:rFonts w:hint="default"/>
                    </w:rPr>
                    <w:t>dB(A)</w:t>
                  </w:r>
                </w:p>
              </w:tc>
              <w:tc>
                <w:tcPr>
                  <w:tcW w:w="419" w:type="pct"/>
                  <w:vMerge w:val="restart"/>
                  <w:tcBorders>
                    <w:tl2br w:val="nil"/>
                    <w:tr2bl w:val="nil"/>
                  </w:tcBorders>
                  <w:vAlign w:val="center"/>
                </w:tcPr>
                <w:p>
                  <w:pPr>
                    <w:pStyle w:val="31"/>
                    <w:bidi w:val="0"/>
                    <w:rPr>
                      <w:rFonts w:hint="default"/>
                    </w:rPr>
                  </w:pPr>
                  <w:r>
                    <w:rPr>
                      <w:rFonts w:hint="default"/>
                    </w:rPr>
                    <w:t>台数</w:t>
                  </w:r>
                </w:p>
              </w:tc>
              <w:tc>
                <w:tcPr>
                  <w:tcW w:w="574" w:type="pct"/>
                  <w:vMerge w:val="restart"/>
                  <w:tcBorders>
                    <w:tl2br w:val="nil"/>
                    <w:tr2bl w:val="nil"/>
                  </w:tcBorders>
                  <w:vAlign w:val="center"/>
                </w:tcPr>
                <w:p>
                  <w:pPr>
                    <w:pStyle w:val="31"/>
                    <w:bidi w:val="0"/>
                    <w:rPr>
                      <w:rFonts w:hint="default"/>
                    </w:rPr>
                  </w:pPr>
                  <w:r>
                    <w:rPr>
                      <w:rFonts w:hint="eastAsia"/>
                      <w:lang w:val="en-US" w:eastAsia="zh-CN"/>
                    </w:rPr>
                    <w:t>室内边界声级/dB</w:t>
                  </w:r>
                  <w:r>
                    <w:rPr>
                      <w:rFonts w:hint="default"/>
                    </w:rPr>
                    <w:t>(A)</w:t>
                  </w:r>
                </w:p>
              </w:tc>
              <w:tc>
                <w:tcPr>
                  <w:tcW w:w="613" w:type="pct"/>
                  <w:vMerge w:val="restart"/>
                  <w:tcBorders>
                    <w:tl2br w:val="nil"/>
                    <w:tr2bl w:val="nil"/>
                  </w:tcBorders>
                  <w:vAlign w:val="center"/>
                </w:tcPr>
                <w:p>
                  <w:pPr>
                    <w:pStyle w:val="31"/>
                    <w:bidi w:val="0"/>
                    <w:rPr>
                      <w:rFonts w:hint="default"/>
                    </w:rPr>
                  </w:pPr>
                  <w:r>
                    <w:rPr>
                      <w:rFonts w:hint="eastAsia"/>
                      <w:lang w:val="en-US" w:eastAsia="zh-CN"/>
                    </w:rPr>
                    <w:t>声源控制</w:t>
                  </w:r>
                  <w:r>
                    <w:rPr>
                      <w:rFonts w:hint="default"/>
                    </w:rPr>
                    <w:t>措施</w:t>
                  </w:r>
                </w:p>
              </w:tc>
              <w:tc>
                <w:tcPr>
                  <w:tcW w:w="460" w:type="pct"/>
                  <w:vMerge w:val="restart"/>
                  <w:tcBorders>
                    <w:tl2br w:val="nil"/>
                    <w:tr2bl w:val="nil"/>
                  </w:tcBorders>
                  <w:vAlign w:val="center"/>
                </w:tcPr>
                <w:p>
                  <w:pPr>
                    <w:pStyle w:val="31"/>
                    <w:bidi w:val="0"/>
                    <w:rPr>
                      <w:rFonts w:hint="default"/>
                      <w:lang w:val="en-US" w:eastAsia="zh-CN"/>
                    </w:rPr>
                  </w:pPr>
                  <w:r>
                    <w:rPr>
                      <w:rFonts w:hint="eastAsia"/>
                      <w:lang w:val="en-US" w:eastAsia="zh-CN"/>
                    </w:rPr>
                    <w:t>运行</w:t>
                  </w:r>
                  <w:r>
                    <w:rPr>
                      <w:rFonts w:hint="default"/>
                      <w:lang w:val="en-US" w:eastAsia="zh-CN"/>
                    </w:rPr>
                    <w:t>时间/h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8" w:type="pct"/>
                  <w:vMerge w:val="continue"/>
                  <w:tcBorders>
                    <w:tl2br w:val="nil"/>
                    <w:tr2bl w:val="nil"/>
                  </w:tcBorders>
                  <w:vAlign w:val="center"/>
                </w:tcPr>
                <w:p>
                  <w:pPr>
                    <w:pStyle w:val="31"/>
                    <w:bidi w:val="0"/>
                  </w:pPr>
                </w:p>
              </w:tc>
              <w:tc>
                <w:tcPr>
                  <w:tcW w:w="440" w:type="pct"/>
                  <w:tcBorders>
                    <w:tl2br w:val="nil"/>
                    <w:tr2bl w:val="nil"/>
                  </w:tcBorders>
                  <w:vAlign w:val="center"/>
                </w:tcPr>
                <w:p>
                  <w:pPr>
                    <w:pStyle w:val="31"/>
                    <w:bidi w:val="0"/>
                    <w:rPr>
                      <w:rFonts w:hint="eastAsia" w:eastAsia="宋体"/>
                      <w:lang w:val="en-US" w:eastAsia="zh-CN"/>
                    </w:rPr>
                  </w:pPr>
                  <w:r>
                    <w:rPr>
                      <w:rFonts w:hint="eastAsia"/>
                      <w:lang w:val="en-US" w:eastAsia="zh-CN"/>
                    </w:rPr>
                    <w:t>X</w:t>
                  </w:r>
                </w:p>
              </w:tc>
              <w:tc>
                <w:tcPr>
                  <w:tcW w:w="501" w:type="pct"/>
                  <w:tcBorders>
                    <w:tl2br w:val="nil"/>
                    <w:tr2bl w:val="nil"/>
                  </w:tcBorders>
                  <w:vAlign w:val="center"/>
                </w:tcPr>
                <w:p>
                  <w:pPr>
                    <w:pStyle w:val="31"/>
                    <w:bidi w:val="0"/>
                    <w:rPr>
                      <w:rFonts w:hint="eastAsia" w:eastAsia="宋体"/>
                      <w:lang w:val="en-US" w:eastAsia="zh-CN"/>
                    </w:rPr>
                  </w:pPr>
                  <w:r>
                    <w:rPr>
                      <w:rFonts w:hint="eastAsia"/>
                      <w:lang w:val="en-US" w:eastAsia="zh-CN"/>
                    </w:rPr>
                    <w:t>Y</w:t>
                  </w:r>
                </w:p>
              </w:tc>
              <w:tc>
                <w:tcPr>
                  <w:tcW w:w="466" w:type="pct"/>
                  <w:tcBorders>
                    <w:tl2br w:val="nil"/>
                    <w:tr2bl w:val="nil"/>
                  </w:tcBorders>
                  <w:vAlign w:val="center"/>
                </w:tcPr>
                <w:p>
                  <w:pPr>
                    <w:pStyle w:val="31"/>
                    <w:bidi w:val="0"/>
                    <w:rPr>
                      <w:rFonts w:hint="eastAsia" w:eastAsia="宋体"/>
                      <w:lang w:val="en-US" w:eastAsia="zh-CN"/>
                    </w:rPr>
                  </w:pPr>
                  <w:r>
                    <w:rPr>
                      <w:rFonts w:hint="eastAsia"/>
                      <w:lang w:val="en-US" w:eastAsia="zh-CN"/>
                    </w:rPr>
                    <w:t>Z</w:t>
                  </w:r>
                </w:p>
              </w:tc>
              <w:tc>
                <w:tcPr>
                  <w:tcW w:w="665" w:type="pct"/>
                  <w:vMerge w:val="continue"/>
                  <w:tcBorders>
                    <w:tl2br w:val="nil"/>
                    <w:tr2bl w:val="nil"/>
                  </w:tcBorders>
                  <w:vAlign w:val="center"/>
                </w:tcPr>
                <w:p>
                  <w:pPr>
                    <w:pStyle w:val="31"/>
                    <w:bidi w:val="0"/>
                    <w:rPr>
                      <w:rFonts w:hint="default"/>
                    </w:rPr>
                  </w:pPr>
                </w:p>
              </w:tc>
              <w:tc>
                <w:tcPr>
                  <w:tcW w:w="419" w:type="pct"/>
                  <w:vMerge w:val="continue"/>
                  <w:tcBorders>
                    <w:tl2br w:val="nil"/>
                    <w:tr2bl w:val="nil"/>
                  </w:tcBorders>
                  <w:vAlign w:val="center"/>
                </w:tcPr>
                <w:p>
                  <w:pPr>
                    <w:pStyle w:val="31"/>
                    <w:bidi w:val="0"/>
                    <w:rPr>
                      <w:rFonts w:hint="default"/>
                    </w:rPr>
                  </w:pPr>
                </w:p>
              </w:tc>
              <w:tc>
                <w:tcPr>
                  <w:tcW w:w="574" w:type="pct"/>
                  <w:vMerge w:val="continue"/>
                  <w:tcBorders>
                    <w:tl2br w:val="nil"/>
                    <w:tr2bl w:val="nil"/>
                  </w:tcBorders>
                  <w:vAlign w:val="center"/>
                </w:tcPr>
                <w:p>
                  <w:pPr>
                    <w:pStyle w:val="31"/>
                    <w:bidi w:val="0"/>
                    <w:rPr>
                      <w:rFonts w:hint="default"/>
                    </w:rPr>
                  </w:pPr>
                </w:p>
              </w:tc>
              <w:tc>
                <w:tcPr>
                  <w:tcW w:w="613" w:type="pct"/>
                  <w:vMerge w:val="continue"/>
                  <w:tcBorders>
                    <w:tl2br w:val="nil"/>
                    <w:tr2bl w:val="nil"/>
                  </w:tcBorders>
                  <w:vAlign w:val="center"/>
                </w:tcPr>
                <w:p>
                  <w:pPr>
                    <w:pStyle w:val="31"/>
                    <w:bidi w:val="0"/>
                    <w:rPr>
                      <w:rFonts w:hint="default"/>
                    </w:rPr>
                  </w:pPr>
                </w:p>
              </w:tc>
              <w:tc>
                <w:tcPr>
                  <w:tcW w:w="460" w:type="pct"/>
                  <w:vMerge w:val="continue"/>
                  <w:tcBorders>
                    <w:tl2br w:val="nil"/>
                    <w:tr2bl w:val="nil"/>
                  </w:tcBorders>
                  <w:vAlign w:val="center"/>
                </w:tcPr>
                <w:p>
                  <w:pPr>
                    <w:pStyle w:val="31"/>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8"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风机</w:t>
                  </w:r>
                </w:p>
              </w:tc>
              <w:tc>
                <w:tcPr>
                  <w:tcW w:w="440" w:type="pct"/>
                  <w:tcBorders>
                    <w:tl2br w:val="nil"/>
                    <w:tr2bl w:val="nil"/>
                  </w:tcBorders>
                  <w:vAlign w:val="center"/>
                </w:tcPr>
                <w:p>
                  <w:pPr>
                    <w:pStyle w:val="31"/>
                    <w:bidi w:val="0"/>
                    <w:ind w:left="0" w:leftChars="0" w:firstLine="0" w:firstLineChars="0"/>
                    <w:rPr>
                      <w:rFonts w:hint="default"/>
                      <w:lang w:val="en-US" w:eastAsia="zh-CN"/>
                    </w:rPr>
                  </w:pPr>
                  <w:r>
                    <w:rPr>
                      <w:rFonts w:hint="eastAsia"/>
                      <w:lang w:val="en-US" w:eastAsia="zh-CN"/>
                    </w:rPr>
                    <w:t>9.3</w:t>
                  </w:r>
                </w:p>
              </w:tc>
              <w:tc>
                <w:tcPr>
                  <w:tcW w:w="501" w:type="pct"/>
                  <w:tcBorders>
                    <w:tl2br w:val="nil"/>
                    <w:tr2bl w:val="nil"/>
                  </w:tcBorders>
                  <w:vAlign w:val="center"/>
                </w:tcPr>
                <w:p>
                  <w:pPr>
                    <w:pStyle w:val="31"/>
                    <w:bidi w:val="0"/>
                    <w:ind w:left="0" w:leftChars="0" w:firstLine="0" w:firstLineChars="0"/>
                    <w:rPr>
                      <w:rFonts w:hint="default"/>
                      <w:lang w:val="en-US" w:eastAsia="zh-CN"/>
                    </w:rPr>
                  </w:pPr>
                  <w:r>
                    <w:rPr>
                      <w:rFonts w:hint="eastAsia"/>
                      <w:lang w:val="en-US" w:eastAsia="zh-CN"/>
                    </w:rPr>
                    <w:t>26.6</w:t>
                  </w:r>
                </w:p>
              </w:tc>
              <w:tc>
                <w:tcPr>
                  <w:tcW w:w="466" w:type="pct"/>
                  <w:tcBorders>
                    <w:tl2br w:val="nil"/>
                    <w:tr2bl w:val="nil"/>
                  </w:tcBorders>
                  <w:vAlign w:val="center"/>
                </w:tcPr>
                <w:p>
                  <w:pPr>
                    <w:pStyle w:val="31"/>
                    <w:bidi w:val="0"/>
                    <w:ind w:left="0" w:leftChars="0" w:firstLine="0" w:firstLineChars="0"/>
                    <w:rPr>
                      <w:rFonts w:hint="default"/>
                      <w:lang w:val="en-US" w:eastAsia="zh-CN"/>
                    </w:rPr>
                  </w:pPr>
                  <w:r>
                    <w:rPr>
                      <w:rFonts w:hint="eastAsia"/>
                      <w:lang w:val="en-US" w:eastAsia="zh-CN"/>
                    </w:rPr>
                    <w:t>0</w:t>
                  </w:r>
                </w:p>
              </w:tc>
              <w:tc>
                <w:tcPr>
                  <w:tcW w:w="665"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70</w:t>
                  </w:r>
                </w:p>
              </w:tc>
              <w:tc>
                <w:tcPr>
                  <w:tcW w:w="419"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w:t>
                  </w:r>
                </w:p>
              </w:tc>
              <w:tc>
                <w:tcPr>
                  <w:tcW w:w="574"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70</w:t>
                  </w:r>
                </w:p>
              </w:tc>
              <w:tc>
                <w:tcPr>
                  <w:tcW w:w="613" w:type="pct"/>
                  <w:vMerge w:val="restart"/>
                  <w:tcBorders>
                    <w:tl2br w:val="nil"/>
                    <w:tr2bl w:val="nil"/>
                  </w:tcBorders>
                  <w:vAlign w:val="center"/>
                </w:tcPr>
                <w:p>
                  <w:pPr>
                    <w:pStyle w:val="31"/>
                    <w:bidi w:val="0"/>
                    <w:rPr>
                      <w:rFonts w:hint="default"/>
                      <w:lang w:val="en-US"/>
                    </w:rPr>
                  </w:pPr>
                  <w:r>
                    <w:rPr>
                      <w:rFonts w:hint="default"/>
                      <w:lang w:val="en-US" w:eastAsia="zh-CN"/>
                    </w:rPr>
                    <w:t>围墙</w:t>
                  </w:r>
                  <w:r>
                    <w:rPr>
                      <w:rFonts w:hint="default"/>
                    </w:rPr>
                    <w:t>隔声</w:t>
                  </w:r>
                  <w:r>
                    <w:rPr>
                      <w:rFonts w:hint="default"/>
                      <w:lang w:eastAsia="zh-CN"/>
                    </w:rPr>
                    <w:t>、</w:t>
                  </w:r>
                  <w:r>
                    <w:rPr>
                      <w:rFonts w:hint="default"/>
                      <w:lang w:val="en-US" w:eastAsia="zh-CN"/>
                    </w:rPr>
                    <w:t>减振、</w:t>
                  </w:r>
                  <w:r>
                    <w:rPr>
                      <w:rFonts w:hint="eastAsia"/>
                      <w:lang w:val="en-US" w:eastAsia="zh-CN"/>
                    </w:rPr>
                    <w:t>衰减</w:t>
                  </w:r>
                </w:p>
              </w:tc>
              <w:tc>
                <w:tcPr>
                  <w:tcW w:w="460" w:type="pct"/>
                  <w:tcBorders>
                    <w:tl2br w:val="nil"/>
                    <w:tr2bl w:val="nil"/>
                  </w:tcBorders>
                  <w:vAlign w:val="center"/>
                </w:tcPr>
                <w:p>
                  <w:pPr>
                    <w:pStyle w:val="31"/>
                    <w:bidi w:val="0"/>
                    <w:rPr>
                      <w:rFonts w:hint="default"/>
                      <w:lang w:val="en-US" w:eastAsia="zh-CN"/>
                    </w:rPr>
                  </w:pPr>
                  <w:r>
                    <w:rPr>
                      <w:rFonts w:hint="eastAsia"/>
                      <w:lang w:val="en-US" w:eastAsia="zh-CN"/>
                    </w:rPr>
                    <w:t>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8" w:type="pct"/>
                  <w:tcBorders>
                    <w:tl2br w:val="nil"/>
                    <w:tr2bl w:val="nil"/>
                  </w:tcBorders>
                  <w:vAlign w:val="center"/>
                </w:tcPr>
                <w:p>
                  <w:pPr>
                    <w:pStyle w:val="31"/>
                    <w:bidi w:val="0"/>
                    <w:rPr>
                      <w:rFonts w:hint="default"/>
                      <w:lang w:val="en-US" w:eastAsia="zh-CN"/>
                    </w:rPr>
                  </w:pPr>
                  <w:bookmarkStart w:id="73" w:name="_Toc21104"/>
                  <w:bookmarkStart w:id="74" w:name="_Toc2598"/>
                  <w:bookmarkStart w:id="75" w:name="_Toc15502"/>
                  <w:r>
                    <w:rPr>
                      <w:rFonts w:hint="eastAsia"/>
                      <w:lang w:val="en-US" w:eastAsia="zh-CN"/>
                    </w:rPr>
                    <w:t>油泵</w:t>
                  </w:r>
                </w:p>
              </w:tc>
              <w:tc>
                <w:tcPr>
                  <w:tcW w:w="440" w:type="pct"/>
                  <w:tcBorders>
                    <w:tl2br w:val="nil"/>
                    <w:tr2bl w:val="nil"/>
                  </w:tcBorders>
                  <w:vAlign w:val="center"/>
                </w:tcPr>
                <w:p>
                  <w:pPr>
                    <w:pStyle w:val="31"/>
                    <w:bidi w:val="0"/>
                    <w:rPr>
                      <w:rFonts w:hint="default"/>
                      <w:lang w:val="en-US" w:eastAsia="zh-CN"/>
                    </w:rPr>
                  </w:pPr>
                  <w:r>
                    <w:rPr>
                      <w:rFonts w:hint="eastAsia"/>
                      <w:lang w:val="en-US" w:eastAsia="zh-CN"/>
                    </w:rPr>
                    <w:t>0</w:t>
                  </w:r>
                </w:p>
              </w:tc>
              <w:tc>
                <w:tcPr>
                  <w:tcW w:w="501" w:type="pct"/>
                  <w:tcBorders>
                    <w:tl2br w:val="nil"/>
                    <w:tr2bl w:val="nil"/>
                  </w:tcBorders>
                  <w:vAlign w:val="center"/>
                </w:tcPr>
                <w:p>
                  <w:pPr>
                    <w:pStyle w:val="31"/>
                    <w:bidi w:val="0"/>
                    <w:rPr>
                      <w:rFonts w:hint="default"/>
                      <w:lang w:val="en-US" w:eastAsia="zh-CN"/>
                    </w:rPr>
                  </w:pPr>
                  <w:r>
                    <w:rPr>
                      <w:rFonts w:hint="eastAsia"/>
                      <w:lang w:val="en-US" w:eastAsia="zh-CN"/>
                    </w:rPr>
                    <w:t>24.2</w:t>
                  </w:r>
                </w:p>
              </w:tc>
              <w:tc>
                <w:tcPr>
                  <w:tcW w:w="466" w:type="pct"/>
                  <w:tcBorders>
                    <w:tl2br w:val="nil"/>
                    <w:tr2bl w:val="nil"/>
                  </w:tcBorders>
                  <w:vAlign w:val="center"/>
                </w:tcPr>
                <w:p>
                  <w:pPr>
                    <w:pStyle w:val="31"/>
                    <w:bidi w:val="0"/>
                    <w:rPr>
                      <w:rFonts w:hint="default"/>
                      <w:lang w:val="en-US" w:eastAsia="zh-CN"/>
                    </w:rPr>
                  </w:pPr>
                  <w:r>
                    <w:rPr>
                      <w:rFonts w:hint="eastAsia"/>
                      <w:lang w:val="en-US" w:eastAsia="zh-CN"/>
                    </w:rPr>
                    <w:t>0</w:t>
                  </w:r>
                </w:p>
              </w:tc>
              <w:tc>
                <w:tcPr>
                  <w:tcW w:w="665" w:type="pct"/>
                  <w:tcBorders>
                    <w:tl2br w:val="nil"/>
                    <w:tr2bl w:val="nil"/>
                  </w:tcBorders>
                  <w:vAlign w:val="center"/>
                </w:tcPr>
                <w:p>
                  <w:pPr>
                    <w:pStyle w:val="31"/>
                    <w:bidi w:val="0"/>
                    <w:rPr>
                      <w:rFonts w:hint="eastAsia"/>
                      <w:lang w:val="en-US" w:eastAsia="zh-CN"/>
                    </w:rPr>
                  </w:pPr>
                  <w:r>
                    <w:rPr>
                      <w:rFonts w:hint="eastAsia"/>
                      <w:lang w:val="en-US" w:eastAsia="zh-CN"/>
                    </w:rPr>
                    <w:t>75</w:t>
                  </w:r>
                </w:p>
              </w:tc>
              <w:tc>
                <w:tcPr>
                  <w:tcW w:w="419" w:type="pct"/>
                  <w:tcBorders>
                    <w:tl2br w:val="nil"/>
                    <w:tr2bl w:val="nil"/>
                  </w:tcBorders>
                  <w:vAlign w:val="center"/>
                </w:tcPr>
                <w:p>
                  <w:pPr>
                    <w:pStyle w:val="31"/>
                    <w:bidi w:val="0"/>
                    <w:rPr>
                      <w:rFonts w:hint="eastAsia"/>
                      <w:lang w:val="en-US" w:eastAsia="zh-CN"/>
                    </w:rPr>
                  </w:pPr>
                  <w:r>
                    <w:rPr>
                      <w:rFonts w:hint="eastAsia"/>
                      <w:lang w:val="en-US" w:eastAsia="zh-CN"/>
                    </w:rPr>
                    <w:t>2</w:t>
                  </w:r>
                </w:p>
              </w:tc>
              <w:tc>
                <w:tcPr>
                  <w:tcW w:w="574"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78</w:t>
                  </w:r>
                </w:p>
              </w:tc>
              <w:tc>
                <w:tcPr>
                  <w:tcW w:w="613" w:type="pct"/>
                  <w:vMerge w:val="continue"/>
                  <w:tcBorders>
                    <w:tl2br w:val="nil"/>
                    <w:tr2bl w:val="nil"/>
                  </w:tcBorders>
                  <w:vAlign w:val="center"/>
                </w:tcPr>
                <w:p>
                  <w:pPr>
                    <w:pStyle w:val="31"/>
                    <w:bidi w:val="0"/>
                    <w:rPr>
                      <w:rFonts w:hint="default"/>
                    </w:rPr>
                  </w:pPr>
                </w:p>
              </w:tc>
              <w:tc>
                <w:tcPr>
                  <w:tcW w:w="460" w:type="pct"/>
                  <w:tcBorders>
                    <w:tl2br w:val="nil"/>
                    <w:tr2bl w:val="nil"/>
                  </w:tcBorders>
                  <w:vAlign w:val="center"/>
                </w:tcPr>
                <w:p>
                  <w:pPr>
                    <w:pStyle w:val="31"/>
                    <w:bidi w:val="0"/>
                    <w:rPr>
                      <w:rFonts w:hint="eastAsia"/>
                      <w:lang w:val="en-US" w:eastAsia="zh-CN"/>
                    </w:rPr>
                  </w:pPr>
                  <w:r>
                    <w:rPr>
                      <w:rFonts w:hint="eastAsia"/>
                      <w:lang w:val="en-US" w:eastAsia="zh-CN"/>
                    </w:rPr>
                    <w:t>8</w:t>
                  </w:r>
                </w:p>
              </w:tc>
            </w:tr>
          </w:tbl>
          <w:p>
            <w:pPr>
              <w:bidi w:val="0"/>
              <w:rPr>
                <w:rFonts w:hint="default" w:ascii="Times New Roman" w:hAnsi="Times New Roman" w:cs="Times New Roman"/>
                <w:color w:val="auto"/>
                <w:highlight w:val="none"/>
                <w:lang w:eastAsia="zh-CN"/>
              </w:rPr>
            </w:pPr>
          </w:p>
          <w:p>
            <w:pPr>
              <w:pStyle w:val="30"/>
              <w:bidi w:val="0"/>
              <w:rPr>
                <w:rFonts w:hint="default"/>
                <w:lang w:eastAsia="zh-CN"/>
              </w:rPr>
            </w:pPr>
            <w:r>
              <w:rPr>
                <w:rFonts w:hint="eastAsia"/>
                <w:lang w:val="en-US" w:eastAsia="zh-CN"/>
              </w:rPr>
              <w:t>噪声源</w:t>
            </w:r>
            <w:r>
              <w:rPr>
                <w:rFonts w:hint="default"/>
                <w:lang w:val="en-US" w:eastAsia="zh-CN"/>
              </w:rPr>
              <w:t>与厂界距离一览表</w:t>
            </w:r>
          </w:p>
          <w:tbl>
            <w:tblPr>
              <w:tblStyle w:val="24"/>
              <w:tblW w:w="8399"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9"/>
              <w:gridCol w:w="1380"/>
              <w:gridCol w:w="1437"/>
              <w:gridCol w:w="1437"/>
              <w:gridCol w:w="1437"/>
              <w:gridCol w:w="143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9" w:type="dxa"/>
                  <w:vMerge w:val="restart"/>
                  <w:tcBorders>
                    <w:tl2br w:val="nil"/>
                    <w:tr2bl w:val="nil"/>
                  </w:tcBorders>
                  <w:vAlign w:val="center"/>
                </w:tcPr>
                <w:p>
                  <w:pPr>
                    <w:pStyle w:val="31"/>
                    <w:bidi w:val="0"/>
                    <w:rPr>
                      <w:rFonts w:hint="default"/>
                    </w:rPr>
                  </w:pPr>
                  <w:r>
                    <w:rPr>
                      <w:rFonts w:hint="default"/>
                    </w:rPr>
                    <w:t>噪声源</w:t>
                  </w:r>
                </w:p>
              </w:tc>
              <w:tc>
                <w:tcPr>
                  <w:tcW w:w="1380" w:type="dxa"/>
                  <w:vMerge w:val="restart"/>
                  <w:tcBorders>
                    <w:tl2br w:val="nil"/>
                    <w:tr2bl w:val="nil"/>
                  </w:tcBorders>
                  <w:vAlign w:val="center"/>
                </w:tcPr>
                <w:p>
                  <w:pPr>
                    <w:pStyle w:val="31"/>
                    <w:bidi w:val="0"/>
                    <w:rPr>
                      <w:rFonts w:hint="default"/>
                    </w:rPr>
                  </w:pPr>
                  <w:r>
                    <w:rPr>
                      <w:rFonts w:hint="default"/>
                    </w:rPr>
                    <w:t>治理后声级</w:t>
                  </w:r>
                  <w:r>
                    <w:rPr>
                      <w:rFonts w:hint="eastAsia"/>
                      <w:lang w:val="en-US" w:eastAsia="zh-CN"/>
                    </w:rPr>
                    <w:t>/</w:t>
                  </w:r>
                  <w:r>
                    <w:rPr>
                      <w:rFonts w:hint="default"/>
                    </w:rPr>
                    <w:t>dB(A)</w:t>
                  </w:r>
                </w:p>
              </w:tc>
              <w:tc>
                <w:tcPr>
                  <w:tcW w:w="5750" w:type="dxa"/>
                  <w:gridSpan w:val="4"/>
                  <w:tcBorders>
                    <w:tl2br w:val="nil"/>
                    <w:tr2bl w:val="nil"/>
                  </w:tcBorders>
                  <w:vAlign w:val="center"/>
                </w:tcPr>
                <w:p>
                  <w:pPr>
                    <w:pStyle w:val="31"/>
                    <w:bidi w:val="0"/>
                    <w:rPr>
                      <w:rFonts w:hint="default"/>
                    </w:rPr>
                  </w:pPr>
                  <w:r>
                    <w:rPr>
                      <w:rFonts w:hint="eastAsia"/>
                      <w:lang w:val="en-US" w:eastAsia="zh-CN"/>
                    </w:rPr>
                    <w:t>声源</w:t>
                  </w:r>
                  <w:r>
                    <w:rPr>
                      <w:rFonts w:hint="default"/>
                    </w:rPr>
                    <w:t>与</w:t>
                  </w:r>
                  <w:r>
                    <w:rPr>
                      <w:rFonts w:hint="eastAsia"/>
                      <w:lang w:val="en-US" w:eastAsia="zh-CN"/>
                    </w:rPr>
                    <w:t>厂界</w:t>
                  </w:r>
                  <w:r>
                    <w:rPr>
                      <w:rFonts w:hint="default"/>
                    </w:rPr>
                    <w:t>距离（m）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9" w:type="dxa"/>
                  <w:vMerge w:val="continue"/>
                  <w:tcBorders>
                    <w:tl2br w:val="nil"/>
                    <w:tr2bl w:val="nil"/>
                  </w:tcBorders>
                  <w:vAlign w:val="center"/>
                </w:tcPr>
                <w:p>
                  <w:pPr>
                    <w:pStyle w:val="31"/>
                    <w:bidi w:val="0"/>
                    <w:rPr>
                      <w:rFonts w:hint="default"/>
                    </w:rPr>
                  </w:pPr>
                </w:p>
              </w:tc>
              <w:tc>
                <w:tcPr>
                  <w:tcW w:w="1380" w:type="dxa"/>
                  <w:vMerge w:val="continue"/>
                  <w:tcBorders>
                    <w:tl2br w:val="nil"/>
                    <w:tr2bl w:val="nil"/>
                  </w:tcBorders>
                  <w:vAlign w:val="center"/>
                </w:tcPr>
                <w:p>
                  <w:pPr>
                    <w:pStyle w:val="31"/>
                    <w:bidi w:val="0"/>
                    <w:rPr>
                      <w:rFonts w:hint="default"/>
                    </w:rPr>
                  </w:pPr>
                </w:p>
              </w:tc>
              <w:tc>
                <w:tcPr>
                  <w:tcW w:w="1437" w:type="dxa"/>
                  <w:tcBorders>
                    <w:tl2br w:val="nil"/>
                    <w:tr2bl w:val="nil"/>
                  </w:tcBorders>
                  <w:vAlign w:val="center"/>
                </w:tcPr>
                <w:p>
                  <w:pPr>
                    <w:pStyle w:val="31"/>
                    <w:bidi w:val="0"/>
                    <w:rPr>
                      <w:rFonts w:hint="default"/>
                    </w:rPr>
                  </w:pPr>
                  <w:r>
                    <w:rPr>
                      <w:rFonts w:hint="default"/>
                    </w:rPr>
                    <w:t>东厂界</w:t>
                  </w:r>
                </w:p>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eastAsia="zh-CN"/>
                    </w:rPr>
                    <w:t>（</w:t>
                  </w:r>
                  <w:r>
                    <w:rPr>
                      <w:rFonts w:hint="eastAsia"/>
                      <w:lang w:val="en-US" w:eastAsia="zh-CN"/>
                    </w:rPr>
                    <w:t>东侧角落</w:t>
                  </w:r>
                  <w:r>
                    <w:rPr>
                      <w:rFonts w:hint="eastAsia"/>
                      <w:lang w:eastAsia="zh-CN"/>
                    </w:rPr>
                    <w:t>）</w:t>
                  </w:r>
                </w:p>
              </w:tc>
              <w:tc>
                <w:tcPr>
                  <w:tcW w:w="1437" w:type="dxa"/>
                  <w:tcBorders>
                    <w:tl2br w:val="nil"/>
                    <w:tr2bl w:val="nil"/>
                  </w:tcBorders>
                  <w:vAlign w:val="center"/>
                </w:tcPr>
                <w:p>
                  <w:pPr>
                    <w:pStyle w:val="31"/>
                    <w:bidi w:val="0"/>
                    <w:rPr>
                      <w:rFonts w:hint="eastAsia" w:eastAsia="宋体"/>
                      <w:lang w:eastAsia="zh-CN"/>
                    </w:rPr>
                  </w:pPr>
                  <w:r>
                    <w:rPr>
                      <w:rFonts w:hint="default"/>
                    </w:rPr>
                    <w:t>南厂界</w:t>
                  </w:r>
                  <w:r>
                    <w:rPr>
                      <w:rFonts w:hint="eastAsia"/>
                      <w:lang w:eastAsia="zh-CN"/>
                    </w:rPr>
                    <w:t>（</w:t>
                  </w:r>
                  <w:r>
                    <w:rPr>
                      <w:rFonts w:hint="eastAsia"/>
                      <w:lang w:val="en-US" w:eastAsia="zh-CN"/>
                    </w:rPr>
                    <w:t>室外绿化带</w:t>
                  </w:r>
                  <w:r>
                    <w:rPr>
                      <w:rFonts w:hint="eastAsia"/>
                      <w:lang w:eastAsia="zh-CN"/>
                    </w:rPr>
                    <w:t>）</w:t>
                  </w:r>
                </w:p>
              </w:tc>
              <w:tc>
                <w:tcPr>
                  <w:tcW w:w="1437" w:type="dxa"/>
                  <w:tcBorders>
                    <w:tl2br w:val="nil"/>
                    <w:tr2bl w:val="nil"/>
                  </w:tcBorders>
                  <w:vAlign w:val="center"/>
                </w:tcPr>
                <w:p>
                  <w:pPr>
                    <w:pStyle w:val="31"/>
                    <w:bidi w:val="0"/>
                    <w:rPr>
                      <w:rFonts w:hint="default"/>
                    </w:rPr>
                  </w:pPr>
                  <w:r>
                    <w:rPr>
                      <w:rFonts w:hint="default"/>
                    </w:rPr>
                    <w:t>西厂界</w:t>
                  </w:r>
                </w:p>
                <w:p>
                  <w:pPr>
                    <w:rPr>
                      <w:rFonts w:hint="eastAsia" w:eastAsia="宋体"/>
                      <w:lang w:eastAsia="zh-CN"/>
                    </w:rPr>
                  </w:pPr>
                  <w:r>
                    <w:rPr>
                      <w:rFonts w:hint="eastAsia"/>
                      <w:lang w:eastAsia="zh-CN"/>
                    </w:rPr>
                    <w:t>（</w:t>
                  </w:r>
                  <w:r>
                    <w:rPr>
                      <w:rFonts w:hint="eastAsia"/>
                      <w:lang w:val="en-US" w:eastAsia="zh-CN"/>
                    </w:rPr>
                    <w:t>西侧通道</w:t>
                  </w:r>
                  <w:r>
                    <w:rPr>
                      <w:rFonts w:hint="eastAsia"/>
                      <w:lang w:eastAsia="zh-CN"/>
                    </w:rPr>
                    <w:t>）</w:t>
                  </w:r>
                </w:p>
              </w:tc>
              <w:tc>
                <w:tcPr>
                  <w:tcW w:w="1439" w:type="dxa"/>
                  <w:tcBorders>
                    <w:tl2br w:val="nil"/>
                    <w:tr2bl w:val="nil"/>
                  </w:tcBorders>
                  <w:vAlign w:val="center"/>
                </w:tcPr>
                <w:p>
                  <w:pPr>
                    <w:pStyle w:val="31"/>
                    <w:bidi w:val="0"/>
                    <w:rPr>
                      <w:rFonts w:hint="eastAsia" w:ascii="Times New Roman" w:hAnsi="Times New Roman" w:eastAsia="宋体" w:cs="Times New Roman"/>
                      <w:kern w:val="2"/>
                      <w:sz w:val="21"/>
                      <w:szCs w:val="24"/>
                      <w:lang w:val="en-US" w:eastAsia="zh-CN" w:bidi="ar-SA"/>
                    </w:rPr>
                  </w:pPr>
                  <w:r>
                    <w:rPr>
                      <w:rFonts w:hint="default"/>
                    </w:rPr>
                    <w:t>北厂界</w:t>
                  </w:r>
                  <w:r>
                    <w:rPr>
                      <w:rFonts w:hint="eastAsia"/>
                      <w:lang w:eastAsia="zh-CN"/>
                    </w:rPr>
                    <w:t>（</w:t>
                  </w:r>
                  <w:r>
                    <w:rPr>
                      <w:rFonts w:hint="eastAsia"/>
                      <w:lang w:val="en-US" w:eastAsia="zh-CN"/>
                    </w:rPr>
                    <w:t>厂房分割线</w:t>
                  </w:r>
                  <w:r>
                    <w:rPr>
                      <w:rFonts w:hint="eastAsia"/>
                      <w:lang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9" w:type="dxa"/>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风机</w:t>
                  </w:r>
                </w:p>
              </w:tc>
              <w:tc>
                <w:tcPr>
                  <w:tcW w:w="1380" w:type="dxa"/>
                  <w:tcBorders>
                    <w:tl2br w:val="nil"/>
                    <w:tr2bl w:val="nil"/>
                  </w:tcBorders>
                  <w:vAlign w:val="center"/>
                </w:tcPr>
                <w:p>
                  <w:pPr>
                    <w:bidi w:val="0"/>
                    <w:jc w:val="center"/>
                    <w:rPr>
                      <w:rFonts w:hint="default" w:ascii="Times New Roman" w:hAnsi="Times New Roman" w:eastAsia="宋体" w:cs="Times New Roman"/>
                      <w:kern w:val="2"/>
                      <w:sz w:val="21"/>
                      <w:szCs w:val="24"/>
                      <w:lang w:val="en-US" w:eastAsia="zh-CN" w:bidi="ar-SA"/>
                    </w:rPr>
                  </w:pPr>
                  <w:r>
                    <w:rPr>
                      <w:rFonts w:hint="eastAsia"/>
                      <w:lang w:val="en-US" w:eastAsia="zh-CN"/>
                    </w:rPr>
                    <w:t>49</w:t>
                  </w:r>
                </w:p>
              </w:tc>
              <w:tc>
                <w:tcPr>
                  <w:tcW w:w="14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4"/>
                      <w:lang w:val="en-US" w:eastAsia="zh-CN" w:bidi="ar-SA"/>
                    </w:rPr>
                  </w:pPr>
                  <w:r>
                    <w:rPr>
                      <w:rFonts w:hint="eastAsia"/>
                      <w:lang w:val="en-US" w:eastAsia="zh-CN"/>
                    </w:rPr>
                    <w:t>1</w:t>
                  </w:r>
                </w:p>
              </w:tc>
              <w:tc>
                <w:tcPr>
                  <w:tcW w:w="1437"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1</w:t>
                  </w:r>
                </w:p>
              </w:tc>
              <w:tc>
                <w:tcPr>
                  <w:tcW w:w="1437" w:type="dxa"/>
                  <w:tcBorders>
                    <w:tl2br w:val="nil"/>
                    <w:tr2bl w:val="nil"/>
                  </w:tcBorders>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26.1</w:t>
                  </w:r>
                </w:p>
              </w:tc>
              <w:tc>
                <w:tcPr>
                  <w:tcW w:w="143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4"/>
                      <w:lang w:val="en-US" w:eastAsia="zh-CN" w:bidi="ar-SA"/>
                    </w:rPr>
                  </w:pPr>
                  <w:r>
                    <w:rPr>
                      <w:rFonts w:hint="eastAsia"/>
                      <w:lang w:val="en-US" w:eastAsia="zh-CN"/>
                    </w:rPr>
                    <w:t>27.2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9" w:type="dxa"/>
                  <w:tcBorders>
                    <w:tl2br w:val="nil"/>
                    <w:tr2bl w:val="nil"/>
                  </w:tcBorders>
                  <w:vAlign w:val="center"/>
                </w:tcPr>
                <w:p>
                  <w:pPr>
                    <w:pStyle w:val="31"/>
                    <w:bidi w:val="0"/>
                    <w:ind w:left="0" w:leftChars="0" w:firstLine="0" w:firstLineChars="0"/>
                    <w:rPr>
                      <w:rFonts w:hint="eastAsia" w:cs="Times New Roman"/>
                      <w:color w:val="auto"/>
                      <w:kern w:val="0"/>
                      <w:szCs w:val="21"/>
                      <w:highlight w:val="none"/>
                      <w:lang w:val="en-US" w:eastAsia="zh-CN"/>
                    </w:rPr>
                  </w:pPr>
                  <w:r>
                    <w:rPr>
                      <w:rFonts w:hint="eastAsia"/>
                      <w:lang w:val="en-US" w:eastAsia="zh-CN"/>
                    </w:rPr>
                    <w:t>油泵</w:t>
                  </w:r>
                </w:p>
              </w:tc>
              <w:tc>
                <w:tcPr>
                  <w:tcW w:w="1380" w:type="dxa"/>
                  <w:tcBorders>
                    <w:tl2br w:val="nil"/>
                    <w:tr2bl w:val="nil"/>
                  </w:tcBorders>
                  <w:vAlign w:val="center"/>
                </w:tcPr>
                <w:p>
                  <w:pPr>
                    <w:bidi w:val="0"/>
                    <w:jc w:val="center"/>
                    <w:rPr>
                      <w:rFonts w:hint="default"/>
                      <w:lang w:val="en-US" w:eastAsia="zh-CN"/>
                    </w:rPr>
                  </w:pPr>
                  <w:r>
                    <w:rPr>
                      <w:rFonts w:hint="eastAsia"/>
                      <w:lang w:val="en-US" w:eastAsia="zh-CN"/>
                    </w:rPr>
                    <w:t>57</w:t>
                  </w:r>
                </w:p>
              </w:tc>
              <w:tc>
                <w:tcPr>
                  <w:tcW w:w="14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cs="Times New Roman"/>
                      <w:i w:val="0"/>
                      <w:color w:val="000000"/>
                      <w:kern w:val="0"/>
                      <w:sz w:val="21"/>
                      <w:szCs w:val="21"/>
                      <w:u w:val="none"/>
                      <w:lang w:val="en-US" w:eastAsia="zh-CN" w:bidi="ar"/>
                    </w:rPr>
                    <w:t>9.7</w:t>
                  </w:r>
                </w:p>
              </w:tc>
              <w:tc>
                <w:tcPr>
                  <w:tcW w:w="14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cs="Times New Roman"/>
                      <w:i w:val="0"/>
                      <w:color w:val="000000"/>
                      <w:kern w:val="0"/>
                      <w:sz w:val="21"/>
                      <w:szCs w:val="21"/>
                      <w:u w:val="none"/>
                      <w:lang w:val="en-US" w:eastAsia="zh-CN" w:bidi="ar"/>
                    </w:rPr>
                    <w:t>5.3</w:t>
                  </w:r>
                </w:p>
              </w:tc>
              <w:tc>
                <w:tcPr>
                  <w:tcW w:w="143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cs="Times New Roman"/>
                      <w:i w:val="0"/>
                      <w:color w:val="000000"/>
                      <w:kern w:val="0"/>
                      <w:sz w:val="21"/>
                      <w:szCs w:val="21"/>
                      <w:u w:val="none"/>
                      <w:lang w:val="en-US" w:eastAsia="zh-CN" w:bidi="ar"/>
                    </w:rPr>
                    <w:t>18.6</w:t>
                  </w:r>
                </w:p>
              </w:tc>
              <w:tc>
                <w:tcPr>
                  <w:tcW w:w="143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cs="Times New Roman"/>
                      <w:i w:val="0"/>
                      <w:color w:val="000000"/>
                      <w:kern w:val="0"/>
                      <w:sz w:val="21"/>
                      <w:szCs w:val="21"/>
                      <w:u w:val="none"/>
                      <w:lang w:val="en-US" w:eastAsia="zh-CN" w:bidi="ar"/>
                    </w:rPr>
                    <w:t>22.4</w:t>
                  </w:r>
                </w:p>
              </w:tc>
            </w:tr>
          </w:tbl>
          <w:p>
            <w:pPr>
              <w:pStyle w:val="31"/>
              <w:rPr>
                <w:rFonts w:hint="default" w:ascii="Times New Roman" w:hAnsi="Times New Roman" w:cs="Times New Roman"/>
                <w:color w:val="auto"/>
                <w:highlight w:val="none"/>
                <w:lang w:eastAsia="zh-CN"/>
              </w:rPr>
            </w:pPr>
          </w:p>
          <w:p>
            <w:pPr>
              <w:pStyle w:val="8"/>
              <w:numPr>
                <w:ilvl w:val="0"/>
                <w:numId w:val="0"/>
              </w:numPr>
              <w:ind w:left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运营期</w:t>
            </w:r>
            <w:bookmarkEnd w:id="73"/>
            <w:bookmarkEnd w:id="74"/>
            <w:bookmarkEnd w:id="75"/>
            <w:r>
              <w:rPr>
                <w:rFonts w:hint="default" w:ascii="Times New Roman" w:hAnsi="Times New Roman" w:cs="Times New Roman"/>
                <w:color w:val="auto"/>
                <w:highlight w:val="none"/>
              </w:rPr>
              <w:t>噪声预测模式</w:t>
            </w:r>
          </w:p>
          <w:p>
            <w:pPr>
              <w:pStyle w:val="8"/>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根据《环境影响评价技术导则声环境》（HJ2.4-2021）的技术要求，本次评价采取导则推荐模式。</w:t>
            </w:r>
          </w:p>
          <w:p>
            <w:pPr>
              <w:pStyle w:val="8"/>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①</w:t>
            </w:r>
            <w:r>
              <w:rPr>
                <w:rFonts w:hint="default" w:ascii="Times New Roman" w:hAnsi="Times New Roman" w:cs="Times New Roman"/>
                <w:color w:val="auto"/>
                <w:highlight w:val="none"/>
              </w:rPr>
              <w:t>声级的计算</w:t>
            </w:r>
          </w:p>
          <w:p>
            <w:pPr>
              <w:pStyle w:val="8"/>
              <w:rPr>
                <w:rFonts w:hint="default" w:ascii="Times New Roman" w:hAnsi="Times New Roman" w:cs="Times New Roman"/>
                <w:color w:val="auto"/>
                <w:highlight w:val="none"/>
              </w:rPr>
            </w:pPr>
            <w:r>
              <w:rPr>
                <w:rFonts w:hint="default" w:ascii="Times New Roman" w:hAnsi="Times New Roman" w:cs="Times New Roman"/>
                <w:color w:val="auto"/>
                <w:highlight w:val="none"/>
              </w:rPr>
              <w:t>声源在预测点产生的</w:t>
            </w:r>
            <w:r>
              <w:rPr>
                <w:rFonts w:hint="default" w:ascii="Times New Roman" w:hAnsi="Times New Roman" w:cs="Times New Roman"/>
                <w:color w:val="auto"/>
                <w:highlight w:val="none"/>
                <w:lang w:eastAsia="zh-CN"/>
              </w:rPr>
              <w:t>噪声</w:t>
            </w:r>
            <w:r>
              <w:rPr>
                <w:rFonts w:hint="default" w:ascii="Times New Roman" w:hAnsi="Times New Roman" w:cs="Times New Roman"/>
                <w:color w:val="auto"/>
                <w:highlight w:val="none"/>
              </w:rPr>
              <w:t>贡献值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eqg</w:t>
            </w:r>
            <w:r>
              <w:rPr>
                <w:rFonts w:hint="eastAsia" w:cs="Times New Roman"/>
                <w:color w:val="auto"/>
                <w:highlight w:val="none"/>
                <w:vertAlign w:val="baseline"/>
                <w:lang w:eastAsia="zh-CN"/>
              </w:rPr>
              <w:t>）</w:t>
            </w:r>
            <w:r>
              <w:rPr>
                <w:rFonts w:hint="default" w:ascii="Times New Roman" w:hAnsi="Times New Roman" w:cs="Times New Roman"/>
                <w:color w:val="auto"/>
                <w:highlight w:val="none"/>
              </w:rPr>
              <w:t>计算公式：</w:t>
            </w:r>
          </w:p>
          <w:p>
            <w:pPr>
              <w:pStyle w:val="8"/>
              <w:ind w:left="0" w:leftChars="0" w:firstLine="0" w:firstLineChars="0"/>
              <w:jc w:val="center"/>
              <w:rPr>
                <w:rFonts w:hint="default" w:ascii="Times New Roman" w:hAnsi="Times New Roman" w:eastAsia="宋体" w:cs="Times New Roman"/>
                <w:color w:val="auto"/>
                <w:highlight w:val="none"/>
                <w:lang w:val="en-US" w:eastAsia="zh-CN"/>
              </w:rPr>
            </w:pPr>
            <w:r>
              <w:rPr>
                <w:color w:val="auto"/>
                <w:position w:val="-30"/>
                <w:highlight w:val="none"/>
              </w:rPr>
              <w:object>
                <v:shape id="_x0000_i1026" o:spt="75" type="#_x0000_t75" style="height:36pt;width:130pt;" o:ole="t" filled="f" o:preferrelative="t" stroked="f" coordsize="21600,21600">
                  <v:path/>
                  <v:fill on="f" focussize="0,0"/>
                  <v:stroke on="f"/>
                  <v:imagedata r:id="rId24" o:title=""/>
                  <o:lock v:ext="edit" aspectratio="t"/>
                  <w10:wrap type="none"/>
                  <w10:anchorlock/>
                </v:shape>
                <o:OLEObject Type="Embed" ProgID="Equation.KSEE3" ShapeID="_x0000_i1026" DrawAspect="Content" ObjectID="_1468075726" r:id="rId23">
                  <o:LockedField>false</o:LockedField>
                </o:OLEObject>
              </w:object>
            </w:r>
            <w:r>
              <w:rPr>
                <w:rFonts w:hint="eastAsia"/>
                <w:color w:val="auto"/>
                <w:highlight w:val="none"/>
                <w:lang w:val="en-US" w:eastAsia="zh-CN"/>
              </w:rPr>
              <w:tab/>
            </w:r>
            <w:r>
              <w:rPr>
                <w:rFonts w:hint="eastAsia"/>
                <w:color w:val="auto"/>
                <w:highlight w:val="none"/>
                <w:lang w:val="en-US" w:eastAsia="zh-CN"/>
              </w:rPr>
              <w:tab/>
            </w:r>
            <w:r>
              <w:rPr>
                <w:rFonts w:hint="eastAsia"/>
                <w:color w:val="auto"/>
                <w:highlight w:val="none"/>
                <w:lang w:val="en-US" w:eastAsia="zh-CN"/>
              </w:rPr>
              <w:tab/>
            </w:r>
            <w:r>
              <w:rPr>
                <w:rFonts w:hint="eastAsia"/>
                <w:color w:val="auto"/>
                <w:highlight w:val="none"/>
                <w:lang w:val="en-US" w:eastAsia="zh-CN"/>
              </w:rPr>
              <w:tab/>
            </w:r>
            <w:r>
              <w:rPr>
                <w:rFonts w:hint="default" w:ascii="Times New Roman" w:hAnsi="Times New Roman" w:cs="Times New Roman"/>
                <w:color w:val="auto"/>
                <w:highlight w:val="none"/>
                <w:lang w:val="en-US" w:eastAsia="zh-CN"/>
              </w:rPr>
              <w:t>（1）</w:t>
            </w:r>
          </w:p>
          <w:p>
            <w:pPr>
              <w:pStyle w:val="8"/>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r>
              <w:rPr>
                <w:rFonts w:hint="default" w:ascii="Times New Roman" w:hAnsi="Times New Roman" w:cs="Times New Roman"/>
                <w:color w:val="auto"/>
                <w:highlight w:val="none"/>
                <w:vertAlign w:val="baseline"/>
              </w:rPr>
              <w:t>L</w:t>
            </w:r>
            <w:r>
              <w:rPr>
                <w:rFonts w:hint="default" w:ascii="Times New Roman" w:hAnsi="Times New Roman" w:cs="Times New Roman"/>
                <w:color w:val="auto"/>
                <w:highlight w:val="none"/>
                <w:vertAlign w:val="subscript"/>
              </w:rPr>
              <w:t>eqg</w:t>
            </w:r>
            <w:r>
              <w:rPr>
                <w:rFonts w:hint="default" w:ascii="Times New Roman" w:hAnsi="Times New Roman" w:cs="Times New Roman"/>
                <w:color w:val="auto"/>
                <w:highlight w:val="none"/>
              </w:rPr>
              <w:t>—噪声贡献值，dB(A)；</w:t>
            </w:r>
          </w:p>
          <w:p>
            <w:pPr>
              <w:pStyle w:val="8"/>
              <w:ind w:firstLine="720" w:firstLineChars="300"/>
              <w:rPr>
                <w:rFonts w:hint="default" w:ascii="Times New Roman" w:hAnsi="Times New Roman" w:cs="Times New Roman"/>
                <w:color w:val="auto"/>
                <w:highlight w:val="none"/>
              </w:rPr>
            </w:pP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Ai</w:t>
            </w:r>
            <w:r>
              <w:rPr>
                <w:rFonts w:hint="default" w:ascii="Times New Roman" w:hAnsi="Times New Roman" w:cs="Times New Roman"/>
                <w:color w:val="auto"/>
                <w:highlight w:val="none"/>
              </w:rPr>
              <w:t>—i声源在预测点产生的等效连续A声级，dB(A)；</w:t>
            </w:r>
          </w:p>
          <w:p>
            <w:pPr>
              <w:pStyle w:val="8"/>
              <w:ind w:firstLine="720" w:firstLineChars="300"/>
              <w:rPr>
                <w:rFonts w:hint="default" w:ascii="Times New Roman" w:hAnsi="Times New Roman" w:cs="Times New Roman"/>
                <w:color w:val="auto"/>
                <w:highlight w:val="none"/>
              </w:rPr>
            </w:pPr>
            <w:r>
              <w:rPr>
                <w:rFonts w:hint="default" w:ascii="Times New Roman" w:hAnsi="Times New Roman" w:cs="Times New Roman"/>
                <w:color w:val="auto"/>
                <w:highlight w:val="none"/>
              </w:rPr>
              <w:t>T—预测计算的时间段，s；</w:t>
            </w:r>
          </w:p>
          <w:p>
            <w:pPr>
              <w:pStyle w:val="8"/>
              <w:ind w:firstLine="720" w:firstLineChars="300"/>
              <w:rPr>
                <w:rFonts w:hint="default" w:ascii="Times New Roman" w:hAnsi="Times New Roman" w:cs="Times New Roman"/>
                <w:color w:val="auto"/>
                <w:highlight w:val="none"/>
              </w:rPr>
            </w:pPr>
            <w:r>
              <w:rPr>
                <w:rFonts w:hint="default" w:ascii="Times New Roman" w:hAnsi="Times New Roman" w:cs="Times New Roman"/>
                <w:color w:val="auto"/>
                <w:highlight w:val="none"/>
              </w:rPr>
              <w:t>t</w:t>
            </w:r>
            <w:r>
              <w:rPr>
                <w:rFonts w:hint="default" w:ascii="Times New Roman" w:hAnsi="Times New Roman" w:cs="Times New Roman"/>
                <w:color w:val="auto"/>
                <w:highlight w:val="none"/>
                <w:vertAlign w:val="subscript"/>
              </w:rPr>
              <w:t>i</w:t>
            </w:r>
            <w:r>
              <w:rPr>
                <w:rFonts w:hint="default" w:ascii="Times New Roman" w:hAnsi="Times New Roman" w:cs="Times New Roman"/>
                <w:color w:val="auto"/>
                <w:highlight w:val="none"/>
              </w:rPr>
              <w:t>—i声源在T时段内的运行时间，s。</w:t>
            </w:r>
          </w:p>
          <w:p>
            <w:pPr>
              <w:pStyle w:val="8"/>
              <w:rPr>
                <w:rFonts w:hint="default" w:ascii="Times New Roman" w:hAnsi="Times New Roman" w:cs="Times New Roman"/>
                <w:color w:val="auto"/>
                <w:highlight w:val="none"/>
              </w:rPr>
            </w:pPr>
            <w:r>
              <w:rPr>
                <w:rFonts w:hint="default" w:ascii="Times New Roman" w:hAnsi="Times New Roman" w:cs="Times New Roman"/>
                <w:color w:val="auto"/>
                <w:highlight w:val="none"/>
              </w:rPr>
              <w:t>预测点的噪声预测值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Leq</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计算公式：</w:t>
            </w:r>
          </w:p>
          <w:p>
            <w:pPr>
              <w:ind w:firstLine="480"/>
              <w:jc w:val="center"/>
              <w:rPr>
                <w:color w:val="auto"/>
                <w:highlight w:val="none"/>
              </w:rPr>
            </w:pPr>
            <w:r>
              <w:rPr>
                <w:color w:val="auto"/>
                <w:position w:val="-14"/>
                <w:highlight w:val="none"/>
              </w:rPr>
              <w:object>
                <v:shape id="_x0000_i1027" o:spt="75" type="#_x0000_t75" style="height:21pt;width:135pt;" o:ole="t" filled="f" o:preferrelative="t" stroked="f" coordsize="21600,21600">
                  <v:path/>
                  <v:fill on="f" focussize="0,0"/>
                  <v:stroke on="f"/>
                  <v:imagedata r:id="rId26" o:title=""/>
                  <o:lock v:ext="edit" aspectratio="t"/>
                  <w10:wrap type="none"/>
                  <w10:anchorlock/>
                </v:shape>
                <o:OLEObject Type="Embed" ProgID="Equation.KSEE3" ShapeID="_x0000_i1027" DrawAspect="Content" ObjectID="_1468075727" r:id="rId25">
                  <o:LockedField>false</o:LockedField>
                </o:OLEObject>
              </w:object>
            </w:r>
            <w:r>
              <w:rPr>
                <w:rFonts w:hint="eastAsia"/>
                <w:color w:val="auto"/>
                <w:highlight w:val="none"/>
                <w:lang w:val="en-US" w:eastAsia="zh-CN"/>
              </w:rPr>
              <w:tab/>
            </w:r>
            <w:r>
              <w:rPr>
                <w:rFonts w:hint="eastAsia"/>
                <w:color w:val="auto"/>
                <w:highlight w:val="none"/>
                <w:lang w:val="en-US" w:eastAsia="zh-CN"/>
              </w:rPr>
              <w:tab/>
            </w:r>
            <w:r>
              <w:rPr>
                <w:rFonts w:hint="eastAsia"/>
                <w:color w:val="auto"/>
                <w:highlight w:val="none"/>
                <w:lang w:val="en-US" w:eastAsia="zh-CN"/>
              </w:rPr>
              <w:tab/>
            </w:r>
            <w:r>
              <w:rPr>
                <w:rFonts w:hint="eastAsia"/>
                <w:color w:val="auto"/>
                <w:highlight w:val="none"/>
              </w:rPr>
              <w:t>（2）</w:t>
            </w:r>
          </w:p>
          <w:p>
            <w:pPr>
              <w:pStyle w:val="8"/>
              <w:ind w:left="0" w:leftChars="0" w:firstLine="0" w:firstLineChars="0"/>
              <w:jc w:val="both"/>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式中：L</w:t>
            </w:r>
            <w:r>
              <w:rPr>
                <w:rFonts w:hint="default" w:ascii="Times New Roman" w:hAnsi="Times New Roman" w:cs="Times New Roman"/>
                <w:color w:val="auto"/>
                <w:highlight w:val="none"/>
                <w:vertAlign w:val="subscript"/>
                <w:lang w:eastAsia="zh-CN"/>
              </w:rPr>
              <w:t>eqg</w:t>
            </w:r>
            <w:r>
              <w:rPr>
                <w:rFonts w:hint="default" w:ascii="Times New Roman" w:hAnsi="Times New Roman" w:cs="Times New Roman"/>
                <w:color w:val="auto"/>
                <w:highlight w:val="none"/>
                <w:lang w:eastAsia="zh-CN"/>
              </w:rPr>
              <w:t>—建设项目声源在预测点的等效声级贡献值，dB(A)；</w:t>
            </w:r>
          </w:p>
          <w:p>
            <w:pPr>
              <w:pStyle w:val="8"/>
              <w:ind w:left="0" w:leftChars="0" w:firstLine="720" w:firstLineChars="300"/>
              <w:jc w:val="both"/>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L</w:t>
            </w:r>
            <w:r>
              <w:rPr>
                <w:rFonts w:hint="default" w:ascii="Times New Roman" w:hAnsi="Times New Roman" w:cs="Times New Roman"/>
                <w:color w:val="auto"/>
                <w:highlight w:val="none"/>
                <w:vertAlign w:val="subscript"/>
                <w:lang w:eastAsia="zh-CN"/>
              </w:rPr>
              <w:t>sqb</w:t>
            </w:r>
            <w:r>
              <w:rPr>
                <w:rFonts w:hint="default" w:ascii="Times New Roman" w:hAnsi="Times New Roman" w:cs="Times New Roman"/>
                <w:color w:val="auto"/>
                <w:highlight w:val="none"/>
                <w:lang w:eastAsia="zh-CN"/>
              </w:rPr>
              <w:t>—预测点的背景值，dB(A)。</w:t>
            </w:r>
          </w:p>
          <w:p>
            <w:pPr>
              <w:pStyle w:val="8"/>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②</w:t>
            </w:r>
            <w:r>
              <w:rPr>
                <w:rFonts w:hint="default" w:ascii="Times New Roman" w:hAnsi="Times New Roman" w:cs="Times New Roman"/>
                <w:color w:val="auto"/>
                <w:highlight w:val="none"/>
                <w:lang w:eastAsia="zh-CN"/>
              </w:rPr>
              <w:t>户外声传播基本公式</w:t>
            </w:r>
          </w:p>
          <w:p>
            <w:pPr>
              <w:pStyle w:val="8"/>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户外声传播衰减包括几何发散（Adiv）、大气吸收（Aatm）、地面效应（Agr）、屏障屏蔽（Abar）、其他多方面效应（Amisc）引起的衰减。本次预测计算中只考虑各设备声源至受声点（预测点）的距离衰减、隔墙（或窗户）的传输损失及降噪设备引起的噪声衰减。</w:t>
            </w:r>
          </w:p>
          <w:p>
            <w:pPr>
              <w:pStyle w:val="8"/>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A.在环境影响评价中，应根据声源声功率级或参考位置处的声压级、户外声传播衰减，计算预测点的声级，用式（3）计算。</w:t>
            </w:r>
          </w:p>
          <w:p>
            <w:pPr>
              <w:pStyle w:val="8"/>
              <w:rPr>
                <w:color w:val="auto"/>
                <w:highlight w:val="none"/>
              </w:rPr>
            </w:pPr>
            <w:r>
              <w:rPr>
                <w:color w:val="auto"/>
                <w:position w:val="-14"/>
                <w:highlight w:val="none"/>
              </w:rPr>
              <w:object>
                <v:shape id="_x0000_i1028" o:spt="75" type="#_x0000_t75" style="height:19pt;width:234pt;" o:ole="t" filled="f" o:preferrelative="t" stroked="f" coordsize="21600,21600">
                  <v:path/>
                  <v:fill on="f" focussize="0,0"/>
                  <v:stroke on="f"/>
                  <v:imagedata r:id="rId28" o:title=""/>
                  <o:lock v:ext="edit" aspectratio="t"/>
                  <w10:wrap type="none"/>
                  <w10:anchorlock/>
                </v:shape>
                <o:OLEObject Type="Embed" ProgID="Equation.KSEE3" ShapeID="_x0000_i1028" DrawAspect="Content" ObjectID="_1468075728" r:id="rId27">
                  <o:LockedField>false</o:LockedField>
                </o:OLEObject>
              </w:object>
            </w:r>
            <w:r>
              <w:rPr>
                <w:rFonts w:hint="eastAsia"/>
                <w:color w:val="auto"/>
                <w:highlight w:val="none"/>
                <w:lang w:val="en-US" w:eastAsia="zh-CN"/>
              </w:rPr>
              <w:tab/>
            </w:r>
            <w:r>
              <w:rPr>
                <w:rFonts w:hint="eastAsia"/>
                <w:color w:val="auto"/>
                <w:highlight w:val="none"/>
                <w:lang w:val="en-US" w:eastAsia="zh-CN"/>
              </w:rPr>
              <w:tab/>
            </w:r>
            <w:r>
              <w:rPr>
                <w:rFonts w:hint="eastAsia"/>
                <w:color w:val="auto"/>
                <w:highlight w:val="none"/>
                <w:lang w:val="en-US" w:eastAsia="zh-CN"/>
              </w:rPr>
              <w:tab/>
            </w:r>
            <w:r>
              <w:rPr>
                <w:color w:val="auto"/>
                <w:highlight w:val="none"/>
              </w:rPr>
              <w:t>（3）</w:t>
            </w:r>
          </w:p>
          <w:p>
            <w:pPr>
              <w:pStyle w:val="8"/>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B.在只考虑几何发散衰减时，可用公式（</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）计算：</w:t>
            </w:r>
          </w:p>
          <w:p>
            <w:pPr>
              <w:pStyle w:val="8"/>
              <w:ind w:left="0" w:leftChars="0" w:firstLine="0" w:firstLineChars="0"/>
              <w:jc w:val="center"/>
              <w:rPr>
                <w:rFonts w:hint="default" w:ascii="Times New Roman" w:hAnsi="Times New Roman" w:cs="Times New Roman"/>
                <w:color w:val="auto"/>
                <w:highlight w:val="none"/>
                <w:lang w:val="en-US" w:eastAsia="zh-CN"/>
              </w:rPr>
            </w:pPr>
            <w:r>
              <w:rPr>
                <w:color w:val="auto"/>
                <w:position w:val="0"/>
                <w:sz w:val="24"/>
                <w:highlight w:val="none"/>
              </w:rPr>
              <w:object>
                <v:shape id="_x0000_i1029" o:spt="75" type="#_x0000_t75" style="height:19pt;width:135pt;" o:ole="t" filled="f" o:preferrelative="t" stroked="f" coordsize="21600,21600">
                  <v:path/>
                  <v:fill on="f" focussize="0,0"/>
                  <v:stroke on="f"/>
                  <v:imagedata r:id="rId30" o:title=""/>
                  <o:lock v:ext="edit" aspectratio="t"/>
                  <w10:wrap type="none"/>
                  <w10:anchorlock/>
                </v:shape>
                <o:OLEObject Type="Embed" ProgID="Equation.KSEE3" ShapeID="_x0000_i1029" DrawAspect="Content" ObjectID="_1468075729" r:id="rId29">
                  <o:LockedField>false</o:LockedField>
                </o:OLEObject>
              </w:object>
            </w:r>
            <w:r>
              <w:rPr>
                <w:rFonts w:hint="eastAsia"/>
                <w:color w:val="auto"/>
                <w:highlight w:val="none"/>
                <w:lang w:val="en-US" w:eastAsia="zh-CN"/>
              </w:rPr>
              <w:tab/>
            </w:r>
            <w:r>
              <w:rPr>
                <w:rFonts w:hint="eastAsia"/>
                <w:color w:val="auto"/>
                <w:highlight w:val="none"/>
                <w:lang w:val="en-US" w:eastAsia="zh-CN"/>
              </w:rPr>
              <w:tab/>
            </w:r>
            <w:r>
              <w:rPr>
                <w:rFonts w:hint="eastAsia"/>
                <w:color w:val="auto"/>
                <w:highlight w:val="none"/>
                <w:lang w:val="en-US" w:eastAsia="zh-CN"/>
              </w:rPr>
              <w:tab/>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w:t>
            </w:r>
          </w:p>
          <w:p>
            <w:pPr>
              <w:pStyle w:val="8"/>
              <w:bidi w:val="0"/>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式中：Lp(r</w:t>
            </w:r>
            <w:r>
              <w:rPr>
                <w:rFonts w:hint="default" w:ascii="Times New Roman" w:hAnsi="Times New Roman" w:cs="Times New Roman"/>
                <w:color w:val="auto"/>
                <w:highlight w:val="none"/>
                <w:vertAlign w:val="subscript"/>
              </w:rPr>
              <w:t>0</w:t>
            </w:r>
            <w:r>
              <w:rPr>
                <w:rFonts w:hint="default" w:ascii="Times New Roman" w:hAnsi="Times New Roman" w:cs="Times New Roman"/>
                <w:color w:val="auto"/>
                <w:highlight w:val="none"/>
              </w:rPr>
              <w:t>)—设备源声压级，dB；</w:t>
            </w:r>
          </w:p>
          <w:p>
            <w:pPr>
              <w:pStyle w:val="8"/>
              <w:bidi w:val="0"/>
              <w:ind w:firstLine="720" w:firstLineChars="300"/>
              <w:rPr>
                <w:rFonts w:hint="default" w:ascii="Times New Roman" w:hAnsi="Times New Roman" w:cs="Times New Roman"/>
                <w:color w:val="auto"/>
                <w:highlight w:val="none"/>
              </w:rPr>
            </w:pPr>
            <w:r>
              <w:rPr>
                <w:rFonts w:hint="default" w:ascii="Times New Roman" w:hAnsi="Times New Roman" w:cs="Times New Roman"/>
                <w:color w:val="auto"/>
                <w:highlight w:val="none"/>
              </w:rPr>
              <w:t>Lp(r)—距离r预测点声压级，dB。</w:t>
            </w:r>
          </w:p>
          <w:p>
            <w:pPr>
              <w:pStyle w:val="8"/>
              <w:bidi w:val="0"/>
              <w:ind w:firstLine="720" w:firstLineChars="300"/>
              <w:rPr>
                <w:rFonts w:hint="default" w:ascii="Times New Roman" w:hAnsi="Times New Roman" w:cs="Times New Roman"/>
                <w:color w:val="auto"/>
                <w:highlight w:val="none"/>
              </w:rPr>
            </w:pPr>
            <w:r>
              <w:rPr>
                <w:rFonts w:hint="default" w:ascii="Times New Roman" w:hAnsi="Times New Roman" w:cs="Times New Roman"/>
                <w:color w:val="auto"/>
                <w:highlight w:val="none"/>
              </w:rPr>
              <w:t>r——预测点距声源的距离；</w:t>
            </w:r>
          </w:p>
          <w:p>
            <w:pPr>
              <w:pStyle w:val="8"/>
              <w:bidi w:val="0"/>
              <w:ind w:firstLine="720" w:firstLineChars="300"/>
              <w:rPr>
                <w:rFonts w:hint="default" w:ascii="Times New Roman" w:hAnsi="Times New Roman" w:cs="Times New Roman"/>
                <w:color w:val="auto"/>
                <w:highlight w:val="none"/>
              </w:rPr>
            </w:pPr>
            <w:r>
              <w:rPr>
                <w:rFonts w:hint="default" w:ascii="Times New Roman" w:hAnsi="Times New Roman" w:cs="Times New Roman"/>
                <w:color w:val="auto"/>
                <w:highlight w:val="none"/>
              </w:rPr>
              <w:t>r</w:t>
            </w:r>
            <w:r>
              <w:rPr>
                <w:rFonts w:hint="default" w:ascii="Times New Roman" w:hAnsi="Times New Roman" w:cs="Times New Roman"/>
                <w:color w:val="auto"/>
                <w:highlight w:val="none"/>
                <w:vertAlign w:val="subscript"/>
              </w:rPr>
              <w:t>0</w:t>
            </w:r>
            <w:r>
              <w:rPr>
                <w:rFonts w:hint="default" w:ascii="Times New Roman" w:hAnsi="Times New Roman" w:cs="Times New Roman"/>
                <w:color w:val="auto"/>
                <w:highlight w:val="none"/>
              </w:rPr>
              <w:t>——参考位置距声源的距离。</w:t>
            </w:r>
          </w:p>
          <w:p>
            <w:pPr>
              <w:pStyle w:val="8"/>
              <w:bidi w:val="0"/>
              <w:rPr>
                <w:color w:val="auto"/>
              </w:rPr>
            </w:pPr>
            <w:r>
              <w:rPr>
                <w:rFonts w:hint="eastAsia"/>
                <w:color w:val="auto"/>
                <w:lang w:val="en-US" w:eastAsia="zh-CN"/>
              </w:rPr>
              <w:t>③</w:t>
            </w:r>
            <w:r>
              <w:rPr>
                <w:rFonts w:hint="eastAsia"/>
                <w:color w:val="auto"/>
              </w:rPr>
              <w:t>室内声源等效室外声源</w:t>
            </w:r>
          </w:p>
          <w:p>
            <w:pPr>
              <w:pStyle w:val="8"/>
              <w:bidi w:val="0"/>
              <w:rPr>
                <w:color w:val="auto"/>
              </w:rPr>
            </w:pPr>
            <w:r>
              <w:rPr>
                <w:rFonts w:hint="eastAsia"/>
                <w:color w:val="auto"/>
              </w:rPr>
              <w:t>在室内近似为扩散声场时，按公式（</w:t>
            </w:r>
            <w:r>
              <w:rPr>
                <w:rFonts w:hint="eastAsia"/>
                <w:color w:val="auto"/>
                <w:lang w:val="en-US" w:eastAsia="zh-CN"/>
              </w:rPr>
              <w:t>5</w:t>
            </w:r>
            <w:r>
              <w:rPr>
                <w:rFonts w:hint="eastAsia"/>
                <w:color w:val="auto"/>
              </w:rPr>
              <w:t>）计算出靠近室外围护结构处的声压级：</w:t>
            </w:r>
          </w:p>
          <w:p>
            <w:pPr>
              <w:pStyle w:val="8"/>
              <w:bidi w:val="0"/>
              <w:jc w:val="center"/>
              <w:rPr>
                <w:color w:val="auto"/>
              </w:rPr>
            </w:pPr>
            <w:r>
              <w:rPr>
                <w:color w:val="auto"/>
              </w:rPr>
              <w:object>
                <v:shape id="_x0000_i1030" o:spt="75" type="#_x0000_t75" style="height:18pt;width:137.25pt;" o:ole="t" filled="f" o:preferrelative="t" stroked="f" coordsize="21600,21600">
                  <v:path/>
                  <v:fill on="f" focussize="0,0"/>
                  <v:stroke on="f" joinstyle="miter"/>
                  <v:imagedata r:id="rId32" o:title=""/>
                  <o:lock v:ext="edit" aspectratio="t"/>
                  <w10:wrap type="none"/>
                  <w10:anchorlock/>
                </v:shape>
                <o:OLEObject Type="Embed" ProgID="Equation.3" ShapeID="_x0000_i1030" DrawAspect="Content" ObjectID="_1468075730" r:id="rId31">
                  <o:LockedField>false</o:LockedField>
                </o:OLEObject>
              </w:object>
            </w:r>
            <w:r>
              <w:rPr>
                <w:rFonts w:hint="eastAsia"/>
                <w:color w:val="auto"/>
                <w:highlight w:val="none"/>
                <w:lang w:val="en-US" w:eastAsia="zh-CN"/>
              </w:rPr>
              <w:tab/>
            </w:r>
            <w:r>
              <w:rPr>
                <w:rFonts w:hint="eastAsia"/>
                <w:color w:val="auto"/>
                <w:highlight w:val="none"/>
                <w:lang w:val="en-US" w:eastAsia="zh-CN"/>
              </w:rPr>
              <w:tab/>
            </w:r>
            <w:r>
              <w:rPr>
                <w:rFonts w:hint="eastAsia"/>
                <w:color w:val="auto"/>
                <w:highlight w:val="none"/>
                <w:lang w:val="en-US" w:eastAsia="zh-CN"/>
              </w:rPr>
              <w:tab/>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w:t>
            </w:r>
          </w:p>
          <w:p>
            <w:pPr>
              <w:pStyle w:val="8"/>
              <w:bidi w:val="0"/>
              <w:ind w:firstLine="0" w:firstLineChars="0"/>
              <w:rPr>
                <w:color w:val="auto"/>
              </w:rPr>
            </w:pPr>
            <w:r>
              <w:rPr>
                <w:rFonts w:hint="eastAsia"/>
                <w:color w:val="auto"/>
              </w:rPr>
              <w:t>式中：</w:t>
            </w:r>
            <w:r>
              <w:rPr>
                <w:rFonts w:hint="eastAsia"/>
                <w:color w:val="auto"/>
                <w:lang w:val="en-US" w:eastAsia="zh-CN"/>
              </w:rPr>
              <w:t>T</w:t>
            </w:r>
            <w:r>
              <w:rPr>
                <w:rFonts w:hint="eastAsia"/>
                <w:color w:val="auto"/>
                <w:vertAlign w:val="subscript"/>
                <w:lang w:val="en-US" w:eastAsia="zh-CN"/>
              </w:rPr>
              <w:t>PLi</w:t>
            </w:r>
            <w:r>
              <w:rPr>
                <w:rFonts w:hint="eastAsia"/>
                <w:color w:val="auto"/>
                <w:vertAlign w:val="baseline"/>
                <w:lang w:val="en-US" w:eastAsia="zh-CN"/>
              </w:rPr>
              <w:t>(T)</w:t>
            </w:r>
            <w:r>
              <w:rPr>
                <w:color w:val="auto"/>
              </w:rPr>
              <w:t>—</w:t>
            </w:r>
            <w:r>
              <w:rPr>
                <w:rFonts w:hint="eastAsia"/>
                <w:color w:val="auto"/>
              </w:rPr>
              <w:t>靠近围护结构处室外</w:t>
            </w:r>
            <w:r>
              <w:rPr>
                <w:color w:val="auto"/>
              </w:rPr>
              <w:t>N</w:t>
            </w:r>
            <w:r>
              <w:rPr>
                <w:rFonts w:hint="eastAsia"/>
                <w:color w:val="auto"/>
              </w:rPr>
              <w:t>个声源</w:t>
            </w:r>
            <w:r>
              <w:rPr>
                <w:color w:val="auto"/>
              </w:rPr>
              <w:t>i</w:t>
            </w:r>
            <w:r>
              <w:rPr>
                <w:rFonts w:hint="eastAsia"/>
                <w:color w:val="auto"/>
              </w:rPr>
              <w:t>倍频带的叠加声压级，</w:t>
            </w:r>
            <w:r>
              <w:rPr>
                <w:color w:val="auto"/>
              </w:rPr>
              <w:t>dB</w:t>
            </w:r>
            <w:r>
              <w:rPr>
                <w:rFonts w:hint="eastAsia"/>
                <w:color w:val="auto"/>
              </w:rPr>
              <w:t>；</w:t>
            </w:r>
          </w:p>
          <w:p>
            <w:pPr>
              <w:pStyle w:val="8"/>
              <w:bidi w:val="0"/>
              <w:ind w:firstLine="638" w:firstLineChars="266"/>
              <w:rPr>
                <w:color w:val="auto"/>
              </w:rPr>
            </w:pPr>
            <w:r>
              <w:rPr>
                <w:rFonts w:hint="eastAsia"/>
                <w:color w:val="auto"/>
                <w:lang w:val="en-US" w:eastAsia="zh-CN"/>
              </w:rPr>
              <w:t>TL</w:t>
            </w:r>
            <w:r>
              <w:rPr>
                <w:rFonts w:hint="eastAsia"/>
                <w:color w:val="auto"/>
                <w:vertAlign w:val="subscript"/>
                <w:lang w:val="en-US" w:eastAsia="zh-CN"/>
              </w:rPr>
              <w:t>i</w:t>
            </w:r>
            <w:r>
              <w:rPr>
                <w:color w:val="auto"/>
              </w:rPr>
              <w:t>—</w:t>
            </w:r>
            <w:r>
              <w:rPr>
                <w:rFonts w:hint="eastAsia"/>
                <w:color w:val="auto"/>
              </w:rPr>
              <w:t>围护结构</w:t>
            </w:r>
            <w:r>
              <w:rPr>
                <w:color w:val="auto"/>
              </w:rPr>
              <w:t>i</w:t>
            </w:r>
            <w:r>
              <w:rPr>
                <w:rFonts w:hint="eastAsia"/>
                <w:color w:val="auto"/>
              </w:rPr>
              <w:t>倍频带的隔声量，</w:t>
            </w:r>
            <w:r>
              <w:rPr>
                <w:color w:val="auto"/>
              </w:rPr>
              <w:t>dB</w:t>
            </w:r>
            <w:r>
              <w:rPr>
                <w:rFonts w:hint="eastAsia"/>
                <w:color w:val="auto"/>
              </w:rPr>
              <w:t>。（厂房墙体隔声量以</w:t>
            </w:r>
            <w:r>
              <w:rPr>
                <w:color w:val="auto"/>
              </w:rPr>
              <w:t>15dB</w:t>
            </w:r>
            <w:r>
              <w:rPr>
                <w:rFonts w:hint="eastAsia"/>
                <w:color w:val="auto"/>
              </w:rPr>
              <w:t>计）</w:t>
            </w:r>
          </w:p>
          <w:p>
            <w:pPr>
              <w:pStyle w:val="8"/>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噪声预测及影响评价</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本次评价以</w:t>
            </w:r>
            <w:r>
              <w:rPr>
                <w:rFonts w:hint="eastAsia" w:cs="Times New Roman"/>
                <w:color w:val="auto"/>
                <w:highlight w:val="none"/>
                <w:lang w:val="en-US" w:eastAsia="zh-CN"/>
              </w:rPr>
              <w:t>运营期噪声</w:t>
            </w:r>
            <w:r>
              <w:rPr>
                <w:rFonts w:hint="default" w:ascii="Times New Roman" w:hAnsi="Times New Roman" w:cs="Times New Roman"/>
                <w:color w:val="auto"/>
                <w:highlight w:val="none"/>
              </w:rPr>
              <w:t>贡献值</w:t>
            </w:r>
            <w:r>
              <w:rPr>
                <w:rFonts w:hint="eastAsia" w:cs="Times New Roman"/>
                <w:color w:val="auto"/>
                <w:highlight w:val="none"/>
                <w:lang w:val="en-US" w:eastAsia="zh-CN"/>
              </w:rPr>
              <w:t>作为</w:t>
            </w:r>
            <w:r>
              <w:rPr>
                <w:rFonts w:hint="default" w:ascii="Times New Roman" w:hAnsi="Times New Roman" w:cs="Times New Roman"/>
                <w:color w:val="auto"/>
                <w:highlight w:val="none"/>
                <w:lang w:val="en-US" w:eastAsia="zh-CN"/>
              </w:rPr>
              <w:t>建成后</w:t>
            </w:r>
            <w:r>
              <w:rPr>
                <w:rFonts w:hint="eastAsia" w:cs="Times New Roman"/>
                <w:color w:val="auto"/>
                <w:highlight w:val="none"/>
                <w:lang w:val="en-US" w:eastAsia="zh-CN"/>
              </w:rPr>
              <w:t>的</w:t>
            </w:r>
            <w:r>
              <w:rPr>
                <w:rFonts w:hint="default" w:ascii="Times New Roman" w:hAnsi="Times New Roman" w:cs="Times New Roman"/>
                <w:color w:val="auto"/>
                <w:highlight w:val="none"/>
              </w:rPr>
              <w:t>厂界噪声影响进行评价。经预测，本项目</w:t>
            </w:r>
            <w:r>
              <w:rPr>
                <w:rFonts w:hint="eastAsia" w:cs="Times New Roman"/>
                <w:color w:val="auto"/>
                <w:highlight w:val="none"/>
                <w:lang w:val="en-US" w:eastAsia="zh-CN"/>
              </w:rPr>
              <w:t>运营期</w:t>
            </w:r>
            <w:r>
              <w:rPr>
                <w:rFonts w:hint="default" w:ascii="Times New Roman" w:hAnsi="Times New Roman" w:cs="Times New Roman"/>
                <w:color w:val="auto"/>
                <w:highlight w:val="none"/>
              </w:rPr>
              <w:t>对</w:t>
            </w:r>
            <w:r>
              <w:rPr>
                <w:rFonts w:hint="default" w:ascii="Times New Roman" w:hAnsi="Times New Roman" w:cs="Times New Roman"/>
                <w:color w:val="auto"/>
                <w:highlight w:val="none"/>
                <w:lang w:eastAsia="zh-CN"/>
              </w:rPr>
              <w:t>厂界</w:t>
            </w:r>
            <w:r>
              <w:rPr>
                <w:rFonts w:hint="default" w:ascii="Times New Roman" w:hAnsi="Times New Roman" w:cs="Times New Roman"/>
                <w:color w:val="auto"/>
                <w:highlight w:val="none"/>
              </w:rPr>
              <w:t>影响贡献值，详见</w:t>
            </w:r>
            <w:r>
              <w:rPr>
                <w:rFonts w:hint="default" w:ascii="Times New Roman" w:hAnsi="Times New Roman" w:cs="Times New Roman"/>
                <w:color w:val="auto"/>
                <w:highlight w:val="none"/>
                <w:lang w:val="en-US" w:eastAsia="zh-CN"/>
              </w:rPr>
              <w:t>下表</w:t>
            </w:r>
            <w:r>
              <w:rPr>
                <w:rFonts w:hint="default" w:ascii="Times New Roman" w:hAnsi="Times New Roman" w:cs="Times New Roman"/>
                <w:color w:val="auto"/>
                <w:highlight w:val="none"/>
              </w:rPr>
              <w:t>。</w:t>
            </w:r>
          </w:p>
          <w:p>
            <w:pPr>
              <w:pStyle w:val="30"/>
              <w:bidi w:val="0"/>
              <w:rPr>
                <w:rFonts w:hint="default" w:ascii="Times New Roman" w:hAnsi="Times New Roman" w:cs="Times New Roman"/>
                <w:color w:val="auto"/>
                <w:highlight w:val="yellow"/>
              </w:rPr>
            </w:pPr>
            <w:r>
              <w:rPr>
                <w:rFonts w:hint="default" w:ascii="Times New Roman" w:hAnsi="Times New Roman" w:cs="Times New Roman"/>
                <w:color w:val="auto"/>
                <w:highlight w:val="none"/>
              </w:rPr>
              <w:t>项目运营后厂界</w:t>
            </w:r>
            <w:r>
              <w:rPr>
                <w:rFonts w:hint="eastAsia" w:cs="Times New Roman"/>
                <w:color w:val="auto"/>
                <w:highlight w:val="none"/>
                <w:lang w:val="en-US" w:eastAsia="zh-CN"/>
              </w:rPr>
              <w:t>昼间</w:t>
            </w:r>
            <w:r>
              <w:rPr>
                <w:rFonts w:hint="default" w:ascii="Times New Roman" w:hAnsi="Times New Roman" w:cs="Times New Roman"/>
                <w:color w:val="auto"/>
                <w:highlight w:val="none"/>
              </w:rPr>
              <w:t>噪声预测结果</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t>单位：dB（A）</w:t>
            </w:r>
          </w:p>
          <w:tbl>
            <w:tblPr>
              <w:tblStyle w:val="24"/>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338"/>
              <w:gridCol w:w="1789"/>
              <w:gridCol w:w="1425"/>
              <w:gridCol w:w="1690"/>
              <w:gridCol w:w="1717"/>
              <w:gridCol w:w="100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746" w:type="pct"/>
                  <w:vMerge w:val="restart"/>
                  <w:tcBorders>
                    <w:tl2br w:val="nil"/>
                    <w:tr2bl w:val="nil"/>
                  </w:tcBorders>
                  <w:shd w:val="clear" w:color="auto" w:fill="auto"/>
                  <w:vAlign w:val="center"/>
                </w:tcPr>
                <w:p>
                  <w:pPr>
                    <w:pStyle w:val="31"/>
                    <w:bidi w:val="0"/>
                    <w:rPr>
                      <w:rFonts w:hint="default"/>
                    </w:rPr>
                  </w:pPr>
                  <w:r>
                    <w:rPr>
                      <w:rFonts w:hint="eastAsia"/>
                      <w:lang w:val="en-US" w:eastAsia="zh-CN"/>
                    </w:rPr>
                    <w:t>点位</w:t>
                  </w:r>
                </w:p>
              </w:tc>
              <w:tc>
                <w:tcPr>
                  <w:tcW w:w="997" w:type="pct"/>
                  <w:vMerge w:val="restart"/>
                  <w:tcBorders>
                    <w:tl2br w:val="nil"/>
                    <w:tr2bl w:val="nil"/>
                  </w:tcBorders>
                  <w:shd w:val="clear" w:color="auto" w:fill="auto"/>
                  <w:vAlign w:val="center"/>
                </w:tcPr>
                <w:p>
                  <w:pPr>
                    <w:pStyle w:val="31"/>
                    <w:bidi w:val="0"/>
                    <w:rPr>
                      <w:rFonts w:hint="eastAsia"/>
                      <w:lang w:val="en-US" w:eastAsia="zh-CN"/>
                    </w:rPr>
                  </w:pPr>
                  <w:r>
                    <w:rPr>
                      <w:rFonts w:hint="eastAsia"/>
                      <w:lang w:val="en-US" w:eastAsia="zh-CN"/>
                    </w:rPr>
                    <w:t>与声源最近距离</w:t>
                  </w:r>
                </w:p>
                <w:p>
                  <w:pPr>
                    <w:pStyle w:val="31"/>
                    <w:bidi w:val="0"/>
                    <w:rPr>
                      <w:rFonts w:hint="default"/>
                      <w:lang w:val="en-US" w:eastAsia="zh-CN"/>
                    </w:rPr>
                  </w:pPr>
                  <w:r>
                    <w:rPr>
                      <w:rFonts w:hint="eastAsia"/>
                      <w:lang w:val="en-US" w:eastAsia="zh-CN"/>
                    </w:rPr>
                    <w:t>（m）</w:t>
                  </w:r>
                </w:p>
              </w:tc>
              <w:tc>
                <w:tcPr>
                  <w:tcW w:w="794" w:type="pct"/>
                  <w:vMerge w:val="restart"/>
                  <w:tcBorders>
                    <w:tl2br w:val="nil"/>
                    <w:tr2bl w:val="nil"/>
                  </w:tcBorders>
                  <w:shd w:val="clear" w:color="auto" w:fill="auto"/>
                  <w:vAlign w:val="center"/>
                </w:tcPr>
                <w:p>
                  <w:pPr>
                    <w:pStyle w:val="31"/>
                    <w:bidi w:val="0"/>
                    <w:rPr>
                      <w:rFonts w:hint="default"/>
                      <w:lang w:val="en-US"/>
                    </w:rPr>
                  </w:pPr>
                  <w:r>
                    <w:rPr>
                      <w:rFonts w:hint="eastAsia"/>
                      <w:lang w:val="en-US" w:eastAsia="zh-CN"/>
                    </w:rPr>
                    <w:t>噪声</w:t>
                  </w:r>
                  <w:r>
                    <w:rPr>
                      <w:rFonts w:hint="default"/>
                      <w:lang w:val="en-US" w:eastAsia="zh-CN"/>
                    </w:rPr>
                    <w:t>贡献值</w:t>
                  </w:r>
                </w:p>
              </w:tc>
              <w:tc>
                <w:tcPr>
                  <w:tcW w:w="1899" w:type="pct"/>
                  <w:gridSpan w:val="2"/>
                  <w:tcBorders>
                    <w:tl2br w:val="nil"/>
                    <w:tr2bl w:val="nil"/>
                  </w:tcBorders>
                  <w:shd w:val="clear" w:color="auto" w:fill="auto"/>
                  <w:vAlign w:val="center"/>
                </w:tcPr>
                <w:p>
                  <w:pPr>
                    <w:pStyle w:val="31"/>
                    <w:bidi w:val="0"/>
                    <w:rPr>
                      <w:rFonts w:hint="eastAsia"/>
                      <w:lang w:val="en-US" w:eastAsia="zh-CN"/>
                    </w:rPr>
                  </w:pPr>
                  <w:r>
                    <w:rPr>
                      <w:rFonts w:hint="eastAsia"/>
                      <w:lang w:val="en-US" w:eastAsia="zh-CN"/>
                    </w:rPr>
                    <w:t>执行标准</w:t>
                  </w:r>
                </w:p>
              </w:tc>
              <w:tc>
                <w:tcPr>
                  <w:tcW w:w="561" w:type="pct"/>
                  <w:vMerge w:val="restart"/>
                  <w:tcBorders>
                    <w:tl2br w:val="nil"/>
                    <w:tr2bl w:val="nil"/>
                  </w:tcBorders>
                  <w:shd w:val="clear" w:color="auto" w:fill="auto"/>
                  <w:vAlign w:val="center"/>
                </w:tcPr>
                <w:p>
                  <w:pPr>
                    <w:pStyle w:val="31"/>
                    <w:bidi w:val="0"/>
                    <w:rPr>
                      <w:rFonts w:hint="eastAsia"/>
                      <w:lang w:val="en-US" w:eastAsia="zh-CN"/>
                    </w:rPr>
                  </w:pPr>
                  <w:r>
                    <w:rPr>
                      <w:rFonts w:hint="eastAsia"/>
                      <w:lang w:val="en-US" w:eastAsia="zh-CN"/>
                    </w:rPr>
                    <w:t>评价结果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746" w:type="pct"/>
                  <w:vMerge w:val="continue"/>
                  <w:tcBorders>
                    <w:tl2br w:val="nil"/>
                    <w:tr2bl w:val="nil"/>
                  </w:tcBorders>
                  <w:shd w:val="clear" w:color="auto" w:fill="auto"/>
                  <w:vAlign w:val="center"/>
                </w:tcPr>
                <w:p>
                  <w:pPr>
                    <w:pStyle w:val="31"/>
                    <w:bidi w:val="0"/>
                  </w:pPr>
                </w:p>
              </w:tc>
              <w:tc>
                <w:tcPr>
                  <w:tcW w:w="997" w:type="pct"/>
                  <w:vMerge w:val="continue"/>
                  <w:tcBorders>
                    <w:tl2br w:val="nil"/>
                    <w:tr2bl w:val="nil"/>
                  </w:tcBorders>
                  <w:shd w:val="clear" w:color="auto" w:fill="auto"/>
                  <w:vAlign w:val="center"/>
                </w:tcPr>
                <w:p>
                  <w:pPr>
                    <w:pStyle w:val="31"/>
                    <w:bidi w:val="0"/>
                  </w:pPr>
                </w:p>
              </w:tc>
              <w:tc>
                <w:tcPr>
                  <w:tcW w:w="794" w:type="pct"/>
                  <w:vMerge w:val="continue"/>
                  <w:tcBorders>
                    <w:tl2br w:val="nil"/>
                    <w:tr2bl w:val="nil"/>
                  </w:tcBorders>
                  <w:shd w:val="clear" w:color="auto" w:fill="auto"/>
                  <w:vAlign w:val="center"/>
                </w:tcPr>
                <w:p>
                  <w:pPr>
                    <w:pStyle w:val="31"/>
                    <w:bidi w:val="0"/>
                  </w:pPr>
                </w:p>
              </w:tc>
              <w:tc>
                <w:tcPr>
                  <w:tcW w:w="942"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昼间</w:t>
                  </w:r>
                </w:p>
              </w:tc>
              <w:tc>
                <w:tcPr>
                  <w:tcW w:w="957"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夜间</w:t>
                  </w:r>
                </w:p>
              </w:tc>
              <w:tc>
                <w:tcPr>
                  <w:tcW w:w="561" w:type="pct"/>
                  <w:vMerge w:val="continue"/>
                  <w:tcBorders>
                    <w:tl2br w:val="nil"/>
                    <w:tr2bl w:val="nil"/>
                  </w:tcBorders>
                  <w:shd w:val="clear" w:color="auto" w:fill="auto"/>
                  <w:vAlign w:val="center"/>
                </w:tcPr>
                <w:p>
                  <w:pPr>
                    <w:pStyle w:val="31"/>
                    <w:bidi w:val="0"/>
                    <w:rPr>
                      <w:rFonts w:hint="eastAsia"/>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6" w:type="pct"/>
                  <w:tcBorders>
                    <w:tl2br w:val="nil"/>
                    <w:tr2bl w:val="nil"/>
                  </w:tcBorders>
                  <w:shd w:val="clear" w:color="auto" w:fill="auto"/>
                  <w:vAlign w:val="center"/>
                </w:tcPr>
                <w:p>
                  <w:pPr>
                    <w:pStyle w:val="31"/>
                    <w:bidi w:val="0"/>
                    <w:rPr>
                      <w:rFonts w:hint="default"/>
                    </w:rPr>
                  </w:pPr>
                  <w:r>
                    <w:rPr>
                      <w:rFonts w:hint="default"/>
                    </w:rPr>
                    <w:t>东厂界</w:t>
                  </w:r>
                </w:p>
                <w:p>
                  <w:pPr>
                    <w:pStyle w:val="31"/>
                    <w:bidi w:val="0"/>
                    <w:rPr>
                      <w:rFonts w:hint="default"/>
                      <w:lang w:val="en-US"/>
                    </w:rPr>
                  </w:pPr>
                  <w:r>
                    <w:rPr>
                      <w:rFonts w:hint="eastAsia"/>
                      <w:lang w:eastAsia="zh-CN"/>
                    </w:rPr>
                    <w:t>（</w:t>
                  </w:r>
                  <w:r>
                    <w:rPr>
                      <w:rFonts w:hint="eastAsia"/>
                      <w:lang w:val="en-US" w:eastAsia="zh-CN"/>
                    </w:rPr>
                    <w:t>东侧角落</w:t>
                  </w:r>
                  <w:r>
                    <w:rPr>
                      <w:rFonts w:hint="eastAsia"/>
                      <w:lang w:eastAsia="zh-CN"/>
                    </w:rPr>
                    <w:t>）</w:t>
                  </w:r>
                </w:p>
              </w:tc>
              <w:tc>
                <w:tcPr>
                  <w:tcW w:w="997"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1</w:t>
                  </w:r>
                </w:p>
              </w:tc>
              <w:tc>
                <w:tcPr>
                  <w:tcW w:w="794"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49</w:t>
                  </w:r>
                </w:p>
              </w:tc>
              <w:tc>
                <w:tcPr>
                  <w:tcW w:w="942"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65</w:t>
                  </w:r>
                </w:p>
              </w:tc>
              <w:tc>
                <w:tcPr>
                  <w:tcW w:w="957"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55</w:t>
                  </w:r>
                </w:p>
              </w:tc>
              <w:tc>
                <w:tcPr>
                  <w:tcW w:w="561"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6" w:type="pct"/>
                  <w:tcBorders>
                    <w:tl2br w:val="nil"/>
                    <w:tr2bl w:val="nil"/>
                  </w:tcBorders>
                  <w:shd w:val="clear" w:color="auto" w:fill="auto"/>
                  <w:vAlign w:val="center"/>
                </w:tcPr>
                <w:p>
                  <w:pPr>
                    <w:pStyle w:val="31"/>
                    <w:bidi w:val="0"/>
                    <w:rPr>
                      <w:rFonts w:hint="default"/>
                      <w:lang w:eastAsia="zh-CN"/>
                    </w:rPr>
                  </w:pPr>
                  <w:r>
                    <w:rPr>
                      <w:rFonts w:hint="default"/>
                    </w:rPr>
                    <w:t>南厂界</w:t>
                  </w:r>
                  <w:r>
                    <w:rPr>
                      <w:rFonts w:hint="eastAsia"/>
                      <w:lang w:eastAsia="zh-CN"/>
                    </w:rPr>
                    <w:t>（</w:t>
                  </w:r>
                  <w:r>
                    <w:rPr>
                      <w:rFonts w:hint="eastAsia"/>
                      <w:lang w:val="en-US" w:eastAsia="zh-CN"/>
                    </w:rPr>
                    <w:t>室外绿化带</w:t>
                  </w:r>
                  <w:r>
                    <w:rPr>
                      <w:rFonts w:hint="eastAsia"/>
                      <w:lang w:eastAsia="zh-CN"/>
                    </w:rPr>
                    <w:t>）</w:t>
                  </w:r>
                </w:p>
              </w:tc>
              <w:tc>
                <w:tcPr>
                  <w:tcW w:w="997"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1</w:t>
                  </w:r>
                </w:p>
              </w:tc>
              <w:tc>
                <w:tcPr>
                  <w:tcW w:w="794"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49.2</w:t>
                  </w:r>
                </w:p>
              </w:tc>
              <w:tc>
                <w:tcPr>
                  <w:tcW w:w="942"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65</w:t>
                  </w:r>
                </w:p>
              </w:tc>
              <w:tc>
                <w:tcPr>
                  <w:tcW w:w="957"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55</w:t>
                  </w:r>
                </w:p>
              </w:tc>
              <w:tc>
                <w:tcPr>
                  <w:tcW w:w="561" w:type="pct"/>
                  <w:tcBorders>
                    <w:tl2br w:val="nil"/>
                    <w:tr2bl w:val="nil"/>
                  </w:tcBorders>
                  <w:shd w:val="clear" w:color="auto" w:fill="auto"/>
                  <w:vAlign w:val="center"/>
                </w:tcPr>
                <w:p>
                  <w:pPr>
                    <w:pStyle w:val="31"/>
                    <w:bidi w:val="0"/>
                    <w:rPr>
                      <w:rFonts w:hint="eastAsia"/>
                      <w:lang w:val="en-US" w:eastAsia="zh-CN"/>
                    </w:rPr>
                  </w:pPr>
                  <w:r>
                    <w:rPr>
                      <w:rFonts w:hint="eastAsia"/>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6" w:type="pct"/>
                  <w:tcBorders>
                    <w:tl2br w:val="nil"/>
                    <w:tr2bl w:val="nil"/>
                  </w:tcBorders>
                  <w:shd w:val="clear" w:color="auto" w:fill="auto"/>
                  <w:vAlign w:val="center"/>
                </w:tcPr>
                <w:p>
                  <w:pPr>
                    <w:pStyle w:val="31"/>
                    <w:bidi w:val="0"/>
                    <w:rPr>
                      <w:rFonts w:hint="default"/>
                    </w:rPr>
                  </w:pPr>
                  <w:r>
                    <w:rPr>
                      <w:rFonts w:hint="default"/>
                    </w:rPr>
                    <w:t>西厂界</w:t>
                  </w:r>
                </w:p>
                <w:p>
                  <w:pPr>
                    <w:pStyle w:val="31"/>
                    <w:bidi w:val="0"/>
                    <w:rPr>
                      <w:rFonts w:hint="default"/>
                      <w:lang w:val="en-US" w:eastAsia="zh-CN"/>
                    </w:rPr>
                  </w:pPr>
                  <w:r>
                    <w:rPr>
                      <w:rFonts w:hint="eastAsia"/>
                      <w:lang w:eastAsia="zh-CN"/>
                    </w:rPr>
                    <w:t>（</w:t>
                  </w:r>
                  <w:r>
                    <w:rPr>
                      <w:rFonts w:hint="eastAsia"/>
                      <w:lang w:val="en-US" w:eastAsia="zh-CN"/>
                    </w:rPr>
                    <w:t>西侧通道</w:t>
                  </w:r>
                  <w:r>
                    <w:rPr>
                      <w:rFonts w:hint="eastAsia"/>
                      <w:lang w:eastAsia="zh-CN"/>
                    </w:rPr>
                    <w:t>）</w:t>
                  </w:r>
                </w:p>
              </w:tc>
              <w:tc>
                <w:tcPr>
                  <w:tcW w:w="997"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18.6</w:t>
                  </w:r>
                </w:p>
              </w:tc>
              <w:tc>
                <w:tcPr>
                  <w:tcW w:w="794"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25.4</w:t>
                  </w:r>
                </w:p>
              </w:tc>
              <w:tc>
                <w:tcPr>
                  <w:tcW w:w="942"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65</w:t>
                  </w:r>
                </w:p>
              </w:tc>
              <w:tc>
                <w:tcPr>
                  <w:tcW w:w="957"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55</w:t>
                  </w:r>
                </w:p>
              </w:tc>
              <w:tc>
                <w:tcPr>
                  <w:tcW w:w="561" w:type="pct"/>
                  <w:tcBorders>
                    <w:tl2br w:val="nil"/>
                    <w:tr2bl w:val="nil"/>
                  </w:tcBorders>
                  <w:shd w:val="clear" w:color="auto" w:fill="auto"/>
                  <w:vAlign w:val="center"/>
                </w:tcPr>
                <w:p>
                  <w:pPr>
                    <w:pStyle w:val="31"/>
                    <w:bidi w:val="0"/>
                    <w:rPr>
                      <w:rFonts w:hint="eastAsia"/>
                      <w:lang w:val="en-US" w:eastAsia="zh-CN"/>
                    </w:rPr>
                  </w:pPr>
                  <w:r>
                    <w:rPr>
                      <w:rFonts w:hint="eastAsia"/>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46" w:type="pct"/>
                  <w:tcBorders>
                    <w:tl2br w:val="nil"/>
                    <w:tr2bl w:val="nil"/>
                  </w:tcBorders>
                  <w:shd w:val="clear" w:color="auto" w:fill="auto"/>
                  <w:vAlign w:val="center"/>
                </w:tcPr>
                <w:p>
                  <w:pPr>
                    <w:pStyle w:val="31"/>
                    <w:bidi w:val="0"/>
                    <w:rPr>
                      <w:rFonts w:hint="default"/>
                      <w:lang w:eastAsia="zh-CN"/>
                    </w:rPr>
                  </w:pPr>
                  <w:r>
                    <w:rPr>
                      <w:rFonts w:hint="default"/>
                    </w:rPr>
                    <w:t>北厂界</w:t>
                  </w:r>
                  <w:r>
                    <w:rPr>
                      <w:rFonts w:hint="eastAsia"/>
                      <w:lang w:eastAsia="zh-CN"/>
                    </w:rPr>
                    <w:t>（</w:t>
                  </w:r>
                  <w:r>
                    <w:rPr>
                      <w:rFonts w:hint="eastAsia"/>
                      <w:lang w:val="en-US" w:eastAsia="zh-CN"/>
                    </w:rPr>
                    <w:t>厂房分割线</w:t>
                  </w:r>
                  <w:r>
                    <w:rPr>
                      <w:rFonts w:hint="eastAsia"/>
                      <w:lang w:eastAsia="zh-CN"/>
                    </w:rPr>
                    <w:t>）</w:t>
                  </w:r>
                </w:p>
              </w:tc>
              <w:tc>
                <w:tcPr>
                  <w:tcW w:w="997"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22.4</w:t>
                  </w:r>
                </w:p>
              </w:tc>
              <w:tc>
                <w:tcPr>
                  <w:tcW w:w="794"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24.3</w:t>
                  </w:r>
                </w:p>
              </w:tc>
              <w:tc>
                <w:tcPr>
                  <w:tcW w:w="942"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65</w:t>
                  </w:r>
                </w:p>
              </w:tc>
              <w:tc>
                <w:tcPr>
                  <w:tcW w:w="957" w:type="pct"/>
                  <w:tcBorders>
                    <w:tl2br w:val="nil"/>
                    <w:tr2bl w:val="nil"/>
                  </w:tcBorders>
                  <w:shd w:val="clear" w:color="auto" w:fill="auto"/>
                  <w:vAlign w:val="center"/>
                </w:tcPr>
                <w:p>
                  <w:pPr>
                    <w:pStyle w:val="31"/>
                    <w:bidi w:val="0"/>
                    <w:rPr>
                      <w:rFonts w:hint="default"/>
                      <w:lang w:val="en-US" w:eastAsia="zh-CN"/>
                    </w:rPr>
                  </w:pPr>
                  <w:r>
                    <w:rPr>
                      <w:rFonts w:hint="eastAsia"/>
                      <w:lang w:val="en-US" w:eastAsia="zh-CN"/>
                    </w:rPr>
                    <w:t>55</w:t>
                  </w:r>
                </w:p>
              </w:tc>
              <w:tc>
                <w:tcPr>
                  <w:tcW w:w="561" w:type="pct"/>
                  <w:tcBorders>
                    <w:tl2br w:val="nil"/>
                    <w:tr2bl w:val="nil"/>
                  </w:tcBorders>
                  <w:shd w:val="clear" w:color="auto" w:fill="auto"/>
                  <w:vAlign w:val="center"/>
                </w:tcPr>
                <w:p>
                  <w:pPr>
                    <w:pStyle w:val="31"/>
                    <w:bidi w:val="0"/>
                    <w:rPr>
                      <w:rFonts w:hint="eastAsia"/>
                      <w:lang w:val="en-US" w:eastAsia="zh-CN"/>
                    </w:rPr>
                  </w:pPr>
                  <w:r>
                    <w:rPr>
                      <w:rFonts w:hint="eastAsia"/>
                      <w:lang w:val="en-US" w:eastAsia="zh-CN"/>
                    </w:rPr>
                    <w:t>达标</w:t>
                  </w:r>
                </w:p>
              </w:tc>
            </w:tr>
          </w:tbl>
          <w:p>
            <w:pPr>
              <w:pStyle w:val="31"/>
              <w:jc w:val="left"/>
              <w:rPr>
                <w:rFonts w:hint="eastAsia" w:ascii="Times New Roman" w:hAnsi="Times New Roman" w:eastAsia="宋体" w:cs="Times New Roman"/>
                <w:lang w:val="en-US" w:eastAsia="zh-CN"/>
              </w:rPr>
            </w:pPr>
            <w:r>
              <w:rPr>
                <w:rFonts w:hint="eastAsia" w:cs="Times New Roman"/>
                <w:lang w:val="en-US" w:eastAsia="zh-CN"/>
              </w:rPr>
              <w:t>备注：夜间不装卸</w:t>
            </w:r>
          </w:p>
          <w:p>
            <w:pPr>
              <w:pStyle w:val="8"/>
              <w:rPr>
                <w:rFonts w:hint="default" w:ascii="Times New Roman" w:hAnsi="Times New Roman" w:cs="Times New Roman"/>
                <w:color w:val="auto"/>
                <w:highlight w:val="none"/>
              </w:rPr>
            </w:pPr>
            <w:r>
              <w:rPr>
                <w:rFonts w:hint="default" w:ascii="Times New Roman" w:hAnsi="Times New Roman" w:cs="Times New Roman"/>
                <w:color w:val="auto"/>
                <w:highlight w:val="none"/>
              </w:rPr>
              <w:t>由上表</w:t>
            </w:r>
            <w:r>
              <w:rPr>
                <w:rFonts w:hint="eastAsia" w:cs="Times New Roman"/>
                <w:color w:val="auto"/>
                <w:highlight w:val="none"/>
                <w:lang w:val="en-US" w:eastAsia="zh-CN"/>
              </w:rPr>
              <w:t>预测结果</w:t>
            </w:r>
            <w:r>
              <w:rPr>
                <w:rFonts w:hint="default" w:ascii="Times New Roman" w:hAnsi="Times New Roman" w:cs="Times New Roman"/>
                <w:color w:val="auto"/>
                <w:highlight w:val="none"/>
              </w:rPr>
              <w:t>可知，本项目</w:t>
            </w:r>
            <w:r>
              <w:rPr>
                <w:rFonts w:hint="eastAsia" w:cs="Times New Roman"/>
                <w:color w:val="auto"/>
                <w:highlight w:val="none"/>
                <w:lang w:val="en-US" w:eastAsia="zh-CN"/>
              </w:rPr>
              <w:t>运营期</w:t>
            </w:r>
            <w:r>
              <w:rPr>
                <w:rFonts w:hint="default" w:ascii="Times New Roman" w:hAnsi="Times New Roman" w:cs="Times New Roman"/>
                <w:color w:val="auto"/>
                <w:highlight w:val="none"/>
              </w:rPr>
              <w:t>厂界昼</w:t>
            </w:r>
            <w:r>
              <w:rPr>
                <w:rFonts w:hint="eastAsia" w:cs="Times New Roman"/>
                <w:color w:val="auto"/>
                <w:highlight w:val="none"/>
                <w:lang w:val="en-US" w:eastAsia="zh-CN"/>
              </w:rPr>
              <w:t>间</w:t>
            </w:r>
            <w:r>
              <w:rPr>
                <w:rFonts w:hint="default" w:ascii="Times New Roman" w:hAnsi="Times New Roman" w:cs="Times New Roman"/>
                <w:color w:val="auto"/>
                <w:highlight w:val="none"/>
              </w:rPr>
              <w:t>噪声满足《工业企业厂界环境噪声排放标准》</w:t>
            </w:r>
            <w:r>
              <w:rPr>
                <w:rFonts w:hint="eastAsia" w:cs="Times New Roman"/>
                <w:color w:val="auto"/>
                <w:highlight w:val="none"/>
                <w:lang w:eastAsia="zh-CN"/>
              </w:rPr>
              <w:t>（</w:t>
            </w:r>
            <w:r>
              <w:rPr>
                <w:rFonts w:hint="default" w:ascii="Times New Roman" w:hAnsi="Times New Roman" w:cs="Times New Roman"/>
                <w:color w:val="auto"/>
                <w:highlight w:val="none"/>
              </w:rPr>
              <w:t>GB12348-2008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中3类标准限值</w:t>
            </w:r>
            <w:r>
              <w:rPr>
                <w:rFonts w:hint="eastAsia" w:cs="Times New Roman"/>
                <w:color w:val="auto"/>
                <w:highlight w:val="none"/>
                <w:lang w:eastAsia="zh-CN"/>
              </w:rPr>
              <w:t>，</w:t>
            </w:r>
            <w:r>
              <w:rPr>
                <w:rFonts w:hint="eastAsia" w:cs="Times New Roman"/>
                <w:color w:val="auto"/>
                <w:highlight w:val="none"/>
                <w:lang w:val="en-US" w:eastAsia="zh-CN"/>
              </w:rPr>
              <w:t>因此</w:t>
            </w:r>
            <w:r>
              <w:rPr>
                <w:rFonts w:hint="default" w:ascii="Times New Roman" w:hAnsi="Times New Roman" w:cs="Times New Roman"/>
                <w:color w:val="auto"/>
                <w:highlight w:val="none"/>
              </w:rPr>
              <w:t>对周边声环境影响较小。</w:t>
            </w:r>
          </w:p>
          <w:p>
            <w:pPr>
              <w:pStyle w:val="8"/>
              <w:numPr>
                <w:ilvl w:val="0"/>
                <w:numId w:val="0"/>
              </w:numPr>
              <w:ind w:left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噪声环境监测要求</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项目噪声监测计划见下表。</w:t>
            </w:r>
          </w:p>
          <w:p>
            <w:pPr>
              <w:pStyle w:val="30"/>
              <w:bidi w:val="0"/>
              <w:rPr>
                <w:rFonts w:hint="default"/>
              </w:rPr>
            </w:pPr>
            <w:r>
              <w:rPr>
                <w:rFonts w:hint="default"/>
              </w:rPr>
              <w:t>噪声监测计划</w:t>
            </w:r>
          </w:p>
          <w:tbl>
            <w:tblPr>
              <w:tblStyle w:val="24"/>
              <w:tblW w:w="8377" w:type="dxa"/>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1079"/>
              <w:gridCol w:w="3533"/>
              <w:gridCol w:w="762"/>
              <w:gridCol w:w="227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5" w:type="dxa"/>
                  <w:tcBorders>
                    <w:tl2br w:val="nil"/>
                    <w:tr2bl w:val="nil"/>
                  </w:tcBorders>
                  <w:vAlign w:val="center"/>
                </w:tcPr>
                <w:p>
                  <w:pPr>
                    <w:pStyle w:val="31"/>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w:t>
                  </w:r>
                </w:p>
              </w:tc>
              <w:tc>
                <w:tcPr>
                  <w:tcW w:w="1079" w:type="dxa"/>
                  <w:tcBorders>
                    <w:tl2br w:val="nil"/>
                    <w:tr2bl w:val="nil"/>
                  </w:tcBorders>
                  <w:vAlign w:val="center"/>
                </w:tcPr>
                <w:p>
                  <w:pPr>
                    <w:pStyle w:val="31"/>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w:t>
                  </w:r>
                </w:p>
              </w:tc>
              <w:tc>
                <w:tcPr>
                  <w:tcW w:w="3533" w:type="dxa"/>
                  <w:tcBorders>
                    <w:tl2br w:val="nil"/>
                    <w:tr2bl w:val="nil"/>
                  </w:tcBorders>
                  <w:vAlign w:val="center"/>
                </w:tcPr>
                <w:p>
                  <w:pPr>
                    <w:pStyle w:val="31"/>
                    <w:rPr>
                      <w:rFonts w:hint="default" w:ascii="Times New Roman" w:hAnsi="Times New Roman" w:cs="Times New Roman"/>
                      <w:color w:val="auto"/>
                      <w:highlight w:val="none"/>
                    </w:rPr>
                  </w:pPr>
                  <w:r>
                    <w:rPr>
                      <w:rFonts w:hint="default" w:ascii="Times New Roman" w:hAnsi="Times New Roman" w:cs="Times New Roman"/>
                      <w:color w:val="auto"/>
                      <w:highlight w:val="none"/>
                    </w:rPr>
                    <w:t>执行标准</w:t>
                  </w:r>
                </w:p>
              </w:tc>
              <w:tc>
                <w:tcPr>
                  <w:tcW w:w="762" w:type="dxa"/>
                  <w:tcBorders>
                    <w:tl2br w:val="nil"/>
                    <w:tr2bl w:val="nil"/>
                  </w:tcBorders>
                  <w:vAlign w:val="center"/>
                </w:tcPr>
                <w:p>
                  <w:pPr>
                    <w:pStyle w:val="31"/>
                    <w:rPr>
                      <w:rFonts w:hint="default" w:ascii="Times New Roman" w:hAnsi="Times New Roman" w:cs="Times New Roman"/>
                      <w:color w:val="auto"/>
                      <w:highlight w:val="none"/>
                    </w:rPr>
                  </w:pPr>
                  <w:r>
                    <w:rPr>
                      <w:rFonts w:hint="default" w:ascii="Times New Roman" w:hAnsi="Times New Roman" w:cs="Times New Roman"/>
                      <w:color w:val="auto"/>
                      <w:highlight w:val="none"/>
                    </w:rPr>
                    <w:t>监测频率</w:t>
                  </w:r>
                </w:p>
              </w:tc>
              <w:tc>
                <w:tcPr>
                  <w:tcW w:w="2278" w:type="dxa"/>
                  <w:tcBorders>
                    <w:tl2br w:val="nil"/>
                    <w:tr2bl w:val="nil"/>
                  </w:tcBorders>
                  <w:vAlign w:val="center"/>
                </w:tcPr>
                <w:p>
                  <w:pPr>
                    <w:pStyle w:val="31"/>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监测依据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5" w:type="dxa"/>
                  <w:tcBorders>
                    <w:tl2br w:val="nil"/>
                    <w:tr2bl w:val="nil"/>
                  </w:tcBorders>
                  <w:vAlign w:val="center"/>
                </w:tcPr>
                <w:p>
                  <w:pPr>
                    <w:pStyle w:val="31"/>
                    <w:rPr>
                      <w:rFonts w:hint="default" w:ascii="Times New Roman" w:hAnsi="Times New Roman" w:cs="Times New Roman"/>
                      <w:color w:val="auto"/>
                      <w:highlight w:val="none"/>
                    </w:rPr>
                  </w:pPr>
                  <w:r>
                    <w:rPr>
                      <w:rFonts w:hint="default" w:ascii="Times New Roman" w:hAnsi="Times New Roman" w:cs="Times New Roman"/>
                      <w:color w:val="auto"/>
                      <w:highlight w:val="none"/>
                    </w:rPr>
                    <w:t>厂界</w:t>
                  </w:r>
                </w:p>
              </w:tc>
              <w:tc>
                <w:tcPr>
                  <w:tcW w:w="1079" w:type="dxa"/>
                  <w:tcBorders>
                    <w:tl2br w:val="nil"/>
                    <w:tr2bl w:val="nil"/>
                  </w:tcBorders>
                  <w:vAlign w:val="center"/>
                </w:tcPr>
                <w:p>
                  <w:pPr>
                    <w:pStyle w:val="31"/>
                    <w:rPr>
                      <w:rFonts w:hint="default" w:ascii="Times New Roman" w:hAnsi="Times New Roman" w:cs="Times New Roman"/>
                      <w:color w:val="auto"/>
                      <w:highlight w:val="none"/>
                    </w:rPr>
                  </w:pPr>
                  <w:r>
                    <w:rPr>
                      <w:rFonts w:hint="default" w:ascii="Times New Roman" w:hAnsi="Times New Roman" w:cs="Times New Roman"/>
                      <w:color w:val="auto"/>
                      <w:highlight w:val="none"/>
                    </w:rPr>
                    <w:t>Leq(A)</w:t>
                  </w:r>
                </w:p>
              </w:tc>
              <w:tc>
                <w:tcPr>
                  <w:tcW w:w="3533" w:type="dxa"/>
                  <w:tcBorders>
                    <w:tl2br w:val="nil"/>
                    <w:tr2bl w:val="nil"/>
                  </w:tcBorders>
                  <w:vAlign w:val="center"/>
                </w:tcPr>
                <w:p>
                  <w:pPr>
                    <w:pStyle w:val="31"/>
                    <w:rPr>
                      <w:rFonts w:hint="default" w:ascii="Times New Roman" w:hAnsi="Times New Roman" w:cs="Times New Roman"/>
                      <w:color w:val="auto"/>
                      <w:highlight w:val="none"/>
                    </w:rPr>
                  </w:pPr>
                  <w:r>
                    <w:rPr>
                      <w:rFonts w:hint="default" w:ascii="Times New Roman" w:hAnsi="Times New Roman" w:cs="Times New Roman"/>
                      <w:color w:val="auto"/>
                      <w:highlight w:val="none"/>
                    </w:rPr>
                    <w:t>《工业企业厂界环境噪声排放标准》</w:t>
                  </w:r>
                  <w:r>
                    <w:rPr>
                      <w:rFonts w:hint="eastAsia" w:cs="Times New Roman"/>
                      <w:color w:val="auto"/>
                      <w:highlight w:val="none"/>
                      <w:lang w:eastAsia="zh-CN"/>
                    </w:rPr>
                    <w:t>（</w:t>
                  </w:r>
                  <w:r>
                    <w:rPr>
                      <w:rFonts w:hint="default" w:ascii="Times New Roman" w:hAnsi="Times New Roman" w:cs="Times New Roman"/>
                      <w:color w:val="auto"/>
                      <w:highlight w:val="none"/>
                    </w:rPr>
                    <w:t>GB12348-2008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3类标准</w:t>
                  </w:r>
                </w:p>
              </w:tc>
              <w:tc>
                <w:tcPr>
                  <w:tcW w:w="762" w:type="dxa"/>
                  <w:tcBorders>
                    <w:tl2br w:val="nil"/>
                    <w:tr2bl w:val="nil"/>
                  </w:tcBorders>
                  <w:vAlign w:val="center"/>
                </w:tcPr>
                <w:p>
                  <w:pPr>
                    <w:pStyle w:val="31"/>
                    <w:rPr>
                      <w:rFonts w:hint="default" w:ascii="Times New Roman" w:hAnsi="Times New Roman" w:cs="Times New Roman"/>
                      <w:color w:val="auto"/>
                      <w:highlight w:val="none"/>
                    </w:rPr>
                  </w:pPr>
                  <w:r>
                    <w:rPr>
                      <w:rFonts w:hint="default" w:ascii="Times New Roman" w:hAnsi="Times New Roman" w:cs="Times New Roman"/>
                      <w:color w:val="auto"/>
                      <w:highlight w:val="none"/>
                    </w:rPr>
                    <w:t>1次/季</w:t>
                  </w:r>
                </w:p>
              </w:tc>
              <w:tc>
                <w:tcPr>
                  <w:tcW w:w="2278" w:type="dxa"/>
                  <w:tcBorders>
                    <w:tl2br w:val="nil"/>
                    <w:tr2bl w:val="nil"/>
                  </w:tcBorders>
                  <w:vAlign w:val="center"/>
                </w:tcPr>
                <w:p>
                  <w:pPr>
                    <w:pStyle w:val="31"/>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《排污单位自行监测技术指南总则》（HJ819-2017）</w:t>
                  </w:r>
                </w:p>
              </w:tc>
            </w:tr>
          </w:tbl>
          <w:p>
            <w:pPr>
              <w:pStyle w:val="4"/>
              <w:numPr>
                <w:ilvl w:val="1"/>
                <w:numId w:val="0"/>
              </w:numPr>
              <w:tabs>
                <w:tab w:val="left" w:pos="420"/>
              </w:tabs>
              <w:ind w:leftChars="0"/>
              <w:rPr>
                <w:rFonts w:hint="default" w:ascii="Times New Roman" w:hAnsi="Times New Roman" w:cs="Times New Roman"/>
                <w:color w:val="auto"/>
                <w:highlight w:val="none"/>
              </w:rPr>
            </w:pPr>
          </w:p>
          <w:p>
            <w:pPr>
              <w:pStyle w:val="4"/>
              <w:numPr>
                <w:ilvl w:val="1"/>
                <w:numId w:val="14"/>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w:t>
            </w:r>
          </w:p>
          <w:p>
            <w:pPr>
              <w:pStyle w:val="8"/>
              <w:numPr>
                <w:ilvl w:val="0"/>
                <w:numId w:val="0"/>
              </w:numPr>
              <w:ind w:left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固废污染源分析</w:t>
            </w:r>
          </w:p>
          <w:p>
            <w:pPr>
              <w:pStyle w:val="8"/>
              <w:rPr>
                <w:rFonts w:hint="eastAsia" w:cs="Times New Roman"/>
                <w:color w:val="auto"/>
                <w:highlight w:val="none"/>
                <w:lang w:val="en-US" w:eastAsia="zh-CN"/>
              </w:rPr>
            </w:pPr>
            <w:r>
              <w:rPr>
                <w:rFonts w:hint="default" w:ascii="Times New Roman" w:hAnsi="Times New Roman" w:cs="Times New Roman"/>
                <w:color w:val="auto"/>
                <w:highlight w:val="none"/>
                <w:lang w:val="en-US" w:eastAsia="zh-CN"/>
              </w:rPr>
              <w:t>本项目固体废物主要为</w:t>
            </w:r>
            <w:r>
              <w:rPr>
                <w:rFonts w:hint="eastAsia" w:cs="Times New Roman"/>
                <w:color w:val="auto"/>
                <w:highlight w:val="none"/>
                <w:lang w:val="en-US" w:eastAsia="zh-CN"/>
              </w:rPr>
              <w:t>含油劳保用品、废油泥、废活性炭等。</w:t>
            </w:r>
          </w:p>
          <w:p>
            <w:pPr>
              <w:pStyle w:val="8"/>
              <w:rPr>
                <w:rFonts w:hint="eastAsia" w:cs="Times New Roman"/>
                <w:color w:val="auto"/>
                <w:highlight w:val="none"/>
                <w:lang w:val="en-US" w:eastAsia="zh-CN"/>
              </w:rPr>
            </w:pPr>
            <w:r>
              <w:rPr>
                <w:rFonts w:hint="eastAsia" w:cs="Times New Roman"/>
                <w:color w:val="auto"/>
                <w:highlight w:val="none"/>
                <w:lang w:val="en-US" w:eastAsia="zh-CN"/>
              </w:rPr>
              <w:t>①含油劳保用品</w:t>
            </w:r>
          </w:p>
          <w:p>
            <w:pPr>
              <w:pStyle w:val="8"/>
              <w:ind w:firstLine="420" w:firstLineChars="175"/>
              <w:rPr>
                <w:rFonts w:hint="default"/>
                <w:lang w:val="en-US" w:eastAsia="zh-CN"/>
              </w:rPr>
            </w:pPr>
            <w:r>
              <w:rPr>
                <w:rFonts w:hint="eastAsia"/>
                <w:lang w:val="en-US" w:eastAsia="zh-CN"/>
              </w:rPr>
              <w:t>本</w:t>
            </w:r>
            <w:r>
              <w:rPr>
                <w:rFonts w:hint="default"/>
                <w:lang w:val="en-US" w:eastAsia="zh-CN"/>
              </w:rPr>
              <w:t>项目使用干拖把清除地面及装卸过程中滴落的少量废润滑油，以及职工操作，定期更换的含油废手套</w:t>
            </w:r>
            <w:r>
              <w:rPr>
                <w:rFonts w:hint="eastAsia"/>
                <w:lang w:val="en-US" w:eastAsia="zh-CN"/>
              </w:rPr>
              <w:t>等</w:t>
            </w:r>
            <w:r>
              <w:rPr>
                <w:rFonts w:hint="default"/>
                <w:lang w:val="en-US" w:eastAsia="zh-CN"/>
              </w:rPr>
              <w:t>。</w:t>
            </w:r>
            <w:r>
              <w:rPr>
                <w:rFonts w:hint="eastAsia"/>
                <w:lang w:val="en-US" w:eastAsia="zh-CN"/>
              </w:rPr>
              <w:t>类比同类项目，</w:t>
            </w:r>
            <w:r>
              <w:rPr>
                <w:rFonts w:hint="default"/>
                <w:lang w:val="en-US" w:eastAsia="zh-CN"/>
              </w:rPr>
              <w:t>含油抹布、拖把、手套</w:t>
            </w:r>
            <w:r>
              <w:rPr>
                <w:rFonts w:hint="eastAsia"/>
                <w:lang w:val="en-US" w:eastAsia="zh-CN"/>
              </w:rPr>
              <w:t>产生量为8kg/月，则混入生活垃圾的</w:t>
            </w:r>
            <w:r>
              <w:rPr>
                <w:rFonts w:hint="default"/>
                <w:lang w:val="en-US" w:eastAsia="zh-CN"/>
              </w:rPr>
              <w:t>含油抹布、拖把、手套</w:t>
            </w:r>
            <w:r>
              <w:rPr>
                <w:rFonts w:hint="eastAsia"/>
                <w:lang w:val="en-US" w:eastAsia="zh-CN"/>
              </w:rPr>
              <w:t>产生量为0.096t/a，</w:t>
            </w:r>
            <w:r>
              <w:rPr>
                <w:rFonts w:hint="default"/>
                <w:lang w:val="en-US" w:eastAsia="zh-CN"/>
              </w:rPr>
              <w:t>属于危险废物豁免管理清单中的危废，由当地环卫部门统一清运</w:t>
            </w:r>
            <w:r>
              <w:rPr>
                <w:rFonts w:hint="eastAsia"/>
                <w:lang w:val="en-US" w:eastAsia="zh-CN"/>
              </w:rPr>
              <w:t>，</w:t>
            </w:r>
            <w:r>
              <w:rPr>
                <w:rFonts w:hint="default"/>
                <w:lang w:val="en-US" w:eastAsia="zh-CN"/>
              </w:rPr>
              <w:t>全过程不按照危险废物进行管理。</w:t>
            </w:r>
          </w:p>
          <w:p>
            <w:pPr>
              <w:pStyle w:val="8"/>
              <w:bidi w:val="0"/>
              <w:rPr>
                <w:rFonts w:hint="default"/>
                <w:lang w:val="en-US" w:eastAsia="zh-CN"/>
              </w:rPr>
            </w:pPr>
            <w:bookmarkStart w:id="76" w:name="_Ref30540"/>
            <w:r>
              <w:rPr>
                <w:rFonts w:hint="eastAsia"/>
                <w:lang w:val="en-US" w:eastAsia="zh-CN"/>
              </w:rPr>
              <w:t>②废油泥</w:t>
            </w:r>
          </w:p>
          <w:p>
            <w:pPr>
              <w:pStyle w:val="8"/>
              <w:bidi w:val="0"/>
              <w:rPr>
                <w:rFonts w:hint="default"/>
                <w:lang w:val="en-US" w:eastAsia="zh-CN"/>
              </w:rPr>
            </w:pPr>
            <w:r>
              <w:rPr>
                <w:rFonts w:hint="eastAsia"/>
                <w:lang w:val="en-US" w:eastAsia="zh-CN"/>
              </w:rPr>
              <w:t>本</w:t>
            </w:r>
            <w:r>
              <w:rPr>
                <w:rFonts w:hint="default"/>
                <w:lang w:val="en-US" w:eastAsia="zh-CN"/>
              </w:rPr>
              <w:t>项目</w:t>
            </w:r>
            <w:r>
              <w:rPr>
                <w:rFonts w:hint="eastAsia"/>
                <w:lang w:val="en-US" w:eastAsia="zh-CN"/>
              </w:rPr>
              <w:t>随着储油罐的使用，罐底会产生废油泥</w:t>
            </w:r>
            <w:r>
              <w:rPr>
                <w:rFonts w:hint="default"/>
                <w:lang w:val="en-US" w:eastAsia="zh-CN"/>
              </w:rPr>
              <w:t>，</w:t>
            </w:r>
            <w:r>
              <w:rPr>
                <w:rFonts w:hint="eastAsia"/>
                <w:lang w:val="en-US" w:eastAsia="zh-CN"/>
              </w:rPr>
              <w:t>需定期进行</w:t>
            </w:r>
            <w:r>
              <w:rPr>
                <w:rFonts w:hint="default"/>
                <w:lang w:val="en-US" w:eastAsia="zh-CN"/>
              </w:rPr>
              <w:t>清理储油罐</w:t>
            </w:r>
            <w:r>
              <w:rPr>
                <w:rFonts w:hint="eastAsia"/>
                <w:lang w:val="en-US" w:eastAsia="zh-CN"/>
              </w:rPr>
              <w:t>。沉淀的废油泥约占年总出油量的0.05%，年转运废机油8000t，</w:t>
            </w:r>
            <w:r>
              <w:rPr>
                <w:rFonts w:hint="default"/>
                <w:lang w:val="en-US" w:eastAsia="zh-CN"/>
              </w:rPr>
              <w:t>每</w:t>
            </w:r>
            <w:r>
              <w:rPr>
                <w:rFonts w:hint="eastAsia"/>
                <w:lang w:val="en-US" w:eastAsia="zh-CN"/>
              </w:rPr>
              <w:t>半</w:t>
            </w:r>
            <w:r>
              <w:rPr>
                <w:rFonts w:hint="default"/>
                <w:lang w:val="en-US" w:eastAsia="zh-CN"/>
              </w:rPr>
              <w:t>年清理一次，</w:t>
            </w:r>
            <w:r>
              <w:rPr>
                <w:rFonts w:hint="eastAsia"/>
                <w:lang w:val="en-US" w:eastAsia="zh-CN"/>
              </w:rPr>
              <w:t>则</w:t>
            </w:r>
            <w:r>
              <w:rPr>
                <w:rFonts w:hint="default"/>
                <w:lang w:val="en-US" w:eastAsia="zh-CN"/>
              </w:rPr>
              <w:t>废油泥产生量约为</w:t>
            </w:r>
            <w:r>
              <w:rPr>
                <w:rFonts w:hint="eastAsia"/>
                <w:lang w:val="en-US" w:eastAsia="zh-CN"/>
              </w:rPr>
              <w:t>2</w:t>
            </w:r>
            <w:r>
              <w:rPr>
                <w:rFonts w:hint="default"/>
                <w:lang w:val="en-US" w:eastAsia="zh-CN"/>
              </w:rPr>
              <w:t>t/a</w:t>
            </w:r>
            <w:r>
              <w:rPr>
                <w:rFonts w:hint="eastAsia"/>
                <w:lang w:val="en-US" w:eastAsia="zh-CN"/>
              </w:rPr>
              <w:t>。暂存于危废间，定期委托有资质单位处置。</w:t>
            </w:r>
          </w:p>
          <w:p>
            <w:pPr>
              <w:pStyle w:val="8"/>
              <w:bidi w:val="0"/>
              <w:rPr>
                <w:rFonts w:hint="eastAsia"/>
                <w:highlight w:val="none"/>
                <w:lang w:val="en-US" w:eastAsia="zh-CN"/>
              </w:rPr>
            </w:pPr>
            <w:r>
              <w:rPr>
                <w:rFonts w:hint="eastAsia"/>
                <w:highlight w:val="none"/>
                <w:lang w:val="en-US" w:eastAsia="zh-CN"/>
              </w:rPr>
              <w:t>③废活性炭</w:t>
            </w:r>
          </w:p>
          <w:p>
            <w:pPr>
              <w:pStyle w:val="8"/>
              <w:bidi w:val="0"/>
              <w:jc w:val="left"/>
              <w:rPr>
                <w:rFonts w:hint="default"/>
                <w:lang w:val="en-US" w:eastAsia="zh-CN"/>
              </w:rPr>
            </w:pPr>
            <w:r>
              <w:rPr>
                <w:rFonts w:hint="eastAsia"/>
                <w:lang w:val="en-US" w:eastAsia="zh-CN"/>
              </w:rPr>
              <w:t>本项目使用二级活性炭吸附装置处理有机废气，将产生废活性炭。根据中国建筑出版社（1997）出版的《简明通风设计手册》第十章中关于活性吸附处理治理废气的方法中提供的数据：每1.0kg活性炭吸附有机废气的平衡量为0.43kg~0.61kg，本次评价取每1.0t活性炭吸附有机废气量为</w:t>
            </w:r>
            <w:r>
              <w:rPr>
                <w:rFonts w:hint="eastAsia"/>
                <w:highlight w:val="none"/>
                <w:lang w:val="en-US" w:eastAsia="zh-CN"/>
              </w:rPr>
              <w:t>0.5t</w:t>
            </w:r>
            <w:r>
              <w:rPr>
                <w:rFonts w:hint="eastAsia"/>
                <w:lang w:val="en-US" w:eastAsia="zh-CN"/>
              </w:rPr>
              <w:t>。</w:t>
            </w:r>
            <w:r>
              <w:rPr>
                <w:rFonts w:hint="eastAsia"/>
                <w:highlight w:val="none"/>
                <w:lang w:val="en-US" w:eastAsia="zh-CN"/>
              </w:rPr>
              <w:t>项目有机废气产生量为0.1417t/a，废气收集效率为90%，则有机废气收集量为0.1275t/a，</w:t>
            </w:r>
            <w:r>
              <w:rPr>
                <w:rFonts w:hint="eastAsia"/>
                <w:lang w:val="en-US" w:eastAsia="zh-CN"/>
              </w:rPr>
              <w:t>活性炭使用量为0.255t/a</w:t>
            </w:r>
            <w:r>
              <w:rPr>
                <w:rFonts w:hint="eastAsia"/>
                <w:lang w:eastAsia="zh-CN"/>
              </w:rPr>
              <w:t>，</w:t>
            </w:r>
            <w:r>
              <w:rPr>
                <w:rFonts w:hint="eastAsia"/>
                <w:lang w:val="en-US" w:eastAsia="zh-CN"/>
              </w:rPr>
              <w:t>因此废活性炭产生量为0.3825t/a（1.159kg/d）。项目活性炭吸附装置活性炭装填量约为100kg，活性炭更换频率建议按一季度一换。</w:t>
            </w:r>
          </w:p>
          <w:p>
            <w:pPr>
              <w:pStyle w:val="8"/>
              <w:bidi w:val="0"/>
              <w:rPr>
                <w:rFonts w:hint="eastAsia"/>
                <w:lang w:val="en-US" w:eastAsia="zh-CN"/>
              </w:rPr>
            </w:pPr>
            <w:r>
              <w:rPr>
                <w:rFonts w:hint="eastAsia"/>
                <w:lang w:val="en-US" w:eastAsia="zh-CN"/>
              </w:rPr>
              <w:t>④生活垃圾</w:t>
            </w:r>
          </w:p>
          <w:p>
            <w:pPr>
              <w:pStyle w:val="8"/>
              <w:bidi w:val="0"/>
              <w:rPr>
                <w:rFonts w:hint="eastAsia"/>
                <w:lang w:val="en-US" w:eastAsia="zh-CN"/>
              </w:rPr>
            </w:pPr>
            <w:r>
              <w:rPr>
                <w:rFonts w:hint="eastAsia"/>
                <w:lang w:val="en-US" w:eastAsia="zh-CN"/>
              </w:rPr>
              <w:t>该项目劳动定员6人，年工作330天，生活垃圾产生量按1.0kg/d·人计，生活垃圾年产生量1.98t/a。生活垃圾以垃圾箱收集为主，垃圾箱密封无渗漏，实行分类收集，由环卫部门统一按时清运。</w:t>
            </w:r>
          </w:p>
          <w:p>
            <w:pPr>
              <w:pStyle w:val="8"/>
              <w:bidi w:val="0"/>
              <w:rPr>
                <w:rFonts w:hint="default"/>
                <w:lang w:val="en-US" w:eastAsia="zh-CN"/>
              </w:rPr>
            </w:pPr>
            <w:r>
              <w:rPr>
                <w:rFonts w:hint="eastAsia"/>
                <w:lang w:val="en-US" w:eastAsia="zh-CN"/>
              </w:rPr>
              <w:t>综上，本项目固体废物</w:t>
            </w:r>
            <w:r>
              <w:rPr>
                <w:rFonts w:hint="default"/>
                <w:lang w:val="en-US" w:eastAsia="zh-CN"/>
              </w:rPr>
              <w:t>产生及处置情况见</w:t>
            </w:r>
            <w:r>
              <w:rPr>
                <w:rFonts w:hint="default"/>
                <w:lang w:val="en-US" w:eastAsia="zh-CN"/>
              </w:rPr>
              <w:fldChar w:fldCharType="begin"/>
            </w:r>
            <w:r>
              <w:rPr>
                <w:rFonts w:hint="default"/>
                <w:lang w:val="en-US" w:eastAsia="zh-CN"/>
              </w:rPr>
              <w:instrText xml:space="preserve">REF_Ref1215\r\h</w:instrText>
            </w:r>
            <w:r>
              <w:rPr>
                <w:rFonts w:hint="default"/>
                <w:lang w:val="en-US" w:eastAsia="zh-CN"/>
              </w:rPr>
              <w:fldChar w:fldCharType="separate"/>
            </w:r>
            <w:r>
              <w:rPr>
                <w:rFonts w:hint="default"/>
                <w:lang w:val="en-US" w:eastAsia="zh-CN"/>
              </w:rPr>
              <w:t>表38</w:t>
            </w:r>
            <w:r>
              <w:rPr>
                <w:rFonts w:hint="default"/>
                <w:lang w:val="en-US" w:eastAsia="zh-CN"/>
              </w:rPr>
              <w:fldChar w:fldCharType="end"/>
            </w:r>
            <w:r>
              <w:rPr>
                <w:rFonts w:hint="default"/>
                <w:lang w:val="en-US" w:eastAsia="zh-CN"/>
              </w:rPr>
              <w:t>。</w:t>
            </w:r>
          </w:p>
          <w:p>
            <w:pPr>
              <w:pStyle w:val="30"/>
              <w:bidi w:val="0"/>
              <w:rPr>
                <w:rFonts w:hint="default"/>
                <w:lang w:val="en-US" w:eastAsia="zh-CN"/>
              </w:rPr>
            </w:pPr>
            <w:bookmarkStart w:id="77" w:name="_Ref1215"/>
            <w:r>
              <w:rPr>
                <w:rFonts w:hint="default"/>
              </w:rPr>
              <w:t>本项目固废产生情况及处置一览表</w:t>
            </w:r>
            <w:bookmarkEnd w:id="76"/>
            <w:bookmarkEnd w:id="77"/>
          </w:p>
          <w:tbl>
            <w:tblPr>
              <w:tblStyle w:val="24"/>
              <w:tblW w:w="4997"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191"/>
              <w:gridCol w:w="1010"/>
              <w:gridCol w:w="1536"/>
              <w:gridCol w:w="651"/>
              <w:gridCol w:w="822"/>
              <w:gridCol w:w="998"/>
              <w:gridCol w:w="642"/>
              <w:gridCol w:w="1039"/>
              <w:gridCol w:w="1076"/>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664" w:type="pct"/>
                  <w:tcBorders>
                    <w:tl2br w:val="nil"/>
                    <w:tr2bl w:val="nil"/>
                  </w:tcBorders>
                  <w:vAlign w:val="center"/>
                </w:tcPr>
                <w:p>
                  <w:pPr>
                    <w:pStyle w:val="31"/>
                    <w:bidi w:val="0"/>
                    <w:rPr>
                      <w:rFonts w:hint="default"/>
                    </w:rPr>
                  </w:pPr>
                  <w:bookmarkStart w:id="78" w:name="_Ref31352"/>
                  <w:bookmarkStart w:id="79" w:name="OLE_LINK22"/>
                  <w:bookmarkStart w:id="80" w:name="_Ref28204"/>
                  <w:bookmarkStart w:id="81" w:name="OLE_LINK21"/>
                  <w:r>
                    <w:rPr>
                      <w:rFonts w:hint="default"/>
                    </w:rPr>
                    <w:t>固废名称</w:t>
                  </w:r>
                </w:p>
              </w:tc>
              <w:tc>
                <w:tcPr>
                  <w:tcW w:w="563" w:type="pct"/>
                  <w:tcBorders>
                    <w:tl2br w:val="nil"/>
                    <w:tr2bl w:val="nil"/>
                  </w:tcBorders>
                  <w:vAlign w:val="center"/>
                </w:tcPr>
                <w:p>
                  <w:pPr>
                    <w:pStyle w:val="31"/>
                    <w:bidi w:val="0"/>
                    <w:rPr>
                      <w:rFonts w:hint="default"/>
                    </w:rPr>
                  </w:pPr>
                  <w:r>
                    <w:rPr>
                      <w:rFonts w:hint="default"/>
                    </w:rPr>
                    <w:t>废物性质</w:t>
                  </w:r>
                </w:p>
              </w:tc>
              <w:tc>
                <w:tcPr>
                  <w:tcW w:w="856" w:type="pct"/>
                  <w:tcBorders>
                    <w:tl2br w:val="nil"/>
                    <w:tr2bl w:val="nil"/>
                  </w:tcBorders>
                  <w:vAlign w:val="center"/>
                </w:tcPr>
                <w:p>
                  <w:pPr>
                    <w:pStyle w:val="31"/>
                    <w:bidi w:val="0"/>
                    <w:rPr>
                      <w:rFonts w:hint="default"/>
                    </w:rPr>
                  </w:pPr>
                  <w:r>
                    <w:rPr>
                      <w:rFonts w:hint="default"/>
                    </w:rPr>
                    <w:t>类别编号</w:t>
                  </w:r>
                </w:p>
              </w:tc>
              <w:tc>
                <w:tcPr>
                  <w:tcW w:w="363" w:type="pct"/>
                  <w:tcBorders>
                    <w:tl2br w:val="nil"/>
                    <w:tr2bl w:val="nil"/>
                  </w:tcBorders>
                  <w:vAlign w:val="center"/>
                </w:tcPr>
                <w:p>
                  <w:pPr>
                    <w:pStyle w:val="31"/>
                    <w:bidi w:val="0"/>
                    <w:rPr>
                      <w:rFonts w:hint="default"/>
                    </w:rPr>
                  </w:pPr>
                  <w:r>
                    <w:rPr>
                      <w:rFonts w:hint="default"/>
                    </w:rPr>
                    <w:t>危险特性</w:t>
                  </w:r>
                </w:p>
              </w:tc>
              <w:tc>
                <w:tcPr>
                  <w:tcW w:w="458" w:type="pct"/>
                  <w:tcBorders>
                    <w:tl2br w:val="nil"/>
                    <w:tr2bl w:val="nil"/>
                  </w:tcBorders>
                  <w:vAlign w:val="center"/>
                </w:tcPr>
                <w:p>
                  <w:pPr>
                    <w:pStyle w:val="31"/>
                    <w:bidi w:val="0"/>
                    <w:rPr>
                      <w:rFonts w:hint="default"/>
                    </w:rPr>
                  </w:pPr>
                  <w:r>
                    <w:rPr>
                      <w:rFonts w:hint="default"/>
                    </w:rPr>
                    <w:t>产生量</w:t>
                  </w:r>
                </w:p>
                <w:p>
                  <w:pPr>
                    <w:pStyle w:val="31"/>
                    <w:bidi w:val="0"/>
                    <w:rPr>
                      <w:rFonts w:hint="eastAsia"/>
                      <w:lang w:eastAsia="zh-CN"/>
                    </w:rPr>
                  </w:pPr>
                  <w:r>
                    <w:rPr>
                      <w:rFonts w:hint="default"/>
                      <w:lang w:eastAsia="zh-CN"/>
                    </w:rPr>
                    <w:t>（</w:t>
                  </w:r>
                  <w:r>
                    <w:rPr>
                      <w:rFonts w:hint="default"/>
                    </w:rPr>
                    <w:t>t/a</w:t>
                  </w:r>
                  <w:r>
                    <w:rPr>
                      <w:rFonts w:hint="eastAsia"/>
                      <w:lang w:eastAsia="zh-CN"/>
                    </w:rPr>
                    <w:t>）</w:t>
                  </w:r>
                </w:p>
              </w:tc>
              <w:tc>
                <w:tcPr>
                  <w:tcW w:w="556" w:type="pct"/>
                  <w:tcBorders>
                    <w:tl2br w:val="nil"/>
                    <w:tr2bl w:val="nil"/>
                  </w:tcBorders>
                  <w:vAlign w:val="center"/>
                </w:tcPr>
                <w:p>
                  <w:pPr>
                    <w:pStyle w:val="31"/>
                    <w:bidi w:val="0"/>
                    <w:rPr>
                      <w:rFonts w:hint="default"/>
                    </w:rPr>
                  </w:pPr>
                  <w:r>
                    <w:rPr>
                      <w:rFonts w:hint="default"/>
                    </w:rPr>
                    <w:t>产生工序及装置</w:t>
                  </w:r>
                </w:p>
              </w:tc>
              <w:tc>
                <w:tcPr>
                  <w:tcW w:w="358" w:type="pct"/>
                  <w:tcBorders>
                    <w:tl2br w:val="nil"/>
                    <w:tr2bl w:val="nil"/>
                  </w:tcBorders>
                  <w:vAlign w:val="center"/>
                </w:tcPr>
                <w:p>
                  <w:pPr>
                    <w:pStyle w:val="31"/>
                    <w:bidi w:val="0"/>
                    <w:rPr>
                      <w:rFonts w:hint="default"/>
                    </w:rPr>
                  </w:pPr>
                  <w:r>
                    <w:rPr>
                      <w:rFonts w:hint="default"/>
                    </w:rPr>
                    <w:t>形态</w:t>
                  </w:r>
                </w:p>
              </w:tc>
              <w:tc>
                <w:tcPr>
                  <w:tcW w:w="579" w:type="pct"/>
                  <w:tcBorders>
                    <w:tl2br w:val="nil"/>
                    <w:tr2bl w:val="nil"/>
                  </w:tcBorders>
                  <w:vAlign w:val="center"/>
                </w:tcPr>
                <w:p>
                  <w:pPr>
                    <w:pStyle w:val="31"/>
                    <w:bidi w:val="0"/>
                    <w:rPr>
                      <w:rFonts w:hint="default"/>
                    </w:rPr>
                  </w:pPr>
                  <w:r>
                    <w:rPr>
                      <w:rFonts w:hint="default"/>
                    </w:rPr>
                    <w:t>主要成分</w:t>
                  </w:r>
                </w:p>
              </w:tc>
              <w:tc>
                <w:tcPr>
                  <w:tcW w:w="599" w:type="pct"/>
                  <w:tcBorders>
                    <w:tl2br w:val="nil"/>
                    <w:tr2bl w:val="nil"/>
                  </w:tcBorders>
                  <w:vAlign w:val="center"/>
                </w:tcPr>
                <w:p>
                  <w:pPr>
                    <w:pStyle w:val="31"/>
                    <w:bidi w:val="0"/>
                    <w:rPr>
                      <w:rFonts w:hint="default"/>
                      <w:lang w:val="en-US" w:eastAsia="zh-CN"/>
                    </w:rPr>
                  </w:pPr>
                  <w:r>
                    <w:rPr>
                      <w:rFonts w:hint="default"/>
                    </w:rPr>
                    <w:t>处置去向</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683" w:hRule="atLeast"/>
                <w:jc w:val="center"/>
              </w:trPr>
              <w:tc>
                <w:tcPr>
                  <w:tcW w:w="664" w:type="pct"/>
                  <w:tcBorders>
                    <w:tl2br w:val="nil"/>
                    <w:tr2bl w:val="nil"/>
                  </w:tcBorders>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废油泥</w:t>
                  </w:r>
                </w:p>
              </w:tc>
              <w:tc>
                <w:tcPr>
                  <w:tcW w:w="563" w:type="pct"/>
                  <w:tcBorders>
                    <w:tl2br w:val="nil"/>
                    <w:tr2bl w:val="nil"/>
                  </w:tcBorders>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危险废物</w:t>
                  </w:r>
                </w:p>
              </w:tc>
              <w:tc>
                <w:tcPr>
                  <w:tcW w:w="856" w:type="pct"/>
                  <w:tcBorders>
                    <w:tl2br w:val="nil"/>
                    <w:tr2bl w:val="nil"/>
                  </w:tcBorders>
                  <w:vAlign w:val="center"/>
                </w:tcPr>
                <w:p>
                  <w:pPr>
                    <w:pStyle w:val="31"/>
                    <w:bidi w:val="0"/>
                    <w:rPr>
                      <w:rFonts w:hint="eastAsia"/>
                      <w:lang w:val="en-US" w:eastAsia="zh-CN"/>
                    </w:rPr>
                  </w:pPr>
                  <w:r>
                    <w:rPr>
                      <w:rFonts w:hint="eastAsia"/>
                      <w:lang w:val="en-US" w:eastAsia="zh-CN"/>
                    </w:rPr>
                    <w:t>HW08</w:t>
                  </w:r>
                </w:p>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（900-221-08）</w:t>
                  </w:r>
                </w:p>
              </w:tc>
              <w:tc>
                <w:tcPr>
                  <w:tcW w:w="363" w:type="pct"/>
                  <w:tcBorders>
                    <w:tl2br w:val="nil"/>
                    <w:tr2bl w:val="nil"/>
                  </w:tcBorders>
                  <w:vAlign w:val="center"/>
                </w:tcPr>
                <w:p>
                  <w:pPr>
                    <w:pStyle w:val="31"/>
                    <w:bidi w:val="0"/>
                    <w:ind w:left="0" w:leftChars="0" w:firstLine="0" w:firstLineChars="0"/>
                    <w:rPr>
                      <w:rFonts w:hint="eastAsia" w:ascii="Times New Roman" w:hAnsi="Times New Roman" w:eastAsia="宋体" w:cs="Times New Roman"/>
                      <w:kern w:val="2"/>
                      <w:sz w:val="21"/>
                      <w:szCs w:val="24"/>
                      <w:lang w:val="en-US" w:eastAsia="zh-CN" w:bidi="ar-SA"/>
                    </w:rPr>
                  </w:pPr>
                  <w:r>
                    <w:t>T</w:t>
                  </w:r>
                  <w:r>
                    <w:rPr>
                      <w:rFonts w:hint="eastAsia"/>
                      <w:lang w:eastAsia="zh-CN"/>
                    </w:rPr>
                    <w:t>，</w:t>
                  </w:r>
                  <w:r>
                    <w:t>I</w:t>
                  </w:r>
                </w:p>
              </w:tc>
              <w:tc>
                <w:tcPr>
                  <w:tcW w:w="458"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w:t>
                  </w:r>
                </w:p>
              </w:tc>
              <w:tc>
                <w:tcPr>
                  <w:tcW w:w="556"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清理储罐</w:t>
                  </w:r>
                </w:p>
              </w:tc>
              <w:tc>
                <w:tcPr>
                  <w:tcW w:w="358"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固态</w:t>
                  </w:r>
                </w:p>
              </w:tc>
              <w:tc>
                <w:tcPr>
                  <w:tcW w:w="579"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废油</w:t>
                  </w:r>
                </w:p>
              </w:tc>
              <w:tc>
                <w:tcPr>
                  <w:tcW w:w="599" w:type="pct"/>
                  <w:vMerge w:val="restart"/>
                  <w:tcBorders>
                    <w:tl2br w:val="nil"/>
                    <w:tr2bl w:val="nil"/>
                  </w:tcBorders>
                  <w:vAlign w:val="center"/>
                </w:tcPr>
                <w:p>
                  <w:pPr>
                    <w:pStyle w:val="31"/>
                    <w:bidi w:val="0"/>
                    <w:rPr>
                      <w:rFonts w:hint="eastAsia"/>
                      <w:lang w:val="en-US" w:eastAsia="zh-CN"/>
                    </w:rPr>
                  </w:pPr>
                  <w:r>
                    <w:rPr>
                      <w:rFonts w:hint="default"/>
                    </w:rPr>
                    <w:t>暂存在危废间，定期委托有资质单位处置</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664" w:type="pct"/>
                  <w:tcBorders>
                    <w:tl2br w:val="nil"/>
                    <w:tr2bl w:val="nil"/>
                  </w:tcBorders>
                  <w:vAlign w:val="center"/>
                </w:tcPr>
                <w:p>
                  <w:pPr>
                    <w:pStyle w:val="31"/>
                    <w:bidi w:val="0"/>
                    <w:rPr>
                      <w:rFonts w:hint="default"/>
                      <w:lang w:val="en-US" w:eastAsia="zh-CN"/>
                    </w:rPr>
                  </w:pPr>
                  <w:r>
                    <w:rPr>
                      <w:rFonts w:hint="eastAsia"/>
                      <w:lang w:val="en-US" w:eastAsia="zh-CN"/>
                    </w:rPr>
                    <w:t>废活性炭</w:t>
                  </w:r>
                </w:p>
              </w:tc>
              <w:tc>
                <w:tcPr>
                  <w:tcW w:w="563" w:type="pct"/>
                  <w:tcBorders>
                    <w:tl2br w:val="nil"/>
                    <w:tr2bl w:val="nil"/>
                  </w:tcBorders>
                  <w:vAlign w:val="center"/>
                </w:tcPr>
                <w:p>
                  <w:pPr>
                    <w:pStyle w:val="31"/>
                    <w:bidi w:val="0"/>
                    <w:rPr>
                      <w:rFonts w:hint="default"/>
                      <w:lang w:val="en-US" w:eastAsia="zh-CN"/>
                    </w:rPr>
                  </w:pPr>
                  <w:r>
                    <w:rPr>
                      <w:rFonts w:hint="default"/>
                    </w:rPr>
                    <w:t>危险废物</w:t>
                  </w:r>
                </w:p>
              </w:tc>
              <w:tc>
                <w:tcPr>
                  <w:tcW w:w="856" w:type="pct"/>
                  <w:tcBorders>
                    <w:tl2br w:val="nil"/>
                    <w:tr2bl w:val="nil"/>
                  </w:tcBorders>
                  <w:vAlign w:val="center"/>
                </w:tcPr>
                <w:p>
                  <w:pPr>
                    <w:pStyle w:val="31"/>
                    <w:bidi w:val="0"/>
                    <w:rPr>
                      <w:rFonts w:hint="default"/>
                      <w:lang w:val="en-US" w:eastAsia="zh-CN"/>
                    </w:rPr>
                  </w:pPr>
                  <w:r>
                    <w:rPr>
                      <w:rFonts w:hint="default"/>
                      <w:lang w:val="en-US" w:eastAsia="zh-CN"/>
                    </w:rPr>
                    <w:t>HW49</w:t>
                  </w:r>
                </w:p>
                <w:p>
                  <w:pPr>
                    <w:pStyle w:val="31"/>
                    <w:bidi w:val="0"/>
                    <w:rPr>
                      <w:rFonts w:hint="default"/>
                      <w:lang w:val="en-US" w:eastAsia="zh-CN"/>
                    </w:rPr>
                  </w:pPr>
                  <w:r>
                    <w:rPr>
                      <w:rFonts w:hint="eastAsia"/>
                      <w:lang w:val="en-US" w:eastAsia="zh-CN"/>
                    </w:rPr>
                    <w:t>（</w:t>
                  </w:r>
                  <w:r>
                    <w:rPr>
                      <w:rFonts w:hint="default"/>
                      <w:lang w:val="en-US" w:eastAsia="zh-CN"/>
                    </w:rPr>
                    <w:t>900-039-49</w:t>
                  </w:r>
                  <w:r>
                    <w:rPr>
                      <w:rFonts w:hint="eastAsia"/>
                      <w:lang w:val="en-US" w:eastAsia="zh-CN"/>
                    </w:rPr>
                    <w:t>）</w:t>
                  </w:r>
                </w:p>
              </w:tc>
              <w:tc>
                <w:tcPr>
                  <w:tcW w:w="363" w:type="pct"/>
                  <w:tcBorders>
                    <w:tl2br w:val="nil"/>
                    <w:tr2bl w:val="nil"/>
                  </w:tcBorders>
                  <w:vAlign w:val="center"/>
                </w:tcPr>
                <w:p>
                  <w:pPr>
                    <w:pStyle w:val="31"/>
                    <w:bidi w:val="0"/>
                    <w:rPr>
                      <w:rFonts w:hint="eastAsia"/>
                      <w:lang w:val="en-US" w:eastAsia="zh-CN"/>
                    </w:rPr>
                  </w:pPr>
                  <w:r>
                    <w:rPr>
                      <w:rFonts w:hint="eastAsia"/>
                      <w:lang w:val="en-US" w:eastAsia="zh-CN"/>
                    </w:rPr>
                    <w:t>T</w:t>
                  </w:r>
                </w:p>
              </w:tc>
              <w:tc>
                <w:tcPr>
                  <w:tcW w:w="458" w:type="pct"/>
                  <w:tcBorders>
                    <w:tl2br w:val="nil"/>
                    <w:tr2bl w:val="nil"/>
                  </w:tcBorders>
                  <w:vAlign w:val="center"/>
                </w:tcPr>
                <w:p>
                  <w:pPr>
                    <w:pStyle w:val="31"/>
                    <w:bidi w:val="0"/>
                    <w:rPr>
                      <w:rFonts w:hint="default"/>
                      <w:lang w:val="en-US" w:eastAsia="zh-CN"/>
                    </w:rPr>
                  </w:pPr>
                  <w:r>
                    <w:rPr>
                      <w:rFonts w:hint="eastAsia"/>
                      <w:lang w:val="en-US" w:eastAsia="zh-CN"/>
                    </w:rPr>
                    <w:t>0.3825</w:t>
                  </w:r>
                </w:p>
              </w:tc>
              <w:tc>
                <w:tcPr>
                  <w:tcW w:w="556" w:type="pct"/>
                  <w:tcBorders>
                    <w:tl2br w:val="nil"/>
                    <w:tr2bl w:val="nil"/>
                  </w:tcBorders>
                  <w:vAlign w:val="center"/>
                </w:tcPr>
                <w:p>
                  <w:pPr>
                    <w:pStyle w:val="31"/>
                    <w:bidi w:val="0"/>
                    <w:rPr>
                      <w:rFonts w:hint="default"/>
                      <w:lang w:val="en-US" w:eastAsia="zh-CN"/>
                    </w:rPr>
                  </w:pPr>
                  <w:r>
                    <w:rPr>
                      <w:rFonts w:hint="eastAsia"/>
                      <w:lang w:val="en-US" w:eastAsia="zh-CN"/>
                    </w:rPr>
                    <w:t>废气处理</w:t>
                  </w:r>
                </w:p>
              </w:tc>
              <w:tc>
                <w:tcPr>
                  <w:tcW w:w="358" w:type="pct"/>
                  <w:tcBorders>
                    <w:tl2br w:val="nil"/>
                    <w:tr2bl w:val="nil"/>
                  </w:tcBorders>
                  <w:vAlign w:val="center"/>
                </w:tcPr>
                <w:p>
                  <w:pPr>
                    <w:pStyle w:val="31"/>
                    <w:bidi w:val="0"/>
                    <w:rPr>
                      <w:rFonts w:hint="default"/>
                      <w:lang w:val="en-US" w:eastAsia="zh-CN"/>
                    </w:rPr>
                  </w:pPr>
                  <w:r>
                    <w:rPr>
                      <w:rFonts w:hint="eastAsia"/>
                      <w:lang w:val="en-US" w:eastAsia="zh-CN"/>
                    </w:rPr>
                    <w:t>固态</w:t>
                  </w:r>
                </w:p>
              </w:tc>
              <w:tc>
                <w:tcPr>
                  <w:tcW w:w="579" w:type="pct"/>
                  <w:tcBorders>
                    <w:tl2br w:val="nil"/>
                    <w:tr2bl w:val="nil"/>
                  </w:tcBorders>
                  <w:vAlign w:val="center"/>
                </w:tcPr>
                <w:p>
                  <w:pPr>
                    <w:pStyle w:val="31"/>
                    <w:bidi w:val="0"/>
                    <w:rPr>
                      <w:rFonts w:hint="default"/>
                      <w:lang w:val="en-US" w:eastAsia="zh-CN"/>
                    </w:rPr>
                  </w:pPr>
                  <w:r>
                    <w:rPr>
                      <w:rFonts w:hint="eastAsia"/>
                      <w:lang w:val="en-US" w:eastAsia="zh-CN"/>
                    </w:rPr>
                    <w:t>活性炭</w:t>
                  </w:r>
                </w:p>
              </w:tc>
              <w:tc>
                <w:tcPr>
                  <w:tcW w:w="599" w:type="pct"/>
                  <w:vMerge w:val="continue"/>
                  <w:tcBorders>
                    <w:tl2br w:val="nil"/>
                    <w:tr2bl w:val="nil"/>
                  </w:tcBorders>
                  <w:vAlign w:val="center"/>
                </w:tcPr>
                <w:p>
                  <w:pPr>
                    <w:pStyle w:val="31"/>
                    <w:bidi w:val="0"/>
                    <w:rPr>
                      <w:rFonts w:hint="eastAsia"/>
                      <w:lang w:val="en-US" w:eastAsia="zh-CN"/>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664" w:type="pct"/>
                  <w:tcBorders>
                    <w:tl2br w:val="nil"/>
                    <w:tr2bl w:val="nil"/>
                  </w:tcBorders>
                  <w:vAlign w:val="center"/>
                </w:tcPr>
                <w:p>
                  <w:pPr>
                    <w:pStyle w:val="31"/>
                    <w:bidi w:val="0"/>
                    <w:rPr>
                      <w:rFonts w:hint="eastAsia"/>
                      <w:lang w:val="en-US" w:eastAsia="zh-CN"/>
                    </w:rPr>
                  </w:pPr>
                  <w:r>
                    <w:rPr>
                      <w:rFonts w:hint="eastAsia"/>
                      <w:lang w:val="en-US" w:eastAsia="zh-CN"/>
                    </w:rPr>
                    <w:t>含油劳保用品</w:t>
                  </w:r>
                </w:p>
              </w:tc>
              <w:tc>
                <w:tcPr>
                  <w:tcW w:w="563" w:type="pct"/>
                  <w:tcBorders>
                    <w:tl2br w:val="nil"/>
                    <w:tr2bl w:val="nil"/>
                  </w:tcBorders>
                  <w:vAlign w:val="center"/>
                </w:tcPr>
                <w:p>
                  <w:pPr>
                    <w:pStyle w:val="31"/>
                    <w:bidi w:val="0"/>
                    <w:rPr>
                      <w:rFonts w:hint="eastAsia"/>
                      <w:lang w:val="en-US" w:eastAsia="zh-CN"/>
                    </w:rPr>
                  </w:pPr>
                  <w:r>
                    <w:rPr>
                      <w:rFonts w:hint="eastAsia"/>
                      <w:lang w:val="en-US" w:eastAsia="zh-CN"/>
                    </w:rPr>
                    <w:t>危险废物</w:t>
                  </w:r>
                </w:p>
                <w:p>
                  <w:pPr>
                    <w:jc w:val="center"/>
                    <w:rPr>
                      <w:rFonts w:hint="default"/>
                      <w:lang w:val="en-US"/>
                    </w:rPr>
                  </w:pPr>
                  <w:r>
                    <w:rPr>
                      <w:rFonts w:hint="eastAsia"/>
                      <w:lang w:val="en-US" w:eastAsia="zh-CN"/>
                    </w:rPr>
                    <w:t>（豁免）</w:t>
                  </w:r>
                </w:p>
              </w:tc>
              <w:tc>
                <w:tcPr>
                  <w:tcW w:w="856" w:type="pct"/>
                  <w:tcBorders>
                    <w:tl2br w:val="nil"/>
                    <w:tr2bl w:val="nil"/>
                  </w:tcBorders>
                  <w:vAlign w:val="center"/>
                </w:tcPr>
                <w:p>
                  <w:pPr>
                    <w:pStyle w:val="31"/>
                    <w:bidi w:val="0"/>
                    <w:rPr>
                      <w:rFonts w:hint="default"/>
                      <w:lang w:val="en-US" w:eastAsia="zh-CN"/>
                    </w:rPr>
                  </w:pPr>
                  <w:r>
                    <w:rPr>
                      <w:rFonts w:hint="eastAsia"/>
                      <w:lang w:val="en-US" w:eastAsia="zh-CN"/>
                    </w:rPr>
                    <w:t>HW49</w:t>
                  </w:r>
                </w:p>
                <w:p>
                  <w:pPr>
                    <w:pStyle w:val="31"/>
                    <w:bidi w:val="0"/>
                    <w:rPr>
                      <w:rFonts w:hint="default"/>
                      <w:lang w:val="en-US" w:eastAsia="zh-CN"/>
                    </w:rPr>
                  </w:pPr>
                  <w:r>
                    <w:rPr>
                      <w:rFonts w:hint="eastAsia"/>
                      <w:lang w:val="en-US" w:eastAsia="zh-CN"/>
                    </w:rPr>
                    <w:t>（900-041-49）</w:t>
                  </w:r>
                </w:p>
              </w:tc>
              <w:tc>
                <w:tcPr>
                  <w:tcW w:w="363" w:type="pct"/>
                  <w:tcBorders>
                    <w:tl2br w:val="nil"/>
                    <w:tr2bl w:val="nil"/>
                  </w:tcBorders>
                  <w:vAlign w:val="center"/>
                </w:tcPr>
                <w:p>
                  <w:pPr>
                    <w:pStyle w:val="31"/>
                    <w:bidi w:val="0"/>
                    <w:rPr>
                      <w:rFonts w:hint="eastAsia"/>
                      <w:lang w:val="en-US" w:eastAsia="zh-CN"/>
                    </w:rPr>
                  </w:pPr>
                  <w:r>
                    <w:rPr>
                      <w:rFonts w:hint="eastAsia"/>
                      <w:lang w:val="en-US" w:eastAsia="zh-CN"/>
                    </w:rPr>
                    <w:t>/</w:t>
                  </w:r>
                </w:p>
              </w:tc>
              <w:tc>
                <w:tcPr>
                  <w:tcW w:w="458" w:type="pct"/>
                  <w:tcBorders>
                    <w:tl2br w:val="nil"/>
                    <w:tr2bl w:val="nil"/>
                  </w:tcBorders>
                  <w:vAlign w:val="center"/>
                </w:tcPr>
                <w:p>
                  <w:pPr>
                    <w:pStyle w:val="31"/>
                    <w:bidi w:val="0"/>
                    <w:rPr>
                      <w:rFonts w:hint="default"/>
                      <w:lang w:val="en-US" w:eastAsia="zh-CN"/>
                    </w:rPr>
                  </w:pPr>
                  <w:r>
                    <w:rPr>
                      <w:rFonts w:hint="eastAsia"/>
                      <w:lang w:val="en-US" w:eastAsia="zh-CN"/>
                    </w:rPr>
                    <w:t>0.096</w:t>
                  </w:r>
                </w:p>
              </w:tc>
              <w:tc>
                <w:tcPr>
                  <w:tcW w:w="556" w:type="pct"/>
                  <w:tcBorders>
                    <w:tl2br w:val="nil"/>
                    <w:tr2bl w:val="nil"/>
                  </w:tcBorders>
                  <w:vAlign w:val="center"/>
                </w:tcPr>
                <w:p>
                  <w:pPr>
                    <w:pStyle w:val="31"/>
                    <w:bidi w:val="0"/>
                    <w:rPr>
                      <w:rFonts w:hint="eastAsia"/>
                      <w:lang w:val="en-US" w:eastAsia="zh-CN"/>
                    </w:rPr>
                  </w:pPr>
                  <w:r>
                    <w:rPr>
                      <w:rFonts w:hint="eastAsia"/>
                      <w:lang w:val="en-US" w:eastAsia="zh-CN"/>
                    </w:rPr>
                    <w:t>劳保</w:t>
                  </w:r>
                </w:p>
              </w:tc>
              <w:tc>
                <w:tcPr>
                  <w:tcW w:w="358" w:type="pct"/>
                  <w:tcBorders>
                    <w:tl2br w:val="nil"/>
                    <w:tr2bl w:val="nil"/>
                  </w:tcBorders>
                  <w:vAlign w:val="center"/>
                </w:tcPr>
                <w:p>
                  <w:pPr>
                    <w:pStyle w:val="31"/>
                    <w:bidi w:val="0"/>
                    <w:rPr>
                      <w:rFonts w:hint="eastAsia"/>
                      <w:lang w:val="en-US" w:eastAsia="zh-CN"/>
                    </w:rPr>
                  </w:pPr>
                  <w:r>
                    <w:rPr>
                      <w:rFonts w:hint="default"/>
                    </w:rPr>
                    <w:t>固态</w:t>
                  </w:r>
                </w:p>
              </w:tc>
              <w:tc>
                <w:tcPr>
                  <w:tcW w:w="579" w:type="pct"/>
                  <w:tcBorders>
                    <w:tl2br w:val="nil"/>
                    <w:tr2bl w:val="nil"/>
                  </w:tcBorders>
                  <w:vAlign w:val="center"/>
                </w:tcPr>
                <w:p>
                  <w:pPr>
                    <w:pStyle w:val="31"/>
                    <w:bidi w:val="0"/>
                    <w:rPr>
                      <w:rFonts w:hint="default"/>
                      <w:lang w:val="en-US" w:eastAsia="zh-CN"/>
                    </w:rPr>
                  </w:pPr>
                  <w:r>
                    <w:rPr>
                      <w:rFonts w:hint="eastAsia"/>
                      <w:lang w:val="en-US" w:eastAsia="zh-CN"/>
                    </w:rPr>
                    <w:t>拖把、手套等</w:t>
                  </w:r>
                </w:p>
              </w:tc>
              <w:tc>
                <w:tcPr>
                  <w:tcW w:w="599" w:type="pct"/>
                  <w:vMerge w:val="restart"/>
                  <w:tcBorders>
                    <w:tl2br w:val="nil"/>
                    <w:tr2bl w:val="nil"/>
                  </w:tcBorders>
                  <w:vAlign w:val="center"/>
                </w:tcPr>
                <w:p>
                  <w:pPr>
                    <w:pStyle w:val="31"/>
                    <w:bidi w:val="0"/>
                    <w:rPr>
                      <w:rFonts w:hint="eastAsia"/>
                      <w:lang w:val="en-US" w:eastAsia="zh-CN"/>
                    </w:rPr>
                  </w:pPr>
                  <w:r>
                    <w:rPr>
                      <w:rFonts w:hint="eastAsia"/>
                      <w:lang w:val="en-US" w:eastAsia="zh-CN"/>
                    </w:rPr>
                    <w:t>由环卫部门统一清运</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664" w:type="pct"/>
                  <w:tcBorders>
                    <w:tl2br w:val="nil"/>
                    <w:tr2bl w:val="nil"/>
                  </w:tcBorders>
                  <w:vAlign w:val="center"/>
                </w:tcPr>
                <w:p>
                  <w:pPr>
                    <w:pStyle w:val="31"/>
                    <w:bidi w:val="0"/>
                    <w:rPr>
                      <w:rFonts w:hint="default"/>
                      <w:lang w:val="en-US" w:eastAsia="zh-CN"/>
                    </w:rPr>
                  </w:pPr>
                  <w:r>
                    <w:rPr>
                      <w:rFonts w:hint="eastAsia"/>
                      <w:lang w:val="en-US" w:eastAsia="zh-CN"/>
                    </w:rPr>
                    <w:t>生活垃圾</w:t>
                  </w:r>
                </w:p>
              </w:tc>
              <w:tc>
                <w:tcPr>
                  <w:tcW w:w="563" w:type="pct"/>
                  <w:tcBorders>
                    <w:tl2br w:val="nil"/>
                    <w:tr2bl w:val="nil"/>
                  </w:tcBorders>
                  <w:vAlign w:val="center"/>
                </w:tcPr>
                <w:p>
                  <w:pPr>
                    <w:pStyle w:val="31"/>
                    <w:bidi w:val="0"/>
                    <w:rPr>
                      <w:rFonts w:hint="eastAsia"/>
                      <w:lang w:val="en-US" w:eastAsia="zh-CN"/>
                    </w:rPr>
                  </w:pPr>
                  <w:r>
                    <w:rPr>
                      <w:rFonts w:hint="eastAsia"/>
                      <w:lang w:val="en-US" w:eastAsia="zh-CN"/>
                    </w:rPr>
                    <w:t>一般固废</w:t>
                  </w:r>
                </w:p>
              </w:tc>
              <w:tc>
                <w:tcPr>
                  <w:tcW w:w="856" w:type="pct"/>
                  <w:tcBorders>
                    <w:tl2br w:val="nil"/>
                    <w:tr2bl w:val="nil"/>
                  </w:tcBorders>
                  <w:vAlign w:val="center"/>
                </w:tcPr>
                <w:p>
                  <w:pPr>
                    <w:pStyle w:val="31"/>
                    <w:bidi w:val="0"/>
                    <w:rPr>
                      <w:rFonts w:hint="default"/>
                      <w:lang w:val="en-US" w:eastAsia="zh-CN"/>
                    </w:rPr>
                  </w:pPr>
                  <w:r>
                    <w:rPr>
                      <w:rFonts w:hint="eastAsia"/>
                      <w:lang w:val="en-US" w:eastAsia="zh-CN"/>
                    </w:rPr>
                    <w:t>/</w:t>
                  </w:r>
                </w:p>
              </w:tc>
              <w:tc>
                <w:tcPr>
                  <w:tcW w:w="363" w:type="pct"/>
                  <w:tcBorders>
                    <w:tl2br w:val="nil"/>
                    <w:tr2bl w:val="nil"/>
                  </w:tcBorders>
                  <w:vAlign w:val="center"/>
                </w:tcPr>
                <w:p>
                  <w:pPr>
                    <w:pStyle w:val="31"/>
                    <w:bidi w:val="0"/>
                    <w:rPr>
                      <w:rFonts w:hint="default"/>
                      <w:lang w:val="en-US" w:eastAsia="zh-CN"/>
                    </w:rPr>
                  </w:pPr>
                  <w:r>
                    <w:rPr>
                      <w:rFonts w:hint="eastAsia"/>
                      <w:lang w:val="en-US" w:eastAsia="zh-CN"/>
                    </w:rPr>
                    <w:t>/</w:t>
                  </w:r>
                </w:p>
              </w:tc>
              <w:tc>
                <w:tcPr>
                  <w:tcW w:w="458" w:type="pct"/>
                  <w:tcBorders>
                    <w:tl2br w:val="nil"/>
                    <w:tr2bl w:val="nil"/>
                  </w:tcBorders>
                  <w:vAlign w:val="center"/>
                </w:tcPr>
                <w:p>
                  <w:pPr>
                    <w:pStyle w:val="31"/>
                    <w:bidi w:val="0"/>
                    <w:rPr>
                      <w:rFonts w:hint="default"/>
                      <w:lang w:val="en-US" w:eastAsia="zh-CN"/>
                    </w:rPr>
                  </w:pPr>
                  <w:r>
                    <w:rPr>
                      <w:rFonts w:hint="eastAsia"/>
                      <w:lang w:val="en-US" w:eastAsia="zh-CN"/>
                    </w:rPr>
                    <w:t>1.98</w:t>
                  </w:r>
                </w:p>
              </w:tc>
              <w:tc>
                <w:tcPr>
                  <w:tcW w:w="556" w:type="pct"/>
                  <w:tcBorders>
                    <w:tl2br w:val="nil"/>
                    <w:tr2bl w:val="nil"/>
                  </w:tcBorders>
                  <w:vAlign w:val="center"/>
                </w:tcPr>
                <w:p>
                  <w:pPr>
                    <w:pStyle w:val="31"/>
                    <w:bidi w:val="0"/>
                    <w:rPr>
                      <w:rFonts w:hint="default"/>
                      <w:lang w:val="en-US" w:eastAsia="zh-CN"/>
                    </w:rPr>
                  </w:pPr>
                  <w:r>
                    <w:rPr>
                      <w:rFonts w:hint="eastAsia"/>
                      <w:lang w:val="en-US" w:eastAsia="zh-CN"/>
                    </w:rPr>
                    <w:t>工人日常生活</w:t>
                  </w:r>
                </w:p>
              </w:tc>
              <w:tc>
                <w:tcPr>
                  <w:tcW w:w="358" w:type="pct"/>
                  <w:tcBorders>
                    <w:tl2br w:val="nil"/>
                    <w:tr2bl w:val="nil"/>
                  </w:tcBorders>
                  <w:vAlign w:val="center"/>
                </w:tcPr>
                <w:p>
                  <w:pPr>
                    <w:pStyle w:val="31"/>
                    <w:bidi w:val="0"/>
                    <w:rPr>
                      <w:rFonts w:hint="default"/>
                      <w:lang w:val="en-US" w:eastAsia="zh-CN"/>
                    </w:rPr>
                  </w:pPr>
                  <w:r>
                    <w:rPr>
                      <w:rFonts w:hint="eastAsia"/>
                      <w:lang w:val="en-US" w:eastAsia="zh-CN"/>
                    </w:rPr>
                    <w:t>固态</w:t>
                  </w:r>
                </w:p>
              </w:tc>
              <w:tc>
                <w:tcPr>
                  <w:tcW w:w="579" w:type="pct"/>
                  <w:tcBorders>
                    <w:tl2br w:val="nil"/>
                    <w:tr2bl w:val="nil"/>
                  </w:tcBorders>
                  <w:vAlign w:val="center"/>
                </w:tcPr>
                <w:p>
                  <w:pPr>
                    <w:pStyle w:val="31"/>
                    <w:bidi w:val="0"/>
                    <w:rPr>
                      <w:rFonts w:hint="default"/>
                      <w:lang w:val="en-US" w:eastAsia="zh-CN"/>
                    </w:rPr>
                  </w:pPr>
                  <w:r>
                    <w:rPr>
                      <w:rFonts w:hint="eastAsia"/>
                      <w:lang w:val="en-US" w:eastAsia="zh-CN"/>
                    </w:rPr>
                    <w:t>/</w:t>
                  </w:r>
                </w:p>
              </w:tc>
              <w:tc>
                <w:tcPr>
                  <w:tcW w:w="599" w:type="pct"/>
                  <w:vMerge w:val="continue"/>
                  <w:tcBorders>
                    <w:tl2br w:val="nil"/>
                    <w:tr2bl w:val="nil"/>
                  </w:tcBorders>
                  <w:vAlign w:val="center"/>
                </w:tcPr>
                <w:p>
                  <w:pPr>
                    <w:pStyle w:val="31"/>
                    <w:bidi w:val="0"/>
                    <w:rPr>
                      <w:rFonts w:hint="eastAsia"/>
                      <w:lang w:val="en-US" w:eastAsia="zh-CN"/>
                    </w:rPr>
                  </w:pPr>
                </w:p>
              </w:tc>
            </w:tr>
            <w:bookmarkEnd w:id="78"/>
            <w:bookmarkEnd w:id="79"/>
            <w:bookmarkEnd w:id="80"/>
            <w:bookmarkEnd w:id="81"/>
          </w:tbl>
          <w:p>
            <w:pPr>
              <w:pStyle w:val="8"/>
              <w:numPr>
                <w:ilvl w:val="0"/>
                <w:numId w:val="0"/>
              </w:numPr>
              <w:ind w:leftChars="200"/>
              <w:rPr>
                <w:rFonts w:hint="default" w:ascii="Times New Roman" w:hAnsi="Times New Roman" w:cs="Times New Roman"/>
                <w:color w:val="auto"/>
                <w:highlight w:val="none"/>
                <w:lang w:val="en-US" w:eastAsia="zh-CN"/>
              </w:rPr>
            </w:pPr>
          </w:p>
          <w:p>
            <w:pPr>
              <w:pStyle w:val="8"/>
              <w:numPr>
                <w:ilvl w:val="0"/>
                <w:numId w:val="0"/>
              </w:numPr>
              <w:ind w:left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环境管理要求</w:t>
            </w:r>
          </w:p>
          <w:p>
            <w:pPr>
              <w:pStyle w:val="8"/>
              <w:ind w:firstLine="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厂区内</w:t>
            </w:r>
            <w:r>
              <w:rPr>
                <w:rFonts w:hint="default" w:ascii="Times New Roman" w:hAnsi="Times New Roman" w:cs="Times New Roman"/>
                <w:color w:val="auto"/>
                <w:highlight w:val="none"/>
              </w:rPr>
              <w:t>建设一座</w:t>
            </w:r>
            <w:r>
              <w:rPr>
                <w:rFonts w:hint="eastAsia" w:cs="Times New Roman"/>
                <w:color w:val="auto"/>
                <w:highlight w:val="none"/>
                <w:lang w:val="en-US" w:eastAsia="zh-CN"/>
              </w:rPr>
              <w:t>10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危险废物暂存间，</w:t>
            </w:r>
            <w:r>
              <w:rPr>
                <w:rFonts w:hint="default" w:ascii="Times New Roman" w:hAnsi="Times New Roman" w:cs="Times New Roman"/>
                <w:color w:val="auto"/>
                <w:highlight w:val="none"/>
                <w:lang w:val="en-US" w:eastAsia="zh-CN"/>
              </w:rPr>
              <w:t>项目建成后全厂危险废物收集、贮存应遵循要求：</w:t>
            </w:r>
          </w:p>
          <w:p>
            <w:pPr>
              <w:pStyle w:val="8"/>
              <w:ind w:firstLine="480"/>
              <w:rPr>
                <w:rFonts w:hint="default" w:ascii="Times New Roman" w:hAnsi="Times New Roman" w:cs="Times New Roman"/>
                <w:color w:val="auto"/>
                <w:highlight w:val="none"/>
              </w:rPr>
            </w:pPr>
            <w:r>
              <w:rPr>
                <w:rFonts w:hint="eastAsia" w:cs="Times New Roman"/>
                <w:color w:val="auto"/>
                <w:highlight w:val="none"/>
                <w:lang w:val="en-US" w:eastAsia="zh-CN"/>
              </w:rPr>
              <w:t>①</w:t>
            </w:r>
            <w:r>
              <w:rPr>
                <w:rFonts w:hint="default" w:ascii="Times New Roman" w:hAnsi="Times New Roman" w:cs="Times New Roman"/>
                <w:color w:val="auto"/>
                <w:highlight w:val="none"/>
              </w:rPr>
              <w:t>危险废物的收集容器和临时贮存场所应严格按照《危险废物贮存污染控制标准》（GB18597-20</w:t>
            </w:r>
            <w:r>
              <w:rPr>
                <w:rFonts w:hint="eastAsia" w:cs="Times New Roman"/>
                <w:color w:val="auto"/>
                <w:highlight w:val="none"/>
                <w:lang w:val="en-US" w:eastAsia="zh-CN"/>
              </w:rPr>
              <w:t>23</w:t>
            </w:r>
            <w:r>
              <w:rPr>
                <w:rFonts w:hint="default" w:ascii="Times New Roman" w:hAnsi="Times New Roman" w:cs="Times New Roman"/>
                <w:color w:val="auto"/>
                <w:highlight w:val="none"/>
              </w:rPr>
              <w:t>）中的有关规定执行。贮存区必须按</w:t>
            </w:r>
            <w:r>
              <w:rPr>
                <w:rFonts w:hint="default"/>
                <w:color w:val="auto"/>
                <w:highlight w:val="none"/>
              </w:rPr>
              <w:t>《危险废物识别标志设置技术规范》（HJ 1276—2022）</w:t>
            </w:r>
            <w:r>
              <w:rPr>
                <w:rFonts w:hint="default" w:ascii="Times New Roman" w:hAnsi="Times New Roman" w:cs="Times New Roman"/>
                <w:color w:val="auto"/>
                <w:highlight w:val="none"/>
              </w:rPr>
              <w:t>的规定设置警示标志，并具有防雨淋、防日晒、防渗漏措施，且危险废物要有专用的收集容器，定期对所贮存的危险废物贮存设施进行检查，发现破损，应及时采取措施。危险废物临时贮存的几点要求：</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a</w:t>
            </w:r>
            <w:r>
              <w:rPr>
                <w:rFonts w:hint="default" w:ascii="Times New Roman" w:hAnsi="Times New Roman" w:cs="Times New Roman"/>
                <w:color w:val="auto"/>
                <w:highlight w:val="none"/>
              </w:rPr>
              <w:t>.危险废物在收集时，应清楚废物的类别及主要成份，以方便委托处理单位处理，根据危险废物的性质和形态，可采用不同大小和不同材质的容器进行包装，所有包装和容器必须设置危险废物识别标志，并经过周密检查，严防在装载、搬移或运输途中出现渗漏、溢出、抛洒或挥发等情况。</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按</w:t>
            </w:r>
            <w:r>
              <w:rPr>
                <w:rFonts w:hint="default"/>
                <w:color w:val="auto"/>
                <w:highlight w:val="none"/>
              </w:rPr>
              <w:t>《危险废物识别标志设置技术规范》（HJ 1276—2022）</w:t>
            </w:r>
            <w:r>
              <w:rPr>
                <w:rFonts w:hint="default" w:ascii="Times New Roman" w:hAnsi="Times New Roman" w:cs="Times New Roman"/>
                <w:color w:val="auto"/>
                <w:highlight w:val="none"/>
              </w:rPr>
              <w:t>在收集场所醒目的地方设置危险废物警告标识。</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b</w:t>
            </w:r>
            <w:r>
              <w:rPr>
                <w:rFonts w:hint="default" w:ascii="Times New Roman" w:hAnsi="Times New Roman" w:cs="Times New Roman"/>
                <w:color w:val="auto"/>
                <w:highlight w:val="none"/>
              </w:rPr>
              <w:t>.由专人负责管理。危险废物分类分区堆放，并做好隔离、防水、防晒、防雨、防渗、防火处理。</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c</w:t>
            </w:r>
            <w:r>
              <w:rPr>
                <w:rFonts w:hint="default" w:ascii="Times New Roman" w:hAnsi="Times New Roman" w:cs="Times New Roman"/>
                <w:color w:val="auto"/>
                <w:highlight w:val="none"/>
              </w:rPr>
              <w:t>.应配备通讯设备、照明设施、安全防护服装及</w:t>
            </w:r>
            <w:r>
              <w:rPr>
                <w:rFonts w:hint="default" w:ascii="Times New Roman" w:hAnsi="Times New Roman" w:cs="Times New Roman"/>
                <w:color w:val="auto"/>
                <w:highlight w:val="none"/>
                <w:lang w:eastAsia="zh-CN"/>
              </w:rPr>
              <w:t>工具</w:t>
            </w:r>
            <w:r>
              <w:rPr>
                <w:rFonts w:hint="default" w:ascii="Times New Roman" w:hAnsi="Times New Roman" w:cs="Times New Roman"/>
                <w:color w:val="auto"/>
                <w:highlight w:val="none"/>
              </w:rPr>
              <w:t>，并设有报警装置和应急防护设施。</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d</w:t>
            </w:r>
            <w:r>
              <w:rPr>
                <w:rFonts w:hint="default" w:ascii="Times New Roman" w:hAnsi="Times New Roman" w:cs="Times New Roman"/>
                <w:color w:val="auto"/>
                <w:highlight w:val="none"/>
              </w:rPr>
              <w:t>.贮存区内禁止混放不相容危险废物；禁止危险废物混入非危险废物中贮存；危险废物按种类分别存放，且不同类废物间有明显的间隔（如过道等）。</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e</w:t>
            </w:r>
            <w:r>
              <w:rPr>
                <w:rFonts w:hint="default" w:ascii="Times New Roman" w:hAnsi="Times New Roman" w:cs="Times New Roman"/>
                <w:color w:val="auto"/>
                <w:highlight w:val="none"/>
              </w:rPr>
              <w:t>.危险废物临时贮存场所的地面和裙脚要用坚固、防渗的材料建造；该贮存场所的地面与裙脚围建一定的空间，该容积不低于堵截最大容器的最大储量或总储量的1/5贮存场所需设液体收集装置、气体导出口及气体净化装置；贮存装载液体、半固体危险废物容器的地方，必须有耐腐蚀的硬化地面且表面无裂隙。贮存设施应注意安全照明等问题；不相容的危险废物分开存放，并设有隔离间；基础防渗层为至少1m厚</w:t>
            </w:r>
            <w:r>
              <w:rPr>
                <w:rFonts w:hint="eastAsia" w:cs="Times New Roman"/>
                <w:color w:val="auto"/>
                <w:highlight w:val="none"/>
                <w:lang w:eastAsia="zh-CN"/>
              </w:rPr>
              <w:t>黏土</w:t>
            </w:r>
            <w:r>
              <w:rPr>
                <w:rFonts w:hint="default" w:ascii="Times New Roman" w:hAnsi="Times New Roman" w:cs="Times New Roman"/>
                <w:color w:val="auto"/>
                <w:highlight w:val="none"/>
              </w:rPr>
              <w:t>层（渗透系数≤10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cm/s），或2mm厚高密度聚乙烯，或至少2mm厚的其他人工材料，渗透系数≤10</w:t>
            </w:r>
            <w:r>
              <w:rPr>
                <w:rFonts w:hint="default" w:ascii="Times New Roman" w:hAnsi="Times New Roman" w:cs="Times New Roman"/>
                <w:color w:val="auto"/>
                <w:highlight w:val="none"/>
                <w:vertAlign w:val="superscript"/>
              </w:rPr>
              <w:t>-10</w:t>
            </w:r>
            <w:r>
              <w:rPr>
                <w:rFonts w:hint="default" w:ascii="Times New Roman" w:hAnsi="Times New Roman" w:cs="Times New Roman"/>
                <w:color w:val="auto"/>
                <w:highlight w:val="none"/>
              </w:rPr>
              <w:t>cm/s。具体设计原则参照《危险废物贮存污染控制标准》（GB18597-20</w:t>
            </w:r>
            <w:r>
              <w:rPr>
                <w:rFonts w:hint="eastAsia" w:cs="Times New Roman"/>
                <w:color w:val="auto"/>
                <w:highlight w:val="none"/>
                <w:lang w:val="en-US" w:eastAsia="zh-CN"/>
              </w:rPr>
              <w:t>23</w:t>
            </w:r>
            <w:r>
              <w:rPr>
                <w:rFonts w:hint="default" w:ascii="Times New Roman" w:hAnsi="Times New Roman" w:cs="Times New Roman"/>
                <w:color w:val="auto"/>
                <w:highlight w:val="none"/>
              </w:rPr>
              <w:t>）。</w:t>
            </w:r>
          </w:p>
          <w:p>
            <w:pPr>
              <w:pStyle w:val="8"/>
              <w:ind w:firstLine="480"/>
              <w:rPr>
                <w:rFonts w:hint="default" w:ascii="Times New Roman" w:hAnsi="Times New Roman" w:cs="Times New Roman"/>
                <w:color w:val="auto"/>
                <w:highlight w:val="none"/>
              </w:rPr>
            </w:pPr>
            <w:r>
              <w:rPr>
                <w:rFonts w:hint="eastAsia" w:cs="Times New Roman"/>
                <w:color w:val="auto"/>
                <w:highlight w:val="none"/>
                <w:lang w:val="en-US" w:eastAsia="zh-CN"/>
              </w:rPr>
              <w:t>②</w:t>
            </w:r>
            <w:r>
              <w:rPr>
                <w:rFonts w:hint="default" w:ascii="Times New Roman" w:hAnsi="Times New Roman" w:cs="Times New Roman"/>
                <w:color w:val="auto"/>
                <w:highlight w:val="none"/>
              </w:rPr>
              <w:t>建立危废申报登记制度。由专门人员负责危险废物的日常收集和管理，对任何进出临时贮存场所的危险废物记录在案，做好台账；危险废物临时贮存场所周围要设置防护栅栏，并设置警示标志。贮存所内配备通讯设备、照明设备、安全防护服装及工具，并有应急防护措施；危险废物的贮存和转运应严格按照《危险废物贮存污染控制标准》（GB18597-20</w:t>
            </w:r>
            <w:r>
              <w:rPr>
                <w:rFonts w:hint="eastAsia" w:cs="Times New Roman"/>
                <w:color w:val="auto"/>
                <w:highlight w:val="none"/>
                <w:lang w:val="en-US" w:eastAsia="zh-CN"/>
              </w:rPr>
              <w:t>23</w:t>
            </w:r>
            <w:r>
              <w:rPr>
                <w:rFonts w:hint="default" w:ascii="Times New Roman" w:hAnsi="Times New Roman" w:cs="Times New Roman"/>
                <w:color w:val="auto"/>
                <w:highlight w:val="none"/>
              </w:rPr>
              <w:t>）和《危险废物转移联单管理办法》要求执行。建设单位应强化废物产生、收集、贮放各环节的管理，各种固体废物按照类别分类存放，杜绝固体废物在厂区内散失、渗漏，避免产生二次污染。</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危险废物的运输采取危险废物转移</w:t>
            </w:r>
            <w:r>
              <w:rPr>
                <w:rFonts w:hint="eastAsia" w:cs="Times New Roman"/>
                <w:color w:val="auto"/>
                <w:highlight w:val="none"/>
                <w:lang w:eastAsia="zh-CN"/>
              </w:rPr>
              <w:t>“</w:t>
            </w:r>
            <w:r>
              <w:rPr>
                <w:rFonts w:hint="default" w:ascii="Times New Roman" w:hAnsi="Times New Roman" w:cs="Times New Roman"/>
                <w:color w:val="auto"/>
                <w:highlight w:val="none"/>
              </w:rPr>
              <w:t>电子联单</w:t>
            </w:r>
            <w:r>
              <w:rPr>
                <w:rFonts w:hint="eastAsia" w:cs="Times New Roman"/>
                <w:color w:val="auto"/>
                <w:highlight w:val="none"/>
                <w:lang w:eastAsia="zh-CN"/>
              </w:rPr>
              <w:t>”</w:t>
            </w:r>
            <w:r>
              <w:rPr>
                <w:rFonts w:hint="default" w:ascii="Times New Roman" w:hAnsi="Times New Roman" w:cs="Times New Roman"/>
                <w:color w:val="auto"/>
                <w:highlight w:val="none"/>
              </w:rPr>
              <w:t>制度，保证运输安全，防止非法转移和非法处置，保证危险废物的安全监控，防止危险废物污染事故发生。</w:t>
            </w:r>
          </w:p>
          <w:p>
            <w:pPr>
              <w:pStyle w:val="8"/>
              <w:ind w:firstLine="480"/>
              <w:rPr>
                <w:rFonts w:hint="default" w:ascii="Times New Roman" w:hAnsi="Times New Roman" w:cs="Times New Roman"/>
                <w:color w:val="auto"/>
                <w:highlight w:val="none"/>
              </w:rPr>
            </w:pPr>
            <w:r>
              <w:rPr>
                <w:rFonts w:hint="eastAsia" w:cs="Times New Roman"/>
                <w:color w:val="auto"/>
                <w:highlight w:val="none"/>
                <w:lang w:eastAsia="zh-CN"/>
              </w:rPr>
              <w:t>“</w:t>
            </w:r>
            <w:r>
              <w:rPr>
                <w:rFonts w:hint="default" w:ascii="Times New Roman" w:hAnsi="Times New Roman" w:cs="Times New Roman"/>
                <w:color w:val="auto"/>
                <w:highlight w:val="none"/>
              </w:rPr>
              <w:t>电子联单</w:t>
            </w:r>
            <w:r>
              <w:rPr>
                <w:rFonts w:hint="eastAsia" w:cs="Times New Roman"/>
                <w:color w:val="auto"/>
                <w:highlight w:val="none"/>
                <w:lang w:eastAsia="zh-CN"/>
              </w:rPr>
              <w:t>”</w:t>
            </w:r>
            <w:r>
              <w:rPr>
                <w:rFonts w:hint="default" w:ascii="Times New Roman" w:hAnsi="Times New Roman" w:cs="Times New Roman"/>
                <w:color w:val="auto"/>
                <w:highlight w:val="none"/>
              </w:rPr>
              <w:t>应通过福建省固体废物环境监管平台申请电子联单，危险废物产生者及其它需要转移危险废物的单位在转移危险废物之前，须按照国家有关规定报批危险废物转移计划。经批准后，通过《信息系统》申请电子联单。</w:t>
            </w:r>
          </w:p>
          <w:p>
            <w:pPr>
              <w:pStyle w:val="8"/>
              <w:ind w:firstLine="480"/>
              <w:rPr>
                <w:rFonts w:hint="default" w:ascii="Times New Roman" w:hAnsi="Times New Roman" w:cs="Times New Roman"/>
                <w:color w:val="auto"/>
                <w:highlight w:val="none"/>
              </w:rPr>
            </w:pPr>
            <w:r>
              <w:rPr>
                <w:rFonts w:hint="eastAsia" w:cs="Times New Roman"/>
                <w:color w:val="auto"/>
                <w:highlight w:val="none"/>
                <w:lang w:val="en-US" w:eastAsia="zh-CN"/>
              </w:rPr>
              <w:t>③</w:t>
            </w:r>
            <w:r>
              <w:rPr>
                <w:rFonts w:hint="default" w:ascii="Times New Roman" w:hAnsi="Times New Roman" w:cs="Times New Roman"/>
                <w:color w:val="auto"/>
                <w:highlight w:val="none"/>
              </w:rPr>
              <w:t>应将危险废物提供或者委托给有危险废物经营许可证的单位从事利用和处置，并签订处置合同。同时应加强对运输单位及处置单位的跟踪检查，控制运输过程中的环境风险。</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综上</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本项目建成后遵循危险废物收集、贮存要求</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可降低危险废物运输过程中产生的风险。同时</w:t>
            </w:r>
            <w:r>
              <w:rPr>
                <w:rFonts w:hint="eastAsia" w:cs="Times New Roman"/>
                <w:color w:val="auto"/>
                <w:highlight w:val="none"/>
                <w:lang w:val="en-US" w:eastAsia="zh-CN"/>
              </w:rPr>
              <w:t>委托相关资质单位对危险废物进行定期处置，</w:t>
            </w:r>
            <w:r>
              <w:rPr>
                <w:rFonts w:hint="default" w:ascii="Times New Roman" w:hAnsi="Times New Roman" w:cs="Times New Roman"/>
                <w:color w:val="auto"/>
                <w:highlight w:val="none"/>
                <w:lang w:val="en-US" w:eastAsia="zh-CN"/>
              </w:rPr>
              <w:t>项目建设</w:t>
            </w:r>
            <w:r>
              <w:rPr>
                <w:rFonts w:hint="default" w:ascii="Times New Roman" w:hAnsi="Times New Roman" w:cs="Times New Roman"/>
                <w:color w:val="auto"/>
                <w:highlight w:val="none"/>
              </w:rPr>
              <w:t>对周边环境影响较小。</w:t>
            </w:r>
          </w:p>
          <w:p>
            <w:pPr>
              <w:pStyle w:val="4"/>
              <w:numPr>
                <w:ilvl w:val="1"/>
                <w:numId w:val="14"/>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w:t>
            </w:r>
            <w:r>
              <w:rPr>
                <w:rFonts w:hint="eastAsia" w:cs="Times New Roman"/>
                <w:color w:val="auto"/>
                <w:highlight w:val="none"/>
                <w:lang w:val="en-US" w:eastAsia="zh-CN"/>
              </w:rPr>
              <w:t>、</w:t>
            </w:r>
            <w:r>
              <w:rPr>
                <w:rFonts w:hint="default" w:ascii="Times New Roman" w:hAnsi="Times New Roman" w:cs="Times New Roman"/>
                <w:color w:val="auto"/>
                <w:highlight w:val="none"/>
              </w:rPr>
              <w:t>土壤</w:t>
            </w:r>
          </w:p>
          <w:p>
            <w:pPr>
              <w:pStyle w:val="8"/>
              <w:numPr>
                <w:ilvl w:val="0"/>
                <w:numId w:val="0"/>
              </w:numPr>
              <w:bidi w:val="0"/>
              <w:ind w:left="420" w:leftChars="0"/>
              <w:rPr>
                <w:rFonts w:hint="eastAsia"/>
                <w:lang w:val="en-US" w:eastAsia="zh-CN"/>
              </w:rPr>
            </w:pPr>
            <w:r>
              <w:rPr>
                <w:rFonts w:hint="eastAsia"/>
                <w:lang w:val="en-US" w:eastAsia="zh-CN"/>
              </w:rPr>
              <w:t>（1）地下水、土壤环境影响分析</w:t>
            </w:r>
          </w:p>
          <w:p>
            <w:pPr>
              <w:pStyle w:val="8"/>
              <w:bidi w:val="0"/>
              <w:rPr>
                <w:rFonts w:hint="default"/>
                <w:lang w:val="en-US" w:eastAsia="zh-CN"/>
              </w:rPr>
            </w:pPr>
            <w:r>
              <w:rPr>
                <w:rFonts w:hint="default" w:ascii="Times New Roman" w:hAnsi="Times New Roman" w:cs="Times New Roman"/>
                <w:color w:val="auto"/>
                <w:highlight w:val="none"/>
              </w:rPr>
              <w:t>本项目位于</w:t>
            </w:r>
            <w:r>
              <w:rPr>
                <w:rFonts w:hint="eastAsia" w:ascii="Times New Roman" w:hAnsi="Times New Roman" w:eastAsia="宋体" w:cs="Times New Roman"/>
                <w:color w:val="auto"/>
                <w:kern w:val="0"/>
                <w:sz w:val="24"/>
                <w:szCs w:val="21"/>
                <w:highlight w:val="none"/>
                <w:lang w:val="en-US" w:eastAsia="zh-CN" w:bidi="ar-SA"/>
              </w:rPr>
              <w:t>闽侯县祥谦镇泮洋村祥宏中路20号</w:t>
            </w:r>
            <w:r>
              <w:rPr>
                <w:rFonts w:hint="default" w:ascii="Times New Roman" w:hAnsi="Times New Roman" w:cs="Times New Roman"/>
                <w:color w:val="auto"/>
                <w:highlight w:val="none"/>
              </w:rPr>
              <w:t>，周边以工业企业为主</w:t>
            </w:r>
            <w:r>
              <w:rPr>
                <w:rFonts w:hint="eastAsia" w:cs="Times New Roman"/>
                <w:color w:val="auto"/>
                <w:highlight w:val="none"/>
                <w:lang w:eastAsia="zh-CN"/>
              </w:rPr>
              <w:t>；</w:t>
            </w:r>
            <w:r>
              <w:rPr>
                <w:rFonts w:hint="eastAsia" w:cs="Times New Roman"/>
                <w:color w:val="auto"/>
                <w:highlight w:val="none"/>
                <w:lang w:val="en-US" w:eastAsia="zh-CN"/>
              </w:rPr>
              <w:t>本项目</w:t>
            </w:r>
            <w:r>
              <w:rPr>
                <w:rFonts w:hint="eastAsia"/>
                <w:lang w:val="en-US" w:eastAsia="zh-CN"/>
              </w:rPr>
              <w:t>租赁华源工艺品有限公司二期C栋1层厂房分割部分进行建设，地面均已进行地面硬化，不存在</w:t>
            </w:r>
            <w:r>
              <w:rPr>
                <w:rFonts w:hint="default" w:ascii="Times New Roman" w:hAnsi="Times New Roman" w:cs="Times New Roman"/>
                <w:color w:val="auto"/>
                <w:highlight w:val="none"/>
                <w:lang w:val="en-US" w:eastAsia="zh-CN"/>
              </w:rPr>
              <w:t>地面漫流及垂直入渗途径污染地下水及土壤环境</w:t>
            </w:r>
            <w:r>
              <w:rPr>
                <w:rFonts w:hint="default" w:ascii="Times New Roman" w:hAnsi="Times New Roman" w:cs="Times New Roman"/>
                <w:color w:val="auto"/>
                <w:highlight w:val="none"/>
              </w:rPr>
              <w:t>；</w:t>
            </w:r>
            <w:r>
              <w:rPr>
                <w:rFonts w:hint="eastAsia"/>
                <w:color w:val="auto"/>
                <w:lang w:val="en-US" w:eastAsia="zh-CN"/>
              </w:rPr>
              <w:t>项目投产后，储罐呼吸将产生一定量的非甲烷总烃，该区域采取防渗措施，</w:t>
            </w:r>
            <w:r>
              <w:rPr>
                <w:rFonts w:hint="eastAsia" w:cs="Times New Roman"/>
                <w:color w:val="auto"/>
                <w:highlight w:val="none"/>
                <w:lang w:val="en-US" w:eastAsia="zh-CN"/>
              </w:rPr>
              <w:t>不</w:t>
            </w:r>
            <w:r>
              <w:rPr>
                <w:rFonts w:hint="default" w:ascii="Times New Roman" w:hAnsi="Times New Roman" w:cs="Times New Roman"/>
                <w:color w:val="auto"/>
                <w:highlight w:val="none"/>
                <w:lang w:val="en-US" w:eastAsia="zh-CN"/>
              </w:rPr>
              <w:t>存在地面漫流及垂直入渗途径污染地下水及土壤环境</w:t>
            </w:r>
            <w:r>
              <w:rPr>
                <w:rFonts w:hint="eastAsia" w:cs="Times New Roman"/>
                <w:color w:val="auto"/>
                <w:highlight w:val="none"/>
                <w:lang w:val="en-US" w:eastAsia="zh-CN"/>
              </w:rPr>
              <w:t>，因此，项目对地下水、土壤的环境影响较小。</w:t>
            </w:r>
          </w:p>
          <w:p>
            <w:pPr>
              <w:pStyle w:val="8"/>
              <w:numPr>
                <w:ilvl w:val="0"/>
                <w:numId w:val="0"/>
              </w:numPr>
              <w:bidi w:val="0"/>
              <w:ind w:left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分区防控措施</w:t>
            </w:r>
          </w:p>
          <w:p>
            <w:pPr>
              <w:pStyle w:val="8"/>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①</w:t>
            </w:r>
            <w:r>
              <w:rPr>
                <w:rFonts w:hint="default" w:ascii="Times New Roman" w:hAnsi="Times New Roman" w:cs="Times New Roman"/>
                <w:color w:val="auto"/>
                <w:highlight w:val="none"/>
              </w:rPr>
              <w:t>防渗区划</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本次评价</w:t>
            </w:r>
            <w:r>
              <w:rPr>
                <w:rFonts w:hint="default" w:ascii="Times New Roman" w:hAnsi="Times New Roman" w:cs="Times New Roman"/>
                <w:color w:val="auto"/>
                <w:highlight w:val="none"/>
              </w:rPr>
              <w:t>根据《环境影响评价技术导则地下水环境》（HJ610-2016），</w:t>
            </w:r>
            <w:r>
              <w:rPr>
                <w:rFonts w:hint="default" w:ascii="Times New Roman" w:hAnsi="Times New Roman" w:cs="Times New Roman"/>
                <w:color w:val="auto"/>
                <w:highlight w:val="none"/>
                <w:lang w:val="en-US" w:eastAsia="zh-CN"/>
              </w:rPr>
              <w:t>对项目防渗分区进行划定，</w:t>
            </w:r>
            <w:r>
              <w:rPr>
                <w:rFonts w:hint="default" w:ascii="Times New Roman" w:hAnsi="Times New Roman" w:cs="Times New Roman"/>
                <w:color w:val="auto"/>
                <w:highlight w:val="none"/>
              </w:rPr>
              <w:t>按下表确定。</w:t>
            </w:r>
          </w:p>
          <w:p>
            <w:pPr>
              <w:pStyle w:val="30"/>
              <w:bidi w:val="0"/>
              <w:rPr>
                <w:rFonts w:hint="default"/>
              </w:rPr>
            </w:pPr>
            <w:r>
              <w:rPr>
                <w:rFonts w:hint="default"/>
              </w:rPr>
              <w:t>污染控制难易程度分级参照表</w:t>
            </w:r>
          </w:p>
          <w:tbl>
            <w:tblPr>
              <w:tblStyle w:val="25"/>
              <w:tblW w:w="8405" w:type="dxa"/>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76"/>
              <w:gridCol w:w="622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6" w:type="dxa"/>
                  <w:tcBorders>
                    <w:tl2br w:val="nil"/>
                    <w:tr2bl w:val="nil"/>
                  </w:tcBorders>
                  <w:vAlign w:val="center"/>
                </w:tcPr>
                <w:p>
                  <w:pPr>
                    <w:pStyle w:val="31"/>
                    <w:bidi w:val="0"/>
                    <w:rPr>
                      <w:rFonts w:hint="default"/>
                    </w:rPr>
                  </w:pPr>
                  <w:r>
                    <w:rPr>
                      <w:rFonts w:hint="default"/>
                    </w:rPr>
                    <w:t>污染物控制难易程度</w:t>
                  </w:r>
                </w:p>
              </w:tc>
              <w:tc>
                <w:tcPr>
                  <w:tcW w:w="6229" w:type="dxa"/>
                  <w:tcBorders>
                    <w:tl2br w:val="nil"/>
                    <w:tr2bl w:val="nil"/>
                  </w:tcBorders>
                  <w:vAlign w:val="center"/>
                </w:tcPr>
                <w:p>
                  <w:pPr>
                    <w:pStyle w:val="31"/>
                    <w:bidi w:val="0"/>
                    <w:rPr>
                      <w:rFonts w:hint="default"/>
                    </w:rPr>
                  </w:pPr>
                  <w:r>
                    <w:rPr>
                      <w:rFonts w:hint="default"/>
                    </w:rPr>
                    <w:t>污染物类型</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6" w:type="dxa"/>
                  <w:tcBorders>
                    <w:tl2br w:val="nil"/>
                    <w:tr2bl w:val="nil"/>
                  </w:tcBorders>
                  <w:vAlign w:val="center"/>
                </w:tcPr>
                <w:p>
                  <w:pPr>
                    <w:pStyle w:val="31"/>
                    <w:bidi w:val="0"/>
                    <w:rPr>
                      <w:rFonts w:hint="default"/>
                    </w:rPr>
                  </w:pPr>
                  <w:r>
                    <w:rPr>
                      <w:rFonts w:hint="default"/>
                    </w:rPr>
                    <w:t>难</w:t>
                  </w:r>
                </w:p>
              </w:tc>
              <w:tc>
                <w:tcPr>
                  <w:tcW w:w="6229" w:type="dxa"/>
                  <w:tcBorders>
                    <w:tl2br w:val="nil"/>
                    <w:tr2bl w:val="nil"/>
                  </w:tcBorders>
                  <w:vAlign w:val="center"/>
                </w:tcPr>
                <w:p>
                  <w:pPr>
                    <w:pStyle w:val="31"/>
                    <w:bidi w:val="0"/>
                    <w:rPr>
                      <w:rFonts w:hint="default"/>
                    </w:rPr>
                  </w:pPr>
                  <w:r>
                    <w:rPr>
                      <w:rFonts w:hint="default"/>
                    </w:rPr>
                    <w:t>对地下水环境有污染的物料或污染物</w:t>
                  </w:r>
                  <w:r>
                    <w:rPr>
                      <w:rFonts w:hint="default"/>
                      <w:lang w:eastAsia="zh-CN"/>
                    </w:rPr>
                    <w:t>泄漏</w:t>
                  </w:r>
                  <w:r>
                    <w:rPr>
                      <w:rFonts w:hint="default"/>
                    </w:rPr>
                    <w:t>后，不能及时发现和处理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76" w:type="dxa"/>
                  <w:tcBorders>
                    <w:tl2br w:val="nil"/>
                    <w:tr2bl w:val="nil"/>
                  </w:tcBorders>
                  <w:vAlign w:val="center"/>
                </w:tcPr>
                <w:p>
                  <w:pPr>
                    <w:pStyle w:val="31"/>
                    <w:bidi w:val="0"/>
                    <w:rPr>
                      <w:rFonts w:hint="default"/>
                    </w:rPr>
                  </w:pPr>
                  <w:r>
                    <w:rPr>
                      <w:rFonts w:hint="default"/>
                    </w:rPr>
                    <w:t>易</w:t>
                  </w:r>
                </w:p>
              </w:tc>
              <w:tc>
                <w:tcPr>
                  <w:tcW w:w="6229" w:type="dxa"/>
                  <w:tcBorders>
                    <w:tl2br w:val="nil"/>
                    <w:tr2bl w:val="nil"/>
                  </w:tcBorders>
                  <w:vAlign w:val="center"/>
                </w:tcPr>
                <w:p>
                  <w:pPr>
                    <w:pStyle w:val="31"/>
                    <w:bidi w:val="0"/>
                    <w:jc w:val="both"/>
                    <w:rPr>
                      <w:rFonts w:hint="default"/>
                    </w:rPr>
                  </w:pPr>
                  <w:r>
                    <w:rPr>
                      <w:rFonts w:hint="default"/>
                    </w:rPr>
                    <w:t>对地下水环境有污染的物料或污染物</w:t>
                  </w:r>
                  <w:r>
                    <w:rPr>
                      <w:rFonts w:hint="default"/>
                      <w:lang w:eastAsia="zh-CN"/>
                    </w:rPr>
                    <w:t>泄漏</w:t>
                  </w:r>
                  <w:r>
                    <w:rPr>
                      <w:rFonts w:hint="default"/>
                    </w:rPr>
                    <w:t>后，可及时发现和处理</w:t>
                  </w:r>
                </w:p>
              </w:tc>
            </w:tr>
          </w:tbl>
          <w:p>
            <w:pPr>
              <w:pStyle w:val="30"/>
              <w:numPr>
                <w:ilvl w:val="-1"/>
                <w:numId w:val="0"/>
              </w:numPr>
              <w:bidi w:val="0"/>
              <w:jc w:val="both"/>
              <w:rPr>
                <w:rFonts w:hint="default"/>
              </w:rPr>
            </w:pPr>
          </w:p>
          <w:p>
            <w:pPr>
              <w:pStyle w:val="30"/>
              <w:bidi w:val="0"/>
              <w:rPr>
                <w:rFonts w:hint="default"/>
              </w:rPr>
            </w:pPr>
            <w:r>
              <w:rPr>
                <w:rFonts w:hint="default"/>
              </w:rPr>
              <w:t>天然包气袋防污性能分级参照表</w:t>
            </w:r>
          </w:p>
          <w:tbl>
            <w:tblPr>
              <w:tblStyle w:val="25"/>
              <w:tblW w:w="8407" w:type="dxa"/>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771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40" w:hRule="atLeast"/>
              </w:trPr>
              <w:tc>
                <w:tcPr>
                  <w:tcW w:w="697" w:type="dxa"/>
                  <w:tcBorders>
                    <w:tl2br w:val="nil"/>
                    <w:tr2bl w:val="nil"/>
                  </w:tcBorders>
                  <w:vAlign w:val="center"/>
                </w:tcPr>
                <w:p>
                  <w:pPr>
                    <w:pStyle w:val="31"/>
                    <w:bidi w:val="0"/>
                    <w:rPr>
                      <w:rFonts w:hint="default"/>
                    </w:rPr>
                  </w:pPr>
                  <w:r>
                    <w:rPr>
                      <w:rFonts w:hint="default"/>
                    </w:rPr>
                    <w:t>分级</w:t>
                  </w:r>
                </w:p>
              </w:tc>
              <w:tc>
                <w:tcPr>
                  <w:tcW w:w="7710" w:type="dxa"/>
                  <w:tcBorders>
                    <w:tl2br w:val="nil"/>
                    <w:tr2bl w:val="nil"/>
                  </w:tcBorders>
                  <w:vAlign w:val="center"/>
                </w:tcPr>
                <w:p>
                  <w:pPr>
                    <w:pStyle w:val="31"/>
                    <w:bidi w:val="0"/>
                    <w:rPr>
                      <w:rFonts w:hint="default"/>
                    </w:rPr>
                  </w:pPr>
                  <w:r>
                    <w:rPr>
                      <w:rFonts w:hint="default"/>
                    </w:rPr>
                    <w:t>包气带岩土的渗透性能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tcBorders>
                    <w:tl2br w:val="nil"/>
                    <w:tr2bl w:val="nil"/>
                  </w:tcBorders>
                  <w:vAlign w:val="center"/>
                </w:tcPr>
                <w:p>
                  <w:pPr>
                    <w:pStyle w:val="31"/>
                    <w:bidi w:val="0"/>
                    <w:rPr>
                      <w:rFonts w:hint="default"/>
                    </w:rPr>
                  </w:pPr>
                  <w:r>
                    <w:rPr>
                      <w:rFonts w:hint="default"/>
                    </w:rPr>
                    <w:t>强</w:t>
                  </w:r>
                </w:p>
              </w:tc>
              <w:tc>
                <w:tcPr>
                  <w:tcW w:w="7710" w:type="dxa"/>
                  <w:tcBorders>
                    <w:tl2br w:val="nil"/>
                    <w:tr2bl w:val="nil"/>
                  </w:tcBorders>
                  <w:vAlign w:val="center"/>
                </w:tcPr>
                <w:p>
                  <w:pPr>
                    <w:pStyle w:val="31"/>
                    <w:bidi w:val="0"/>
                    <w:rPr>
                      <w:rFonts w:hint="default"/>
                    </w:rPr>
                  </w:pPr>
                  <w:r>
                    <w:rPr>
                      <w:rFonts w:hint="default"/>
                    </w:rPr>
                    <w:t>岩（土）层单层厚度Mb≥1.0m，渗透系数K≤1×10</w:t>
                  </w:r>
                  <w:r>
                    <w:rPr>
                      <w:rFonts w:hint="default"/>
                      <w:vertAlign w:val="superscript"/>
                    </w:rPr>
                    <w:t>-6</w:t>
                  </w:r>
                  <w:r>
                    <w:rPr>
                      <w:rFonts w:hint="default"/>
                    </w:rPr>
                    <w:t>cm/s，且分布连续、稳定</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tcBorders>
                    <w:tl2br w:val="nil"/>
                    <w:tr2bl w:val="nil"/>
                  </w:tcBorders>
                  <w:vAlign w:val="center"/>
                </w:tcPr>
                <w:p>
                  <w:pPr>
                    <w:pStyle w:val="31"/>
                    <w:bidi w:val="0"/>
                    <w:rPr>
                      <w:rFonts w:hint="default"/>
                    </w:rPr>
                  </w:pPr>
                  <w:r>
                    <w:rPr>
                      <w:rFonts w:hint="default"/>
                    </w:rPr>
                    <w:t>中</w:t>
                  </w:r>
                </w:p>
              </w:tc>
              <w:tc>
                <w:tcPr>
                  <w:tcW w:w="7710" w:type="dxa"/>
                  <w:tcBorders>
                    <w:tl2br w:val="nil"/>
                    <w:tr2bl w:val="nil"/>
                  </w:tcBorders>
                  <w:vAlign w:val="center"/>
                </w:tcPr>
                <w:p>
                  <w:pPr>
                    <w:pStyle w:val="31"/>
                    <w:bidi w:val="0"/>
                    <w:rPr>
                      <w:rFonts w:hint="default"/>
                    </w:rPr>
                  </w:pPr>
                  <w:r>
                    <w:rPr>
                      <w:rFonts w:hint="default"/>
                    </w:rPr>
                    <w:t>岩（土）层单层厚度0.5m≤Mb&lt;1.0m，渗透系数K≤1×10</w:t>
                  </w:r>
                  <w:r>
                    <w:rPr>
                      <w:rFonts w:hint="default"/>
                      <w:vertAlign w:val="superscript"/>
                    </w:rPr>
                    <w:t>-6</w:t>
                  </w:r>
                  <w:r>
                    <w:rPr>
                      <w:rFonts w:hint="default"/>
                    </w:rPr>
                    <w:t>cm/s，且分布连续、稳定</w:t>
                  </w:r>
                </w:p>
                <w:p>
                  <w:pPr>
                    <w:pStyle w:val="31"/>
                    <w:bidi w:val="0"/>
                    <w:rPr>
                      <w:rFonts w:hint="default"/>
                    </w:rPr>
                  </w:pPr>
                  <w:r>
                    <w:rPr>
                      <w:rFonts w:hint="default"/>
                    </w:rPr>
                    <w:t>岩（土）层单层厚度Mb≥1.0m，渗透系数1×10</w:t>
                  </w:r>
                  <w:r>
                    <w:rPr>
                      <w:rFonts w:hint="default"/>
                      <w:vertAlign w:val="superscript"/>
                    </w:rPr>
                    <w:t>-6</w:t>
                  </w:r>
                  <w:r>
                    <w:rPr>
                      <w:rFonts w:hint="default"/>
                    </w:rPr>
                    <w:t>cm/s&lt;K≤1×10</w:t>
                  </w:r>
                  <w:r>
                    <w:rPr>
                      <w:rFonts w:hint="default"/>
                      <w:vertAlign w:val="superscript"/>
                    </w:rPr>
                    <w:t>-4</w:t>
                  </w:r>
                  <w:r>
                    <w:rPr>
                      <w:rFonts w:hint="default"/>
                    </w:rPr>
                    <w:t>cm/s，且分布连续、稳定</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7" w:type="dxa"/>
                  <w:tcBorders>
                    <w:tl2br w:val="nil"/>
                    <w:tr2bl w:val="nil"/>
                  </w:tcBorders>
                  <w:vAlign w:val="center"/>
                </w:tcPr>
                <w:p>
                  <w:pPr>
                    <w:pStyle w:val="31"/>
                    <w:bidi w:val="0"/>
                    <w:rPr>
                      <w:rFonts w:hint="default"/>
                    </w:rPr>
                  </w:pPr>
                  <w:r>
                    <w:rPr>
                      <w:rFonts w:hint="default"/>
                    </w:rPr>
                    <w:t>弱</w:t>
                  </w:r>
                </w:p>
              </w:tc>
              <w:tc>
                <w:tcPr>
                  <w:tcW w:w="7710" w:type="dxa"/>
                  <w:tcBorders>
                    <w:tl2br w:val="nil"/>
                    <w:tr2bl w:val="nil"/>
                  </w:tcBorders>
                  <w:vAlign w:val="center"/>
                </w:tcPr>
                <w:p>
                  <w:pPr>
                    <w:pStyle w:val="31"/>
                    <w:bidi w:val="0"/>
                    <w:rPr>
                      <w:rFonts w:hint="default"/>
                    </w:rPr>
                  </w:pPr>
                  <w:r>
                    <w:rPr>
                      <w:rFonts w:hint="default"/>
                    </w:rPr>
                    <w:t>岩土层不满足上述“强”和“中”条件</w:t>
                  </w:r>
                </w:p>
              </w:tc>
            </w:tr>
          </w:tbl>
          <w:p>
            <w:pPr>
              <w:pStyle w:val="30"/>
              <w:numPr>
                <w:ilvl w:val="-1"/>
                <w:numId w:val="0"/>
              </w:numPr>
              <w:bidi w:val="0"/>
              <w:jc w:val="both"/>
              <w:rPr>
                <w:rFonts w:hint="default"/>
              </w:rPr>
            </w:pPr>
          </w:p>
          <w:p>
            <w:pPr>
              <w:pStyle w:val="30"/>
              <w:bidi w:val="0"/>
              <w:rPr>
                <w:rFonts w:hint="default"/>
              </w:rPr>
            </w:pPr>
            <w:r>
              <w:rPr>
                <w:rFonts w:hint="default"/>
              </w:rPr>
              <w:t>防渗分区参照表</w:t>
            </w:r>
          </w:p>
          <w:tbl>
            <w:tblPr>
              <w:tblStyle w:val="25"/>
              <w:tblW w:w="8406" w:type="dxa"/>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0"/>
              <w:gridCol w:w="1513"/>
              <w:gridCol w:w="1426"/>
              <w:gridCol w:w="1534"/>
              <w:gridCol w:w="266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0" w:type="dxa"/>
                  <w:tcBorders>
                    <w:tl2br w:val="nil"/>
                    <w:tr2bl w:val="nil"/>
                  </w:tcBorders>
                  <w:vAlign w:val="center"/>
                </w:tcPr>
                <w:p>
                  <w:pPr>
                    <w:pStyle w:val="31"/>
                    <w:bidi w:val="0"/>
                    <w:rPr>
                      <w:rFonts w:hint="default"/>
                    </w:rPr>
                  </w:pPr>
                  <w:r>
                    <w:rPr>
                      <w:rFonts w:hint="default"/>
                    </w:rPr>
                    <w:t>防渗分区</w:t>
                  </w:r>
                </w:p>
              </w:tc>
              <w:tc>
                <w:tcPr>
                  <w:tcW w:w="1513" w:type="dxa"/>
                  <w:tcBorders>
                    <w:tl2br w:val="nil"/>
                    <w:tr2bl w:val="nil"/>
                  </w:tcBorders>
                  <w:vAlign w:val="center"/>
                </w:tcPr>
                <w:p>
                  <w:pPr>
                    <w:pStyle w:val="31"/>
                    <w:bidi w:val="0"/>
                    <w:rPr>
                      <w:rFonts w:hint="default"/>
                    </w:rPr>
                  </w:pPr>
                  <w:r>
                    <w:rPr>
                      <w:rFonts w:hint="default"/>
                    </w:rPr>
                    <w:t>天然包气带防污性能</w:t>
                  </w:r>
                </w:p>
              </w:tc>
              <w:tc>
                <w:tcPr>
                  <w:tcW w:w="1426" w:type="dxa"/>
                  <w:tcBorders>
                    <w:tl2br w:val="nil"/>
                    <w:tr2bl w:val="nil"/>
                  </w:tcBorders>
                  <w:vAlign w:val="center"/>
                </w:tcPr>
                <w:p>
                  <w:pPr>
                    <w:pStyle w:val="31"/>
                    <w:bidi w:val="0"/>
                    <w:rPr>
                      <w:rFonts w:hint="default"/>
                    </w:rPr>
                  </w:pPr>
                  <w:r>
                    <w:rPr>
                      <w:rFonts w:hint="default"/>
                    </w:rPr>
                    <w:t>污染控制难易程度</w:t>
                  </w:r>
                </w:p>
              </w:tc>
              <w:tc>
                <w:tcPr>
                  <w:tcW w:w="1534" w:type="dxa"/>
                  <w:tcBorders>
                    <w:tl2br w:val="nil"/>
                    <w:tr2bl w:val="nil"/>
                  </w:tcBorders>
                  <w:vAlign w:val="center"/>
                </w:tcPr>
                <w:p>
                  <w:pPr>
                    <w:pStyle w:val="31"/>
                    <w:bidi w:val="0"/>
                    <w:rPr>
                      <w:rFonts w:hint="default"/>
                    </w:rPr>
                  </w:pPr>
                  <w:r>
                    <w:rPr>
                      <w:rFonts w:hint="default"/>
                    </w:rPr>
                    <w:t>污染物类型</w:t>
                  </w:r>
                </w:p>
              </w:tc>
              <w:tc>
                <w:tcPr>
                  <w:tcW w:w="2663" w:type="dxa"/>
                  <w:tcBorders>
                    <w:tl2br w:val="nil"/>
                    <w:tr2bl w:val="nil"/>
                  </w:tcBorders>
                  <w:vAlign w:val="center"/>
                </w:tcPr>
                <w:p>
                  <w:pPr>
                    <w:pStyle w:val="31"/>
                    <w:bidi w:val="0"/>
                    <w:rPr>
                      <w:rFonts w:hint="default"/>
                    </w:rPr>
                  </w:pPr>
                  <w:r>
                    <w:rPr>
                      <w:rFonts w:hint="default"/>
                    </w:rPr>
                    <w:t>防渗技术要求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1270" w:type="dxa"/>
                  <w:vMerge w:val="restart"/>
                  <w:tcBorders>
                    <w:tl2br w:val="nil"/>
                    <w:tr2bl w:val="nil"/>
                  </w:tcBorders>
                  <w:vAlign w:val="center"/>
                </w:tcPr>
                <w:p>
                  <w:pPr>
                    <w:pStyle w:val="31"/>
                    <w:bidi w:val="0"/>
                    <w:rPr>
                      <w:rFonts w:hint="default"/>
                    </w:rPr>
                  </w:pPr>
                  <w:r>
                    <w:rPr>
                      <w:rFonts w:hint="default"/>
                    </w:rPr>
                    <w:t>重点防渗区</w:t>
                  </w:r>
                </w:p>
              </w:tc>
              <w:tc>
                <w:tcPr>
                  <w:tcW w:w="1513" w:type="dxa"/>
                  <w:tcBorders>
                    <w:tl2br w:val="nil"/>
                    <w:tr2bl w:val="nil"/>
                  </w:tcBorders>
                  <w:vAlign w:val="center"/>
                </w:tcPr>
                <w:p>
                  <w:pPr>
                    <w:pStyle w:val="31"/>
                    <w:bidi w:val="0"/>
                    <w:rPr>
                      <w:rFonts w:hint="default"/>
                    </w:rPr>
                  </w:pPr>
                  <w:r>
                    <w:rPr>
                      <w:rFonts w:hint="default"/>
                    </w:rPr>
                    <w:t>弱</w:t>
                  </w:r>
                </w:p>
              </w:tc>
              <w:tc>
                <w:tcPr>
                  <w:tcW w:w="1426" w:type="dxa"/>
                  <w:tcBorders>
                    <w:tl2br w:val="nil"/>
                    <w:tr2bl w:val="nil"/>
                  </w:tcBorders>
                  <w:vAlign w:val="center"/>
                </w:tcPr>
                <w:p>
                  <w:pPr>
                    <w:pStyle w:val="31"/>
                    <w:bidi w:val="0"/>
                    <w:rPr>
                      <w:rFonts w:hint="default"/>
                    </w:rPr>
                  </w:pPr>
                  <w:r>
                    <w:rPr>
                      <w:rFonts w:hint="default"/>
                    </w:rPr>
                    <w:t>难</w:t>
                  </w:r>
                </w:p>
              </w:tc>
              <w:tc>
                <w:tcPr>
                  <w:tcW w:w="1534" w:type="dxa"/>
                  <w:vMerge w:val="restart"/>
                  <w:tcBorders>
                    <w:tl2br w:val="nil"/>
                    <w:tr2bl w:val="nil"/>
                  </w:tcBorders>
                  <w:vAlign w:val="center"/>
                </w:tcPr>
                <w:p>
                  <w:pPr>
                    <w:pStyle w:val="31"/>
                    <w:bidi w:val="0"/>
                    <w:rPr>
                      <w:rFonts w:hint="default"/>
                    </w:rPr>
                  </w:pPr>
                  <w:r>
                    <w:rPr>
                      <w:rFonts w:hint="default"/>
                    </w:rPr>
                    <w:t>重金属、持久性有机污染物</w:t>
                  </w:r>
                </w:p>
              </w:tc>
              <w:tc>
                <w:tcPr>
                  <w:tcW w:w="2663" w:type="dxa"/>
                  <w:vMerge w:val="restart"/>
                  <w:tcBorders>
                    <w:tl2br w:val="nil"/>
                    <w:tr2bl w:val="nil"/>
                  </w:tcBorders>
                  <w:vAlign w:val="center"/>
                </w:tcPr>
                <w:p>
                  <w:pPr>
                    <w:pStyle w:val="31"/>
                    <w:bidi w:val="0"/>
                    <w:rPr>
                      <w:rFonts w:hint="default"/>
                    </w:rPr>
                  </w:pPr>
                  <w:r>
                    <w:rPr>
                      <w:rFonts w:hint="default"/>
                    </w:rPr>
                    <w:t>等效黏土防渗层Mb≥6.0m，K≤1×10</w:t>
                  </w:r>
                  <w:r>
                    <w:rPr>
                      <w:rFonts w:hint="default"/>
                      <w:vertAlign w:val="superscript"/>
                    </w:rPr>
                    <w:t>-7</w:t>
                  </w:r>
                  <w:r>
                    <w:rPr>
                      <w:rFonts w:hint="default"/>
                    </w:rPr>
                    <w:t>cm/s，或参照GB18598执行</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0" w:type="dxa"/>
                  <w:vMerge w:val="continue"/>
                  <w:tcBorders>
                    <w:tl2br w:val="nil"/>
                    <w:tr2bl w:val="nil"/>
                  </w:tcBorders>
                  <w:vAlign w:val="center"/>
                </w:tcPr>
                <w:p>
                  <w:pPr>
                    <w:pStyle w:val="31"/>
                    <w:bidi w:val="0"/>
                    <w:rPr>
                      <w:rFonts w:hint="default"/>
                    </w:rPr>
                  </w:pPr>
                </w:p>
              </w:tc>
              <w:tc>
                <w:tcPr>
                  <w:tcW w:w="1513" w:type="dxa"/>
                  <w:tcBorders>
                    <w:tl2br w:val="nil"/>
                    <w:tr2bl w:val="nil"/>
                  </w:tcBorders>
                  <w:vAlign w:val="center"/>
                </w:tcPr>
                <w:p>
                  <w:pPr>
                    <w:pStyle w:val="31"/>
                    <w:bidi w:val="0"/>
                    <w:rPr>
                      <w:rFonts w:hint="default"/>
                    </w:rPr>
                  </w:pPr>
                  <w:r>
                    <w:rPr>
                      <w:rFonts w:hint="default"/>
                    </w:rPr>
                    <w:t>中-强</w:t>
                  </w:r>
                </w:p>
              </w:tc>
              <w:tc>
                <w:tcPr>
                  <w:tcW w:w="1426" w:type="dxa"/>
                  <w:tcBorders>
                    <w:tl2br w:val="nil"/>
                    <w:tr2bl w:val="nil"/>
                  </w:tcBorders>
                  <w:vAlign w:val="center"/>
                </w:tcPr>
                <w:p>
                  <w:pPr>
                    <w:pStyle w:val="31"/>
                    <w:bidi w:val="0"/>
                    <w:rPr>
                      <w:rFonts w:hint="default"/>
                    </w:rPr>
                  </w:pPr>
                  <w:r>
                    <w:rPr>
                      <w:rFonts w:hint="default"/>
                    </w:rPr>
                    <w:t>难</w:t>
                  </w:r>
                </w:p>
              </w:tc>
              <w:tc>
                <w:tcPr>
                  <w:tcW w:w="1534" w:type="dxa"/>
                  <w:vMerge w:val="continue"/>
                  <w:tcBorders>
                    <w:tl2br w:val="nil"/>
                    <w:tr2bl w:val="nil"/>
                  </w:tcBorders>
                  <w:vAlign w:val="center"/>
                </w:tcPr>
                <w:p>
                  <w:pPr>
                    <w:pStyle w:val="31"/>
                    <w:bidi w:val="0"/>
                    <w:rPr>
                      <w:rFonts w:hint="default"/>
                    </w:rPr>
                  </w:pPr>
                </w:p>
              </w:tc>
              <w:tc>
                <w:tcPr>
                  <w:tcW w:w="2663" w:type="dxa"/>
                  <w:vMerge w:val="continue"/>
                  <w:tcBorders>
                    <w:tl2br w:val="nil"/>
                    <w:tr2bl w:val="nil"/>
                  </w:tcBorders>
                  <w:vAlign w:val="center"/>
                </w:tcPr>
                <w:p>
                  <w:pPr>
                    <w:pStyle w:val="31"/>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0" w:type="dxa"/>
                  <w:vMerge w:val="restart"/>
                  <w:tcBorders>
                    <w:tl2br w:val="nil"/>
                    <w:tr2bl w:val="nil"/>
                  </w:tcBorders>
                  <w:vAlign w:val="center"/>
                </w:tcPr>
                <w:p>
                  <w:pPr>
                    <w:pStyle w:val="31"/>
                    <w:bidi w:val="0"/>
                    <w:rPr>
                      <w:rFonts w:hint="default"/>
                    </w:rPr>
                  </w:pPr>
                  <w:r>
                    <w:rPr>
                      <w:rFonts w:hint="default"/>
                    </w:rPr>
                    <w:t>一般防渗区</w:t>
                  </w:r>
                </w:p>
              </w:tc>
              <w:tc>
                <w:tcPr>
                  <w:tcW w:w="1513" w:type="dxa"/>
                  <w:tcBorders>
                    <w:tl2br w:val="nil"/>
                    <w:tr2bl w:val="nil"/>
                  </w:tcBorders>
                  <w:vAlign w:val="center"/>
                </w:tcPr>
                <w:p>
                  <w:pPr>
                    <w:pStyle w:val="31"/>
                    <w:bidi w:val="0"/>
                    <w:rPr>
                      <w:rFonts w:hint="default"/>
                    </w:rPr>
                  </w:pPr>
                  <w:r>
                    <w:rPr>
                      <w:rFonts w:hint="default"/>
                    </w:rPr>
                    <w:t>弱</w:t>
                  </w:r>
                </w:p>
              </w:tc>
              <w:tc>
                <w:tcPr>
                  <w:tcW w:w="1426" w:type="dxa"/>
                  <w:tcBorders>
                    <w:tl2br w:val="nil"/>
                    <w:tr2bl w:val="nil"/>
                  </w:tcBorders>
                  <w:vAlign w:val="center"/>
                </w:tcPr>
                <w:p>
                  <w:pPr>
                    <w:pStyle w:val="31"/>
                    <w:bidi w:val="0"/>
                    <w:rPr>
                      <w:rFonts w:hint="default"/>
                    </w:rPr>
                  </w:pPr>
                  <w:r>
                    <w:rPr>
                      <w:rFonts w:hint="default"/>
                    </w:rPr>
                    <w:t>易-难</w:t>
                  </w:r>
                </w:p>
              </w:tc>
              <w:tc>
                <w:tcPr>
                  <w:tcW w:w="1534" w:type="dxa"/>
                  <w:vMerge w:val="restart"/>
                  <w:tcBorders>
                    <w:tl2br w:val="nil"/>
                    <w:tr2bl w:val="nil"/>
                  </w:tcBorders>
                  <w:vAlign w:val="center"/>
                </w:tcPr>
                <w:p>
                  <w:pPr>
                    <w:pStyle w:val="31"/>
                    <w:bidi w:val="0"/>
                    <w:rPr>
                      <w:rFonts w:hint="default"/>
                    </w:rPr>
                  </w:pPr>
                  <w:r>
                    <w:rPr>
                      <w:rFonts w:hint="default"/>
                    </w:rPr>
                    <w:t>其他类型</w:t>
                  </w:r>
                </w:p>
              </w:tc>
              <w:tc>
                <w:tcPr>
                  <w:tcW w:w="2663" w:type="dxa"/>
                  <w:vMerge w:val="restart"/>
                  <w:tcBorders>
                    <w:tl2br w:val="nil"/>
                    <w:tr2bl w:val="nil"/>
                  </w:tcBorders>
                  <w:vAlign w:val="center"/>
                </w:tcPr>
                <w:p>
                  <w:pPr>
                    <w:pStyle w:val="31"/>
                    <w:bidi w:val="0"/>
                    <w:rPr>
                      <w:rFonts w:hint="default"/>
                    </w:rPr>
                  </w:pPr>
                  <w:r>
                    <w:rPr>
                      <w:rFonts w:hint="default"/>
                    </w:rPr>
                    <w:t>等效黏土防渗层Mb≥1.5m，K≤1×10</w:t>
                  </w:r>
                  <w:r>
                    <w:rPr>
                      <w:rFonts w:hint="default"/>
                      <w:vertAlign w:val="superscript"/>
                    </w:rPr>
                    <w:t>-7</w:t>
                  </w:r>
                  <w:r>
                    <w:rPr>
                      <w:rFonts w:hint="default"/>
                    </w:rPr>
                    <w:t>cm/s，或参照GB16889执行</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0" w:type="dxa"/>
                  <w:vMerge w:val="continue"/>
                  <w:tcBorders>
                    <w:tl2br w:val="nil"/>
                    <w:tr2bl w:val="nil"/>
                  </w:tcBorders>
                  <w:vAlign w:val="center"/>
                </w:tcPr>
                <w:p>
                  <w:pPr>
                    <w:pStyle w:val="31"/>
                    <w:bidi w:val="0"/>
                    <w:rPr>
                      <w:rFonts w:hint="default"/>
                    </w:rPr>
                  </w:pPr>
                </w:p>
              </w:tc>
              <w:tc>
                <w:tcPr>
                  <w:tcW w:w="1513" w:type="dxa"/>
                  <w:tcBorders>
                    <w:tl2br w:val="nil"/>
                    <w:tr2bl w:val="nil"/>
                  </w:tcBorders>
                  <w:vAlign w:val="center"/>
                </w:tcPr>
                <w:p>
                  <w:pPr>
                    <w:pStyle w:val="31"/>
                    <w:bidi w:val="0"/>
                    <w:rPr>
                      <w:rFonts w:hint="default"/>
                    </w:rPr>
                  </w:pPr>
                  <w:r>
                    <w:rPr>
                      <w:rFonts w:hint="default"/>
                    </w:rPr>
                    <w:t>中-强</w:t>
                  </w:r>
                </w:p>
              </w:tc>
              <w:tc>
                <w:tcPr>
                  <w:tcW w:w="1426" w:type="dxa"/>
                  <w:tcBorders>
                    <w:tl2br w:val="nil"/>
                    <w:tr2bl w:val="nil"/>
                  </w:tcBorders>
                  <w:vAlign w:val="center"/>
                </w:tcPr>
                <w:p>
                  <w:pPr>
                    <w:pStyle w:val="31"/>
                    <w:bidi w:val="0"/>
                    <w:rPr>
                      <w:rFonts w:hint="default"/>
                    </w:rPr>
                  </w:pPr>
                  <w:r>
                    <w:rPr>
                      <w:rFonts w:hint="default"/>
                    </w:rPr>
                    <w:t>难</w:t>
                  </w:r>
                </w:p>
              </w:tc>
              <w:tc>
                <w:tcPr>
                  <w:tcW w:w="1534" w:type="dxa"/>
                  <w:vMerge w:val="continue"/>
                  <w:tcBorders>
                    <w:tl2br w:val="nil"/>
                    <w:tr2bl w:val="nil"/>
                  </w:tcBorders>
                  <w:vAlign w:val="center"/>
                </w:tcPr>
                <w:p>
                  <w:pPr>
                    <w:pStyle w:val="31"/>
                    <w:bidi w:val="0"/>
                    <w:rPr>
                      <w:rFonts w:hint="default"/>
                    </w:rPr>
                  </w:pPr>
                </w:p>
              </w:tc>
              <w:tc>
                <w:tcPr>
                  <w:tcW w:w="2663" w:type="dxa"/>
                  <w:vMerge w:val="continue"/>
                  <w:tcBorders>
                    <w:tl2br w:val="nil"/>
                    <w:tr2bl w:val="nil"/>
                  </w:tcBorders>
                  <w:vAlign w:val="center"/>
                </w:tcPr>
                <w:p>
                  <w:pPr>
                    <w:pStyle w:val="31"/>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0" w:type="dxa"/>
                  <w:vMerge w:val="continue"/>
                  <w:tcBorders>
                    <w:tl2br w:val="nil"/>
                    <w:tr2bl w:val="nil"/>
                  </w:tcBorders>
                  <w:vAlign w:val="center"/>
                </w:tcPr>
                <w:p>
                  <w:pPr>
                    <w:pStyle w:val="31"/>
                    <w:bidi w:val="0"/>
                    <w:rPr>
                      <w:rFonts w:hint="default"/>
                    </w:rPr>
                  </w:pPr>
                </w:p>
              </w:tc>
              <w:tc>
                <w:tcPr>
                  <w:tcW w:w="1513" w:type="dxa"/>
                  <w:tcBorders>
                    <w:tl2br w:val="nil"/>
                    <w:tr2bl w:val="nil"/>
                  </w:tcBorders>
                  <w:vAlign w:val="center"/>
                </w:tcPr>
                <w:p>
                  <w:pPr>
                    <w:pStyle w:val="31"/>
                    <w:bidi w:val="0"/>
                    <w:rPr>
                      <w:rFonts w:hint="default"/>
                      <w:lang w:val="en-US" w:eastAsia="zh-CN"/>
                    </w:rPr>
                  </w:pPr>
                  <w:r>
                    <w:rPr>
                      <w:rFonts w:hint="default"/>
                    </w:rPr>
                    <w:t>中</w:t>
                  </w:r>
                  <w:r>
                    <w:rPr>
                      <w:rFonts w:hint="eastAsia"/>
                      <w:lang w:val="en-US" w:eastAsia="zh-CN"/>
                    </w:rPr>
                    <w:t>-强</w:t>
                  </w:r>
                </w:p>
              </w:tc>
              <w:tc>
                <w:tcPr>
                  <w:tcW w:w="1426" w:type="dxa"/>
                  <w:tcBorders>
                    <w:tl2br w:val="nil"/>
                    <w:tr2bl w:val="nil"/>
                  </w:tcBorders>
                  <w:vAlign w:val="center"/>
                </w:tcPr>
                <w:p>
                  <w:pPr>
                    <w:pStyle w:val="31"/>
                    <w:bidi w:val="0"/>
                    <w:rPr>
                      <w:rFonts w:hint="default"/>
                    </w:rPr>
                  </w:pPr>
                  <w:r>
                    <w:rPr>
                      <w:rFonts w:hint="default"/>
                    </w:rPr>
                    <w:t>易</w:t>
                  </w:r>
                </w:p>
              </w:tc>
              <w:tc>
                <w:tcPr>
                  <w:tcW w:w="1534" w:type="dxa"/>
                  <w:tcBorders>
                    <w:tl2br w:val="nil"/>
                    <w:tr2bl w:val="nil"/>
                  </w:tcBorders>
                  <w:vAlign w:val="center"/>
                </w:tcPr>
                <w:p>
                  <w:pPr>
                    <w:pStyle w:val="31"/>
                    <w:bidi w:val="0"/>
                    <w:rPr>
                      <w:rFonts w:hint="default"/>
                    </w:rPr>
                  </w:pPr>
                  <w:r>
                    <w:rPr>
                      <w:rFonts w:hint="default"/>
                    </w:rPr>
                    <w:t>重金属、持久性有机污染物</w:t>
                  </w:r>
                </w:p>
              </w:tc>
              <w:tc>
                <w:tcPr>
                  <w:tcW w:w="2663" w:type="dxa"/>
                  <w:vMerge w:val="continue"/>
                  <w:tcBorders>
                    <w:tl2br w:val="nil"/>
                    <w:tr2bl w:val="nil"/>
                  </w:tcBorders>
                  <w:vAlign w:val="center"/>
                </w:tcPr>
                <w:p>
                  <w:pPr>
                    <w:pStyle w:val="31"/>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0" w:type="dxa"/>
                  <w:tcBorders>
                    <w:tl2br w:val="nil"/>
                    <w:tr2bl w:val="nil"/>
                  </w:tcBorders>
                  <w:vAlign w:val="center"/>
                </w:tcPr>
                <w:p>
                  <w:pPr>
                    <w:pStyle w:val="31"/>
                    <w:bidi w:val="0"/>
                    <w:rPr>
                      <w:rFonts w:hint="default"/>
                    </w:rPr>
                  </w:pPr>
                  <w:r>
                    <w:rPr>
                      <w:rFonts w:hint="default"/>
                    </w:rPr>
                    <w:t>简单防渗区</w:t>
                  </w:r>
                </w:p>
              </w:tc>
              <w:tc>
                <w:tcPr>
                  <w:tcW w:w="1513" w:type="dxa"/>
                  <w:tcBorders>
                    <w:tl2br w:val="nil"/>
                    <w:tr2bl w:val="nil"/>
                  </w:tcBorders>
                  <w:vAlign w:val="center"/>
                </w:tcPr>
                <w:p>
                  <w:pPr>
                    <w:pStyle w:val="31"/>
                    <w:bidi w:val="0"/>
                    <w:rPr>
                      <w:rFonts w:hint="default"/>
                    </w:rPr>
                  </w:pPr>
                  <w:r>
                    <w:rPr>
                      <w:rFonts w:hint="default"/>
                    </w:rPr>
                    <w:t>中-强</w:t>
                  </w:r>
                </w:p>
              </w:tc>
              <w:tc>
                <w:tcPr>
                  <w:tcW w:w="1426" w:type="dxa"/>
                  <w:tcBorders>
                    <w:tl2br w:val="nil"/>
                    <w:tr2bl w:val="nil"/>
                  </w:tcBorders>
                  <w:vAlign w:val="center"/>
                </w:tcPr>
                <w:p>
                  <w:pPr>
                    <w:pStyle w:val="31"/>
                    <w:bidi w:val="0"/>
                    <w:rPr>
                      <w:rFonts w:hint="default"/>
                    </w:rPr>
                  </w:pPr>
                  <w:r>
                    <w:rPr>
                      <w:rFonts w:hint="default"/>
                    </w:rPr>
                    <w:t>易</w:t>
                  </w:r>
                </w:p>
              </w:tc>
              <w:tc>
                <w:tcPr>
                  <w:tcW w:w="1534" w:type="dxa"/>
                  <w:tcBorders>
                    <w:tl2br w:val="nil"/>
                    <w:tr2bl w:val="nil"/>
                  </w:tcBorders>
                  <w:vAlign w:val="center"/>
                </w:tcPr>
                <w:p>
                  <w:pPr>
                    <w:pStyle w:val="31"/>
                    <w:bidi w:val="0"/>
                    <w:rPr>
                      <w:rFonts w:hint="default"/>
                    </w:rPr>
                  </w:pPr>
                  <w:r>
                    <w:rPr>
                      <w:rFonts w:hint="default"/>
                    </w:rPr>
                    <w:t>其他类型</w:t>
                  </w:r>
                </w:p>
              </w:tc>
              <w:tc>
                <w:tcPr>
                  <w:tcW w:w="2663" w:type="dxa"/>
                  <w:tcBorders>
                    <w:tl2br w:val="nil"/>
                    <w:tr2bl w:val="nil"/>
                  </w:tcBorders>
                  <w:vAlign w:val="center"/>
                </w:tcPr>
                <w:p>
                  <w:pPr>
                    <w:pStyle w:val="31"/>
                    <w:bidi w:val="0"/>
                    <w:rPr>
                      <w:rFonts w:hint="default"/>
                    </w:rPr>
                  </w:pPr>
                  <w:r>
                    <w:rPr>
                      <w:rFonts w:hint="default"/>
                    </w:rPr>
                    <w:t>一般地面硬化</w:t>
                  </w:r>
                </w:p>
              </w:tc>
            </w:tr>
          </w:tbl>
          <w:p>
            <w:pPr>
              <w:pStyle w:val="8"/>
              <w:spacing w:before="157" w:beforeLines="50"/>
              <w:ind w:firstLine="480"/>
              <w:rPr>
                <w:rFonts w:hint="default" w:ascii="Times New Roman" w:hAnsi="Times New Roman" w:cs="Times New Roman"/>
                <w:color w:val="auto"/>
                <w:highlight w:val="none"/>
              </w:rPr>
            </w:pPr>
            <w:r>
              <w:rPr>
                <w:rFonts w:hint="eastAsia" w:cs="Times New Roman"/>
                <w:color w:val="auto"/>
                <w:highlight w:val="none"/>
                <w:lang w:val="en-US" w:eastAsia="zh-CN"/>
              </w:rPr>
              <w:t>厂区</w:t>
            </w:r>
            <w:r>
              <w:rPr>
                <w:rFonts w:hint="default" w:ascii="Times New Roman" w:hAnsi="Times New Roman" w:cs="Times New Roman"/>
                <w:color w:val="auto"/>
                <w:highlight w:val="none"/>
              </w:rPr>
              <w:t>防渗分区判定结果详见下表。</w:t>
            </w:r>
          </w:p>
          <w:p>
            <w:pPr>
              <w:pStyle w:val="30"/>
              <w:bidi w:val="0"/>
              <w:rPr>
                <w:rFonts w:hint="default"/>
              </w:rPr>
            </w:pPr>
            <w:r>
              <w:rPr>
                <w:rFonts w:hint="default"/>
              </w:rPr>
              <w:t>厂区防渗分区一览表</w:t>
            </w:r>
          </w:p>
          <w:tbl>
            <w:tblPr>
              <w:tblStyle w:val="24"/>
              <w:tblW w:w="4997"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1823"/>
              <w:gridCol w:w="1228"/>
              <w:gridCol w:w="1228"/>
              <w:gridCol w:w="1228"/>
              <w:gridCol w:w="1434"/>
              <w:gridCol w:w="120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blHeader/>
                <w:jc w:val="center"/>
              </w:trPr>
              <w:tc>
                <w:tcPr>
                  <w:tcW w:w="455" w:type="pct"/>
                  <w:tcBorders>
                    <w:tl2br w:val="nil"/>
                    <w:tr2bl w:val="nil"/>
                  </w:tcBorders>
                  <w:vAlign w:val="center"/>
                </w:tcPr>
                <w:p>
                  <w:pPr>
                    <w:pStyle w:val="31"/>
                    <w:bidi w:val="0"/>
                    <w:rPr>
                      <w:rFonts w:hint="default"/>
                    </w:rPr>
                  </w:pPr>
                  <w:r>
                    <w:rPr>
                      <w:rFonts w:hint="default"/>
                    </w:rPr>
                    <w:t>编号</w:t>
                  </w:r>
                </w:p>
              </w:tc>
              <w:tc>
                <w:tcPr>
                  <w:tcW w:w="1016" w:type="pct"/>
                  <w:tcBorders>
                    <w:tl2br w:val="nil"/>
                    <w:tr2bl w:val="nil"/>
                  </w:tcBorders>
                  <w:vAlign w:val="center"/>
                </w:tcPr>
                <w:p>
                  <w:pPr>
                    <w:pStyle w:val="31"/>
                    <w:bidi w:val="0"/>
                    <w:rPr>
                      <w:rFonts w:hint="default"/>
                      <w:lang w:val="en-US" w:eastAsia="zh-CN"/>
                    </w:rPr>
                  </w:pPr>
                  <w:r>
                    <w:rPr>
                      <w:rFonts w:hint="eastAsia"/>
                      <w:lang w:val="en-US" w:eastAsia="zh-CN"/>
                    </w:rPr>
                    <w:t>防渗区域</w:t>
                  </w:r>
                </w:p>
              </w:tc>
              <w:tc>
                <w:tcPr>
                  <w:tcW w:w="684" w:type="pct"/>
                  <w:tcBorders>
                    <w:tl2br w:val="nil"/>
                    <w:tr2bl w:val="nil"/>
                  </w:tcBorders>
                  <w:vAlign w:val="center"/>
                </w:tcPr>
                <w:p>
                  <w:pPr>
                    <w:pStyle w:val="31"/>
                    <w:bidi w:val="0"/>
                    <w:rPr>
                      <w:rFonts w:hint="default"/>
                    </w:rPr>
                  </w:pPr>
                  <w:r>
                    <w:rPr>
                      <w:rFonts w:hint="default"/>
                    </w:rPr>
                    <w:t>天然包气带防污性能</w:t>
                  </w:r>
                </w:p>
              </w:tc>
              <w:tc>
                <w:tcPr>
                  <w:tcW w:w="684" w:type="pct"/>
                  <w:tcBorders>
                    <w:tl2br w:val="nil"/>
                    <w:tr2bl w:val="nil"/>
                  </w:tcBorders>
                  <w:vAlign w:val="center"/>
                </w:tcPr>
                <w:p>
                  <w:pPr>
                    <w:pStyle w:val="31"/>
                    <w:bidi w:val="0"/>
                    <w:rPr>
                      <w:rFonts w:hint="default"/>
                    </w:rPr>
                  </w:pPr>
                  <w:r>
                    <w:rPr>
                      <w:rFonts w:hint="default"/>
                    </w:rPr>
                    <w:t>污染控制难易程度</w:t>
                  </w:r>
                </w:p>
              </w:tc>
              <w:tc>
                <w:tcPr>
                  <w:tcW w:w="684" w:type="pct"/>
                  <w:tcBorders>
                    <w:tl2br w:val="nil"/>
                    <w:tr2bl w:val="nil"/>
                  </w:tcBorders>
                  <w:vAlign w:val="center"/>
                </w:tcPr>
                <w:p>
                  <w:pPr>
                    <w:pStyle w:val="31"/>
                    <w:bidi w:val="0"/>
                    <w:rPr>
                      <w:rFonts w:hint="default"/>
                    </w:rPr>
                  </w:pPr>
                  <w:r>
                    <w:rPr>
                      <w:rFonts w:hint="default"/>
                    </w:rPr>
                    <w:t>污染物类型</w:t>
                  </w:r>
                </w:p>
              </w:tc>
              <w:tc>
                <w:tcPr>
                  <w:tcW w:w="799" w:type="pct"/>
                  <w:tcBorders>
                    <w:tl2br w:val="nil"/>
                    <w:tr2bl w:val="nil"/>
                  </w:tcBorders>
                  <w:vAlign w:val="center"/>
                </w:tcPr>
                <w:p>
                  <w:pPr>
                    <w:pStyle w:val="31"/>
                    <w:bidi w:val="0"/>
                    <w:rPr>
                      <w:rFonts w:hint="default"/>
                    </w:rPr>
                  </w:pPr>
                  <w:r>
                    <w:rPr>
                      <w:rFonts w:hint="default"/>
                    </w:rPr>
                    <w:t>判定结果</w:t>
                  </w:r>
                </w:p>
              </w:tc>
              <w:tc>
                <w:tcPr>
                  <w:tcW w:w="673" w:type="pct"/>
                  <w:tcBorders>
                    <w:tl2br w:val="nil"/>
                    <w:tr2bl w:val="nil"/>
                  </w:tcBorders>
                  <w:vAlign w:val="center"/>
                </w:tcPr>
                <w:p>
                  <w:pPr>
                    <w:pStyle w:val="31"/>
                    <w:bidi w:val="0"/>
                    <w:rPr>
                      <w:rFonts w:hint="default" w:eastAsia="宋体"/>
                      <w:lang w:val="en-US" w:eastAsia="zh-CN"/>
                    </w:rPr>
                  </w:pPr>
                  <w:r>
                    <w:rPr>
                      <w:rFonts w:hint="eastAsia"/>
                      <w:lang w:val="en-US" w:eastAsia="zh-CN"/>
                    </w:rPr>
                    <w:t>建设情况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blHeader/>
                <w:jc w:val="center"/>
              </w:trPr>
              <w:tc>
                <w:tcPr>
                  <w:tcW w:w="455" w:type="pct"/>
                  <w:tcBorders>
                    <w:tl2br w:val="nil"/>
                    <w:tr2bl w:val="nil"/>
                  </w:tcBorders>
                  <w:vAlign w:val="center"/>
                </w:tcPr>
                <w:p>
                  <w:pPr>
                    <w:pStyle w:val="31"/>
                    <w:bidi w:val="0"/>
                    <w:rPr>
                      <w:rFonts w:hint="default"/>
                      <w:lang w:val="en-US" w:eastAsia="zh-CN"/>
                    </w:rPr>
                  </w:pPr>
                  <w:r>
                    <w:rPr>
                      <w:rFonts w:hint="eastAsia"/>
                      <w:lang w:val="en-US" w:eastAsia="zh-CN"/>
                    </w:rPr>
                    <w:t>1</w:t>
                  </w:r>
                </w:p>
              </w:tc>
              <w:tc>
                <w:tcPr>
                  <w:tcW w:w="1016" w:type="pct"/>
                  <w:tcBorders>
                    <w:tl2br w:val="nil"/>
                    <w:tr2bl w:val="nil"/>
                  </w:tcBorders>
                  <w:vAlign w:val="center"/>
                </w:tcPr>
                <w:p>
                  <w:pPr>
                    <w:pStyle w:val="31"/>
                    <w:bidi w:val="0"/>
                    <w:rPr>
                      <w:rFonts w:hint="default"/>
                      <w:lang w:val="en-US" w:eastAsia="zh-CN"/>
                    </w:rPr>
                  </w:pPr>
                  <w:r>
                    <w:rPr>
                      <w:rFonts w:hint="eastAsia"/>
                      <w:lang w:val="en-US" w:eastAsia="zh-CN"/>
                    </w:rPr>
                    <w:t>事故应急池</w:t>
                  </w:r>
                </w:p>
              </w:tc>
              <w:tc>
                <w:tcPr>
                  <w:tcW w:w="684" w:type="pct"/>
                  <w:tcBorders>
                    <w:tl2br w:val="nil"/>
                    <w:tr2bl w:val="nil"/>
                  </w:tcBorders>
                  <w:vAlign w:val="center"/>
                </w:tcPr>
                <w:p>
                  <w:pPr>
                    <w:pStyle w:val="31"/>
                    <w:bidi w:val="0"/>
                    <w:rPr>
                      <w:rFonts w:hint="eastAsia"/>
                      <w:lang w:val="en-US" w:eastAsia="zh-CN"/>
                    </w:rPr>
                  </w:pPr>
                  <w:r>
                    <w:rPr>
                      <w:rFonts w:hint="eastAsia"/>
                      <w:lang w:val="en-US" w:eastAsia="zh-CN"/>
                    </w:rPr>
                    <w:t>中</w:t>
                  </w:r>
                </w:p>
              </w:tc>
              <w:tc>
                <w:tcPr>
                  <w:tcW w:w="684" w:type="pct"/>
                  <w:tcBorders>
                    <w:tl2br w:val="nil"/>
                    <w:tr2bl w:val="nil"/>
                  </w:tcBorders>
                  <w:vAlign w:val="center"/>
                </w:tcPr>
                <w:p>
                  <w:pPr>
                    <w:pStyle w:val="31"/>
                    <w:bidi w:val="0"/>
                    <w:rPr>
                      <w:rFonts w:hint="eastAsia"/>
                      <w:lang w:val="en-US" w:eastAsia="zh-CN"/>
                    </w:rPr>
                  </w:pPr>
                  <w:r>
                    <w:rPr>
                      <w:rFonts w:hint="eastAsia"/>
                      <w:lang w:val="en-US" w:eastAsia="zh-CN"/>
                    </w:rPr>
                    <w:t>难</w:t>
                  </w:r>
                </w:p>
              </w:tc>
              <w:tc>
                <w:tcPr>
                  <w:tcW w:w="684" w:type="pct"/>
                  <w:vMerge w:val="restart"/>
                  <w:tcBorders>
                    <w:tl2br w:val="nil"/>
                    <w:tr2bl w:val="nil"/>
                  </w:tcBorders>
                  <w:vAlign w:val="center"/>
                </w:tcPr>
                <w:p>
                  <w:pPr>
                    <w:pStyle w:val="31"/>
                    <w:bidi w:val="0"/>
                    <w:rPr>
                      <w:rFonts w:hint="eastAsia"/>
                      <w:lang w:eastAsia="zh-CN"/>
                    </w:rPr>
                  </w:pPr>
                  <w:r>
                    <w:rPr>
                      <w:rFonts w:hint="default"/>
                    </w:rPr>
                    <w:t>持久性有机污染物</w:t>
                  </w:r>
                </w:p>
              </w:tc>
              <w:tc>
                <w:tcPr>
                  <w:tcW w:w="799" w:type="pct"/>
                  <w:vMerge w:val="restart"/>
                  <w:tcBorders>
                    <w:tl2br w:val="nil"/>
                    <w:tr2bl w:val="nil"/>
                  </w:tcBorders>
                  <w:vAlign w:val="center"/>
                </w:tcPr>
                <w:p>
                  <w:pPr>
                    <w:pStyle w:val="31"/>
                    <w:bidi w:val="0"/>
                    <w:rPr>
                      <w:rFonts w:hint="default"/>
                    </w:rPr>
                  </w:pPr>
                  <w:r>
                    <w:rPr>
                      <w:rFonts w:hint="eastAsia"/>
                      <w:lang w:val="en-US" w:eastAsia="zh-CN"/>
                    </w:rPr>
                    <w:t>重点防渗区</w:t>
                  </w:r>
                </w:p>
              </w:tc>
              <w:tc>
                <w:tcPr>
                  <w:tcW w:w="673" w:type="pct"/>
                  <w:vMerge w:val="restart"/>
                  <w:tcBorders>
                    <w:tl2br w:val="nil"/>
                    <w:tr2bl w:val="nil"/>
                  </w:tcBorders>
                  <w:vAlign w:val="center"/>
                </w:tcPr>
                <w:p>
                  <w:pPr>
                    <w:pStyle w:val="31"/>
                    <w:bidi w:val="0"/>
                    <w:rPr>
                      <w:rFonts w:hint="default"/>
                      <w:lang w:val="en-US" w:eastAsia="zh-CN"/>
                    </w:rPr>
                  </w:pPr>
                  <w:r>
                    <w:rPr>
                      <w:rFonts w:hint="eastAsia"/>
                      <w:lang w:val="en-US" w:eastAsia="zh-CN"/>
                    </w:rPr>
                    <w:t>未建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55"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w:t>
                  </w:r>
                </w:p>
              </w:tc>
              <w:tc>
                <w:tcPr>
                  <w:tcW w:w="1016" w:type="pct"/>
                  <w:tcBorders>
                    <w:tl2br w:val="nil"/>
                    <w:tr2bl w:val="nil"/>
                  </w:tcBorders>
                  <w:vAlign w:val="center"/>
                </w:tcPr>
                <w:p>
                  <w:pPr>
                    <w:pStyle w:val="31"/>
                    <w:bidi w:val="0"/>
                    <w:rPr>
                      <w:rFonts w:hint="default"/>
                      <w:lang w:val="en-US" w:eastAsia="zh-CN"/>
                    </w:rPr>
                  </w:pPr>
                  <w:r>
                    <w:rPr>
                      <w:rFonts w:hint="eastAsia"/>
                      <w:lang w:val="en-US" w:eastAsia="zh-CN"/>
                    </w:rPr>
                    <w:t>危废暂存间</w:t>
                  </w:r>
                </w:p>
              </w:tc>
              <w:tc>
                <w:tcPr>
                  <w:tcW w:w="684" w:type="pct"/>
                  <w:tcBorders>
                    <w:tl2br w:val="nil"/>
                    <w:tr2bl w:val="nil"/>
                  </w:tcBorders>
                  <w:vAlign w:val="center"/>
                </w:tcPr>
                <w:p>
                  <w:pPr>
                    <w:pStyle w:val="31"/>
                    <w:bidi w:val="0"/>
                    <w:rPr>
                      <w:rFonts w:hint="eastAsia"/>
                      <w:lang w:val="en-US" w:eastAsia="zh-CN"/>
                    </w:rPr>
                  </w:pPr>
                  <w:r>
                    <w:rPr>
                      <w:rFonts w:hint="eastAsia"/>
                      <w:lang w:val="en-US" w:eastAsia="zh-CN"/>
                    </w:rPr>
                    <w:t>中</w:t>
                  </w:r>
                </w:p>
              </w:tc>
              <w:tc>
                <w:tcPr>
                  <w:tcW w:w="684" w:type="pct"/>
                  <w:tcBorders>
                    <w:tl2br w:val="nil"/>
                    <w:tr2bl w:val="nil"/>
                  </w:tcBorders>
                  <w:vAlign w:val="center"/>
                </w:tcPr>
                <w:p>
                  <w:pPr>
                    <w:pStyle w:val="31"/>
                    <w:bidi w:val="0"/>
                    <w:rPr>
                      <w:rFonts w:hint="default"/>
                      <w:lang w:val="en-US" w:eastAsia="zh-CN"/>
                    </w:rPr>
                  </w:pPr>
                  <w:r>
                    <w:rPr>
                      <w:rFonts w:hint="eastAsia"/>
                      <w:lang w:val="en-US" w:eastAsia="zh-CN"/>
                    </w:rPr>
                    <w:t>难</w:t>
                  </w:r>
                </w:p>
              </w:tc>
              <w:tc>
                <w:tcPr>
                  <w:tcW w:w="684" w:type="pct"/>
                  <w:vMerge w:val="continue"/>
                  <w:tcBorders>
                    <w:tl2br w:val="nil"/>
                    <w:tr2bl w:val="nil"/>
                  </w:tcBorders>
                  <w:vAlign w:val="center"/>
                </w:tcPr>
                <w:p>
                  <w:pPr>
                    <w:pStyle w:val="31"/>
                    <w:bidi w:val="0"/>
                    <w:rPr>
                      <w:rFonts w:hint="eastAsia"/>
                      <w:lang w:eastAsia="zh-CN"/>
                    </w:rPr>
                  </w:pPr>
                </w:p>
              </w:tc>
              <w:tc>
                <w:tcPr>
                  <w:tcW w:w="799" w:type="pct"/>
                  <w:vMerge w:val="continue"/>
                  <w:tcBorders>
                    <w:tl2br w:val="nil"/>
                    <w:tr2bl w:val="nil"/>
                  </w:tcBorders>
                  <w:vAlign w:val="center"/>
                </w:tcPr>
                <w:p>
                  <w:pPr>
                    <w:pStyle w:val="31"/>
                    <w:bidi w:val="0"/>
                    <w:rPr>
                      <w:rFonts w:hint="default"/>
                    </w:rPr>
                  </w:pPr>
                </w:p>
              </w:tc>
              <w:tc>
                <w:tcPr>
                  <w:tcW w:w="673" w:type="pct"/>
                  <w:vMerge w:val="continue"/>
                  <w:tcBorders>
                    <w:tl2br w:val="nil"/>
                    <w:tr2bl w:val="nil"/>
                  </w:tcBorders>
                  <w:vAlign w:val="center"/>
                </w:tcPr>
                <w:p>
                  <w:pPr>
                    <w:pStyle w:val="31"/>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5"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3</w:t>
                  </w:r>
                </w:p>
              </w:tc>
              <w:tc>
                <w:tcPr>
                  <w:tcW w:w="1016" w:type="pct"/>
                  <w:tcBorders>
                    <w:tl2br w:val="nil"/>
                    <w:tr2bl w:val="nil"/>
                  </w:tcBorders>
                  <w:vAlign w:val="center"/>
                </w:tcPr>
                <w:p>
                  <w:pPr>
                    <w:pStyle w:val="31"/>
                    <w:bidi w:val="0"/>
                    <w:rPr>
                      <w:rFonts w:hint="default"/>
                      <w:lang w:val="en-US" w:eastAsia="zh-CN"/>
                    </w:rPr>
                  </w:pPr>
                  <w:r>
                    <w:rPr>
                      <w:rFonts w:hint="eastAsia"/>
                      <w:lang w:val="en-US" w:eastAsia="zh-CN"/>
                    </w:rPr>
                    <w:t>储罐区</w:t>
                  </w:r>
                </w:p>
              </w:tc>
              <w:tc>
                <w:tcPr>
                  <w:tcW w:w="684" w:type="pct"/>
                  <w:tcBorders>
                    <w:tl2br w:val="nil"/>
                    <w:tr2bl w:val="nil"/>
                  </w:tcBorders>
                  <w:vAlign w:val="center"/>
                </w:tcPr>
                <w:p>
                  <w:pPr>
                    <w:pStyle w:val="31"/>
                    <w:bidi w:val="0"/>
                    <w:rPr>
                      <w:rFonts w:hint="default"/>
                      <w:lang w:val="en-US" w:eastAsia="zh-CN"/>
                    </w:rPr>
                  </w:pPr>
                  <w:r>
                    <w:rPr>
                      <w:rFonts w:hint="eastAsia"/>
                      <w:lang w:val="en-US" w:eastAsia="zh-CN"/>
                    </w:rPr>
                    <w:t>中</w:t>
                  </w:r>
                </w:p>
              </w:tc>
              <w:tc>
                <w:tcPr>
                  <w:tcW w:w="684" w:type="pct"/>
                  <w:tcBorders>
                    <w:tl2br w:val="nil"/>
                    <w:tr2bl w:val="nil"/>
                  </w:tcBorders>
                  <w:vAlign w:val="center"/>
                </w:tcPr>
                <w:p>
                  <w:pPr>
                    <w:pStyle w:val="31"/>
                    <w:bidi w:val="0"/>
                    <w:rPr>
                      <w:rFonts w:hint="default"/>
                      <w:lang w:val="en-US" w:eastAsia="zh-CN"/>
                    </w:rPr>
                  </w:pPr>
                  <w:r>
                    <w:rPr>
                      <w:rFonts w:hint="eastAsia"/>
                      <w:lang w:val="en-US" w:eastAsia="zh-CN"/>
                    </w:rPr>
                    <w:t>难</w:t>
                  </w:r>
                </w:p>
              </w:tc>
              <w:tc>
                <w:tcPr>
                  <w:tcW w:w="684" w:type="pct"/>
                  <w:vMerge w:val="continue"/>
                  <w:tcBorders>
                    <w:tl2br w:val="nil"/>
                    <w:tr2bl w:val="nil"/>
                  </w:tcBorders>
                  <w:vAlign w:val="center"/>
                </w:tcPr>
                <w:p>
                  <w:pPr>
                    <w:pStyle w:val="31"/>
                    <w:bidi w:val="0"/>
                    <w:rPr>
                      <w:rFonts w:hint="default"/>
                      <w:lang w:val="en-US" w:eastAsia="zh-CN"/>
                    </w:rPr>
                  </w:pPr>
                </w:p>
              </w:tc>
              <w:tc>
                <w:tcPr>
                  <w:tcW w:w="799" w:type="pct"/>
                  <w:vMerge w:val="continue"/>
                  <w:tcBorders>
                    <w:tl2br w:val="nil"/>
                    <w:tr2bl w:val="nil"/>
                  </w:tcBorders>
                  <w:vAlign w:val="center"/>
                </w:tcPr>
                <w:p>
                  <w:pPr>
                    <w:pStyle w:val="31"/>
                    <w:bidi w:val="0"/>
                    <w:rPr>
                      <w:rFonts w:hint="default"/>
                    </w:rPr>
                  </w:pPr>
                </w:p>
              </w:tc>
              <w:tc>
                <w:tcPr>
                  <w:tcW w:w="673" w:type="pct"/>
                  <w:vMerge w:val="continue"/>
                  <w:tcBorders>
                    <w:tl2br w:val="nil"/>
                    <w:tr2bl w:val="nil"/>
                  </w:tcBorders>
                  <w:vAlign w:val="center"/>
                </w:tcPr>
                <w:p>
                  <w:pPr>
                    <w:pStyle w:val="31"/>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55" w:type="pct"/>
                  <w:tcBorders>
                    <w:tl2br w:val="nil"/>
                    <w:tr2bl w:val="nil"/>
                  </w:tcBorders>
                  <w:vAlign w:val="center"/>
                </w:tcPr>
                <w:p>
                  <w:pPr>
                    <w:pStyle w:val="31"/>
                    <w:bidi w:val="0"/>
                    <w:ind w:left="0" w:leftChars="0"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4</w:t>
                  </w:r>
                </w:p>
              </w:tc>
              <w:tc>
                <w:tcPr>
                  <w:tcW w:w="1016" w:type="pct"/>
                  <w:tcBorders>
                    <w:tl2br w:val="nil"/>
                    <w:tr2bl w:val="nil"/>
                  </w:tcBorders>
                  <w:vAlign w:val="center"/>
                </w:tcPr>
                <w:p>
                  <w:pPr>
                    <w:pStyle w:val="31"/>
                    <w:bidi w:val="0"/>
                    <w:rPr>
                      <w:rFonts w:hint="default"/>
                      <w:lang w:val="en-US" w:eastAsia="zh-CN"/>
                    </w:rPr>
                  </w:pPr>
                  <w:r>
                    <w:rPr>
                      <w:rFonts w:hint="eastAsia"/>
                      <w:lang w:val="en-US" w:eastAsia="zh-CN"/>
                    </w:rPr>
                    <w:t>导流管</w:t>
                  </w:r>
                </w:p>
              </w:tc>
              <w:tc>
                <w:tcPr>
                  <w:tcW w:w="684" w:type="pct"/>
                  <w:tcBorders>
                    <w:tl2br w:val="nil"/>
                    <w:tr2bl w:val="nil"/>
                  </w:tcBorders>
                  <w:vAlign w:val="center"/>
                </w:tcPr>
                <w:p>
                  <w:pPr>
                    <w:pStyle w:val="31"/>
                    <w:bidi w:val="0"/>
                    <w:ind w:left="0" w:leftChars="0" w:firstLine="0" w:firstLineChars="0"/>
                    <w:rPr>
                      <w:rFonts w:hint="eastAsia"/>
                      <w:lang w:val="en-US" w:eastAsia="zh-CN"/>
                    </w:rPr>
                  </w:pPr>
                  <w:r>
                    <w:rPr>
                      <w:rFonts w:hint="eastAsia"/>
                      <w:lang w:val="en-US" w:eastAsia="zh-CN"/>
                    </w:rPr>
                    <w:t>中</w:t>
                  </w:r>
                </w:p>
              </w:tc>
              <w:tc>
                <w:tcPr>
                  <w:tcW w:w="684" w:type="pct"/>
                  <w:tcBorders>
                    <w:tl2br w:val="nil"/>
                    <w:tr2bl w:val="nil"/>
                  </w:tcBorders>
                  <w:vAlign w:val="center"/>
                </w:tcPr>
                <w:p>
                  <w:pPr>
                    <w:pStyle w:val="31"/>
                    <w:bidi w:val="0"/>
                    <w:ind w:left="0" w:leftChars="0" w:firstLine="0" w:firstLineChars="0"/>
                    <w:rPr>
                      <w:rFonts w:hint="eastAsia"/>
                      <w:lang w:val="en-US" w:eastAsia="zh-CN"/>
                    </w:rPr>
                  </w:pPr>
                  <w:r>
                    <w:rPr>
                      <w:rFonts w:hint="eastAsia"/>
                      <w:lang w:val="en-US" w:eastAsia="zh-CN"/>
                    </w:rPr>
                    <w:t>难</w:t>
                  </w:r>
                </w:p>
              </w:tc>
              <w:tc>
                <w:tcPr>
                  <w:tcW w:w="684" w:type="pct"/>
                  <w:vMerge w:val="continue"/>
                  <w:tcBorders>
                    <w:tl2br w:val="nil"/>
                    <w:tr2bl w:val="nil"/>
                  </w:tcBorders>
                  <w:vAlign w:val="center"/>
                </w:tcPr>
                <w:p>
                  <w:pPr>
                    <w:pStyle w:val="31"/>
                    <w:bidi w:val="0"/>
                    <w:rPr>
                      <w:rFonts w:hint="default"/>
                      <w:lang w:val="en-US" w:eastAsia="zh-CN"/>
                    </w:rPr>
                  </w:pPr>
                </w:p>
              </w:tc>
              <w:tc>
                <w:tcPr>
                  <w:tcW w:w="799" w:type="pct"/>
                  <w:vMerge w:val="continue"/>
                  <w:tcBorders>
                    <w:tl2br w:val="nil"/>
                    <w:tr2bl w:val="nil"/>
                  </w:tcBorders>
                  <w:vAlign w:val="center"/>
                </w:tcPr>
                <w:p>
                  <w:pPr>
                    <w:pStyle w:val="31"/>
                    <w:bidi w:val="0"/>
                    <w:rPr>
                      <w:rFonts w:hint="default"/>
                    </w:rPr>
                  </w:pPr>
                </w:p>
              </w:tc>
              <w:tc>
                <w:tcPr>
                  <w:tcW w:w="673" w:type="pct"/>
                  <w:vMerge w:val="continue"/>
                  <w:tcBorders>
                    <w:tl2br w:val="nil"/>
                    <w:tr2bl w:val="nil"/>
                  </w:tcBorders>
                  <w:vAlign w:val="center"/>
                </w:tcPr>
                <w:p>
                  <w:pPr>
                    <w:pStyle w:val="31"/>
                    <w:bidi w:val="0"/>
                    <w:rPr>
                      <w:rFonts w:hint="default"/>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55" w:type="pct"/>
                  <w:tcBorders>
                    <w:tl2br w:val="nil"/>
                    <w:tr2bl w:val="nil"/>
                  </w:tcBorders>
                  <w:vAlign w:val="center"/>
                </w:tcPr>
                <w:p>
                  <w:pPr>
                    <w:pStyle w:val="31"/>
                    <w:bidi w:val="0"/>
                    <w:rPr>
                      <w:rFonts w:hint="default"/>
                      <w:lang w:val="en-US" w:eastAsia="zh-CN"/>
                    </w:rPr>
                  </w:pPr>
                  <w:r>
                    <w:rPr>
                      <w:rFonts w:hint="eastAsia"/>
                      <w:lang w:val="en-US" w:eastAsia="zh-CN"/>
                    </w:rPr>
                    <w:t>5</w:t>
                  </w:r>
                </w:p>
              </w:tc>
              <w:tc>
                <w:tcPr>
                  <w:tcW w:w="1016" w:type="pct"/>
                  <w:tcBorders>
                    <w:tl2br w:val="nil"/>
                    <w:tr2bl w:val="nil"/>
                  </w:tcBorders>
                  <w:vAlign w:val="center"/>
                </w:tcPr>
                <w:p>
                  <w:pPr>
                    <w:pStyle w:val="31"/>
                    <w:bidi w:val="0"/>
                    <w:rPr>
                      <w:rFonts w:hint="default"/>
                      <w:lang w:val="en-US" w:eastAsia="zh-CN"/>
                    </w:rPr>
                  </w:pPr>
                  <w:r>
                    <w:rPr>
                      <w:rFonts w:hint="eastAsia"/>
                      <w:lang w:val="en-US" w:eastAsia="zh-CN"/>
                    </w:rPr>
                    <w:t>仓库</w:t>
                  </w:r>
                </w:p>
              </w:tc>
              <w:tc>
                <w:tcPr>
                  <w:tcW w:w="684" w:type="pct"/>
                  <w:tcBorders>
                    <w:tl2br w:val="nil"/>
                    <w:tr2bl w:val="nil"/>
                  </w:tcBorders>
                  <w:vAlign w:val="center"/>
                </w:tcPr>
                <w:p>
                  <w:pPr>
                    <w:pStyle w:val="31"/>
                    <w:bidi w:val="0"/>
                    <w:rPr>
                      <w:rFonts w:hint="default"/>
                      <w:lang w:val="en-US" w:eastAsia="zh-CN"/>
                    </w:rPr>
                  </w:pPr>
                  <w:r>
                    <w:rPr>
                      <w:rFonts w:hint="eastAsia"/>
                      <w:lang w:val="en-US" w:eastAsia="zh-CN"/>
                    </w:rPr>
                    <w:t>中</w:t>
                  </w:r>
                </w:p>
              </w:tc>
              <w:tc>
                <w:tcPr>
                  <w:tcW w:w="684" w:type="pct"/>
                  <w:tcBorders>
                    <w:tl2br w:val="nil"/>
                    <w:tr2bl w:val="nil"/>
                  </w:tcBorders>
                  <w:vAlign w:val="center"/>
                </w:tcPr>
                <w:p>
                  <w:pPr>
                    <w:pStyle w:val="31"/>
                    <w:bidi w:val="0"/>
                    <w:rPr>
                      <w:rFonts w:hint="default"/>
                      <w:lang w:eastAsia="zh-CN"/>
                    </w:rPr>
                  </w:pPr>
                  <w:r>
                    <w:rPr>
                      <w:rFonts w:hint="default"/>
                      <w:lang w:val="en-US" w:eastAsia="zh-CN"/>
                    </w:rPr>
                    <w:t>易</w:t>
                  </w:r>
                </w:p>
              </w:tc>
              <w:tc>
                <w:tcPr>
                  <w:tcW w:w="684" w:type="pct"/>
                  <w:tcBorders>
                    <w:tl2br w:val="nil"/>
                    <w:tr2bl w:val="nil"/>
                  </w:tcBorders>
                  <w:vAlign w:val="center"/>
                </w:tcPr>
                <w:p>
                  <w:pPr>
                    <w:pStyle w:val="31"/>
                    <w:bidi w:val="0"/>
                    <w:rPr>
                      <w:rFonts w:hint="default"/>
                      <w:lang w:val="en-US" w:eastAsia="zh-CN"/>
                    </w:rPr>
                  </w:pPr>
                  <w:r>
                    <w:rPr>
                      <w:rFonts w:hint="eastAsia"/>
                      <w:lang w:val="en-US" w:eastAsia="zh-CN"/>
                    </w:rPr>
                    <w:t>其他</w:t>
                  </w:r>
                </w:p>
              </w:tc>
              <w:tc>
                <w:tcPr>
                  <w:tcW w:w="799" w:type="pct"/>
                  <w:tcBorders>
                    <w:tl2br w:val="nil"/>
                    <w:tr2bl w:val="nil"/>
                  </w:tcBorders>
                  <w:vAlign w:val="center"/>
                </w:tcPr>
                <w:p>
                  <w:pPr>
                    <w:pStyle w:val="31"/>
                    <w:bidi w:val="0"/>
                    <w:rPr>
                      <w:rFonts w:hint="default"/>
                    </w:rPr>
                  </w:pPr>
                  <w:r>
                    <w:rPr>
                      <w:rFonts w:hint="eastAsia"/>
                      <w:lang w:val="en-US" w:eastAsia="zh-CN"/>
                    </w:rPr>
                    <w:t>简单</w:t>
                  </w:r>
                  <w:r>
                    <w:rPr>
                      <w:rFonts w:hint="default"/>
                    </w:rPr>
                    <w:t>防渗区</w:t>
                  </w:r>
                </w:p>
              </w:tc>
              <w:tc>
                <w:tcPr>
                  <w:tcW w:w="673" w:type="pct"/>
                  <w:tcBorders>
                    <w:tl2br w:val="nil"/>
                    <w:tr2bl w:val="nil"/>
                  </w:tcBorders>
                  <w:vAlign w:val="center"/>
                </w:tcPr>
                <w:p>
                  <w:pPr>
                    <w:pStyle w:val="31"/>
                    <w:bidi w:val="0"/>
                    <w:rPr>
                      <w:rFonts w:hint="default"/>
                      <w:lang w:val="en-US" w:eastAsia="zh-CN"/>
                    </w:rPr>
                  </w:pPr>
                  <w:r>
                    <w:rPr>
                      <w:rFonts w:hint="eastAsia"/>
                      <w:lang w:val="en-US" w:eastAsia="zh-CN"/>
                    </w:rPr>
                    <w:t>已建</w:t>
                  </w:r>
                </w:p>
              </w:tc>
            </w:tr>
          </w:tbl>
          <w:p>
            <w:pPr>
              <w:pStyle w:val="8"/>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备注：本项目区域均已进行一般地面硬化</w:t>
            </w:r>
          </w:p>
          <w:p>
            <w:pPr>
              <w:pStyle w:val="8"/>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②</w:t>
            </w:r>
            <w:r>
              <w:rPr>
                <w:rFonts w:hint="default" w:ascii="Times New Roman" w:hAnsi="Times New Roman" w:cs="Times New Roman"/>
                <w:color w:val="auto"/>
                <w:highlight w:val="none"/>
              </w:rPr>
              <w:t>防渗要求</w:t>
            </w:r>
          </w:p>
          <w:p>
            <w:pPr>
              <w:pStyle w:val="8"/>
              <w:ind w:left="420" w:leftChars="20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A.</w:t>
            </w:r>
            <w:r>
              <w:rPr>
                <w:rFonts w:hint="default" w:ascii="Times New Roman" w:hAnsi="Times New Roman" w:cs="Times New Roman"/>
                <w:color w:val="auto"/>
                <w:highlight w:val="none"/>
              </w:rPr>
              <w:t>重点防渗区</w:t>
            </w:r>
          </w:p>
          <w:p>
            <w:pPr>
              <w:pStyle w:val="8"/>
              <w:ind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指污染地下水环境的物料泄漏后，不容易被及时发现和处理的区域。</w:t>
            </w:r>
            <w:r>
              <w:rPr>
                <w:rFonts w:hint="eastAsia" w:cs="Times New Roman"/>
                <w:color w:val="auto"/>
                <w:highlight w:val="none"/>
                <w:lang w:val="en-US" w:eastAsia="zh-CN"/>
              </w:rPr>
              <w:t>本项目为储罐区、危废暂存库、</w:t>
            </w:r>
            <w:r>
              <w:rPr>
                <w:rFonts w:hint="eastAsia"/>
                <w:lang w:val="en-US" w:eastAsia="zh-CN"/>
              </w:rPr>
              <w:t>事故应急池、导流管</w:t>
            </w:r>
            <w:r>
              <w:rPr>
                <w:rFonts w:hint="eastAsia" w:cs="Times New Roman"/>
                <w:color w:val="auto"/>
                <w:highlight w:val="none"/>
                <w:lang w:val="en-US" w:eastAsia="zh-CN"/>
              </w:rPr>
              <w:t>。</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重点污染区防渗要求：</w:t>
            </w:r>
            <w:r>
              <w:rPr>
                <w:rFonts w:hint="default" w:ascii="Times New Roman" w:hAnsi="Times New Roman" w:cs="Times New Roman"/>
                <w:color w:val="auto"/>
                <w:highlight w:val="none"/>
                <w:lang w:val="en-US" w:eastAsia="zh-CN"/>
              </w:rPr>
              <w:t>参照</w:t>
            </w:r>
            <w:r>
              <w:rPr>
                <w:rFonts w:hint="default" w:ascii="Times New Roman" w:hAnsi="Times New Roman" w:cs="Times New Roman"/>
                <w:color w:val="auto"/>
                <w:highlight w:val="none"/>
              </w:rPr>
              <w:t>《危险废物贮存污染控制标准》（GB18597-20</w:t>
            </w:r>
            <w:r>
              <w:rPr>
                <w:rFonts w:hint="eastAsia" w:cs="Times New Roman"/>
                <w:color w:val="auto"/>
                <w:highlight w:val="none"/>
                <w:lang w:val="en-US" w:eastAsia="zh-CN"/>
              </w:rPr>
              <w:t>23</w:t>
            </w:r>
            <w:r>
              <w:rPr>
                <w:rFonts w:hint="default" w:ascii="Times New Roman" w:hAnsi="Times New Roman" w:cs="Times New Roman"/>
                <w:color w:val="auto"/>
                <w:highlight w:val="none"/>
              </w:rPr>
              <w:t>）、《危险废物污染防治技术政策》等危险废物处理的相关标准、法律法规的要求</w:t>
            </w:r>
            <w:r>
              <w:rPr>
                <w:rFonts w:hint="default" w:ascii="Times New Roman" w:hAnsi="Times New Roman" w:cs="Times New Roman"/>
                <w:color w:val="auto"/>
                <w:highlight w:val="none"/>
                <w:lang w:val="en-US" w:eastAsia="zh-CN"/>
              </w:rPr>
              <w:t>进行设计，</w:t>
            </w:r>
            <w:r>
              <w:rPr>
                <w:rFonts w:hint="default" w:ascii="Times New Roman" w:hAnsi="Times New Roman" w:cs="Times New Roman"/>
                <w:color w:val="auto"/>
                <w:highlight w:val="none"/>
              </w:rPr>
              <w:t>防渗层为至少1m厚黏土层（渗透系数≤10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cm/s），或2mm厚高密度聚氯乙烯，或至少2mm厚的其它人工材料，渗透系数≤10</w:t>
            </w:r>
            <w:r>
              <w:rPr>
                <w:rFonts w:hint="default" w:ascii="Times New Roman" w:hAnsi="Times New Roman" w:cs="Times New Roman"/>
                <w:color w:val="auto"/>
                <w:highlight w:val="none"/>
                <w:vertAlign w:val="superscript"/>
              </w:rPr>
              <w:t>-10</w:t>
            </w:r>
            <w:r>
              <w:rPr>
                <w:rFonts w:hint="default" w:ascii="Times New Roman" w:hAnsi="Times New Roman" w:cs="Times New Roman"/>
                <w:color w:val="auto"/>
                <w:highlight w:val="none"/>
              </w:rPr>
              <w:t>cm/s。</w:t>
            </w:r>
          </w:p>
          <w:p>
            <w:pPr>
              <w:pStyle w:val="8"/>
              <w:ind w:left="420" w:leftChars="20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B.</w:t>
            </w:r>
            <w:r>
              <w:rPr>
                <w:rFonts w:hint="default" w:ascii="Times New Roman" w:hAnsi="Times New Roman" w:cs="Times New Roman"/>
                <w:color w:val="auto"/>
                <w:highlight w:val="none"/>
              </w:rPr>
              <w:t>一般防渗区</w:t>
            </w:r>
          </w:p>
          <w:p>
            <w:pPr>
              <w:pStyle w:val="8"/>
              <w:ind w:firstLine="48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指裸露于地面的生产功能单元，污染地下水环境的物料泄漏后，容易被及时发现和处理的区域。本项目</w:t>
            </w:r>
            <w:r>
              <w:rPr>
                <w:rFonts w:hint="eastAsia" w:cs="Times New Roman"/>
                <w:color w:val="auto"/>
                <w:highlight w:val="none"/>
                <w:lang w:val="en-US" w:eastAsia="zh-CN"/>
              </w:rPr>
              <w:t>无一般防渗区</w:t>
            </w:r>
            <w:r>
              <w:rPr>
                <w:rFonts w:hint="eastAsia" w:cs="Times New Roman"/>
                <w:color w:val="auto"/>
                <w:highlight w:val="none"/>
                <w:lang w:eastAsia="zh-CN"/>
              </w:rPr>
              <w:t>。</w:t>
            </w:r>
          </w:p>
          <w:p>
            <w:pPr>
              <w:pStyle w:val="8"/>
              <w:ind w:firstLine="48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对于一般污染防治区，参照《一般工业固体废物贮存和填埋场污染控制标准》</w:t>
            </w:r>
            <w:r>
              <w:rPr>
                <w:rFonts w:hint="eastAsia" w:cs="Times New Roman"/>
                <w:color w:val="auto"/>
                <w:highlight w:val="none"/>
                <w:lang w:eastAsia="zh-CN"/>
              </w:rPr>
              <w:t>（</w:t>
            </w:r>
            <w:r>
              <w:rPr>
                <w:rFonts w:hint="default" w:ascii="Times New Roman" w:hAnsi="Times New Roman" w:cs="Times New Roman"/>
                <w:color w:val="auto"/>
                <w:highlight w:val="none"/>
              </w:rPr>
              <w:t>GB18599-2020</w:t>
            </w:r>
            <w:r>
              <w:rPr>
                <w:rFonts w:hint="eastAsia" w:cs="Times New Roman"/>
                <w:color w:val="auto"/>
                <w:highlight w:val="none"/>
                <w:lang w:eastAsia="zh-CN"/>
              </w:rPr>
              <w:t>）</w:t>
            </w:r>
            <w:r>
              <w:rPr>
                <w:rFonts w:hint="default" w:ascii="Times New Roman" w:hAnsi="Times New Roman" w:cs="Times New Roman"/>
                <w:color w:val="auto"/>
                <w:highlight w:val="none"/>
              </w:rPr>
              <w:t>Ⅱ类场进行设计。</w:t>
            </w:r>
          </w:p>
          <w:p>
            <w:pPr>
              <w:pStyle w:val="8"/>
              <w:ind w:firstLine="480"/>
              <w:rPr>
                <w:rFonts w:hint="default" w:ascii="Times New Roman" w:hAnsi="Times New Roman" w:cs="Times New Roman"/>
                <w:color w:val="auto"/>
                <w:highlight w:val="none"/>
                <w:lang w:bidi="ar"/>
              </w:rPr>
            </w:pPr>
            <w:r>
              <w:rPr>
                <w:rFonts w:hint="default" w:ascii="Times New Roman" w:hAnsi="Times New Roman" w:cs="Times New Roman"/>
                <w:color w:val="auto"/>
                <w:highlight w:val="none"/>
              </w:rPr>
              <w:t>一般污染区防渗要求：</w:t>
            </w:r>
            <w:r>
              <w:rPr>
                <w:rFonts w:hint="default" w:ascii="Times New Roman" w:hAnsi="Times New Roman" w:cs="Times New Roman"/>
                <w:color w:val="auto"/>
                <w:highlight w:val="none"/>
                <w:lang w:bidi="ar"/>
              </w:rPr>
              <w:t>人工合成材料应采用高密度聚乙烯膜，厚度不小于1.5mm，并满足GB/T17643规定的技术指标要求。采用其他人工合成材料的，其防渗性能至少相当于1.5mm高密度聚乙烯膜的防渗性能。</w:t>
            </w:r>
            <w:r>
              <w:rPr>
                <w:rFonts w:hint="eastAsia" w:cs="Times New Roman"/>
                <w:color w:val="auto"/>
                <w:highlight w:val="none"/>
                <w:lang w:eastAsia="zh-CN" w:bidi="ar"/>
              </w:rPr>
              <w:t>黏土</w:t>
            </w:r>
            <w:r>
              <w:rPr>
                <w:rFonts w:hint="default" w:ascii="Times New Roman" w:hAnsi="Times New Roman" w:cs="Times New Roman"/>
                <w:color w:val="auto"/>
                <w:highlight w:val="none"/>
                <w:lang w:bidi="ar"/>
              </w:rPr>
              <w:t>衬层厚度应不小于0.75m，且经压实、人工改性等措施处理后的饱和渗透系数不应大于1.0×10</w:t>
            </w:r>
            <w:r>
              <w:rPr>
                <w:rFonts w:hint="default" w:ascii="Times New Roman" w:hAnsi="Times New Roman" w:cs="Times New Roman"/>
                <w:color w:val="auto"/>
                <w:highlight w:val="none"/>
                <w:vertAlign w:val="superscript"/>
                <w:lang w:bidi="ar"/>
              </w:rPr>
              <w:t>-7</w:t>
            </w:r>
            <w:r>
              <w:rPr>
                <w:rFonts w:hint="default" w:ascii="Times New Roman" w:hAnsi="Times New Roman" w:cs="Times New Roman"/>
                <w:color w:val="auto"/>
                <w:highlight w:val="none"/>
                <w:lang w:bidi="ar"/>
              </w:rPr>
              <w:t>cm/s。使用其他</w:t>
            </w:r>
            <w:r>
              <w:rPr>
                <w:rFonts w:hint="eastAsia" w:cs="Times New Roman"/>
                <w:color w:val="auto"/>
                <w:highlight w:val="none"/>
                <w:lang w:eastAsia="zh-CN" w:bidi="ar"/>
              </w:rPr>
              <w:t>黏土</w:t>
            </w:r>
            <w:r>
              <w:rPr>
                <w:rFonts w:hint="default" w:ascii="Times New Roman" w:hAnsi="Times New Roman" w:cs="Times New Roman"/>
                <w:color w:val="auto"/>
                <w:highlight w:val="none"/>
                <w:lang w:bidi="ar"/>
              </w:rPr>
              <w:t>类防渗衬层材料时，应具有同等以上隔水效力。</w:t>
            </w:r>
          </w:p>
          <w:p>
            <w:pPr>
              <w:pStyle w:val="8"/>
              <w:ind w:firstLine="480"/>
              <w:rPr>
                <w:rFonts w:hint="eastAsia" w:cs="Times New Roman"/>
                <w:color w:val="auto"/>
                <w:highlight w:val="none"/>
                <w:lang w:val="en-US" w:eastAsia="zh-CN"/>
              </w:rPr>
            </w:pPr>
            <w:r>
              <w:rPr>
                <w:rFonts w:hint="eastAsia" w:cs="Times New Roman"/>
                <w:color w:val="auto"/>
                <w:highlight w:val="none"/>
                <w:lang w:val="en-US" w:eastAsia="zh-CN"/>
              </w:rPr>
              <w:t>C.简单防渗区</w:t>
            </w:r>
          </w:p>
          <w:p>
            <w:pPr>
              <w:pStyle w:val="8"/>
              <w:ind w:firstLine="480"/>
              <w:rPr>
                <w:rFonts w:hint="default" w:eastAsia="宋体" w:cs="Times New Roman"/>
                <w:color w:val="auto"/>
                <w:highlight w:val="none"/>
                <w:lang w:val="en-US" w:eastAsia="zh-CN"/>
              </w:rPr>
            </w:pPr>
            <w:r>
              <w:rPr>
                <w:rFonts w:hint="eastAsia" w:cs="Times New Roman"/>
                <w:color w:val="auto"/>
                <w:highlight w:val="none"/>
                <w:lang w:val="en-US" w:eastAsia="zh-CN"/>
              </w:rPr>
              <w:t>指</w:t>
            </w:r>
            <w:r>
              <w:rPr>
                <w:rFonts w:hint="eastAsia"/>
                <w:color w:val="auto"/>
                <w:highlight w:val="none"/>
              </w:rPr>
              <w:t>除重点防渗区和一般防渗区外的区域（包括办公区等），防渗技术要求为一般地面硬化。</w:t>
            </w:r>
            <w:r>
              <w:rPr>
                <w:rFonts w:hint="eastAsia"/>
                <w:color w:val="auto"/>
                <w:highlight w:val="none"/>
                <w:lang w:val="en-US" w:eastAsia="zh-CN"/>
              </w:rPr>
              <w:t>本项目区域均已进行地面硬化。</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为保证防渗工程正常施工、运行，达到设计防渗等级，应对工程质量进行管理控制：</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a.选择具有相应资质的设计单位对工程进行设计，防渗工程的设计符合相应要求及设计规范；</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b.工程材料符合设计要求，并按照有关规定和要求进行质量检验，保证使用材料全部合格；</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c.聘请优秀专业施工队伍，施工方法符合规范要求；</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d.工程完工后应进行质量检测；</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e.在防渗措施投入使用后，应加强日常的维护管理。</w:t>
            </w:r>
          </w:p>
          <w:p>
            <w:pPr>
              <w:pStyle w:val="8"/>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综上，</w:t>
            </w:r>
            <w:r>
              <w:rPr>
                <w:rFonts w:hint="eastAsia" w:cs="Times New Roman"/>
                <w:color w:val="auto"/>
                <w:highlight w:val="none"/>
                <w:lang w:val="en-US" w:eastAsia="zh-CN"/>
              </w:rPr>
              <w:t>本项目</w:t>
            </w:r>
            <w:r>
              <w:rPr>
                <w:rFonts w:hint="default" w:ascii="Times New Roman" w:hAnsi="Times New Roman" w:cs="Times New Roman"/>
                <w:color w:val="auto"/>
                <w:highlight w:val="none"/>
              </w:rPr>
              <w:t>采取分区防渗等措施后，对土壤及地下水环境影响较小。</w:t>
            </w:r>
          </w:p>
          <w:p>
            <w:pPr>
              <w:pStyle w:val="8"/>
              <w:numPr>
                <w:ilvl w:val="0"/>
                <w:numId w:val="8"/>
              </w:numPr>
              <w:ind w:left="0" w:leftChars="0" w:firstLine="480" w:firstLineChars="200"/>
              <w:rPr>
                <w:rFonts w:hint="eastAsia" w:cs="Times New Roman"/>
                <w:color w:val="auto"/>
                <w:highlight w:val="none"/>
                <w:lang w:val="en-US" w:eastAsia="zh-CN"/>
              </w:rPr>
            </w:pPr>
            <w:r>
              <w:rPr>
                <w:rFonts w:hint="eastAsia" w:cs="Times New Roman"/>
                <w:color w:val="auto"/>
                <w:highlight w:val="none"/>
                <w:lang w:val="en-US" w:eastAsia="zh-CN"/>
              </w:rPr>
              <w:t>地下水、土壤监测要求</w:t>
            </w:r>
          </w:p>
          <w:p>
            <w:pPr>
              <w:pStyle w:val="8"/>
              <w:numPr>
                <w:ilvl w:val="-1"/>
                <w:numId w:val="0"/>
              </w:numPr>
              <w:ind w:firstLine="480" w:firstLineChars="200"/>
              <w:rPr>
                <w:rFonts w:hint="default"/>
                <w:lang w:val="en-US" w:eastAsia="zh-CN"/>
              </w:rPr>
            </w:pPr>
            <w:r>
              <w:rPr>
                <w:rFonts w:hint="eastAsia"/>
                <w:lang w:val="en-US" w:eastAsia="zh-CN"/>
              </w:rPr>
              <w:t>根据</w:t>
            </w:r>
            <w:r>
              <w:rPr>
                <w:rFonts w:hint="eastAsia" w:cs="Times New Roman"/>
                <w:color w:val="auto"/>
                <w:highlight w:val="none"/>
                <w:lang w:val="en-US" w:eastAsia="zh-CN"/>
              </w:rPr>
              <w:t>《环境影响评价技术导则地下水环境》（HJ610-2016）和《环境影响评价技术导则土壤环境（试行）》（HJ964-2018）</w:t>
            </w:r>
            <w:r>
              <w:rPr>
                <w:rFonts w:hint="eastAsia"/>
                <w:lang w:val="en-US" w:eastAsia="zh-CN"/>
              </w:rPr>
              <w:t>中的要求</w:t>
            </w:r>
            <w:r>
              <w:rPr>
                <w:rFonts w:hint="eastAsia"/>
                <w:lang w:eastAsia="zh-CN"/>
              </w:rPr>
              <w:t>，</w:t>
            </w:r>
            <w:r>
              <w:rPr>
                <w:rFonts w:hint="eastAsia"/>
                <w:lang w:val="en-US" w:eastAsia="zh-CN"/>
              </w:rPr>
              <w:t>监测计划如下表。</w:t>
            </w:r>
          </w:p>
          <w:p>
            <w:pPr>
              <w:pStyle w:val="30"/>
              <w:bidi w:val="0"/>
              <w:rPr>
                <w:rFonts w:hint="default"/>
                <w:lang w:val="en-US" w:eastAsia="zh-CN"/>
              </w:rPr>
            </w:pPr>
            <w:r>
              <w:rPr>
                <w:rFonts w:hint="eastAsia"/>
                <w:lang w:val="en-US" w:eastAsia="zh-CN"/>
              </w:rPr>
              <w:t>地下水环境监测计划</w:t>
            </w:r>
          </w:p>
          <w:tbl>
            <w:tblPr>
              <w:tblStyle w:val="24"/>
              <w:tblW w:w="496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07"/>
              <w:gridCol w:w="2288"/>
              <w:gridCol w:w="2561"/>
              <w:gridCol w:w="938"/>
              <w:gridCol w:w="192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677" w:type="pct"/>
                  <w:tcBorders>
                    <w:tl2br w:val="nil"/>
                    <w:tr2bl w:val="nil"/>
                  </w:tcBorders>
                  <w:vAlign w:val="center"/>
                </w:tcPr>
                <w:p>
                  <w:pPr>
                    <w:pStyle w:val="31"/>
                    <w:bidi w:val="0"/>
                    <w:rPr>
                      <w:rFonts w:hint="default"/>
                    </w:rPr>
                  </w:pPr>
                  <w:r>
                    <w:rPr>
                      <w:rFonts w:hint="default"/>
                    </w:rPr>
                    <w:t>监测点位</w:t>
                  </w:r>
                </w:p>
              </w:tc>
              <w:tc>
                <w:tcPr>
                  <w:tcW w:w="1283" w:type="pct"/>
                  <w:tcBorders>
                    <w:tl2br w:val="nil"/>
                    <w:tr2bl w:val="nil"/>
                  </w:tcBorders>
                  <w:vAlign w:val="center"/>
                </w:tcPr>
                <w:p>
                  <w:pPr>
                    <w:pStyle w:val="31"/>
                    <w:bidi w:val="0"/>
                    <w:rPr>
                      <w:rFonts w:hint="default"/>
                    </w:rPr>
                  </w:pPr>
                  <w:r>
                    <w:rPr>
                      <w:rFonts w:hint="default"/>
                    </w:rPr>
                    <w:t>监测项目</w:t>
                  </w:r>
                </w:p>
              </w:tc>
              <w:tc>
                <w:tcPr>
                  <w:tcW w:w="1436" w:type="pct"/>
                  <w:tcBorders>
                    <w:tl2br w:val="nil"/>
                    <w:tr2bl w:val="nil"/>
                  </w:tcBorders>
                  <w:vAlign w:val="center"/>
                </w:tcPr>
                <w:p>
                  <w:pPr>
                    <w:pStyle w:val="31"/>
                    <w:bidi w:val="0"/>
                    <w:rPr>
                      <w:rFonts w:hint="default"/>
                    </w:rPr>
                  </w:pPr>
                  <w:r>
                    <w:rPr>
                      <w:rFonts w:hint="default"/>
                    </w:rPr>
                    <w:t>执行标准</w:t>
                  </w:r>
                </w:p>
              </w:tc>
              <w:tc>
                <w:tcPr>
                  <w:tcW w:w="526" w:type="pct"/>
                  <w:tcBorders>
                    <w:tl2br w:val="nil"/>
                    <w:tr2bl w:val="nil"/>
                  </w:tcBorders>
                  <w:vAlign w:val="center"/>
                </w:tcPr>
                <w:p>
                  <w:pPr>
                    <w:pStyle w:val="31"/>
                    <w:bidi w:val="0"/>
                    <w:rPr>
                      <w:rFonts w:hint="default"/>
                    </w:rPr>
                  </w:pPr>
                  <w:r>
                    <w:rPr>
                      <w:rFonts w:hint="default"/>
                    </w:rPr>
                    <w:t>监测频率</w:t>
                  </w:r>
                </w:p>
              </w:tc>
              <w:tc>
                <w:tcPr>
                  <w:tcW w:w="1076" w:type="pct"/>
                  <w:tcBorders>
                    <w:tl2br w:val="nil"/>
                    <w:tr2bl w:val="nil"/>
                  </w:tcBorders>
                  <w:vAlign w:val="center"/>
                </w:tcPr>
                <w:p>
                  <w:pPr>
                    <w:pStyle w:val="31"/>
                    <w:bidi w:val="0"/>
                    <w:rPr>
                      <w:rFonts w:hint="default"/>
                      <w:lang w:val="en-US" w:eastAsia="zh-CN"/>
                    </w:rPr>
                  </w:pPr>
                  <w:r>
                    <w:rPr>
                      <w:rFonts w:hint="eastAsia"/>
                      <w:lang w:val="en-US" w:eastAsia="zh-CN"/>
                    </w:rPr>
                    <w:t>监测依据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677" w:type="pct"/>
                  <w:tcBorders>
                    <w:tl2br w:val="nil"/>
                    <w:tr2bl w:val="nil"/>
                  </w:tcBorders>
                  <w:vAlign w:val="center"/>
                </w:tcPr>
                <w:p>
                  <w:pPr>
                    <w:pStyle w:val="31"/>
                    <w:bidi w:val="0"/>
                    <w:rPr>
                      <w:rFonts w:hint="default" w:eastAsia="宋体"/>
                      <w:lang w:val="en-US" w:eastAsia="zh-CN"/>
                    </w:rPr>
                  </w:pPr>
                  <w:r>
                    <w:rPr>
                      <w:rFonts w:hint="eastAsia"/>
                      <w:lang w:val="en-US" w:eastAsia="zh-CN"/>
                    </w:rPr>
                    <w:t>项目周边</w:t>
                  </w:r>
                </w:p>
              </w:tc>
              <w:tc>
                <w:tcPr>
                  <w:tcW w:w="1283" w:type="pct"/>
                  <w:tcBorders>
                    <w:tl2br w:val="nil"/>
                    <w:tr2bl w:val="nil"/>
                  </w:tcBorders>
                  <w:vAlign w:val="center"/>
                </w:tcPr>
                <w:p>
                  <w:pPr>
                    <w:pStyle w:val="31"/>
                    <w:bidi w:val="0"/>
                    <w:rPr>
                      <w:rFonts w:hint="eastAsia"/>
                      <w:lang w:val="en-US" w:eastAsia="zh-CN"/>
                    </w:rPr>
                  </w:pPr>
                  <w:r>
                    <w:rPr>
                      <w:rFonts w:hint="eastAsia"/>
                      <w:lang w:val="en-US" w:eastAsia="zh-CN"/>
                    </w:rPr>
                    <w:t>pH、耗氧量、氨氮、硝酸盐、氯化物、硫酸、盐、汞、镉、铅、铬（六价）、锰、铜、总大肠菌群、石油类</w:t>
                  </w:r>
                </w:p>
              </w:tc>
              <w:tc>
                <w:tcPr>
                  <w:tcW w:w="1436" w:type="pct"/>
                  <w:tcBorders>
                    <w:tl2br w:val="nil"/>
                    <w:tr2bl w:val="nil"/>
                  </w:tcBorders>
                  <w:vAlign w:val="center"/>
                </w:tcPr>
                <w:p>
                  <w:pPr>
                    <w:keepNext w:val="0"/>
                    <w:keepLines w:val="0"/>
                    <w:widowControl/>
                    <w:suppressLineNumbers w:val="0"/>
                    <w:jc w:val="center"/>
                    <w:rPr>
                      <w:rFonts w:hint="eastAsia"/>
                      <w:lang w:val="en-US" w:eastAsia="zh-CN"/>
                    </w:rPr>
                  </w:pPr>
                  <w:r>
                    <w:rPr>
                      <w:rFonts w:hint="eastAsia" w:ascii="Times New Roman" w:hAnsi="Times New Roman" w:eastAsia="宋体" w:cs="Times New Roman"/>
                      <w:color w:val="auto"/>
                      <w:kern w:val="2"/>
                      <w:sz w:val="21"/>
                      <w:szCs w:val="24"/>
                      <w:highlight w:val="none"/>
                      <w:lang w:val="en-US" w:eastAsia="zh-CN" w:bidi="ar-SA"/>
                    </w:rPr>
                    <w:t>《地下水质量标准》（</w:t>
                  </w:r>
                  <w:r>
                    <w:rPr>
                      <w:rFonts w:hint="default" w:ascii="Times New Roman" w:hAnsi="Times New Roman" w:eastAsia="宋体" w:cs="Times New Roman"/>
                      <w:color w:val="auto"/>
                      <w:kern w:val="2"/>
                      <w:sz w:val="21"/>
                      <w:szCs w:val="24"/>
                      <w:highlight w:val="none"/>
                      <w:lang w:val="en-US" w:eastAsia="zh-CN" w:bidi="ar-SA"/>
                    </w:rPr>
                    <w:t>GB/T14848-2017</w:t>
                  </w:r>
                  <w:r>
                    <w:rPr>
                      <w:rFonts w:hint="eastAsia" w:ascii="Times New Roman" w:hAnsi="Times New Roman" w:eastAsia="宋体" w:cs="Times New Roman"/>
                      <w:color w:val="auto"/>
                      <w:kern w:val="2"/>
                      <w:sz w:val="21"/>
                      <w:szCs w:val="24"/>
                      <w:highlight w:val="none"/>
                      <w:lang w:val="en-US" w:eastAsia="zh-CN" w:bidi="ar-SA"/>
                    </w:rPr>
                    <w:t>）</w:t>
                  </w:r>
                </w:p>
              </w:tc>
              <w:tc>
                <w:tcPr>
                  <w:tcW w:w="526" w:type="pct"/>
                  <w:tcBorders>
                    <w:tl2br w:val="nil"/>
                    <w:tr2bl w:val="nil"/>
                  </w:tcBorders>
                  <w:vAlign w:val="center"/>
                </w:tcPr>
                <w:p>
                  <w:pPr>
                    <w:pStyle w:val="31"/>
                    <w:bidi w:val="0"/>
                    <w:rPr>
                      <w:rFonts w:hint="default"/>
                    </w:rPr>
                  </w:pPr>
                  <w:r>
                    <w:rPr>
                      <w:rFonts w:hint="default"/>
                    </w:rPr>
                    <w:t>1次/</w:t>
                  </w:r>
                  <w:r>
                    <w:rPr>
                      <w:rFonts w:hint="eastAsia"/>
                      <w:lang w:val="en-US" w:eastAsia="zh-CN"/>
                    </w:rPr>
                    <w:t>年</w:t>
                  </w:r>
                </w:p>
              </w:tc>
              <w:tc>
                <w:tcPr>
                  <w:tcW w:w="1076" w:type="pct"/>
                  <w:tcBorders>
                    <w:tl2br w:val="nil"/>
                    <w:tr2bl w:val="nil"/>
                  </w:tcBorders>
                  <w:vAlign w:val="center"/>
                </w:tcPr>
                <w:p>
                  <w:pPr>
                    <w:pStyle w:val="31"/>
                    <w:bidi w:val="0"/>
                    <w:rPr>
                      <w:rFonts w:hint="default"/>
                    </w:rPr>
                  </w:pPr>
                  <w:r>
                    <w:rPr>
                      <w:rFonts w:hint="eastAsia" w:cs="Times New Roman"/>
                      <w:color w:val="auto"/>
                      <w:highlight w:val="none"/>
                      <w:lang w:val="en-US" w:eastAsia="zh-CN"/>
                    </w:rPr>
                    <w:t>《排污单位自行监测技术指南总则》（HJ819-2017）</w:t>
                  </w:r>
                </w:p>
              </w:tc>
            </w:tr>
          </w:tbl>
          <w:p>
            <w:pPr>
              <w:rPr>
                <w:rFonts w:hint="eastAsia" w:ascii="Times New Roman" w:hAnsi="Times New Roman" w:cs="Times New Roman"/>
                <w:lang w:val="en-US" w:eastAsia="zh-CN"/>
              </w:rPr>
            </w:pPr>
          </w:p>
          <w:p>
            <w:pPr>
              <w:pStyle w:val="30"/>
              <w:bidi w:val="0"/>
              <w:rPr>
                <w:rFonts w:hint="default"/>
                <w:lang w:val="en-US" w:eastAsia="zh-CN"/>
              </w:rPr>
            </w:pPr>
            <w:r>
              <w:rPr>
                <w:rFonts w:hint="eastAsia"/>
                <w:lang w:val="en-US" w:eastAsia="zh-CN"/>
              </w:rPr>
              <w:t>土壤环境监测计划</w:t>
            </w:r>
          </w:p>
          <w:tbl>
            <w:tblPr>
              <w:tblStyle w:val="24"/>
              <w:tblW w:w="8438"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3"/>
              <w:gridCol w:w="1464"/>
              <w:gridCol w:w="2765"/>
              <w:gridCol w:w="1251"/>
              <w:gridCol w:w="181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677" w:type="pct"/>
                  <w:tcBorders>
                    <w:tl2br w:val="nil"/>
                    <w:tr2bl w:val="nil"/>
                  </w:tcBorders>
                  <w:vAlign w:val="center"/>
                </w:tcPr>
                <w:p>
                  <w:pPr>
                    <w:pStyle w:val="31"/>
                    <w:bidi w:val="0"/>
                    <w:rPr>
                      <w:rFonts w:hint="default"/>
                    </w:rPr>
                  </w:pPr>
                  <w:r>
                    <w:rPr>
                      <w:rFonts w:hint="default"/>
                    </w:rPr>
                    <w:t>监测点位</w:t>
                  </w:r>
                </w:p>
              </w:tc>
              <w:tc>
                <w:tcPr>
                  <w:tcW w:w="867" w:type="pct"/>
                  <w:tcBorders>
                    <w:tl2br w:val="nil"/>
                    <w:tr2bl w:val="nil"/>
                  </w:tcBorders>
                  <w:vAlign w:val="center"/>
                </w:tcPr>
                <w:p>
                  <w:pPr>
                    <w:pStyle w:val="31"/>
                    <w:bidi w:val="0"/>
                    <w:rPr>
                      <w:rFonts w:hint="default"/>
                    </w:rPr>
                  </w:pPr>
                  <w:r>
                    <w:rPr>
                      <w:rFonts w:hint="default"/>
                    </w:rPr>
                    <w:t>监测项目</w:t>
                  </w:r>
                </w:p>
              </w:tc>
              <w:tc>
                <w:tcPr>
                  <w:tcW w:w="1638" w:type="pct"/>
                  <w:tcBorders>
                    <w:tl2br w:val="nil"/>
                    <w:tr2bl w:val="nil"/>
                  </w:tcBorders>
                  <w:vAlign w:val="center"/>
                </w:tcPr>
                <w:p>
                  <w:pPr>
                    <w:pStyle w:val="31"/>
                    <w:bidi w:val="0"/>
                    <w:rPr>
                      <w:rFonts w:hint="default"/>
                    </w:rPr>
                  </w:pPr>
                  <w:r>
                    <w:rPr>
                      <w:rFonts w:hint="default"/>
                    </w:rPr>
                    <w:t>执行标准</w:t>
                  </w:r>
                </w:p>
              </w:tc>
              <w:tc>
                <w:tcPr>
                  <w:tcW w:w="741" w:type="pct"/>
                  <w:tcBorders>
                    <w:tl2br w:val="nil"/>
                    <w:tr2bl w:val="nil"/>
                  </w:tcBorders>
                  <w:vAlign w:val="center"/>
                </w:tcPr>
                <w:p>
                  <w:pPr>
                    <w:pStyle w:val="31"/>
                    <w:bidi w:val="0"/>
                    <w:rPr>
                      <w:rFonts w:hint="default"/>
                    </w:rPr>
                  </w:pPr>
                  <w:r>
                    <w:rPr>
                      <w:rFonts w:hint="default"/>
                    </w:rPr>
                    <w:t>监测频率</w:t>
                  </w:r>
                </w:p>
              </w:tc>
              <w:tc>
                <w:tcPr>
                  <w:tcW w:w="1075" w:type="pct"/>
                  <w:tcBorders>
                    <w:tl2br w:val="nil"/>
                    <w:tr2bl w:val="nil"/>
                  </w:tcBorders>
                  <w:vAlign w:val="center"/>
                </w:tcPr>
                <w:p>
                  <w:pPr>
                    <w:pStyle w:val="31"/>
                    <w:bidi w:val="0"/>
                    <w:rPr>
                      <w:rFonts w:hint="default"/>
                      <w:lang w:val="en-US" w:eastAsia="zh-CN"/>
                    </w:rPr>
                  </w:pPr>
                  <w:r>
                    <w:rPr>
                      <w:rFonts w:hint="eastAsia"/>
                      <w:lang w:val="en-US" w:eastAsia="zh-CN"/>
                    </w:rPr>
                    <w:t>监测依据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1" w:hRule="atLeast"/>
                <w:jc w:val="center"/>
              </w:trPr>
              <w:tc>
                <w:tcPr>
                  <w:tcW w:w="677" w:type="pct"/>
                  <w:tcBorders>
                    <w:tl2br w:val="nil"/>
                    <w:tr2bl w:val="nil"/>
                  </w:tcBorders>
                  <w:vAlign w:val="center"/>
                </w:tcPr>
                <w:p>
                  <w:pPr>
                    <w:pStyle w:val="31"/>
                    <w:bidi w:val="0"/>
                    <w:rPr>
                      <w:rFonts w:hint="default"/>
                      <w:lang w:val="en-US" w:eastAsia="zh-CN"/>
                    </w:rPr>
                  </w:pPr>
                  <w:r>
                    <w:rPr>
                      <w:rFonts w:hint="eastAsia"/>
                      <w:lang w:val="en-US" w:eastAsia="zh-CN"/>
                    </w:rPr>
                    <w:t>项目南部绿化带</w:t>
                  </w:r>
                </w:p>
              </w:tc>
              <w:tc>
                <w:tcPr>
                  <w:tcW w:w="867" w:type="pct"/>
                  <w:tcBorders>
                    <w:tl2br w:val="nil"/>
                    <w:tr2bl w:val="nil"/>
                  </w:tcBorders>
                  <w:vAlign w:val="center"/>
                </w:tcPr>
                <w:p>
                  <w:pPr>
                    <w:keepNext w:val="0"/>
                    <w:keepLines w:val="0"/>
                    <w:widowControl/>
                    <w:suppressLineNumbers w:val="0"/>
                    <w:jc w:val="left"/>
                    <w:rPr>
                      <w:rFonts w:hint="default" w:eastAsia="宋体"/>
                      <w:lang w:val="en-US" w:eastAsia="zh-CN"/>
                    </w:rPr>
                  </w:pPr>
                  <w:r>
                    <w:rPr>
                      <w:rFonts w:hint="default" w:ascii="Times New Roman" w:hAnsi="Times New Roman" w:eastAsia="宋体" w:cs="Times New Roman"/>
                      <w:color w:val="000000"/>
                      <w:kern w:val="0"/>
                      <w:sz w:val="21"/>
                      <w:szCs w:val="21"/>
                      <w:lang w:val="en-US" w:eastAsia="zh-CN" w:bidi="ar"/>
                    </w:rPr>
                    <w:t>45</w:t>
                  </w:r>
                  <w:r>
                    <w:rPr>
                      <w:rFonts w:hint="eastAsia" w:ascii="宋体" w:hAnsi="宋体" w:eastAsia="宋体" w:cs="宋体"/>
                      <w:color w:val="000000"/>
                      <w:kern w:val="0"/>
                      <w:sz w:val="21"/>
                      <w:szCs w:val="21"/>
                      <w:lang w:val="en-US" w:eastAsia="zh-CN" w:bidi="ar"/>
                    </w:rPr>
                    <w:t>项基本项目</w:t>
                  </w:r>
                  <w:r>
                    <w:rPr>
                      <w:rFonts w:hint="eastAsia" w:eastAsia="宋体"/>
                      <w:lang w:val="en-US" w:eastAsia="zh-CN"/>
                    </w:rPr>
                    <w:t>+石油类</w:t>
                  </w:r>
                </w:p>
              </w:tc>
              <w:tc>
                <w:tcPr>
                  <w:tcW w:w="1638" w:type="pct"/>
                  <w:tcBorders>
                    <w:tl2br w:val="nil"/>
                    <w:tr2bl w:val="nil"/>
                  </w:tcBorders>
                  <w:vAlign w:val="center"/>
                </w:tcPr>
                <w:p>
                  <w:pPr>
                    <w:keepNext w:val="0"/>
                    <w:keepLines w:val="0"/>
                    <w:widowControl/>
                    <w:suppressLineNumbers w:val="0"/>
                    <w:jc w:val="left"/>
                    <w:rPr>
                      <w:rFonts w:hint="eastAsia"/>
                      <w:lang w:val="en-US" w:eastAsia="zh-CN"/>
                    </w:rPr>
                  </w:pPr>
                  <w:r>
                    <w:rPr>
                      <w:rFonts w:hint="eastAsia" w:ascii="Times New Roman" w:hAnsi="Times New Roman" w:eastAsia="宋体" w:cs="Times New Roman"/>
                      <w:color w:val="auto"/>
                      <w:kern w:val="2"/>
                      <w:sz w:val="21"/>
                      <w:szCs w:val="24"/>
                      <w:highlight w:val="none"/>
                      <w:lang w:val="en-US" w:eastAsia="zh-CN" w:bidi="ar-SA"/>
                    </w:rPr>
                    <w:t>《土壤环境质量建设用地土壤污染风险管控标准（试行）》（</w:t>
                  </w:r>
                  <w:r>
                    <w:rPr>
                      <w:rFonts w:hint="default" w:ascii="Times New Roman" w:hAnsi="Times New Roman" w:eastAsia="宋体" w:cs="Times New Roman"/>
                      <w:color w:val="auto"/>
                      <w:kern w:val="2"/>
                      <w:sz w:val="21"/>
                      <w:szCs w:val="24"/>
                      <w:highlight w:val="none"/>
                      <w:lang w:val="en-US" w:eastAsia="zh-CN" w:bidi="ar-SA"/>
                    </w:rPr>
                    <w:t>GB36600-2018</w:t>
                  </w:r>
                  <w:r>
                    <w:rPr>
                      <w:rFonts w:hint="eastAsia" w:ascii="Times New Roman" w:hAnsi="Times New Roman" w:eastAsia="宋体" w:cs="Times New Roman"/>
                      <w:color w:val="auto"/>
                      <w:kern w:val="2"/>
                      <w:sz w:val="21"/>
                      <w:szCs w:val="24"/>
                      <w:highlight w:val="none"/>
                      <w:lang w:val="en-US" w:eastAsia="zh-CN" w:bidi="ar-SA"/>
                    </w:rPr>
                    <w:t>）</w:t>
                  </w:r>
                </w:p>
              </w:tc>
              <w:tc>
                <w:tcPr>
                  <w:tcW w:w="741" w:type="pct"/>
                  <w:tcBorders>
                    <w:tl2br w:val="nil"/>
                    <w:tr2bl w:val="nil"/>
                  </w:tcBorders>
                  <w:vAlign w:val="center"/>
                </w:tcPr>
                <w:p>
                  <w:pPr>
                    <w:pStyle w:val="31"/>
                    <w:bidi w:val="0"/>
                    <w:rPr>
                      <w:rFonts w:hint="default"/>
                    </w:rPr>
                  </w:pPr>
                  <w:r>
                    <w:rPr>
                      <w:rFonts w:hint="default"/>
                    </w:rPr>
                    <w:t>1次/</w:t>
                  </w:r>
                  <w:r>
                    <w:rPr>
                      <w:rFonts w:hint="eastAsia"/>
                      <w:lang w:val="en-US" w:eastAsia="zh-CN"/>
                    </w:rPr>
                    <w:t>年</w:t>
                  </w:r>
                </w:p>
              </w:tc>
              <w:tc>
                <w:tcPr>
                  <w:tcW w:w="1075" w:type="pct"/>
                  <w:tcBorders>
                    <w:tl2br w:val="nil"/>
                    <w:tr2bl w:val="nil"/>
                  </w:tcBorders>
                  <w:vAlign w:val="center"/>
                </w:tcPr>
                <w:p>
                  <w:pPr>
                    <w:pStyle w:val="31"/>
                    <w:bidi w:val="0"/>
                    <w:rPr>
                      <w:rFonts w:hint="default"/>
                    </w:rPr>
                  </w:pPr>
                  <w:r>
                    <w:rPr>
                      <w:rFonts w:hint="eastAsia" w:cs="Times New Roman"/>
                      <w:color w:val="auto"/>
                      <w:highlight w:val="none"/>
                      <w:lang w:val="en-US" w:eastAsia="zh-CN"/>
                    </w:rPr>
                    <w:t>《排污单位自行监测技术指南总则》（HJ819-2017）</w:t>
                  </w:r>
                </w:p>
              </w:tc>
            </w:tr>
          </w:tbl>
          <w:p>
            <w:pPr>
              <w:pStyle w:val="4"/>
              <w:numPr>
                <w:ilvl w:val="1"/>
                <w:numId w:val="14"/>
              </w:numPr>
              <w:tabs>
                <w:tab w:val="left" w:pos="420"/>
              </w:tabs>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w:t>
            </w:r>
          </w:p>
          <w:p>
            <w:pPr>
              <w:pStyle w:val="5"/>
              <w:numPr>
                <w:ilvl w:val="2"/>
                <w:numId w:val="3"/>
              </w:numPr>
              <w:bidi w:val="0"/>
              <w:rPr>
                <w:rFonts w:hint="default"/>
              </w:rPr>
            </w:pPr>
            <w:r>
              <w:rPr>
                <w:rFonts w:hint="eastAsia"/>
                <w:lang w:val="en-US" w:eastAsia="zh-CN"/>
              </w:rPr>
              <w:t>判定依据</w:t>
            </w:r>
          </w:p>
          <w:p>
            <w:pPr>
              <w:pStyle w:val="8"/>
              <w:numPr>
                <w:ilvl w:val="-1"/>
                <w:numId w:val="0"/>
              </w:numPr>
              <w:bidi w:val="0"/>
              <w:ind w:firstLine="420" w:firstLineChars="175"/>
              <w:rPr>
                <w:rFonts w:hint="eastAsia"/>
                <w:lang w:val="en-US" w:eastAsia="zh-CN"/>
              </w:rPr>
            </w:pPr>
            <w:r>
              <w:rPr>
                <w:rFonts w:hint="eastAsia"/>
                <w:lang w:val="en-US" w:eastAsia="zh-CN"/>
              </w:rPr>
              <w:t>（1）风险源识别</w:t>
            </w:r>
          </w:p>
          <w:p>
            <w:pPr>
              <w:pStyle w:val="8"/>
              <w:numPr>
                <w:ilvl w:val="-1"/>
                <w:numId w:val="0"/>
              </w:numPr>
              <w:bidi w:val="0"/>
              <w:ind w:firstLine="420" w:firstLineChars="175"/>
              <w:rPr>
                <w:rFonts w:hint="default"/>
                <w:highlight w:val="none"/>
                <w:lang w:val="en-US" w:eastAsia="zh-CN"/>
              </w:rPr>
            </w:pPr>
            <w:r>
              <w:rPr>
                <w:rFonts w:hint="default" w:ascii="Times New Roman" w:hAnsi="Times New Roman" w:eastAsia="宋体" w:cs="Times New Roman"/>
                <w:color w:val="000000"/>
                <w:sz w:val="24"/>
                <w:highlight w:val="none"/>
                <w:lang w:val="en-US" w:eastAsia="zh-CN"/>
              </w:rPr>
              <w:t>根据《建设项目环境风险评价技术导则》</w:t>
            </w:r>
            <w:r>
              <w:rPr>
                <w:rFonts w:hint="eastAsia" w:ascii="Times New Roman" w:hAnsi="Times New Roman" w:cs="Times New Roman"/>
                <w:color w:val="000000"/>
                <w:sz w:val="24"/>
                <w:highlight w:val="none"/>
                <w:lang w:val="en-US" w:eastAsia="zh-CN"/>
              </w:rPr>
              <w:t>“</w:t>
            </w:r>
            <w:r>
              <w:rPr>
                <w:rFonts w:hint="default" w:ascii="Times New Roman" w:hAnsi="Times New Roman" w:eastAsia="宋体" w:cs="Times New Roman"/>
                <w:color w:val="000000"/>
                <w:sz w:val="24"/>
                <w:highlight w:val="none"/>
                <w:lang w:val="en-US" w:eastAsia="zh-CN"/>
              </w:rPr>
              <w:t>附录B重点关注的危险物质及临界量</w:t>
            </w:r>
            <w:r>
              <w:rPr>
                <w:rFonts w:hint="eastAsia" w:ascii="Times New Roman" w:hAnsi="Times New Roman" w:cs="Times New Roman"/>
                <w:color w:val="000000"/>
                <w:sz w:val="24"/>
                <w:highlight w:val="none"/>
                <w:lang w:val="en-US" w:eastAsia="zh-CN"/>
              </w:rPr>
              <w:t>”</w:t>
            </w:r>
            <w:r>
              <w:rPr>
                <w:rFonts w:hint="default" w:ascii="Times New Roman" w:hAnsi="Times New Roman" w:eastAsia="宋体" w:cs="Times New Roman"/>
                <w:color w:val="000000"/>
                <w:sz w:val="24"/>
                <w:highlight w:val="none"/>
                <w:lang w:val="en-US" w:eastAsia="zh-CN"/>
              </w:rPr>
              <w:t>，项目风险物质为</w:t>
            </w:r>
            <w:r>
              <w:rPr>
                <w:rFonts w:hint="eastAsia" w:ascii="Times New Roman" w:hAnsi="Times New Roman" w:cs="Times New Roman"/>
                <w:color w:val="000000"/>
                <w:sz w:val="24"/>
                <w:highlight w:val="none"/>
                <w:lang w:val="en-US" w:eastAsia="zh-CN"/>
              </w:rPr>
              <w:t>油类物质（矿物油类，如石油、汽油、柴油等）。本项目年收集转运8000吨废机油，属于油类物质。废机油理化性质表见</w:t>
            </w:r>
            <w:r>
              <w:rPr>
                <w:rFonts w:hint="eastAsia"/>
                <w:highlight w:val="none"/>
                <w:lang w:val="en-US" w:eastAsia="zh-CN"/>
              </w:rPr>
              <w:fldChar w:fldCharType="begin"/>
            </w:r>
            <w:r>
              <w:rPr>
                <w:rFonts w:hint="eastAsia"/>
                <w:highlight w:val="none"/>
                <w:lang w:val="en-US" w:eastAsia="zh-CN"/>
              </w:rPr>
              <w:instrText xml:space="preserve">REF_Ref30279\n\h</w:instrText>
            </w:r>
            <w:r>
              <w:rPr>
                <w:rFonts w:hint="eastAsia"/>
                <w:highlight w:val="none"/>
                <w:lang w:val="en-US" w:eastAsia="zh-CN"/>
              </w:rPr>
              <w:fldChar w:fldCharType="separate"/>
            </w:r>
            <w:r>
              <w:rPr>
                <w:rFonts w:hint="eastAsia"/>
                <w:highlight w:val="none"/>
                <w:lang w:val="en-US" w:eastAsia="zh-CN"/>
              </w:rPr>
              <w:t>表13</w:t>
            </w:r>
            <w:r>
              <w:rPr>
                <w:rFonts w:hint="eastAsia"/>
                <w:highlight w:val="none"/>
                <w:lang w:val="en-US" w:eastAsia="zh-CN"/>
              </w:rPr>
              <w:fldChar w:fldCharType="end"/>
            </w:r>
            <w:r>
              <w:rPr>
                <w:rFonts w:hint="eastAsia"/>
                <w:highlight w:val="none"/>
                <w:lang w:val="en-US" w:eastAsia="zh-CN"/>
              </w:rPr>
              <w:t>。风险源识别表见</w:t>
            </w:r>
            <w:r>
              <w:rPr>
                <w:rFonts w:hint="eastAsia"/>
                <w:highlight w:val="none"/>
                <w:lang w:val="en-US" w:eastAsia="zh-CN"/>
              </w:rPr>
              <w:fldChar w:fldCharType="begin"/>
            </w:r>
            <w:r>
              <w:rPr>
                <w:rFonts w:hint="eastAsia"/>
                <w:highlight w:val="none"/>
                <w:lang w:val="en-US" w:eastAsia="zh-CN"/>
              </w:rPr>
              <w:instrText xml:space="preserve">REF_Ref22837\n\h</w:instrText>
            </w:r>
            <w:r>
              <w:rPr>
                <w:rFonts w:hint="eastAsia"/>
                <w:highlight w:val="none"/>
                <w:lang w:val="en-US" w:eastAsia="zh-CN"/>
              </w:rPr>
              <w:fldChar w:fldCharType="separate"/>
            </w:r>
            <w:r>
              <w:rPr>
                <w:rFonts w:hint="eastAsia"/>
                <w:highlight w:val="none"/>
                <w:lang w:val="en-US" w:eastAsia="zh-CN"/>
              </w:rPr>
              <w:t>表45</w:t>
            </w:r>
            <w:r>
              <w:rPr>
                <w:rFonts w:hint="eastAsia"/>
                <w:highlight w:val="none"/>
                <w:lang w:val="en-US" w:eastAsia="zh-CN"/>
              </w:rPr>
              <w:fldChar w:fldCharType="end"/>
            </w:r>
            <w:r>
              <w:rPr>
                <w:rFonts w:hint="eastAsia"/>
                <w:highlight w:val="none"/>
                <w:lang w:val="en-US" w:eastAsia="zh-CN"/>
              </w:rPr>
              <w:t>。</w:t>
            </w:r>
          </w:p>
          <w:p>
            <w:pPr>
              <w:pStyle w:val="30"/>
              <w:rPr>
                <w:rFonts w:hint="default"/>
                <w:lang w:val="en-US" w:eastAsia="zh-CN"/>
              </w:rPr>
            </w:pPr>
            <w:bookmarkStart w:id="82" w:name="_Ref22837"/>
            <w:r>
              <w:rPr>
                <w:rFonts w:hint="eastAsia"/>
                <w:lang w:val="en-US" w:eastAsia="zh-CN"/>
              </w:rPr>
              <w:t>风险源识别表</w:t>
            </w:r>
            <w:bookmarkEnd w:id="82"/>
          </w:p>
          <w:tbl>
            <w:tblPr>
              <w:tblStyle w:val="2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1839"/>
              <w:gridCol w:w="3124"/>
              <w:gridCol w:w="27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dxa"/>
                  <w:tcBorders>
                    <w:top w:val="single" w:color="auto" w:sz="4" w:space="0"/>
                    <w:tl2br w:val="nil"/>
                    <w:tr2bl w:val="nil"/>
                  </w:tcBorders>
                  <w:noWrap w:val="0"/>
                  <w:vAlign w:val="center"/>
                </w:tcPr>
                <w:p>
                  <w:pPr>
                    <w:pStyle w:val="31"/>
                    <w:rPr>
                      <w:rFonts w:hint="default"/>
                      <w:lang w:val="en-US" w:eastAsia="zh-CN"/>
                    </w:rPr>
                  </w:pPr>
                  <w:r>
                    <w:rPr>
                      <w:rFonts w:hint="default"/>
                      <w:lang w:val="en-US" w:eastAsia="zh-CN"/>
                    </w:rPr>
                    <w:t>序号</w:t>
                  </w:r>
                </w:p>
              </w:tc>
              <w:tc>
                <w:tcPr>
                  <w:tcW w:w="1839" w:type="dxa"/>
                  <w:tcBorders>
                    <w:top w:val="single" w:color="auto" w:sz="4" w:space="0"/>
                    <w:tl2br w:val="nil"/>
                    <w:tr2bl w:val="nil"/>
                  </w:tcBorders>
                  <w:noWrap w:val="0"/>
                  <w:vAlign w:val="center"/>
                </w:tcPr>
                <w:p>
                  <w:pPr>
                    <w:pStyle w:val="31"/>
                    <w:rPr>
                      <w:rFonts w:hint="default"/>
                      <w:lang w:val="en-US" w:eastAsia="zh-CN"/>
                    </w:rPr>
                  </w:pPr>
                  <w:r>
                    <w:rPr>
                      <w:rFonts w:hint="default"/>
                      <w:lang w:val="en-US" w:eastAsia="zh-CN"/>
                    </w:rPr>
                    <w:t>危险单元</w:t>
                  </w:r>
                </w:p>
              </w:tc>
              <w:tc>
                <w:tcPr>
                  <w:tcW w:w="3124" w:type="dxa"/>
                  <w:tcBorders>
                    <w:top w:val="single" w:color="auto" w:sz="4" w:space="0"/>
                    <w:tl2br w:val="nil"/>
                    <w:tr2bl w:val="nil"/>
                  </w:tcBorders>
                  <w:noWrap w:val="0"/>
                  <w:vAlign w:val="center"/>
                </w:tcPr>
                <w:p>
                  <w:pPr>
                    <w:pStyle w:val="31"/>
                    <w:rPr>
                      <w:rFonts w:hint="default"/>
                      <w:lang w:val="en-US" w:eastAsia="zh-CN"/>
                    </w:rPr>
                  </w:pPr>
                  <w:r>
                    <w:rPr>
                      <w:rFonts w:hint="default"/>
                      <w:lang w:val="en-US" w:eastAsia="zh-CN"/>
                    </w:rPr>
                    <w:t>主要风险识别</w:t>
                  </w:r>
                </w:p>
              </w:tc>
              <w:tc>
                <w:tcPr>
                  <w:tcW w:w="2726" w:type="dxa"/>
                  <w:tcBorders>
                    <w:top w:val="single" w:color="auto" w:sz="4" w:space="0"/>
                    <w:tl2br w:val="nil"/>
                    <w:tr2bl w:val="nil"/>
                  </w:tcBorders>
                  <w:noWrap w:val="0"/>
                  <w:vAlign w:val="center"/>
                </w:tcPr>
                <w:p>
                  <w:pPr>
                    <w:pStyle w:val="31"/>
                    <w:rPr>
                      <w:rFonts w:hint="default"/>
                      <w:lang w:val="en-US" w:eastAsia="zh-CN"/>
                    </w:rPr>
                  </w:pPr>
                  <w:r>
                    <w:rPr>
                      <w:rFonts w:hint="default"/>
                      <w:lang w:val="en-US" w:eastAsia="zh-CN"/>
                    </w:rPr>
                    <w:t>主要风险物质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dxa"/>
                  <w:tcBorders>
                    <w:tl2br w:val="nil"/>
                    <w:tr2bl w:val="nil"/>
                  </w:tcBorders>
                  <w:noWrap w:val="0"/>
                  <w:vAlign w:val="center"/>
                </w:tcPr>
                <w:p>
                  <w:pPr>
                    <w:pStyle w:val="31"/>
                    <w:rPr>
                      <w:rFonts w:hint="default"/>
                      <w:lang w:val="en-US" w:eastAsia="zh-CN"/>
                    </w:rPr>
                  </w:pPr>
                  <w:r>
                    <w:rPr>
                      <w:rFonts w:hint="eastAsia"/>
                      <w:lang w:val="en-US" w:eastAsia="zh-CN"/>
                    </w:rPr>
                    <w:t>1</w:t>
                  </w:r>
                </w:p>
              </w:tc>
              <w:tc>
                <w:tcPr>
                  <w:tcW w:w="1839" w:type="dxa"/>
                  <w:tcBorders>
                    <w:tl2br w:val="nil"/>
                    <w:tr2bl w:val="nil"/>
                  </w:tcBorders>
                  <w:noWrap w:val="0"/>
                  <w:vAlign w:val="center"/>
                </w:tcPr>
                <w:p>
                  <w:pPr>
                    <w:pStyle w:val="31"/>
                    <w:rPr>
                      <w:rFonts w:hint="default"/>
                      <w:lang w:val="en-US" w:eastAsia="zh-CN"/>
                    </w:rPr>
                  </w:pPr>
                  <w:r>
                    <w:rPr>
                      <w:rFonts w:hint="default"/>
                      <w:lang w:val="en-US" w:eastAsia="zh-CN"/>
                    </w:rPr>
                    <w:t>危废间</w:t>
                  </w:r>
                </w:p>
              </w:tc>
              <w:tc>
                <w:tcPr>
                  <w:tcW w:w="3124" w:type="dxa"/>
                  <w:tcBorders>
                    <w:tl2br w:val="nil"/>
                    <w:tr2bl w:val="nil"/>
                  </w:tcBorders>
                  <w:noWrap w:val="0"/>
                  <w:vAlign w:val="center"/>
                </w:tcPr>
                <w:p>
                  <w:pPr>
                    <w:pStyle w:val="31"/>
                    <w:rPr>
                      <w:rFonts w:hint="default"/>
                      <w:lang w:val="en-US" w:eastAsia="zh-CN"/>
                    </w:rPr>
                  </w:pPr>
                  <w:r>
                    <w:rPr>
                      <w:rFonts w:hint="eastAsia"/>
                      <w:lang w:val="en-US" w:eastAsia="zh-CN"/>
                    </w:rPr>
                    <w:t>容器</w:t>
                  </w:r>
                  <w:r>
                    <w:rPr>
                      <w:rFonts w:hint="default"/>
                      <w:lang w:val="en-US" w:eastAsia="zh-CN"/>
                    </w:rPr>
                    <w:t>破损泄漏</w:t>
                  </w:r>
                </w:p>
              </w:tc>
              <w:tc>
                <w:tcPr>
                  <w:tcW w:w="2726" w:type="dxa"/>
                  <w:tcBorders>
                    <w:tl2br w:val="nil"/>
                    <w:tr2bl w:val="nil"/>
                  </w:tcBorders>
                  <w:noWrap w:val="0"/>
                  <w:vAlign w:val="center"/>
                </w:tcPr>
                <w:p>
                  <w:pPr>
                    <w:pStyle w:val="31"/>
                    <w:rPr>
                      <w:rFonts w:hint="default"/>
                      <w:lang w:val="en-US" w:eastAsia="zh-CN"/>
                    </w:rPr>
                  </w:pPr>
                  <w:r>
                    <w:rPr>
                      <w:rFonts w:hint="eastAsia"/>
                      <w:lang w:val="en-US" w:eastAsia="zh-CN"/>
                    </w:rPr>
                    <w:t>废机油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dxa"/>
                  <w:tcBorders>
                    <w:tl2br w:val="nil"/>
                    <w:tr2bl w:val="nil"/>
                  </w:tcBorders>
                  <w:noWrap w:val="0"/>
                  <w:vAlign w:val="center"/>
                </w:tcPr>
                <w:p>
                  <w:pPr>
                    <w:pStyle w:val="31"/>
                    <w:rPr>
                      <w:rFonts w:hint="default"/>
                      <w:lang w:val="en-US" w:eastAsia="zh-CN"/>
                    </w:rPr>
                  </w:pPr>
                  <w:r>
                    <w:rPr>
                      <w:rFonts w:hint="eastAsia"/>
                      <w:lang w:val="en-US" w:eastAsia="zh-CN"/>
                    </w:rPr>
                    <w:t>2</w:t>
                  </w:r>
                </w:p>
              </w:tc>
              <w:tc>
                <w:tcPr>
                  <w:tcW w:w="1839" w:type="dxa"/>
                  <w:tcBorders>
                    <w:tl2br w:val="nil"/>
                    <w:tr2bl w:val="nil"/>
                  </w:tcBorders>
                  <w:noWrap w:val="0"/>
                  <w:vAlign w:val="center"/>
                </w:tcPr>
                <w:p>
                  <w:pPr>
                    <w:pStyle w:val="31"/>
                    <w:rPr>
                      <w:rFonts w:hint="default"/>
                      <w:lang w:val="en-US" w:eastAsia="zh-CN"/>
                    </w:rPr>
                  </w:pPr>
                  <w:r>
                    <w:rPr>
                      <w:rFonts w:hint="default"/>
                      <w:lang w:val="en-US" w:eastAsia="zh-CN"/>
                    </w:rPr>
                    <w:t>储罐区</w:t>
                  </w:r>
                </w:p>
              </w:tc>
              <w:tc>
                <w:tcPr>
                  <w:tcW w:w="3124" w:type="dxa"/>
                  <w:tcBorders>
                    <w:tl2br w:val="nil"/>
                    <w:tr2bl w:val="nil"/>
                  </w:tcBorders>
                  <w:noWrap w:val="0"/>
                  <w:vAlign w:val="center"/>
                </w:tcPr>
                <w:p>
                  <w:pPr>
                    <w:pStyle w:val="31"/>
                    <w:rPr>
                      <w:rFonts w:hint="default"/>
                      <w:lang w:val="en-US" w:eastAsia="zh-CN"/>
                    </w:rPr>
                  </w:pPr>
                  <w:r>
                    <w:rPr>
                      <w:rFonts w:hint="default"/>
                      <w:lang w:val="en-US" w:eastAsia="zh-CN"/>
                    </w:rPr>
                    <w:t>储罐破裂泄漏</w:t>
                  </w:r>
                  <w:r>
                    <w:rPr>
                      <w:rFonts w:hint="eastAsia"/>
                      <w:lang w:val="en-US" w:eastAsia="zh-CN"/>
                    </w:rPr>
                    <w:t>且围堰破损泄漏</w:t>
                  </w:r>
                </w:p>
              </w:tc>
              <w:tc>
                <w:tcPr>
                  <w:tcW w:w="2726" w:type="dxa"/>
                  <w:tcBorders>
                    <w:tl2br w:val="nil"/>
                    <w:tr2bl w:val="nil"/>
                  </w:tcBorders>
                  <w:noWrap w:val="0"/>
                  <w:vAlign w:val="center"/>
                </w:tcPr>
                <w:p>
                  <w:pPr>
                    <w:pStyle w:val="31"/>
                    <w:rPr>
                      <w:rFonts w:hint="default"/>
                      <w:lang w:val="en-US" w:eastAsia="zh-CN"/>
                    </w:rPr>
                  </w:pPr>
                  <w:r>
                    <w:rPr>
                      <w:rFonts w:hint="eastAsia"/>
                      <w:lang w:val="en-US" w:eastAsia="zh-CN"/>
                    </w:rPr>
                    <w:t>废机油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dxa"/>
                  <w:tcBorders>
                    <w:tl2br w:val="nil"/>
                    <w:tr2bl w:val="nil"/>
                  </w:tcBorders>
                  <w:noWrap w:val="0"/>
                  <w:vAlign w:val="center"/>
                </w:tcPr>
                <w:p>
                  <w:pPr>
                    <w:pStyle w:val="31"/>
                    <w:rPr>
                      <w:rFonts w:hint="default"/>
                      <w:lang w:val="en-US" w:eastAsia="zh-CN"/>
                    </w:rPr>
                  </w:pPr>
                  <w:r>
                    <w:rPr>
                      <w:rFonts w:hint="eastAsia"/>
                      <w:lang w:val="en-US" w:eastAsia="zh-CN"/>
                    </w:rPr>
                    <w:t>3</w:t>
                  </w:r>
                </w:p>
              </w:tc>
              <w:tc>
                <w:tcPr>
                  <w:tcW w:w="1839" w:type="dxa"/>
                  <w:tcBorders>
                    <w:tl2br w:val="nil"/>
                    <w:tr2bl w:val="nil"/>
                  </w:tcBorders>
                  <w:noWrap w:val="0"/>
                  <w:vAlign w:val="center"/>
                </w:tcPr>
                <w:p>
                  <w:pPr>
                    <w:pStyle w:val="31"/>
                    <w:rPr>
                      <w:rFonts w:hint="default"/>
                      <w:lang w:val="en-US" w:eastAsia="zh-CN"/>
                    </w:rPr>
                  </w:pPr>
                  <w:r>
                    <w:rPr>
                      <w:rFonts w:hint="eastAsia"/>
                      <w:lang w:val="en-US" w:eastAsia="zh-CN"/>
                    </w:rPr>
                    <w:t>储罐区</w:t>
                  </w:r>
                </w:p>
              </w:tc>
              <w:tc>
                <w:tcPr>
                  <w:tcW w:w="3124" w:type="dxa"/>
                  <w:tcBorders>
                    <w:tl2br w:val="nil"/>
                    <w:tr2bl w:val="nil"/>
                  </w:tcBorders>
                  <w:noWrap w:val="0"/>
                  <w:vAlign w:val="center"/>
                </w:tcPr>
                <w:p>
                  <w:pPr>
                    <w:pStyle w:val="31"/>
                    <w:rPr>
                      <w:rFonts w:hint="default"/>
                      <w:lang w:val="en-US" w:eastAsia="zh-CN"/>
                    </w:rPr>
                  </w:pPr>
                  <w:r>
                    <w:rPr>
                      <w:rFonts w:hint="eastAsia"/>
                      <w:lang w:val="en-US" w:eastAsia="zh-CN"/>
                    </w:rPr>
                    <w:t>次生火灾、爆炸事故</w:t>
                  </w:r>
                </w:p>
              </w:tc>
              <w:tc>
                <w:tcPr>
                  <w:tcW w:w="2726" w:type="dxa"/>
                  <w:tcBorders>
                    <w:tl2br w:val="nil"/>
                    <w:tr2bl w:val="nil"/>
                  </w:tcBorders>
                  <w:noWrap w:val="0"/>
                  <w:vAlign w:val="center"/>
                </w:tcPr>
                <w:p>
                  <w:pPr>
                    <w:pStyle w:val="31"/>
                    <w:rPr>
                      <w:rFonts w:hint="default"/>
                      <w:lang w:val="en-US" w:eastAsia="zh-CN"/>
                    </w:rPr>
                  </w:pPr>
                  <w:r>
                    <w:rPr>
                      <w:rFonts w:hint="eastAsia"/>
                      <w:lang w:val="en-US" w:eastAsia="zh-CN"/>
                    </w:rPr>
                    <w:t>废机油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dxa"/>
                  <w:tcBorders>
                    <w:bottom w:val="single" w:color="auto" w:sz="4" w:space="0"/>
                    <w:tl2br w:val="nil"/>
                    <w:tr2bl w:val="nil"/>
                  </w:tcBorders>
                  <w:noWrap w:val="0"/>
                  <w:vAlign w:val="center"/>
                </w:tcPr>
                <w:p>
                  <w:pPr>
                    <w:pStyle w:val="31"/>
                    <w:rPr>
                      <w:rFonts w:hint="default"/>
                      <w:lang w:val="en-US" w:eastAsia="zh-CN"/>
                    </w:rPr>
                  </w:pPr>
                  <w:r>
                    <w:rPr>
                      <w:rFonts w:hint="eastAsia"/>
                      <w:lang w:val="en-US" w:eastAsia="zh-CN"/>
                    </w:rPr>
                    <w:t>4</w:t>
                  </w:r>
                </w:p>
              </w:tc>
              <w:tc>
                <w:tcPr>
                  <w:tcW w:w="1839" w:type="dxa"/>
                  <w:tcBorders>
                    <w:bottom w:val="single" w:color="auto" w:sz="4" w:space="0"/>
                    <w:tl2br w:val="nil"/>
                    <w:tr2bl w:val="nil"/>
                  </w:tcBorders>
                  <w:noWrap w:val="0"/>
                  <w:vAlign w:val="center"/>
                </w:tcPr>
                <w:p>
                  <w:pPr>
                    <w:pStyle w:val="31"/>
                    <w:rPr>
                      <w:rFonts w:hint="default"/>
                      <w:lang w:val="en-US" w:eastAsia="zh-CN"/>
                    </w:rPr>
                  </w:pPr>
                  <w:r>
                    <w:rPr>
                      <w:rFonts w:hint="default"/>
                      <w:lang w:val="en-US" w:eastAsia="zh-CN"/>
                    </w:rPr>
                    <w:t>废气处理设施</w:t>
                  </w:r>
                </w:p>
              </w:tc>
              <w:tc>
                <w:tcPr>
                  <w:tcW w:w="3124" w:type="dxa"/>
                  <w:tcBorders>
                    <w:bottom w:val="single" w:color="auto" w:sz="4" w:space="0"/>
                    <w:tl2br w:val="nil"/>
                    <w:tr2bl w:val="nil"/>
                  </w:tcBorders>
                  <w:noWrap w:val="0"/>
                  <w:vAlign w:val="center"/>
                </w:tcPr>
                <w:p>
                  <w:pPr>
                    <w:pStyle w:val="31"/>
                    <w:rPr>
                      <w:rFonts w:hint="default"/>
                      <w:lang w:val="en-US" w:eastAsia="zh-CN"/>
                    </w:rPr>
                  </w:pPr>
                  <w:r>
                    <w:rPr>
                      <w:rFonts w:hint="default"/>
                      <w:lang w:val="en-US" w:eastAsia="zh-CN"/>
                    </w:rPr>
                    <w:t>有组织废气未经处理直接外排</w:t>
                  </w:r>
                </w:p>
              </w:tc>
              <w:tc>
                <w:tcPr>
                  <w:tcW w:w="2726" w:type="dxa"/>
                  <w:tcBorders>
                    <w:bottom w:val="single" w:color="auto" w:sz="4" w:space="0"/>
                    <w:tl2br w:val="nil"/>
                    <w:tr2bl w:val="nil"/>
                  </w:tcBorders>
                  <w:noWrap w:val="0"/>
                  <w:vAlign w:val="center"/>
                </w:tcPr>
                <w:p>
                  <w:pPr>
                    <w:pStyle w:val="31"/>
                    <w:rPr>
                      <w:rFonts w:hint="default"/>
                      <w:lang w:val="en-US" w:eastAsia="zh-CN"/>
                    </w:rPr>
                  </w:pPr>
                  <w:r>
                    <w:rPr>
                      <w:rFonts w:hint="eastAsia"/>
                      <w:lang w:val="en-US" w:eastAsia="zh-CN"/>
                    </w:rPr>
                    <w:t>非甲烷总烃</w:t>
                  </w:r>
                </w:p>
              </w:tc>
            </w:tr>
          </w:tbl>
          <w:p>
            <w:pPr>
              <w:pStyle w:val="8"/>
              <w:bidi w:val="0"/>
              <w:rPr>
                <w:rFonts w:hint="eastAsia"/>
                <w:lang w:val="en-US" w:eastAsia="zh-CN"/>
              </w:rPr>
            </w:pPr>
          </w:p>
          <w:p>
            <w:pPr>
              <w:pStyle w:val="8"/>
              <w:bidi w:val="0"/>
              <w:rPr>
                <w:rFonts w:hint="default"/>
              </w:rPr>
            </w:pPr>
            <w:r>
              <w:rPr>
                <w:rFonts w:hint="eastAsia"/>
                <w:lang w:val="en-US" w:eastAsia="zh-CN"/>
              </w:rPr>
              <w:t>（2）风险调查</w:t>
            </w:r>
          </w:p>
          <w:p>
            <w:pPr>
              <w:pStyle w:val="8"/>
              <w:ind w:firstLine="480"/>
              <w:rPr>
                <w:rFonts w:hint="eastAsia" w:cs="Times New Roman"/>
                <w:color w:val="auto"/>
                <w:highlight w:val="none"/>
                <w:lang w:val="en-US" w:eastAsia="zh-CN"/>
              </w:rPr>
            </w:pPr>
            <w:r>
              <w:rPr>
                <w:rFonts w:hint="default" w:ascii="Times New Roman" w:hAnsi="Times New Roman" w:cs="Times New Roman"/>
                <w:color w:val="auto"/>
                <w:highlight w:val="none"/>
                <w:lang w:val="en-US" w:eastAsia="zh-CN"/>
              </w:rPr>
              <w:t>本项目为危险废物仓库，根据项目安全预评价，项目火灾类别为丙类。本项目收储的危险废物是风险物质，</w:t>
            </w:r>
            <w:r>
              <w:rPr>
                <w:rFonts w:hint="eastAsia" w:cs="Times New Roman"/>
                <w:color w:val="auto"/>
                <w:highlight w:val="none"/>
                <w:lang w:val="en-US" w:eastAsia="zh-CN"/>
              </w:rPr>
              <w:t>仅储存废机油（危废代码：900-214-08）</w:t>
            </w:r>
            <w:r>
              <w:rPr>
                <w:rFonts w:hint="default" w:ascii="Times New Roman" w:hAnsi="Times New Roman" w:cs="Times New Roman"/>
                <w:color w:val="auto"/>
                <w:highlight w:val="none"/>
                <w:lang w:val="en-US" w:eastAsia="zh-CN"/>
              </w:rPr>
              <w:t>，在厂区内不进行容器的转移，一次贮存量相对较小，同时</w:t>
            </w:r>
            <w:r>
              <w:rPr>
                <w:rFonts w:hint="eastAsia" w:cs="Times New Roman"/>
                <w:color w:val="auto"/>
                <w:highlight w:val="none"/>
                <w:lang w:val="en-US" w:eastAsia="zh-CN"/>
              </w:rPr>
              <w:t>储罐周边设有围堰、事故池等环境风险防范措施</w:t>
            </w:r>
            <w:r>
              <w:rPr>
                <w:rFonts w:hint="default" w:ascii="Times New Roman" w:hAnsi="Times New Roman" w:cs="Times New Roman"/>
                <w:color w:val="auto"/>
                <w:highlight w:val="none"/>
                <w:lang w:val="en-US" w:eastAsia="zh-CN"/>
              </w:rPr>
              <w:t>，产生的大量泄漏风险较小。本项目存在泄漏风险的物质</w:t>
            </w:r>
            <w:r>
              <w:rPr>
                <w:rFonts w:hint="eastAsia" w:cs="Times New Roman"/>
                <w:color w:val="auto"/>
                <w:highlight w:val="none"/>
                <w:lang w:val="en-US" w:eastAsia="zh-CN"/>
              </w:rPr>
              <w:t>为储罐内油料，</w:t>
            </w:r>
            <w:r>
              <w:rPr>
                <w:rFonts w:hint="default" w:ascii="Times New Roman" w:hAnsi="Times New Roman" w:cs="Times New Roman"/>
                <w:color w:val="auto"/>
                <w:highlight w:val="none"/>
                <w:lang w:val="en-US" w:eastAsia="zh-CN"/>
              </w:rPr>
              <w:t>见</w:t>
            </w:r>
            <w:r>
              <w:rPr>
                <w:rFonts w:hint="default" w:ascii="Times New Roman" w:hAnsi="Times New Roman" w:cs="Times New Roman"/>
                <w:color w:val="auto"/>
                <w:highlight w:val="none"/>
                <w:lang w:val="en-US" w:eastAsia="zh-CN"/>
              </w:rPr>
              <w:fldChar w:fldCharType="begin"/>
            </w:r>
            <w:r>
              <w:rPr>
                <w:rFonts w:hint="default" w:ascii="Times New Roman" w:hAnsi="Times New Roman" w:cs="Times New Roman"/>
                <w:color w:val="auto"/>
                <w:highlight w:val="none"/>
                <w:lang w:val="en-US" w:eastAsia="zh-CN"/>
              </w:rPr>
              <w:instrText xml:space="preserve">REF_Ref22880\n\h</w:instrText>
            </w:r>
            <w:r>
              <w:rPr>
                <w:rFonts w:hint="default" w:ascii="Times New Roman" w:hAnsi="Times New Roman" w:cs="Times New Roman"/>
                <w:color w:val="auto"/>
                <w:highlight w:val="none"/>
                <w:lang w:val="en-US" w:eastAsia="zh-CN"/>
              </w:rPr>
              <w:fldChar w:fldCharType="separate"/>
            </w:r>
            <w:r>
              <w:rPr>
                <w:rFonts w:hint="default" w:ascii="Times New Roman" w:hAnsi="Times New Roman" w:cs="Times New Roman"/>
                <w:color w:val="auto"/>
                <w:highlight w:val="none"/>
                <w:lang w:val="en-US" w:eastAsia="zh-CN"/>
              </w:rPr>
              <w:t>表46</w:t>
            </w:r>
            <w:r>
              <w:rPr>
                <w:rFonts w:hint="default" w:ascii="Times New Roman" w:hAnsi="Times New Roman" w:cs="Times New Roman"/>
                <w:color w:val="auto"/>
                <w:highlight w:val="none"/>
                <w:lang w:val="en-US" w:eastAsia="zh-CN"/>
              </w:rPr>
              <w:fldChar w:fldCharType="end"/>
            </w:r>
            <w:r>
              <w:rPr>
                <w:rFonts w:hint="eastAsia" w:cs="Times New Roman"/>
                <w:color w:val="auto"/>
                <w:highlight w:val="none"/>
                <w:lang w:val="en-US" w:eastAsia="zh-CN"/>
              </w:rPr>
              <w:t>。</w:t>
            </w:r>
          </w:p>
          <w:p>
            <w:pPr>
              <w:pStyle w:val="30"/>
              <w:bidi w:val="0"/>
              <w:rPr>
                <w:rFonts w:hint="default"/>
                <w:lang w:val="en-US" w:eastAsia="zh-CN"/>
              </w:rPr>
            </w:pPr>
            <w:bookmarkStart w:id="83" w:name="_Ref22880"/>
            <w:r>
              <w:rPr>
                <w:rFonts w:hint="eastAsia"/>
                <w:lang w:val="en-US" w:eastAsia="zh-CN"/>
              </w:rPr>
              <w:t>项目涉及危险物质表</w:t>
            </w:r>
            <w:bookmarkEnd w:id="83"/>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6"/>
              <w:gridCol w:w="1583"/>
              <w:gridCol w:w="1584"/>
              <w:gridCol w:w="1584"/>
              <w:gridCol w:w="1584"/>
              <w:gridCol w:w="1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9" w:type="pct"/>
                  <w:tcBorders>
                    <w:left w:val="nil"/>
                  </w:tcBorders>
                  <w:vAlign w:val="center"/>
                </w:tcPr>
                <w:p>
                  <w:pPr>
                    <w:pStyle w:val="31"/>
                    <w:bidi w:val="0"/>
                    <w:jc w:val="center"/>
                    <w:rPr>
                      <w:rFonts w:hint="default"/>
                      <w:lang w:val="en-US" w:eastAsia="zh-CN"/>
                    </w:rPr>
                  </w:pPr>
                  <w:r>
                    <w:rPr>
                      <w:rFonts w:hint="eastAsia"/>
                      <w:lang w:val="en-US" w:eastAsia="zh-CN"/>
                    </w:rPr>
                    <w:t>序号</w:t>
                  </w:r>
                </w:p>
              </w:tc>
              <w:tc>
                <w:tcPr>
                  <w:tcW w:w="884" w:type="pct"/>
                  <w:vAlign w:val="center"/>
                </w:tcPr>
                <w:p>
                  <w:pPr>
                    <w:pStyle w:val="31"/>
                    <w:bidi w:val="0"/>
                    <w:jc w:val="center"/>
                    <w:rPr>
                      <w:rFonts w:hint="default"/>
                      <w:lang w:val="en-US" w:eastAsia="zh-CN"/>
                    </w:rPr>
                  </w:pPr>
                  <w:r>
                    <w:rPr>
                      <w:rFonts w:hint="eastAsia"/>
                      <w:lang w:val="en-US" w:eastAsia="zh-CN"/>
                    </w:rPr>
                    <w:t>危险化学物质</w:t>
                  </w:r>
                </w:p>
              </w:tc>
              <w:tc>
                <w:tcPr>
                  <w:tcW w:w="884" w:type="pct"/>
                  <w:vAlign w:val="center"/>
                </w:tcPr>
                <w:p>
                  <w:pPr>
                    <w:pStyle w:val="31"/>
                    <w:bidi w:val="0"/>
                    <w:jc w:val="center"/>
                    <w:rPr>
                      <w:rFonts w:hint="default"/>
                      <w:lang w:val="en-US" w:eastAsia="zh-CN"/>
                    </w:rPr>
                  </w:pPr>
                  <w:r>
                    <w:rPr>
                      <w:rFonts w:hint="eastAsia"/>
                      <w:lang w:val="en-US" w:eastAsia="zh-CN"/>
                    </w:rPr>
                    <w:t>危废代码</w:t>
                  </w:r>
                </w:p>
              </w:tc>
              <w:tc>
                <w:tcPr>
                  <w:tcW w:w="884" w:type="pct"/>
                  <w:vAlign w:val="center"/>
                </w:tcPr>
                <w:p>
                  <w:pPr>
                    <w:pStyle w:val="31"/>
                    <w:bidi w:val="0"/>
                    <w:jc w:val="center"/>
                    <w:rPr>
                      <w:rFonts w:hint="default"/>
                      <w:lang w:val="en-US" w:eastAsia="zh-CN"/>
                    </w:rPr>
                  </w:pPr>
                  <w:r>
                    <w:rPr>
                      <w:rFonts w:hint="eastAsia"/>
                      <w:lang w:val="en-US" w:eastAsia="zh-CN"/>
                    </w:rPr>
                    <w:t>危险特性</w:t>
                  </w:r>
                </w:p>
              </w:tc>
              <w:tc>
                <w:tcPr>
                  <w:tcW w:w="884" w:type="pct"/>
                  <w:vAlign w:val="center"/>
                </w:tcPr>
                <w:p>
                  <w:pPr>
                    <w:pStyle w:val="31"/>
                    <w:bidi w:val="0"/>
                    <w:jc w:val="center"/>
                    <w:rPr>
                      <w:rFonts w:hint="default"/>
                      <w:lang w:val="en-US" w:eastAsia="zh-CN"/>
                    </w:rPr>
                  </w:pPr>
                  <w:r>
                    <w:rPr>
                      <w:rFonts w:hint="eastAsia"/>
                      <w:lang w:val="en-US" w:eastAsia="zh-CN"/>
                    </w:rPr>
                    <w:t>临界量/t</w:t>
                  </w:r>
                </w:p>
              </w:tc>
              <w:tc>
                <w:tcPr>
                  <w:tcW w:w="884" w:type="pct"/>
                  <w:tcBorders>
                    <w:right w:val="nil"/>
                  </w:tcBorders>
                  <w:vAlign w:val="center"/>
                </w:tcPr>
                <w:p>
                  <w:pPr>
                    <w:pStyle w:val="31"/>
                    <w:bidi w:val="0"/>
                    <w:jc w:val="center"/>
                    <w:rPr>
                      <w:rFonts w:hint="default"/>
                      <w:lang w:val="en-US" w:eastAsia="zh-CN"/>
                    </w:rPr>
                  </w:pPr>
                  <w:r>
                    <w:rPr>
                      <w:rFonts w:hint="eastAsia"/>
                      <w:lang w:val="en-US" w:eastAsia="zh-CN"/>
                    </w:rPr>
                    <w:t>最大储存量/t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9" w:type="pct"/>
                  <w:tcBorders>
                    <w:left w:val="nil"/>
                  </w:tcBorders>
                  <w:vAlign w:val="center"/>
                </w:tcPr>
                <w:p>
                  <w:pPr>
                    <w:pStyle w:val="31"/>
                    <w:bidi w:val="0"/>
                    <w:jc w:val="center"/>
                    <w:rPr>
                      <w:rFonts w:hint="default"/>
                      <w:lang w:val="en-US" w:eastAsia="zh-CN"/>
                    </w:rPr>
                  </w:pPr>
                  <w:r>
                    <w:rPr>
                      <w:rFonts w:hint="eastAsia"/>
                      <w:lang w:val="en-US" w:eastAsia="zh-CN"/>
                    </w:rPr>
                    <w:t>1</w:t>
                  </w:r>
                </w:p>
              </w:tc>
              <w:tc>
                <w:tcPr>
                  <w:tcW w:w="884" w:type="pct"/>
                  <w:vAlign w:val="center"/>
                </w:tcPr>
                <w:p>
                  <w:pPr>
                    <w:pStyle w:val="31"/>
                    <w:bidi w:val="0"/>
                    <w:jc w:val="center"/>
                    <w:rPr>
                      <w:rFonts w:hint="default"/>
                      <w:lang w:val="en-US" w:eastAsia="zh-CN"/>
                    </w:rPr>
                  </w:pPr>
                  <w:r>
                    <w:rPr>
                      <w:rFonts w:hint="eastAsia"/>
                      <w:lang w:val="en-US" w:eastAsia="zh-CN"/>
                    </w:rPr>
                    <w:t>废机油</w:t>
                  </w:r>
                </w:p>
              </w:tc>
              <w:tc>
                <w:tcPr>
                  <w:tcW w:w="884" w:type="pct"/>
                  <w:vAlign w:val="center"/>
                </w:tcPr>
                <w:p>
                  <w:pPr>
                    <w:pStyle w:val="31"/>
                    <w:bidi w:val="0"/>
                    <w:jc w:val="center"/>
                    <w:rPr>
                      <w:rFonts w:hint="eastAsia"/>
                      <w:lang w:val="en-US" w:eastAsia="zh-CN"/>
                    </w:rPr>
                  </w:pPr>
                  <w:r>
                    <w:rPr>
                      <w:rFonts w:hint="eastAsia"/>
                      <w:lang w:val="en-US" w:eastAsia="zh-CN"/>
                    </w:rPr>
                    <w:t>HW08</w:t>
                  </w:r>
                </w:p>
                <w:p>
                  <w:pPr>
                    <w:jc w:val="center"/>
                    <w:rPr>
                      <w:rFonts w:hint="default"/>
                      <w:lang w:val="en-US" w:eastAsia="zh-CN"/>
                    </w:rPr>
                  </w:pPr>
                  <w:r>
                    <w:rPr>
                      <w:rFonts w:hint="eastAsia"/>
                      <w:lang w:val="en-US" w:eastAsia="zh-CN"/>
                    </w:rPr>
                    <w:t>900-214-08</w:t>
                  </w:r>
                </w:p>
              </w:tc>
              <w:tc>
                <w:tcPr>
                  <w:tcW w:w="884" w:type="pct"/>
                  <w:vAlign w:val="center"/>
                </w:tcPr>
                <w:p>
                  <w:pPr>
                    <w:jc w:val="center"/>
                    <w:rPr>
                      <w:rFonts w:hint="default"/>
                      <w:lang w:val="en-US" w:eastAsia="zh-CN"/>
                    </w:rPr>
                  </w:pPr>
                  <w:r>
                    <w:rPr>
                      <w:rFonts w:hint="eastAsia"/>
                      <w:lang w:val="en-US" w:eastAsia="zh-CN"/>
                    </w:rPr>
                    <w:t>毒性、易燃性</w:t>
                  </w:r>
                </w:p>
              </w:tc>
              <w:tc>
                <w:tcPr>
                  <w:tcW w:w="884" w:type="pct"/>
                  <w:vAlign w:val="center"/>
                </w:tcPr>
                <w:p>
                  <w:pPr>
                    <w:pStyle w:val="31"/>
                    <w:bidi w:val="0"/>
                    <w:jc w:val="center"/>
                    <w:rPr>
                      <w:rFonts w:hint="default"/>
                      <w:lang w:val="en-US" w:eastAsia="zh-CN"/>
                    </w:rPr>
                  </w:pPr>
                  <w:r>
                    <w:rPr>
                      <w:rFonts w:hint="eastAsia"/>
                      <w:lang w:val="en-US" w:eastAsia="zh-CN"/>
                    </w:rPr>
                    <w:t>2500</w:t>
                  </w:r>
                </w:p>
              </w:tc>
              <w:tc>
                <w:tcPr>
                  <w:tcW w:w="884" w:type="pct"/>
                  <w:tcBorders>
                    <w:right w:val="nil"/>
                  </w:tcBorders>
                  <w:vAlign w:val="center"/>
                </w:tcPr>
                <w:p>
                  <w:pPr>
                    <w:pStyle w:val="31"/>
                    <w:bidi w:val="0"/>
                    <w:jc w:val="center"/>
                    <w:rPr>
                      <w:rFonts w:hint="default"/>
                      <w:lang w:val="en-US" w:eastAsia="zh-CN"/>
                    </w:rPr>
                  </w:pPr>
                  <w:r>
                    <w:rPr>
                      <w:rFonts w:hint="eastAsia"/>
                      <w:lang w:val="en-US" w:eastAsia="zh-CN"/>
                    </w:rPr>
                    <w:t>57</w:t>
                  </w:r>
                </w:p>
              </w:tc>
            </w:tr>
          </w:tbl>
          <w:p>
            <w:pPr>
              <w:pStyle w:val="28"/>
              <w:rPr>
                <w:rFonts w:hint="default"/>
                <w:lang w:val="en-US" w:eastAsia="zh-CN"/>
              </w:rPr>
            </w:pPr>
          </w:p>
          <w:p>
            <w:pPr>
              <w:pStyle w:val="8"/>
              <w:rPr>
                <w:rFonts w:hint="default"/>
                <w:lang w:val="en-US" w:eastAsia="zh-CN"/>
              </w:rPr>
            </w:pPr>
            <w:r>
              <w:rPr>
                <w:rFonts w:hint="eastAsia"/>
                <w:lang w:val="en-US" w:eastAsia="zh-CN"/>
              </w:rPr>
              <w:t>（3）环境风险潜势划分</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根据《建设项目环境风险评价技术导则》（HJ169-2018）附录C危险性物质及工艺系统危险性（P）的分级中“C.1.1危险物质数量与临界量比值（Q）”：</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计算所涉及的每种危险物质在厂界内的最大存在总量与其在附录B中对应临界量的比值Q。在不同厂区的同一种物质，按其在厂界内的最大存在总量计算。对于长输管线项目，按照两个截断阀室之间管段危险物质最大存在总量计算。</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当只涉及一种危险物质时，计算该物质的总量与其临界量比值，即为Q；</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当存在多种危险物质时，则按式（C.1）计算物质总量与其临界量比值（Q）：</w:t>
            </w:r>
          </w:p>
          <w:p>
            <w:pPr>
              <w:spacing w:line="360" w:lineRule="auto"/>
              <w:ind w:left="0" w:leftChars="0" w:firstLine="0" w:firstLineChars="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Q=q</w:t>
            </w:r>
            <w:r>
              <w:rPr>
                <w:rFonts w:hint="default" w:ascii="Times New Roman" w:hAnsi="Times New Roman" w:eastAsia="宋体" w:cs="Times New Roman"/>
                <w:color w:val="auto"/>
                <w:sz w:val="24"/>
                <w:highlight w:val="none"/>
                <w:vertAlign w:val="subscript"/>
                <w:lang w:val="en-US" w:eastAsia="zh-CN"/>
              </w:rPr>
              <w:t>1</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1</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n</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n</w:t>
            </w:r>
            <w:r>
              <w:rPr>
                <w:rFonts w:hint="default" w:ascii="Times New Roman" w:hAnsi="Times New Roman" w:eastAsia="宋体" w:cs="Times New Roman"/>
                <w:color w:val="auto"/>
                <w:sz w:val="24"/>
                <w:highlight w:val="none"/>
                <w:lang w:val="en-US" w:eastAsia="zh-CN"/>
              </w:rPr>
              <w:t>（C.1）</w:t>
            </w:r>
          </w:p>
          <w:p>
            <w:pPr>
              <w:spacing w:line="360" w:lineRule="auto"/>
              <w:ind w:left="0" w:leftChars="0" w:firstLine="0" w:firstLineChars="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式中：q</w:t>
            </w:r>
            <w:r>
              <w:rPr>
                <w:rFonts w:hint="default" w:ascii="Times New Roman" w:hAnsi="Times New Roman" w:eastAsia="宋体" w:cs="Times New Roman"/>
                <w:color w:val="auto"/>
                <w:sz w:val="24"/>
                <w:highlight w:val="none"/>
                <w:vertAlign w:val="subscript"/>
                <w:lang w:val="en-US" w:eastAsia="zh-CN"/>
              </w:rPr>
              <w:t>1</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w:t>
            </w:r>
            <w:r>
              <w:rPr>
                <w:rFonts w:hint="default" w:ascii="Arial" w:hAnsi="Arial" w:cs="Arial"/>
                <w:color w:val="auto"/>
                <w:sz w:val="24"/>
                <w:highlight w:val="none"/>
                <w:vertAlign w:val="baseline"/>
                <w:lang w:val="en-US" w:eastAsia="zh-CN"/>
              </w:rPr>
              <w:t>…</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n</w:t>
            </w:r>
            <w:r>
              <w:rPr>
                <w:rFonts w:hint="default" w:ascii="Times New Roman" w:hAnsi="Times New Roman" w:eastAsia="宋体" w:cs="Times New Roman"/>
                <w:color w:val="auto"/>
                <w:sz w:val="24"/>
                <w:highlight w:val="none"/>
                <w:lang w:val="en-US" w:eastAsia="zh-CN"/>
              </w:rPr>
              <w:t>——每种危险物质的最大存在总量，t；</w:t>
            </w:r>
          </w:p>
          <w:p>
            <w:pPr>
              <w:spacing w:line="360" w:lineRule="auto"/>
              <w:ind w:firstLine="720" w:firstLineChars="3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1</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2</w:t>
            </w:r>
            <w:r>
              <w:rPr>
                <w:rFonts w:hint="eastAsia" w:cs="Times New Roman"/>
                <w:color w:val="auto"/>
                <w:sz w:val="24"/>
                <w:highlight w:val="none"/>
                <w:vertAlign w:val="baseline"/>
                <w:lang w:val="en-US" w:eastAsia="zh-CN"/>
              </w:rPr>
              <w:t>，</w:t>
            </w:r>
            <w:r>
              <w:rPr>
                <w:rFonts w:hint="default" w:ascii="Arial" w:hAnsi="Arial" w:cs="Arial"/>
                <w:color w:val="auto"/>
                <w:sz w:val="24"/>
                <w:highlight w:val="none"/>
                <w:vertAlign w:val="baseline"/>
                <w:lang w:val="en-US" w:eastAsia="zh-CN"/>
              </w:rPr>
              <w:t>…</w:t>
            </w:r>
            <w:r>
              <w:rPr>
                <w:rFonts w:hint="eastAsia" w:cs="Times New Roman"/>
                <w:color w:val="auto"/>
                <w:sz w:val="24"/>
                <w:highlight w:val="none"/>
                <w:vertAlign w:val="baseline"/>
                <w:lang w:val="en-US" w:eastAsia="zh-CN"/>
              </w:rPr>
              <w:t>，</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n</w:t>
            </w:r>
            <w:r>
              <w:rPr>
                <w:rFonts w:hint="default" w:ascii="Times New Roman" w:hAnsi="Times New Roman" w:eastAsia="宋体" w:cs="Times New Roman"/>
                <w:color w:val="auto"/>
                <w:sz w:val="24"/>
                <w:highlight w:val="none"/>
                <w:lang w:val="en-US" w:eastAsia="zh-CN"/>
              </w:rPr>
              <w:t>——每种危险物质的临界量，t。</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当Q＜1时，该项目环境风险潜势为Ⅰ。</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当Q≥1时，将Q值划分为：（1）</w:t>
            </w:r>
            <w:r>
              <w:rPr>
                <w:rFonts w:hint="default" w:ascii="Times New Roman" w:hAnsi="Times New Roman" w:cs="Times New Roman"/>
                <w:color w:val="auto"/>
                <w:sz w:val="24"/>
                <w:highlight w:val="none"/>
                <w:lang w:val="en-US" w:eastAsia="zh-CN"/>
              </w:rPr>
              <w:t>1≤Q</w:t>
            </w:r>
            <w:r>
              <w:rPr>
                <w:rFonts w:hint="eastAsia" w:cs="Times New Roman"/>
                <w:color w:val="auto"/>
                <w:sz w:val="24"/>
                <w:highlight w:val="none"/>
                <w:lang w:val="en-US" w:eastAsia="zh-CN"/>
              </w:rPr>
              <w:t>&lt;</w:t>
            </w:r>
            <w:r>
              <w:rPr>
                <w:rFonts w:hint="default" w:ascii="Times New Roman" w:hAnsi="Times New Roman" w:cs="Times New Roman"/>
                <w:color w:val="auto"/>
                <w:sz w:val="24"/>
                <w:highlight w:val="none"/>
                <w:lang w:val="en-US" w:eastAsia="zh-CN"/>
              </w:rPr>
              <w:t>10</w:t>
            </w:r>
            <w:r>
              <w:rPr>
                <w:rFonts w:hint="default" w:ascii="Times New Roman" w:hAnsi="Times New Roman" w:eastAsia="宋体" w:cs="Times New Roman"/>
                <w:color w:val="auto"/>
                <w:sz w:val="24"/>
                <w:highlight w:val="none"/>
                <w:lang w:val="en-US" w:eastAsia="zh-CN"/>
              </w:rPr>
              <w:t>；（2）10≤Q</w:t>
            </w:r>
            <w:r>
              <w:rPr>
                <w:rFonts w:hint="eastAsia" w:cs="Times New Roman"/>
                <w:color w:val="auto"/>
                <w:sz w:val="24"/>
                <w:highlight w:val="none"/>
                <w:lang w:val="en-US" w:eastAsia="zh-CN"/>
              </w:rPr>
              <w:t>&lt;</w:t>
            </w:r>
            <w:r>
              <w:rPr>
                <w:rFonts w:hint="default" w:ascii="Times New Roman" w:hAnsi="Times New Roman" w:eastAsia="宋体" w:cs="Times New Roman"/>
                <w:color w:val="auto"/>
                <w:sz w:val="24"/>
                <w:highlight w:val="none"/>
                <w:lang w:val="en-US" w:eastAsia="zh-CN"/>
              </w:rPr>
              <w:t>100；（3）Q≥100。</w:t>
            </w:r>
          </w:p>
          <w:p>
            <w:pPr>
              <w:pStyle w:val="8"/>
              <w:rPr>
                <w:rFonts w:hint="default" w:ascii="Times New Roman" w:hAnsi="Times New Roman" w:eastAsia="宋体" w:cs="Times New Roman"/>
                <w:color w:val="auto"/>
                <w:sz w:val="24"/>
                <w:highlight w:val="none"/>
                <w:lang w:val="en-US" w:eastAsia="zh-CN"/>
              </w:rPr>
            </w:pPr>
            <w:r>
              <w:rPr>
                <w:rFonts w:hint="eastAsia"/>
                <w:lang w:val="en-US" w:eastAsia="zh-CN"/>
              </w:rPr>
              <w:t>根据</w:t>
            </w:r>
            <w:r>
              <w:rPr>
                <w:rFonts w:hint="default"/>
                <w:lang w:val="en-US" w:eastAsia="zh-CN"/>
              </w:rPr>
              <w:t>《建设项目环境风险评价技术导则》（HJ169-2018）</w:t>
            </w:r>
            <w:r>
              <w:rPr>
                <w:rFonts w:hint="eastAsia"/>
                <w:lang w:val="en-US" w:eastAsia="zh-CN"/>
              </w:rPr>
              <w:t>附录B重点关注的危险物质及临界量，本项目储存的废机油属于表B.1突发环境事件风险物质，因此，本项目Q=57/2500=0.0228，环境风险</w:t>
            </w:r>
            <w:r>
              <w:rPr>
                <w:rFonts w:hint="default" w:ascii="Times New Roman" w:hAnsi="Times New Roman" w:eastAsia="宋体" w:cs="Times New Roman"/>
                <w:color w:val="auto"/>
                <w:sz w:val="24"/>
                <w:highlight w:val="none"/>
                <w:lang w:val="en-US" w:eastAsia="zh-CN"/>
              </w:rPr>
              <w:t>潜势为Ⅰ。</w:t>
            </w:r>
          </w:p>
          <w:p>
            <w:pPr>
              <w:pStyle w:val="5"/>
              <w:numPr>
                <w:ilvl w:val="2"/>
                <w:numId w:val="3"/>
              </w:numPr>
              <w:bidi w:val="0"/>
              <w:rPr>
                <w:rFonts w:hint="default"/>
                <w:highlight w:val="none"/>
                <w:lang w:val="en-US" w:eastAsia="zh-CN"/>
              </w:rPr>
            </w:pPr>
            <w:r>
              <w:rPr>
                <w:rFonts w:hint="eastAsia"/>
                <w:highlight w:val="none"/>
                <w:lang w:val="en-US" w:eastAsia="zh-CN"/>
              </w:rPr>
              <w:t>环境风险分析</w:t>
            </w:r>
          </w:p>
          <w:p>
            <w:pPr>
              <w:pStyle w:val="8"/>
              <w:rPr>
                <w:rFonts w:hint="eastAsia" w:cs="Times New Roman"/>
                <w:color w:val="auto"/>
                <w:sz w:val="24"/>
                <w:highlight w:val="none"/>
                <w:lang w:val="en-US" w:eastAsia="zh-CN"/>
              </w:rPr>
            </w:pPr>
            <w:r>
              <w:rPr>
                <w:rFonts w:hint="eastAsia"/>
                <w:lang w:val="en-US" w:eastAsia="zh-CN"/>
              </w:rPr>
              <w:t>根据</w:t>
            </w:r>
            <w:r>
              <w:rPr>
                <w:rFonts w:hint="default" w:ascii="Times New Roman" w:hAnsi="Times New Roman" w:eastAsia="宋体" w:cs="Times New Roman"/>
                <w:color w:val="auto"/>
                <w:sz w:val="24"/>
                <w:highlight w:val="none"/>
                <w:lang w:val="en-US" w:eastAsia="zh-CN"/>
              </w:rPr>
              <w:t>《建设项目环境风险评价技术导则》（HJ169-2018）</w:t>
            </w:r>
            <w:r>
              <w:rPr>
                <w:rFonts w:hint="eastAsia" w:cs="Times New Roman"/>
                <w:color w:val="auto"/>
                <w:sz w:val="24"/>
                <w:highlight w:val="none"/>
                <w:lang w:val="en-US" w:eastAsia="zh-CN"/>
              </w:rPr>
              <w:t>，本项目环境风险潜势为I，因此，本项目环境风险进行简单分析。简单分析内容见下表。</w:t>
            </w:r>
          </w:p>
          <w:p>
            <w:pPr>
              <w:pStyle w:val="30"/>
              <w:bidi w:val="0"/>
              <w:spacing w:line="240" w:lineRule="auto"/>
              <w:rPr>
                <w:rFonts w:hint="eastAsia"/>
                <w:lang w:val="en-US" w:eastAsia="zh-CN"/>
              </w:rPr>
            </w:pPr>
            <w:bookmarkStart w:id="84" w:name="_Ref22939"/>
            <w:r>
              <w:rPr>
                <w:rFonts w:hint="eastAsia"/>
                <w:lang w:val="en-US" w:eastAsia="zh-CN"/>
              </w:rPr>
              <w:t>建设项目环境风险简单分析内容表</w:t>
            </w:r>
            <w:bookmarkEnd w:id="84"/>
          </w:p>
          <w:tbl>
            <w:tblPr>
              <w:tblStyle w:val="25"/>
              <w:tblW w:w="4999"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4"/>
              <w:gridCol w:w="958"/>
              <w:gridCol w:w="2526"/>
              <w:gridCol w:w="856"/>
              <w:gridCol w:w="301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0" w:type="pct"/>
                  <w:tcBorders>
                    <w:top w:val="single" w:color="auto" w:sz="4" w:space="0"/>
                    <w:tl2br w:val="nil"/>
                    <w:tr2bl w:val="nil"/>
                  </w:tcBorders>
                  <w:vAlign w:val="center"/>
                </w:tcPr>
                <w:p>
                  <w:pPr>
                    <w:pStyle w:val="31"/>
                    <w:bidi w:val="0"/>
                    <w:rPr>
                      <w:rFonts w:hint="default"/>
                      <w:lang w:val="en-US" w:eastAsia="zh-CN"/>
                    </w:rPr>
                  </w:pPr>
                  <w:r>
                    <w:rPr>
                      <w:rFonts w:hint="eastAsia"/>
                      <w:lang w:val="en-US" w:eastAsia="zh-CN"/>
                    </w:rPr>
                    <w:t>建设项目名称</w:t>
                  </w:r>
                </w:p>
              </w:tc>
              <w:tc>
                <w:tcPr>
                  <w:tcW w:w="4099" w:type="pct"/>
                  <w:gridSpan w:val="4"/>
                  <w:tcBorders>
                    <w:top w:val="single" w:color="auto" w:sz="4" w:space="0"/>
                    <w:tl2br w:val="nil"/>
                    <w:tr2bl w:val="nil"/>
                  </w:tcBorders>
                  <w:vAlign w:val="center"/>
                </w:tcPr>
                <w:p>
                  <w:pPr>
                    <w:pStyle w:val="31"/>
                    <w:bidi w:val="0"/>
                    <w:rPr>
                      <w:rFonts w:hint="default"/>
                      <w:lang w:val="en-US" w:eastAsia="zh-CN"/>
                    </w:rPr>
                  </w:pPr>
                  <w:r>
                    <w:rPr>
                      <w:rFonts w:hint="default"/>
                      <w:lang w:val="en-US" w:eastAsia="zh-CN"/>
                    </w:rPr>
                    <w:t>年收集转运8000吨废矿物油、废机油项目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0" w:type="pct"/>
                  <w:tcBorders>
                    <w:tl2br w:val="nil"/>
                    <w:tr2bl w:val="nil"/>
                  </w:tcBorders>
                  <w:vAlign w:val="center"/>
                </w:tcPr>
                <w:p>
                  <w:pPr>
                    <w:pStyle w:val="31"/>
                    <w:bidi w:val="0"/>
                    <w:rPr>
                      <w:rFonts w:hint="default"/>
                      <w:lang w:val="en-US" w:eastAsia="zh-CN"/>
                    </w:rPr>
                  </w:pPr>
                  <w:r>
                    <w:rPr>
                      <w:rFonts w:hint="eastAsia"/>
                      <w:lang w:val="en-US" w:eastAsia="zh-CN"/>
                    </w:rPr>
                    <w:t>建设地点</w:t>
                  </w:r>
                </w:p>
              </w:tc>
              <w:tc>
                <w:tcPr>
                  <w:tcW w:w="4099" w:type="pct"/>
                  <w:gridSpan w:val="4"/>
                  <w:tcBorders>
                    <w:tl2br w:val="nil"/>
                    <w:tr2bl w:val="nil"/>
                  </w:tcBorders>
                  <w:vAlign w:val="center"/>
                </w:tcPr>
                <w:p>
                  <w:pPr>
                    <w:pStyle w:val="31"/>
                    <w:bidi w:val="0"/>
                    <w:rPr>
                      <w:rFonts w:hint="default"/>
                      <w:lang w:val="en-US" w:eastAsia="zh-CN"/>
                    </w:rPr>
                  </w:pPr>
                  <w:r>
                    <w:rPr>
                      <w:rFonts w:hint="default"/>
                      <w:lang w:val="en-US" w:eastAsia="zh-CN"/>
                    </w:rPr>
                    <w:t>福建省福州市闽侯县祥谦镇泮洋村祥宏中路20号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0" w:type="pct"/>
                  <w:tcBorders>
                    <w:tl2br w:val="nil"/>
                    <w:tr2bl w:val="nil"/>
                  </w:tcBorders>
                  <w:vAlign w:val="center"/>
                </w:tcPr>
                <w:p>
                  <w:pPr>
                    <w:pStyle w:val="31"/>
                    <w:bidi w:val="0"/>
                    <w:rPr>
                      <w:rFonts w:hint="eastAsia"/>
                      <w:lang w:val="en-US" w:eastAsia="zh-CN"/>
                    </w:rPr>
                  </w:pPr>
                  <w:r>
                    <w:rPr>
                      <w:rFonts w:hint="eastAsia"/>
                      <w:lang w:val="en-US" w:eastAsia="zh-CN"/>
                    </w:rPr>
                    <w:t>地理坐标</w:t>
                  </w:r>
                </w:p>
              </w:tc>
              <w:tc>
                <w:tcPr>
                  <w:tcW w:w="534" w:type="pct"/>
                  <w:tcBorders>
                    <w:tl2br w:val="nil"/>
                    <w:tr2bl w:val="nil"/>
                  </w:tcBorders>
                  <w:vAlign w:val="center"/>
                </w:tcPr>
                <w:p>
                  <w:pPr>
                    <w:pStyle w:val="31"/>
                    <w:bidi w:val="0"/>
                    <w:rPr>
                      <w:rFonts w:hint="eastAsia"/>
                      <w:lang w:val="en-US" w:eastAsia="zh-CN"/>
                    </w:rPr>
                  </w:pPr>
                  <w:r>
                    <w:rPr>
                      <w:rFonts w:hint="eastAsia"/>
                      <w:lang w:val="en-US" w:eastAsia="zh-CN"/>
                    </w:rPr>
                    <w:t>经度</w:t>
                  </w:r>
                </w:p>
              </w:tc>
              <w:tc>
                <w:tcPr>
                  <w:tcW w:w="1408" w:type="pct"/>
                  <w:tcBorders>
                    <w:tl2br w:val="nil"/>
                    <w:tr2bl w:val="nil"/>
                  </w:tcBorders>
                  <w:vAlign w:val="center"/>
                </w:tcPr>
                <w:p>
                  <w:pPr>
                    <w:pStyle w:val="31"/>
                    <w:bidi w:val="0"/>
                    <w:rPr>
                      <w:rFonts w:hint="default"/>
                      <w:lang w:val="en-US" w:eastAsia="zh-CN"/>
                    </w:rPr>
                  </w:pPr>
                  <w:r>
                    <w:rPr>
                      <w:rFonts w:hint="default"/>
                      <w:lang w:val="en-US" w:eastAsia="zh-CN"/>
                    </w:rPr>
                    <w:t>119°2</w:t>
                  </w:r>
                  <w:r>
                    <w:rPr>
                      <w:rFonts w:hint="eastAsia"/>
                      <w:lang w:val="en-US" w:eastAsia="zh-CN"/>
                    </w:rPr>
                    <w:t>2</w:t>
                  </w:r>
                  <w:r>
                    <w:rPr>
                      <w:rFonts w:hint="default"/>
                      <w:lang w:val="en-US" w:eastAsia="zh-CN"/>
                    </w:rPr>
                    <w:t>′4</w:t>
                  </w:r>
                  <w:r>
                    <w:rPr>
                      <w:rFonts w:hint="eastAsia"/>
                      <w:lang w:val="en-US" w:eastAsia="zh-CN"/>
                    </w:rPr>
                    <w:t>4</w:t>
                  </w:r>
                  <w:r>
                    <w:rPr>
                      <w:rFonts w:hint="default"/>
                      <w:lang w:val="en-US" w:eastAsia="zh-CN"/>
                    </w:rPr>
                    <w:t>.</w:t>
                  </w:r>
                  <w:r>
                    <w:rPr>
                      <w:rFonts w:hint="eastAsia"/>
                      <w:lang w:val="en-US" w:eastAsia="zh-CN"/>
                    </w:rPr>
                    <w:t>699</w:t>
                  </w:r>
                  <w:r>
                    <w:rPr>
                      <w:rFonts w:hint="default"/>
                      <w:lang w:val="en-US" w:eastAsia="zh-CN"/>
                    </w:rPr>
                    <w:t>″</w:t>
                  </w:r>
                </w:p>
              </w:tc>
              <w:tc>
                <w:tcPr>
                  <w:tcW w:w="477" w:type="pct"/>
                  <w:tcBorders>
                    <w:tl2br w:val="nil"/>
                    <w:tr2bl w:val="nil"/>
                  </w:tcBorders>
                  <w:vAlign w:val="center"/>
                </w:tcPr>
                <w:p>
                  <w:pPr>
                    <w:pStyle w:val="31"/>
                    <w:bidi w:val="0"/>
                    <w:rPr>
                      <w:rFonts w:hint="eastAsia"/>
                      <w:lang w:val="en-US" w:eastAsia="zh-CN"/>
                    </w:rPr>
                  </w:pPr>
                  <w:r>
                    <w:rPr>
                      <w:rFonts w:hint="eastAsia"/>
                      <w:lang w:val="en-US" w:eastAsia="zh-CN"/>
                    </w:rPr>
                    <w:t>纬度</w:t>
                  </w:r>
                </w:p>
              </w:tc>
              <w:tc>
                <w:tcPr>
                  <w:tcW w:w="1679" w:type="pct"/>
                  <w:tcBorders>
                    <w:tl2br w:val="nil"/>
                    <w:tr2bl w:val="nil"/>
                  </w:tcBorders>
                  <w:vAlign w:val="center"/>
                </w:tcPr>
                <w:p>
                  <w:pPr>
                    <w:pStyle w:val="31"/>
                    <w:bidi w:val="0"/>
                    <w:rPr>
                      <w:rFonts w:hint="default"/>
                      <w:lang w:val="en-US" w:eastAsia="zh-CN"/>
                    </w:rPr>
                  </w:pPr>
                  <w:r>
                    <w:rPr>
                      <w:rFonts w:hint="eastAsia" w:cs="Times New Roman"/>
                      <w:color w:val="auto"/>
                      <w:sz w:val="22"/>
                      <w:szCs w:val="22"/>
                      <w:highlight w:val="none"/>
                      <w:u w:val="none"/>
                      <w:lang w:val="en-US" w:eastAsia="zh-CN"/>
                    </w:rPr>
                    <w:t>25</w:t>
                  </w:r>
                  <w:r>
                    <w:rPr>
                      <w:rFonts w:hint="default"/>
                      <w:u w:val="none"/>
                      <w:lang w:val="en-US" w:eastAsia="zh-CN"/>
                    </w:rPr>
                    <w:t>°</w:t>
                  </w:r>
                  <w:r>
                    <w:rPr>
                      <w:rFonts w:hint="eastAsia" w:cs="Times New Roman"/>
                      <w:color w:val="auto"/>
                      <w:sz w:val="22"/>
                      <w:szCs w:val="22"/>
                      <w:highlight w:val="none"/>
                      <w:u w:val="none"/>
                      <w:lang w:val="en-US" w:eastAsia="zh-CN"/>
                    </w:rPr>
                    <w:t>55</w:t>
                  </w:r>
                  <w:r>
                    <w:rPr>
                      <w:rFonts w:hint="default"/>
                      <w:u w:val="none"/>
                      <w:lang w:val="en-US" w:eastAsia="zh-CN"/>
                    </w:rPr>
                    <w:t>′</w:t>
                  </w:r>
                  <w:r>
                    <w:rPr>
                      <w:rFonts w:hint="eastAsia" w:cs="Times New Roman"/>
                      <w:color w:val="auto"/>
                      <w:sz w:val="22"/>
                      <w:szCs w:val="22"/>
                      <w:highlight w:val="none"/>
                      <w:u w:val="none"/>
                      <w:lang w:val="en-US" w:eastAsia="zh-CN"/>
                    </w:rPr>
                    <w:t>58.621</w:t>
                  </w:r>
                  <w:r>
                    <w:rPr>
                      <w:rFonts w:hint="default"/>
                      <w:u w:val="none"/>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0" w:type="pct"/>
                  <w:tcBorders>
                    <w:tl2br w:val="nil"/>
                    <w:tr2bl w:val="nil"/>
                  </w:tcBorders>
                  <w:vAlign w:val="center"/>
                </w:tcPr>
                <w:p>
                  <w:pPr>
                    <w:pStyle w:val="31"/>
                    <w:bidi w:val="0"/>
                    <w:rPr>
                      <w:rFonts w:hint="default"/>
                      <w:lang w:val="en-US" w:eastAsia="zh-CN"/>
                    </w:rPr>
                  </w:pPr>
                  <w:r>
                    <w:rPr>
                      <w:rFonts w:hint="eastAsia"/>
                      <w:lang w:val="en-US" w:eastAsia="zh-CN"/>
                    </w:rPr>
                    <w:t>主要危险物质及分布</w:t>
                  </w:r>
                </w:p>
              </w:tc>
              <w:tc>
                <w:tcPr>
                  <w:tcW w:w="4099" w:type="pct"/>
                  <w:gridSpan w:val="4"/>
                  <w:tcBorders>
                    <w:tl2br w:val="nil"/>
                    <w:tr2bl w:val="nil"/>
                  </w:tcBorders>
                  <w:vAlign w:val="center"/>
                </w:tcPr>
                <w:p>
                  <w:pPr>
                    <w:pStyle w:val="31"/>
                    <w:bidi w:val="0"/>
                    <w:jc w:val="left"/>
                    <w:rPr>
                      <w:rFonts w:hint="default"/>
                      <w:lang w:val="en-US" w:eastAsia="zh-CN"/>
                    </w:rPr>
                  </w:pPr>
                  <w:r>
                    <w:rPr>
                      <w:rFonts w:hint="eastAsia"/>
                      <w:lang w:val="en-US" w:eastAsia="zh-CN"/>
                    </w:rPr>
                    <w:t>本项目危险物质为废机油，储存于储罐区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0" w:type="pct"/>
                  <w:tcBorders>
                    <w:tl2br w:val="nil"/>
                    <w:tr2bl w:val="nil"/>
                  </w:tcBorders>
                  <w:vAlign w:val="center"/>
                </w:tcPr>
                <w:p>
                  <w:pPr>
                    <w:pStyle w:val="31"/>
                    <w:bidi w:val="0"/>
                    <w:rPr>
                      <w:rFonts w:hint="default"/>
                      <w:lang w:val="en-US" w:eastAsia="zh-CN"/>
                    </w:rPr>
                  </w:pPr>
                  <w:r>
                    <w:rPr>
                      <w:rFonts w:hint="eastAsia"/>
                      <w:lang w:val="en-US" w:eastAsia="zh-CN"/>
                    </w:rPr>
                    <w:t>环境影响途径及危害后果</w:t>
                  </w:r>
                </w:p>
              </w:tc>
              <w:tc>
                <w:tcPr>
                  <w:tcW w:w="4099" w:type="pct"/>
                  <w:gridSpan w:val="4"/>
                  <w:tcBorders>
                    <w:tl2br w:val="nil"/>
                    <w:tr2bl w:val="nil"/>
                  </w:tcBorders>
                  <w:vAlign w:val="center"/>
                </w:tcPr>
                <w:p>
                  <w:pPr>
                    <w:pStyle w:val="31"/>
                    <w:bidi w:val="0"/>
                    <w:jc w:val="left"/>
                    <w:rPr>
                      <w:rFonts w:hint="eastAsia"/>
                      <w:lang w:val="en-US" w:eastAsia="zh-CN"/>
                    </w:rPr>
                  </w:pPr>
                  <w:r>
                    <w:rPr>
                      <w:rFonts w:hint="eastAsia"/>
                      <w:lang w:val="en-US" w:eastAsia="zh-CN"/>
                    </w:rPr>
                    <w:t>①管道泄漏：污染物排放至周围环境中，污染地表水；</w:t>
                  </w:r>
                </w:p>
                <w:p>
                  <w:pPr>
                    <w:pStyle w:val="31"/>
                    <w:bidi w:val="0"/>
                    <w:jc w:val="both"/>
                    <w:rPr>
                      <w:rFonts w:hint="eastAsia"/>
                      <w:lang w:val="en-US" w:eastAsia="zh-CN"/>
                    </w:rPr>
                  </w:pPr>
                  <w:r>
                    <w:rPr>
                      <w:rFonts w:hint="eastAsia"/>
                      <w:lang w:val="en-US" w:eastAsia="zh-CN"/>
                    </w:rPr>
                    <w:t>②事故排放：环保设施故障导致废气处理不达标直接排放至大气；</w:t>
                  </w:r>
                </w:p>
                <w:p>
                  <w:pPr>
                    <w:pStyle w:val="31"/>
                    <w:bidi w:val="0"/>
                    <w:jc w:val="left"/>
                    <w:rPr>
                      <w:rFonts w:hint="eastAsia"/>
                      <w:lang w:val="en-US" w:eastAsia="zh-CN"/>
                    </w:rPr>
                  </w:pPr>
                  <w:r>
                    <w:rPr>
                      <w:rFonts w:hint="eastAsia"/>
                      <w:lang w:val="en-US" w:eastAsia="zh-CN"/>
                    </w:rPr>
                    <w:t>③危废泄漏：污染物排放至周围环境中，污染地表水；</w:t>
                  </w:r>
                </w:p>
                <w:p>
                  <w:pPr>
                    <w:pStyle w:val="31"/>
                    <w:bidi w:val="0"/>
                    <w:jc w:val="left"/>
                    <w:rPr>
                      <w:rFonts w:hint="default"/>
                      <w:lang w:val="en-US" w:eastAsia="zh-CN"/>
                    </w:rPr>
                  </w:pPr>
                  <w:r>
                    <w:rPr>
                      <w:rFonts w:hint="eastAsia"/>
                      <w:lang w:val="en-US" w:eastAsia="zh-CN"/>
                    </w:rPr>
                    <w:t>④火灾：有机废气排放至大气，事故废水排放至周边环境，污染地表水。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0" w:type="pct"/>
                  <w:tcBorders>
                    <w:tl2br w:val="nil"/>
                    <w:tr2bl w:val="nil"/>
                  </w:tcBorders>
                  <w:vAlign w:val="center"/>
                </w:tcPr>
                <w:p>
                  <w:pPr>
                    <w:pStyle w:val="31"/>
                    <w:bidi w:val="0"/>
                    <w:rPr>
                      <w:rFonts w:hint="default"/>
                      <w:lang w:val="en-US" w:eastAsia="zh-CN"/>
                    </w:rPr>
                  </w:pPr>
                  <w:r>
                    <w:rPr>
                      <w:rFonts w:hint="eastAsia"/>
                      <w:lang w:val="en-US" w:eastAsia="zh-CN"/>
                    </w:rPr>
                    <w:t>风险防范措施</w:t>
                  </w:r>
                </w:p>
              </w:tc>
              <w:tc>
                <w:tcPr>
                  <w:tcW w:w="4099" w:type="pct"/>
                  <w:gridSpan w:val="4"/>
                  <w:tcBorders>
                    <w:tl2br w:val="nil"/>
                    <w:tr2bl w:val="nil"/>
                  </w:tcBorders>
                  <w:vAlign w:val="center"/>
                </w:tcPr>
                <w:p>
                  <w:pPr>
                    <w:pStyle w:val="31"/>
                    <w:bidi w:val="0"/>
                    <w:jc w:val="left"/>
                    <w:rPr>
                      <w:rFonts w:hint="default"/>
                      <w:lang w:val="en-US" w:eastAsia="zh-CN"/>
                    </w:rPr>
                  </w:pPr>
                  <w:r>
                    <w:rPr>
                      <w:rFonts w:hint="eastAsia"/>
                      <w:highlight w:val="none"/>
                      <w:lang w:val="en-US" w:eastAsia="zh-CN"/>
                    </w:rPr>
                    <w:t>详见</w:t>
                  </w:r>
                  <w:r>
                    <w:rPr>
                      <w:rFonts w:hint="eastAsia"/>
                      <w:highlight w:val="none"/>
                      <w:lang w:val="en-US" w:eastAsia="zh-CN"/>
                    </w:rPr>
                    <w:fldChar w:fldCharType="begin"/>
                  </w:r>
                  <w:r>
                    <w:rPr>
                      <w:rFonts w:hint="eastAsia"/>
                      <w:highlight w:val="none"/>
                      <w:lang w:val="en-US" w:eastAsia="zh-CN"/>
                    </w:rPr>
                    <w:instrText xml:space="preserve">REF_Ref30740\n\h</w:instrText>
                  </w:r>
                  <w:r>
                    <w:rPr>
                      <w:rFonts w:hint="eastAsia"/>
                      <w:highlight w:val="none"/>
                      <w:lang w:val="en-US" w:eastAsia="zh-CN"/>
                    </w:rPr>
                    <w:fldChar w:fldCharType="separate"/>
                  </w:r>
                  <w:r>
                    <w:rPr>
                      <w:rFonts w:hint="eastAsia"/>
                      <w:highlight w:val="none"/>
                      <w:lang w:val="en-US" w:eastAsia="zh-CN"/>
                    </w:rPr>
                    <w:t>6.3</w:t>
                  </w:r>
                  <w:r>
                    <w:rPr>
                      <w:rFonts w:hint="eastAsia"/>
                      <w:highlight w:val="none"/>
                      <w:lang w:val="en-US" w:eastAsia="zh-CN"/>
                    </w:rPr>
                    <w:fldChar w:fldCharType="end"/>
                  </w:r>
                  <w:r>
                    <w:rPr>
                      <w:rFonts w:hint="eastAsia"/>
                      <w:highlight w:val="none"/>
                      <w:lang w:val="en-US" w:eastAsia="zh-CN"/>
                    </w:rPr>
                    <w:fldChar w:fldCharType="begin"/>
                  </w:r>
                  <w:r>
                    <w:rPr>
                      <w:rFonts w:hint="eastAsia"/>
                      <w:highlight w:val="none"/>
                      <w:lang w:val="en-US" w:eastAsia="zh-CN"/>
                    </w:rPr>
                    <w:instrText xml:space="preserve">REF_Ref30740\h</w:instrText>
                  </w:r>
                  <w:r>
                    <w:rPr>
                      <w:rFonts w:hint="eastAsia"/>
                      <w:highlight w:val="none"/>
                      <w:lang w:val="en-US" w:eastAsia="zh-CN"/>
                    </w:rPr>
                    <w:fldChar w:fldCharType="separate"/>
                  </w:r>
                  <w:r>
                    <w:rPr>
                      <w:rFonts w:hint="eastAsia" w:cs="Times New Roman"/>
                      <w:color w:val="auto"/>
                      <w:highlight w:val="none"/>
                      <w:lang w:val="en-US" w:eastAsia="zh-CN"/>
                    </w:rPr>
                    <w:t>环境风险防范措施</w:t>
                  </w:r>
                  <w:r>
                    <w:rPr>
                      <w:rFonts w:hint="eastAsia"/>
                      <w:highlight w:val="none"/>
                      <w:lang w:val="en-US" w:eastAsia="zh-CN"/>
                    </w:rPr>
                    <w:fldChar w:fldCharType="end"/>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0" w:type="pct"/>
                  <w:tcBorders>
                    <w:tl2br w:val="nil"/>
                    <w:tr2bl w:val="nil"/>
                  </w:tcBorders>
                  <w:vAlign w:val="center"/>
                </w:tcPr>
                <w:p>
                  <w:pPr>
                    <w:pStyle w:val="31"/>
                    <w:bidi w:val="0"/>
                    <w:rPr>
                      <w:rFonts w:hint="eastAsia"/>
                      <w:lang w:val="en-US" w:eastAsia="zh-CN"/>
                    </w:rPr>
                  </w:pPr>
                  <w:r>
                    <w:rPr>
                      <w:rFonts w:hint="eastAsia"/>
                      <w:lang w:val="en-US" w:eastAsia="zh-CN"/>
                    </w:rPr>
                    <w:t>填表说明</w:t>
                  </w:r>
                </w:p>
              </w:tc>
              <w:tc>
                <w:tcPr>
                  <w:tcW w:w="4099" w:type="pct"/>
                  <w:gridSpan w:val="4"/>
                  <w:tcBorders>
                    <w:tl2br w:val="nil"/>
                    <w:tr2bl w:val="nil"/>
                  </w:tcBorders>
                  <w:vAlign w:val="center"/>
                </w:tcPr>
                <w:p>
                  <w:pPr>
                    <w:pStyle w:val="31"/>
                    <w:bidi w:val="0"/>
                    <w:jc w:val="left"/>
                    <w:rPr>
                      <w:rFonts w:hint="default"/>
                      <w:lang w:val="en-US" w:eastAsia="zh-CN"/>
                    </w:rPr>
                  </w:pPr>
                  <w:r>
                    <w:rPr>
                      <w:rFonts w:hint="eastAsia"/>
                      <w:lang w:val="en-US" w:eastAsia="zh-CN"/>
                    </w:rPr>
                    <w:t>本项目Q=0.0196</w:t>
                  </w:r>
                  <w:r>
                    <w:rPr>
                      <w:rFonts w:hint="eastAsia" w:ascii="微软雅黑" w:hAnsi="微软雅黑" w:eastAsia="微软雅黑" w:cs="微软雅黑"/>
                      <w:lang w:val="en-US" w:eastAsia="zh-CN"/>
                    </w:rPr>
                    <w:t>&lt;</w:t>
                  </w:r>
                  <w:r>
                    <w:rPr>
                      <w:rFonts w:hint="eastAsia"/>
                      <w:lang w:val="en-US" w:eastAsia="zh-CN"/>
                    </w:rPr>
                    <w:t>1</w:t>
                  </w:r>
                  <w:r>
                    <w:rPr>
                      <w:rFonts w:hint="default"/>
                      <w:lang w:val="en-US" w:eastAsia="zh-CN"/>
                    </w:rPr>
                    <w:t>，环境风险潜势为I。</w:t>
                  </w:r>
                </w:p>
              </w:tc>
            </w:tr>
          </w:tbl>
          <w:p>
            <w:pPr>
              <w:pStyle w:val="5"/>
              <w:numPr>
                <w:ilvl w:val="2"/>
                <w:numId w:val="3"/>
              </w:numPr>
              <w:bidi w:val="0"/>
              <w:rPr>
                <w:rFonts w:hint="default" w:ascii="Times New Roman" w:hAnsi="Times New Roman" w:eastAsia="宋体" w:cs="Times New Roman"/>
                <w:color w:val="auto"/>
                <w:highlight w:val="none"/>
                <w:lang w:eastAsia="zh-CN"/>
              </w:rPr>
            </w:pPr>
            <w:bookmarkStart w:id="85" w:name="_Ref30740"/>
            <w:r>
              <w:rPr>
                <w:rFonts w:hint="eastAsia" w:cs="Times New Roman"/>
                <w:color w:val="auto"/>
                <w:highlight w:val="none"/>
                <w:lang w:val="en-US" w:eastAsia="zh-CN"/>
              </w:rPr>
              <w:t>环境风险防范措施</w:t>
            </w:r>
            <w:bookmarkEnd w:id="85"/>
          </w:p>
          <w:p>
            <w:pPr>
              <w:pStyle w:val="8"/>
              <w:numPr>
                <w:ilvl w:val="0"/>
                <w:numId w:val="17"/>
              </w:numPr>
              <w:bidi w:val="0"/>
              <w:rPr>
                <w:rFonts w:hint="eastAsia"/>
                <w:lang w:val="en-US" w:eastAsia="zh-CN"/>
              </w:rPr>
            </w:pPr>
            <w:r>
              <w:rPr>
                <w:rFonts w:hint="eastAsia"/>
                <w:lang w:val="en-US" w:eastAsia="zh-CN"/>
              </w:rPr>
              <w:t>运输过程风险防范措施</w:t>
            </w:r>
          </w:p>
          <w:p>
            <w:pPr>
              <w:pStyle w:val="8"/>
              <w:bidi w:val="0"/>
            </w:pPr>
            <w:r>
              <w:rPr>
                <w:rFonts w:hint="eastAsia"/>
                <w:lang w:val="en-US" w:eastAsia="zh-CN"/>
              </w:rPr>
              <w:t>①建设单位废机油的收集委托</w:t>
            </w:r>
            <w:r>
              <w:rPr>
                <w:rFonts w:hint="eastAsia"/>
              </w:rPr>
              <w:t>福建省昊辰物流有限公司进行危废运输（</w:t>
            </w:r>
            <w:r>
              <w:rPr>
                <w:rFonts w:hint="eastAsia"/>
                <w:lang w:val="en-US" w:eastAsia="zh-CN"/>
              </w:rPr>
              <w:t>危废</w:t>
            </w:r>
            <w:r>
              <w:rPr>
                <w:rFonts w:hint="eastAsia"/>
              </w:rPr>
              <w:t>收集运输合同见附件8）</w:t>
            </w:r>
            <w:r>
              <w:rPr>
                <w:rFonts w:hint="eastAsia"/>
                <w:lang w:val="en-US" w:eastAsia="zh-CN"/>
              </w:rPr>
              <w:t>；废机油最终危废处置单位为</w:t>
            </w:r>
            <w:r>
              <w:rPr>
                <w:rFonts w:hint="eastAsia"/>
                <w:highlight w:val="none"/>
                <w:lang w:val="en-US" w:eastAsia="zh-CN"/>
              </w:rPr>
              <w:t>尤溪县鑫辉润滑油再生利用有限公司（废机油转运由其</w:t>
            </w:r>
            <w:r>
              <w:rPr>
                <w:rFonts w:hint="eastAsia"/>
                <w:lang w:val="en-US" w:eastAsia="zh-CN"/>
              </w:rPr>
              <w:t>委托</w:t>
            </w:r>
            <w:r>
              <w:rPr>
                <w:rFonts w:hint="eastAsia"/>
                <w:highlight w:val="none"/>
                <w:lang w:val="en-US" w:eastAsia="zh-CN"/>
              </w:rPr>
              <w:t>尤溪县鸿达物流有限公司，详见附件6、附件7）。危废运输单位均</w:t>
            </w:r>
            <w:r>
              <w:rPr>
                <w:rFonts w:hint="eastAsia"/>
                <w:lang w:val="en-US" w:eastAsia="zh-CN"/>
              </w:rPr>
              <w:t>具有危险废物运输资质的货运车辆运输，运输过程必须向相关公路管理站和公安部门申报，按照规定路线进行运输，路线应尽量避免经过医院、学校和大型居民区等人口密集区，不得穿越饮用水水源保护区、自然保护区等敏感区域。</w:t>
            </w:r>
          </w:p>
          <w:p>
            <w:pPr>
              <w:pStyle w:val="8"/>
              <w:bidi w:val="0"/>
            </w:pPr>
            <w:r>
              <w:rPr>
                <w:rFonts w:hint="eastAsia"/>
                <w:lang w:val="en-US" w:eastAsia="zh-CN"/>
              </w:rPr>
              <w:t>②运输前应检查运输设备和盛装容器的稳定性、严密性，确保运输途中不会破裂、倾倒和溢流。</w:t>
            </w:r>
          </w:p>
          <w:p>
            <w:pPr>
              <w:pStyle w:val="8"/>
              <w:bidi w:val="0"/>
            </w:pPr>
            <w:r>
              <w:rPr>
                <w:rFonts w:hint="eastAsia"/>
                <w:lang w:val="en-US" w:eastAsia="zh-CN"/>
              </w:rPr>
              <w:t>③危险废物转移全面实行网上报告制和转移电子联单制，实行危险废物出入口及转移信息化监控。</w:t>
            </w:r>
          </w:p>
          <w:p>
            <w:pPr>
              <w:pStyle w:val="8"/>
              <w:numPr>
                <w:ilvl w:val="0"/>
                <w:numId w:val="17"/>
              </w:numPr>
              <w:bidi w:val="0"/>
              <w:rPr>
                <w:rFonts w:hint="default"/>
                <w:lang w:val="en-US" w:eastAsia="zh-CN"/>
              </w:rPr>
            </w:pPr>
            <w:r>
              <w:rPr>
                <w:rFonts w:hint="eastAsia"/>
                <w:lang w:val="en-US" w:eastAsia="zh-CN"/>
              </w:rPr>
              <w:t>贮存过程风险防范措施</w:t>
            </w:r>
          </w:p>
          <w:p>
            <w:pPr>
              <w:pStyle w:val="8"/>
              <w:bidi w:val="0"/>
              <w:rPr>
                <w:rFonts w:hint="default"/>
                <w:lang w:val="en-US" w:eastAsia="zh-CN"/>
              </w:rPr>
            </w:pPr>
            <w:r>
              <w:rPr>
                <w:rFonts w:hint="eastAsia"/>
                <w:lang w:val="en-US" w:eastAsia="zh-CN"/>
              </w:rPr>
              <w:t>①</w:t>
            </w:r>
            <w:r>
              <w:rPr>
                <w:rFonts w:hint="default"/>
                <w:lang w:val="en-US" w:eastAsia="zh-CN"/>
              </w:rPr>
              <w:t>项目液态贮存区四周的围堰和废液收集沟将根据《危险废物贮存污染控制标准》（GB18597-2001）中的要求采取防渗、防腐措施。</w:t>
            </w:r>
          </w:p>
          <w:p>
            <w:pPr>
              <w:pStyle w:val="8"/>
              <w:bidi w:val="0"/>
              <w:rPr>
                <w:rFonts w:hint="default"/>
                <w:lang w:val="en-US" w:eastAsia="zh-CN"/>
              </w:rPr>
            </w:pPr>
            <w:r>
              <w:rPr>
                <w:rFonts w:hint="eastAsia"/>
                <w:lang w:val="en-US" w:eastAsia="zh-CN"/>
              </w:rPr>
              <w:t>②</w:t>
            </w:r>
            <w:r>
              <w:rPr>
                <w:rFonts w:hint="default"/>
                <w:lang w:val="en-US" w:eastAsia="zh-CN"/>
              </w:rPr>
              <w:t>企业废油、液态危废储存区若发生泄漏，泄漏的废油、废液流入周边土壤时，企业应将受到污染的土壤收集，并交由相应的危废处理单位处置。</w:t>
            </w:r>
          </w:p>
          <w:p>
            <w:pPr>
              <w:pStyle w:val="8"/>
              <w:bidi w:val="0"/>
              <w:rPr>
                <w:rFonts w:hint="default"/>
                <w:lang w:val="en-US" w:eastAsia="zh-CN"/>
              </w:rPr>
            </w:pPr>
            <w:r>
              <w:rPr>
                <w:rFonts w:hint="eastAsia"/>
                <w:lang w:val="en-US" w:eastAsia="zh-CN"/>
              </w:rPr>
              <w:t>③</w:t>
            </w:r>
            <w:r>
              <w:rPr>
                <w:rFonts w:hint="default"/>
                <w:lang w:val="en-US" w:eastAsia="zh-CN"/>
              </w:rPr>
              <w:t>储存区必须设有明显的标志。</w:t>
            </w:r>
          </w:p>
          <w:p>
            <w:pPr>
              <w:pStyle w:val="8"/>
              <w:bidi w:val="0"/>
              <w:rPr>
                <w:rFonts w:hint="default"/>
                <w:lang w:val="en-US" w:eastAsia="zh-CN"/>
              </w:rPr>
            </w:pPr>
            <w:r>
              <w:rPr>
                <w:rFonts w:hint="eastAsia"/>
                <w:lang w:val="en-US" w:eastAsia="zh-CN"/>
              </w:rPr>
              <w:t>④</w:t>
            </w:r>
            <w:r>
              <w:rPr>
                <w:rFonts w:hint="default"/>
                <w:lang w:val="en-US" w:eastAsia="zh-CN"/>
              </w:rPr>
              <w:t>各类废液还应配备备用容器，一旦发生液态危险废物泄漏时，立即组织人员对泄漏的废液进行收集转移至备用容器内，收集后废液送有资质单位进行处理。</w:t>
            </w:r>
          </w:p>
          <w:p>
            <w:pPr>
              <w:pStyle w:val="8"/>
              <w:bidi w:val="0"/>
              <w:rPr>
                <w:rFonts w:hint="default"/>
                <w:lang w:val="en-US" w:eastAsia="zh-CN"/>
              </w:rPr>
            </w:pPr>
            <w:r>
              <w:rPr>
                <w:rFonts w:hint="eastAsia"/>
                <w:lang w:val="en-US" w:eastAsia="zh-CN"/>
              </w:rPr>
              <w:t>⑤</w:t>
            </w:r>
            <w:r>
              <w:rPr>
                <w:rFonts w:hint="default"/>
                <w:lang w:val="en-US" w:eastAsia="zh-CN"/>
              </w:rPr>
              <w:t>盛装危险废物的容器上必须粘贴相应危险废物标志。贮存设施都必须按《环境保护图形标志固体废物贮存</w:t>
            </w:r>
            <w:r>
              <w:rPr>
                <w:rFonts w:hint="eastAsia"/>
                <w:lang w:val="en-US" w:eastAsia="zh-CN"/>
              </w:rPr>
              <w:t>（</w:t>
            </w:r>
            <w:r>
              <w:rPr>
                <w:rFonts w:hint="default"/>
                <w:lang w:val="en-US" w:eastAsia="zh-CN"/>
              </w:rPr>
              <w:t>处置</w:t>
            </w:r>
            <w:r>
              <w:rPr>
                <w:rFonts w:hint="eastAsia"/>
                <w:lang w:val="en-US" w:eastAsia="zh-CN"/>
              </w:rPr>
              <w:t>）</w:t>
            </w:r>
            <w:r>
              <w:rPr>
                <w:rFonts w:hint="default"/>
                <w:lang w:val="en-US" w:eastAsia="zh-CN"/>
              </w:rPr>
              <w:t>场》（GB</w:t>
            </w:r>
            <w:r>
              <w:rPr>
                <w:rFonts w:hint="eastAsia"/>
                <w:lang w:val="en-US" w:eastAsia="zh-CN"/>
              </w:rPr>
              <w:t>1</w:t>
            </w:r>
            <w:r>
              <w:rPr>
                <w:rFonts w:hint="default"/>
                <w:lang w:val="en-US" w:eastAsia="zh-CN"/>
              </w:rPr>
              <w:t>5562</w:t>
            </w:r>
            <w:r>
              <w:rPr>
                <w:rFonts w:hint="eastAsia"/>
                <w:lang w:val="en-US" w:eastAsia="zh-CN"/>
              </w:rPr>
              <w:t>.</w:t>
            </w:r>
            <w:r>
              <w:rPr>
                <w:rFonts w:hint="default"/>
                <w:lang w:val="en-US" w:eastAsia="zh-CN"/>
              </w:rPr>
              <w:t>2-1995）</w:t>
            </w:r>
            <w:r>
              <w:rPr>
                <w:rFonts w:hint="eastAsia"/>
                <w:lang w:val="en-US" w:eastAsia="zh-CN"/>
              </w:rPr>
              <w:t>及其修改单</w:t>
            </w:r>
            <w:r>
              <w:rPr>
                <w:rFonts w:hint="default"/>
                <w:lang w:val="en-US" w:eastAsia="zh-CN"/>
              </w:rPr>
              <w:t>的规定设置警示标志。储存区的消防设施、用电设施、防雷防静电等必须符合国家规定的安全要求。</w:t>
            </w:r>
          </w:p>
          <w:p>
            <w:pPr>
              <w:pStyle w:val="8"/>
              <w:bidi w:val="0"/>
              <w:rPr>
                <w:rFonts w:hint="default"/>
                <w:lang w:val="en-US" w:eastAsia="zh-CN"/>
              </w:rPr>
            </w:pPr>
            <w:r>
              <w:rPr>
                <w:rFonts w:hint="eastAsia"/>
                <w:lang w:val="en-US" w:eastAsia="zh-CN"/>
              </w:rPr>
              <w:t>⑥</w:t>
            </w:r>
            <w:r>
              <w:rPr>
                <w:rFonts w:hint="default"/>
                <w:lang w:val="en-US" w:eastAsia="zh-CN"/>
              </w:rPr>
              <w:t>如实记载每批危险废物的来源、数量、特性和包装容器的类别、入库日期、存放库位、废物出库日期及接受单位名称。控制好储存区的稳定</w:t>
            </w:r>
            <w:r>
              <w:rPr>
                <w:rFonts w:hint="eastAsia"/>
                <w:lang w:val="en-US" w:eastAsia="zh-CN"/>
              </w:rPr>
              <w:t>，</w:t>
            </w:r>
            <w:r>
              <w:rPr>
                <w:rFonts w:hint="default"/>
                <w:lang w:val="en-US" w:eastAsia="zh-CN"/>
              </w:rPr>
              <w:t>装卸、搬运时应轻装轻卸，注意自我防护。定期对所暂存的容器及暂存设施进行</w:t>
            </w:r>
            <w:r>
              <w:rPr>
                <w:rFonts w:hint="eastAsia"/>
                <w:lang w:val="en-US" w:eastAsia="zh-CN"/>
              </w:rPr>
              <w:t>检查</w:t>
            </w:r>
            <w:r>
              <w:rPr>
                <w:rFonts w:hint="default"/>
                <w:lang w:val="en-US" w:eastAsia="zh-CN"/>
              </w:rPr>
              <w:t>，发现破损应及时采取措施清理更换。</w:t>
            </w:r>
          </w:p>
          <w:p>
            <w:pPr>
              <w:pStyle w:val="8"/>
              <w:bidi w:val="0"/>
              <w:rPr>
                <w:rFonts w:hint="default"/>
                <w:lang w:val="en-US" w:eastAsia="zh-CN"/>
              </w:rPr>
            </w:pPr>
            <w:r>
              <w:rPr>
                <w:rFonts w:hint="eastAsia"/>
                <w:lang w:val="en-US" w:eastAsia="zh-CN"/>
              </w:rPr>
              <w:t>⑦</w:t>
            </w:r>
            <w:r>
              <w:rPr>
                <w:rFonts w:hint="default"/>
                <w:lang w:val="en-US" w:eastAsia="zh-CN"/>
              </w:rPr>
              <w:t>液态的危险废物储存区若发生泄漏，泄漏的液态或半液态的危险废物流入周边土壤时，企业应将受到污染的土壤收集，收集的土壤应作为危险固废交由相应的危险废物处理单位处置。</w:t>
            </w:r>
          </w:p>
          <w:p>
            <w:pPr>
              <w:pStyle w:val="8"/>
              <w:bidi w:val="0"/>
              <w:rPr>
                <w:rFonts w:hint="default"/>
                <w:lang w:val="en-US" w:eastAsia="zh-CN"/>
              </w:rPr>
            </w:pPr>
            <w:r>
              <w:rPr>
                <w:rFonts w:hint="eastAsia"/>
                <w:lang w:val="en-US" w:eastAsia="zh-CN"/>
              </w:rPr>
              <w:t>⑧</w:t>
            </w:r>
            <w:r>
              <w:rPr>
                <w:rFonts w:hint="default"/>
                <w:lang w:val="en-US" w:eastAsia="zh-CN"/>
              </w:rPr>
              <w:t>储存区内配备足够数量的消防设备、干粉灭火器和灭火药剂等，值班人员应经过培训，除了具有一般消防知识之外，还应熟悉危险废物的种类、特性、贮存地点、事故的处理程序及方法。</w:t>
            </w:r>
          </w:p>
          <w:p>
            <w:pPr>
              <w:pStyle w:val="8"/>
              <w:bidi w:val="0"/>
              <w:rPr>
                <w:rFonts w:hint="default"/>
                <w:lang w:val="en-US" w:eastAsia="zh-CN"/>
              </w:rPr>
            </w:pPr>
            <w:r>
              <w:rPr>
                <w:rFonts w:hint="eastAsia"/>
                <w:lang w:val="en-US" w:eastAsia="zh-CN"/>
              </w:rPr>
              <w:t>⑨</w:t>
            </w:r>
            <w:r>
              <w:rPr>
                <w:rFonts w:hint="default"/>
                <w:lang w:val="en-US" w:eastAsia="zh-CN"/>
              </w:rPr>
              <w:t>设置通风窗，并配备强制通风装置如电风扇等，日常可使用通风窗通风，大雨时需关闭通风窗，使用风扇强制通风。夏季温度过高时也应使用风扇强制通风。储存区内灯具必须为冷光源，防爆灯具。项目产生的固体废物遵循资源化、减量化和无害化的处置原则，所采取的措施基本合理可行，建设单位应落实实施。</w:t>
            </w:r>
          </w:p>
          <w:p>
            <w:pPr>
              <w:pStyle w:val="8"/>
              <w:numPr>
                <w:ilvl w:val="0"/>
                <w:numId w:val="17"/>
              </w:numPr>
              <w:bidi w:val="0"/>
              <w:rPr>
                <w:rFonts w:hint="default"/>
                <w:lang w:val="en-US" w:eastAsia="zh-CN"/>
              </w:rPr>
            </w:pPr>
            <w:r>
              <w:rPr>
                <w:rFonts w:hint="eastAsia"/>
                <w:lang w:val="en-US" w:eastAsia="zh-CN"/>
              </w:rPr>
              <w:t>火灾风险防范措施</w:t>
            </w:r>
          </w:p>
          <w:p>
            <w:pPr>
              <w:pStyle w:val="8"/>
              <w:bidi w:val="0"/>
              <w:rPr>
                <w:rFonts w:hint="default"/>
                <w:lang w:val="en-US" w:eastAsia="zh-CN"/>
              </w:rPr>
            </w:pPr>
            <w:r>
              <w:rPr>
                <w:rFonts w:hint="eastAsia"/>
                <w:lang w:val="en-US" w:eastAsia="zh-CN"/>
              </w:rPr>
              <w:t>①</w:t>
            </w:r>
            <w:r>
              <w:rPr>
                <w:rFonts w:hint="default"/>
                <w:lang w:val="en-US" w:eastAsia="zh-CN"/>
              </w:rPr>
              <w:t>发生火灾，采用二氧化碳、干粉、泡沫灭火，将火源隔离从而达到扑灭火源的目的，火灾后遗留现场需清理彻底，避免再次发生火灾。</w:t>
            </w:r>
          </w:p>
          <w:p>
            <w:pPr>
              <w:pStyle w:val="8"/>
              <w:bidi w:val="0"/>
              <w:rPr>
                <w:rFonts w:hint="default"/>
                <w:lang w:val="en-US" w:eastAsia="zh-CN"/>
              </w:rPr>
            </w:pPr>
            <w:r>
              <w:rPr>
                <w:rFonts w:hint="eastAsia"/>
                <w:lang w:val="en-US" w:eastAsia="zh-CN"/>
              </w:rPr>
              <w:t>②</w:t>
            </w:r>
            <w:r>
              <w:rPr>
                <w:rFonts w:hint="default"/>
                <w:lang w:val="en-US" w:eastAsia="zh-CN"/>
              </w:rPr>
              <w:t>库房地面应做防渗处理，</w:t>
            </w:r>
            <w:r>
              <w:rPr>
                <w:rFonts w:hint="eastAsia"/>
                <w:lang w:val="en-US" w:eastAsia="zh-CN"/>
              </w:rPr>
              <w:t>布设</w:t>
            </w:r>
            <w:r>
              <w:rPr>
                <w:rFonts w:hint="default"/>
                <w:lang w:val="en-US" w:eastAsia="zh-CN"/>
              </w:rPr>
              <w:t>排水管道，并加强通风，同时设明显标识。</w:t>
            </w:r>
          </w:p>
          <w:p>
            <w:pPr>
              <w:pStyle w:val="8"/>
              <w:bidi w:val="0"/>
              <w:rPr>
                <w:rFonts w:hint="default"/>
                <w:lang w:val="en-US" w:eastAsia="zh-CN"/>
              </w:rPr>
            </w:pPr>
            <w:r>
              <w:rPr>
                <w:rFonts w:hint="eastAsia"/>
                <w:lang w:val="en-US" w:eastAsia="zh-CN"/>
              </w:rPr>
              <w:t>③</w:t>
            </w:r>
            <w:r>
              <w:rPr>
                <w:rFonts w:hint="default"/>
                <w:lang w:val="en-US" w:eastAsia="zh-CN"/>
              </w:rPr>
              <w:t>项目使用</w:t>
            </w:r>
            <w:r>
              <w:rPr>
                <w:rFonts w:hint="eastAsia"/>
                <w:lang w:val="en-US" w:eastAsia="zh-CN"/>
              </w:rPr>
              <w:t>2</w:t>
            </w:r>
            <w:r>
              <w:rPr>
                <w:rFonts w:hint="default"/>
                <w:lang w:val="en-US" w:eastAsia="zh-CN"/>
              </w:rPr>
              <w:t>个</w:t>
            </w:r>
            <w:r>
              <w:rPr>
                <w:rFonts w:hint="eastAsia"/>
                <w:lang w:val="en-US" w:eastAsia="zh-CN"/>
              </w:rPr>
              <w:t>直径3</w:t>
            </w:r>
            <w:r>
              <w:rPr>
                <w:rFonts w:hint="default"/>
                <w:lang w:val="en-US" w:eastAsia="zh-CN"/>
              </w:rPr>
              <w:t>m的丙类储罐，直径</w:t>
            </w:r>
            <w:r>
              <w:rPr>
                <w:rFonts w:hint="eastAsia"/>
                <w:lang w:val="en-US" w:eastAsia="zh-CN"/>
              </w:rPr>
              <w:t>3</w:t>
            </w:r>
            <w:r>
              <w:rPr>
                <w:rFonts w:hint="default"/>
                <w:lang w:val="en-US" w:eastAsia="zh-CN"/>
              </w:rPr>
              <w:t>m罐体之间至少保持1.</w:t>
            </w:r>
            <w:r>
              <w:rPr>
                <w:rFonts w:hint="eastAsia"/>
                <w:lang w:val="en-US" w:eastAsia="zh-CN"/>
              </w:rPr>
              <w:t>2</w:t>
            </w:r>
            <w:r>
              <w:rPr>
                <w:rFonts w:hint="default"/>
                <w:lang w:val="en-US" w:eastAsia="zh-CN"/>
              </w:rPr>
              <w:t>m的间距，符合防范安全事故要求，有应急救援设施及救援通道，便于应急疏散。</w:t>
            </w:r>
          </w:p>
          <w:p>
            <w:pPr>
              <w:pStyle w:val="8"/>
              <w:bidi w:val="0"/>
              <w:rPr>
                <w:rFonts w:hint="default"/>
                <w:lang w:val="en-US" w:eastAsia="zh-CN"/>
              </w:rPr>
            </w:pPr>
            <w:r>
              <w:rPr>
                <w:rFonts w:hint="eastAsia"/>
                <w:lang w:val="en-US" w:eastAsia="zh-CN"/>
              </w:rPr>
              <w:t>④</w:t>
            </w:r>
            <w:r>
              <w:rPr>
                <w:rFonts w:hint="default"/>
                <w:lang w:val="en-US" w:eastAsia="zh-CN"/>
              </w:rPr>
              <w:t>加强企业管理，规范操作规程，车间内禁止烟火。</w:t>
            </w:r>
          </w:p>
          <w:p>
            <w:pPr>
              <w:pStyle w:val="8"/>
              <w:bidi w:val="0"/>
              <w:rPr>
                <w:rFonts w:hint="default"/>
                <w:lang w:val="en-US" w:eastAsia="zh-CN"/>
              </w:rPr>
            </w:pPr>
            <w:r>
              <w:rPr>
                <w:rFonts w:hint="eastAsia"/>
                <w:lang w:val="en-US" w:eastAsia="zh-CN"/>
              </w:rPr>
              <w:t>⑤</w:t>
            </w:r>
            <w:r>
              <w:rPr>
                <w:rFonts w:hint="default"/>
                <w:lang w:val="en-US" w:eastAsia="zh-CN"/>
              </w:rPr>
              <w:t>应有完备的应急环境监测、抢救、救援及控制措施，并配备应急救援保障设施和装备。</w:t>
            </w:r>
          </w:p>
          <w:p>
            <w:pPr>
              <w:pStyle w:val="8"/>
              <w:bidi w:val="0"/>
              <w:rPr>
                <w:rFonts w:hint="default"/>
                <w:lang w:val="en-US" w:eastAsia="zh-CN"/>
              </w:rPr>
            </w:pPr>
            <w:r>
              <w:rPr>
                <w:rFonts w:hint="eastAsia"/>
                <w:lang w:val="en-US" w:eastAsia="zh-CN"/>
              </w:rPr>
              <w:t>⑥</w:t>
            </w:r>
            <w:r>
              <w:rPr>
                <w:rFonts w:hint="default"/>
                <w:lang w:val="en-US" w:eastAsia="zh-CN"/>
              </w:rPr>
              <w:t>设置合理的安全距离，保证仓库的气体能良好流通。</w:t>
            </w:r>
          </w:p>
          <w:p>
            <w:pPr>
              <w:pStyle w:val="8"/>
              <w:bidi w:val="0"/>
              <w:rPr>
                <w:rFonts w:hint="default"/>
                <w:lang w:val="en-US" w:eastAsia="zh-CN"/>
              </w:rPr>
            </w:pPr>
            <w:r>
              <w:rPr>
                <w:rFonts w:hint="eastAsia"/>
                <w:lang w:val="en-US" w:eastAsia="zh-CN"/>
              </w:rPr>
              <w:t>⑦</w:t>
            </w:r>
            <w:r>
              <w:rPr>
                <w:rFonts w:hint="default"/>
                <w:lang w:val="en-US" w:eastAsia="zh-CN"/>
              </w:rPr>
              <w:t>在厂内储罐区设</w:t>
            </w:r>
            <w:r>
              <w:rPr>
                <w:rFonts w:hint="eastAsia"/>
                <w:lang w:val="en-US" w:eastAsia="zh-CN"/>
              </w:rPr>
              <w:t>置</w:t>
            </w:r>
            <w:r>
              <w:rPr>
                <w:rFonts w:hint="default"/>
                <w:lang w:val="en-US" w:eastAsia="zh-CN"/>
              </w:rPr>
              <w:t>一个可燃气体报警器</w:t>
            </w:r>
            <w:r>
              <w:rPr>
                <w:rFonts w:hint="eastAsia"/>
                <w:lang w:val="en-US" w:eastAsia="zh-CN"/>
              </w:rPr>
              <w:t>。</w:t>
            </w:r>
          </w:p>
          <w:p>
            <w:pPr>
              <w:pStyle w:val="8"/>
              <w:numPr>
                <w:ilvl w:val="0"/>
                <w:numId w:val="17"/>
              </w:numPr>
              <w:bidi w:val="0"/>
              <w:rPr>
                <w:rFonts w:hint="default"/>
                <w:lang w:val="en-US" w:eastAsia="zh-CN"/>
              </w:rPr>
            </w:pPr>
            <w:r>
              <w:rPr>
                <w:rFonts w:hint="eastAsia"/>
                <w:lang w:val="en-US" w:eastAsia="zh-CN"/>
              </w:rPr>
              <w:t>事故泄漏防控措施</w:t>
            </w:r>
          </w:p>
          <w:p>
            <w:pPr>
              <w:pStyle w:val="8"/>
              <w:bidi w:val="0"/>
              <w:rPr>
                <w:rFonts w:hint="default"/>
                <w:lang w:val="en-US" w:eastAsia="zh-CN"/>
              </w:rPr>
            </w:pPr>
            <w:r>
              <w:rPr>
                <w:rFonts w:hint="eastAsia"/>
                <w:lang w:val="en-US" w:eastAsia="zh-CN"/>
              </w:rPr>
              <w:t>本项目在建设有围堰、事故应急池、导流管等事故泄漏防控措施，事故废水排放分析如下：</w:t>
            </w:r>
          </w:p>
          <w:p>
            <w:pPr>
              <w:pStyle w:val="8"/>
              <w:bidi w:val="0"/>
              <w:rPr>
                <w:rFonts w:hint="default"/>
                <w:lang w:val="en-US" w:eastAsia="zh-CN"/>
              </w:rPr>
            </w:pPr>
            <w:r>
              <w:rPr>
                <w:rFonts w:hint="eastAsia"/>
                <w:lang w:val="en-US" w:eastAsia="zh-CN"/>
              </w:rPr>
              <w:t>①事故应急池计算依据</w:t>
            </w:r>
          </w:p>
          <w:p>
            <w:pPr>
              <w:pStyle w:val="8"/>
              <w:bidi w:val="0"/>
              <w:rPr>
                <w:rFonts w:hint="default"/>
                <w:lang w:val="en-US" w:eastAsia="zh-CN"/>
              </w:rPr>
            </w:pPr>
            <w:r>
              <w:rPr>
                <w:rFonts w:hint="eastAsia"/>
                <w:lang w:val="en-US" w:eastAsia="zh-CN"/>
              </w:rPr>
              <w:t>本项目设置2个30m³储油罐，</w:t>
            </w:r>
            <w:r>
              <w:rPr>
                <w:rFonts w:hint="default"/>
                <w:lang w:val="en-US" w:eastAsia="zh-CN"/>
              </w:rPr>
              <w:t>年中转贮存量</w:t>
            </w:r>
            <w:r>
              <w:rPr>
                <w:rFonts w:hint="eastAsia"/>
                <w:lang w:val="en-US" w:eastAsia="zh-CN"/>
              </w:rPr>
              <w:t>8</w:t>
            </w:r>
            <w:r>
              <w:rPr>
                <w:rFonts w:hint="default"/>
                <w:lang w:val="en-US" w:eastAsia="zh-CN"/>
              </w:rPr>
              <w:t>000t，年中转</w:t>
            </w:r>
            <w:r>
              <w:rPr>
                <w:rFonts w:hint="eastAsia"/>
                <w:lang w:val="en-US" w:eastAsia="zh-CN"/>
              </w:rPr>
              <w:t>164</w:t>
            </w:r>
            <w:r>
              <w:rPr>
                <w:rFonts w:hint="default"/>
                <w:lang w:val="en-US" w:eastAsia="zh-CN"/>
              </w:rPr>
              <w:t>次，厂内最大贮存量</w:t>
            </w:r>
            <w:r>
              <w:rPr>
                <w:rFonts w:hint="eastAsia"/>
                <w:lang w:val="en-US" w:eastAsia="zh-CN"/>
              </w:rPr>
              <w:t>57m³</w:t>
            </w:r>
            <w:r>
              <w:rPr>
                <w:rFonts w:hint="default"/>
                <w:lang w:val="en-US" w:eastAsia="zh-CN"/>
              </w:rPr>
              <w:t>，</w:t>
            </w:r>
            <w:r>
              <w:rPr>
                <w:rFonts w:hint="eastAsia"/>
                <w:lang w:val="en-US" w:eastAsia="zh-CN"/>
              </w:rPr>
              <w:t>厂</w:t>
            </w:r>
            <w:r>
              <w:rPr>
                <w:rFonts w:hint="default"/>
                <w:lang w:val="en-US" w:eastAsia="zh-CN"/>
              </w:rPr>
              <w:t>外</w:t>
            </w:r>
            <w:r>
              <w:rPr>
                <w:rFonts w:hint="eastAsia"/>
                <w:lang w:val="en-US" w:eastAsia="zh-CN"/>
              </w:rPr>
              <w:t>槽车收集后</w:t>
            </w:r>
            <w:r>
              <w:rPr>
                <w:rFonts w:hint="default"/>
                <w:lang w:val="en-US" w:eastAsia="zh-CN"/>
              </w:rPr>
              <w:t>贮存。</w:t>
            </w:r>
          </w:p>
          <w:p>
            <w:pPr>
              <w:pStyle w:val="8"/>
              <w:bidi w:val="0"/>
              <w:rPr>
                <w:rFonts w:hint="default"/>
                <w:lang w:val="en-US" w:eastAsia="zh-CN"/>
              </w:rPr>
            </w:pPr>
            <w:r>
              <w:rPr>
                <w:rFonts w:hint="default"/>
                <w:lang w:val="en-US" w:eastAsia="zh-CN"/>
              </w:rPr>
              <w:t>项目事故应急池容积参照《石化企业水体环境风险防控技术要求》（QSH 0729-2018）进行计算。</w:t>
            </w:r>
          </w:p>
          <w:p>
            <w:pPr>
              <w:pStyle w:val="8"/>
              <w:bidi w:val="0"/>
              <w:rPr>
                <w:rFonts w:hint="default"/>
                <w:lang w:val="en-US" w:eastAsia="zh-CN"/>
              </w:rPr>
            </w:pPr>
            <w:r>
              <w:rPr>
                <w:rFonts w:hint="default"/>
                <w:lang w:val="en-US" w:eastAsia="zh-CN"/>
              </w:rPr>
              <w:t>事故储存设施总有效容积：</w:t>
            </w:r>
          </w:p>
          <w:p>
            <w:pPr>
              <w:pStyle w:val="8"/>
              <w:bidi w:val="0"/>
              <w:jc w:val="center"/>
              <w:rPr>
                <w:rFonts w:hint="default"/>
                <w:lang w:val="en-US" w:eastAsia="zh-CN"/>
              </w:rPr>
            </w:pPr>
            <w:r>
              <w:rPr>
                <w:rFonts w:hint="default"/>
                <w:lang w:val="en-US" w:eastAsia="zh-CN"/>
              </w:rPr>
              <w:t>V</w:t>
            </w:r>
            <w:r>
              <w:rPr>
                <w:rFonts w:hint="default"/>
                <w:vertAlign w:val="subscript"/>
                <w:lang w:val="en-US" w:eastAsia="zh-CN"/>
              </w:rPr>
              <w:t>总</w:t>
            </w:r>
            <w:r>
              <w:rPr>
                <w:rFonts w:hint="default"/>
                <w:lang w:val="en-US" w:eastAsia="zh-CN"/>
              </w:rPr>
              <w:t>=</w:t>
            </w:r>
            <w:r>
              <w:rPr>
                <w:rFonts w:hint="eastAsia"/>
                <w:lang w:val="en-US" w:eastAsia="zh-CN"/>
              </w:rPr>
              <w:t>（</w:t>
            </w:r>
            <w:r>
              <w:rPr>
                <w:rFonts w:hint="default"/>
                <w:lang w:val="en-US" w:eastAsia="zh-CN"/>
              </w:rPr>
              <w:t>V</w:t>
            </w:r>
            <w:r>
              <w:rPr>
                <w:rFonts w:hint="default"/>
                <w:vertAlign w:val="subscript"/>
                <w:lang w:val="en-US" w:eastAsia="zh-CN"/>
              </w:rPr>
              <w:t>1</w:t>
            </w:r>
            <w:r>
              <w:rPr>
                <w:rFonts w:hint="default"/>
                <w:lang w:val="en-US" w:eastAsia="zh-CN"/>
              </w:rPr>
              <w:t>+V</w:t>
            </w:r>
            <w:r>
              <w:rPr>
                <w:rFonts w:hint="default"/>
                <w:vertAlign w:val="subscript"/>
                <w:lang w:val="en-US" w:eastAsia="zh-CN"/>
              </w:rPr>
              <w:t>2</w:t>
            </w:r>
            <w:r>
              <w:rPr>
                <w:rFonts w:hint="default"/>
                <w:lang w:val="en-US" w:eastAsia="zh-CN"/>
              </w:rPr>
              <w:t>−V</w:t>
            </w:r>
            <w:r>
              <w:rPr>
                <w:rFonts w:hint="default"/>
                <w:vertAlign w:val="subscript"/>
                <w:lang w:val="en-US" w:eastAsia="zh-CN"/>
              </w:rPr>
              <w:t>3</w:t>
            </w:r>
            <w:r>
              <w:rPr>
                <w:rFonts w:hint="eastAsia"/>
                <w:lang w:val="en-US" w:eastAsia="zh-CN"/>
              </w:rPr>
              <w:t>）</w:t>
            </w:r>
            <w:r>
              <w:rPr>
                <w:rFonts w:hint="default"/>
                <w:vertAlign w:val="subscript"/>
                <w:lang w:val="en-US" w:eastAsia="zh-CN"/>
              </w:rPr>
              <w:t>max</w:t>
            </w:r>
            <w:r>
              <w:rPr>
                <w:rFonts w:hint="default"/>
                <w:lang w:val="en-US" w:eastAsia="zh-CN"/>
              </w:rPr>
              <w:t>+V</w:t>
            </w:r>
            <w:r>
              <w:rPr>
                <w:rFonts w:hint="default"/>
                <w:vertAlign w:val="subscript"/>
                <w:lang w:val="en-US" w:eastAsia="zh-CN"/>
              </w:rPr>
              <w:t>4</w:t>
            </w:r>
            <w:r>
              <w:rPr>
                <w:rFonts w:hint="default"/>
                <w:lang w:val="en-US" w:eastAsia="zh-CN"/>
              </w:rPr>
              <w:t>+V</w:t>
            </w:r>
            <w:r>
              <w:rPr>
                <w:rFonts w:hint="default"/>
                <w:vertAlign w:val="subscript"/>
                <w:lang w:val="en-US" w:eastAsia="zh-CN"/>
              </w:rPr>
              <w:t>5</w:t>
            </w:r>
          </w:p>
          <w:p>
            <w:pPr>
              <w:pStyle w:val="8"/>
              <w:bidi w:val="0"/>
              <w:rPr>
                <w:rFonts w:hint="default"/>
                <w:lang w:val="en-US" w:eastAsia="zh-CN"/>
              </w:rPr>
            </w:pPr>
            <w:r>
              <w:rPr>
                <w:rFonts w:hint="default"/>
                <w:lang w:val="en-US" w:eastAsia="zh-CN"/>
              </w:rPr>
              <w:t>V</w:t>
            </w:r>
            <w:r>
              <w:rPr>
                <w:rFonts w:hint="default"/>
                <w:vertAlign w:val="subscript"/>
                <w:lang w:val="en-US" w:eastAsia="zh-CN"/>
              </w:rPr>
              <w:t>总</w:t>
            </w:r>
            <w:r>
              <w:rPr>
                <w:rFonts w:hint="default"/>
                <w:lang w:val="en-US" w:eastAsia="zh-CN"/>
              </w:rPr>
              <w:t>：事故排水储存设施的总有效容积（即事故排水总量），</w:t>
            </w:r>
            <w:r>
              <w:rPr>
                <w:rFonts w:hint="eastAsia"/>
                <w:lang w:val="en-US" w:eastAsia="zh-CN"/>
              </w:rPr>
              <w:t>m³</w:t>
            </w:r>
            <w:r>
              <w:rPr>
                <w:rFonts w:hint="default"/>
                <w:lang w:val="en-US" w:eastAsia="zh-CN"/>
              </w:rPr>
              <w:t>；</w:t>
            </w:r>
          </w:p>
          <w:p>
            <w:pPr>
              <w:pStyle w:val="8"/>
              <w:bidi w:val="0"/>
              <w:rPr>
                <w:rFonts w:hint="default"/>
                <w:lang w:val="en-US" w:eastAsia="zh-CN"/>
              </w:rPr>
            </w:pPr>
            <w:r>
              <w:rPr>
                <w:rFonts w:hint="eastAsia"/>
                <w:lang w:val="en-US" w:eastAsia="zh-CN"/>
              </w:rPr>
              <w:t>（</w:t>
            </w:r>
            <w:r>
              <w:rPr>
                <w:rFonts w:hint="default"/>
                <w:lang w:val="en-US" w:eastAsia="zh-CN"/>
              </w:rPr>
              <w:t>V</w:t>
            </w:r>
            <w:r>
              <w:rPr>
                <w:rFonts w:hint="default"/>
                <w:vertAlign w:val="subscript"/>
                <w:lang w:val="en-US" w:eastAsia="zh-CN"/>
              </w:rPr>
              <w:t>1</w:t>
            </w:r>
            <w:r>
              <w:rPr>
                <w:rFonts w:hint="default"/>
                <w:lang w:val="en-US" w:eastAsia="zh-CN"/>
              </w:rPr>
              <w:t>+V</w:t>
            </w:r>
            <w:r>
              <w:rPr>
                <w:rFonts w:hint="default"/>
                <w:vertAlign w:val="subscript"/>
                <w:lang w:val="en-US" w:eastAsia="zh-CN"/>
              </w:rPr>
              <w:t>2</w:t>
            </w:r>
            <w:r>
              <w:rPr>
                <w:rFonts w:hint="default"/>
                <w:lang w:val="en-US" w:eastAsia="zh-CN"/>
              </w:rPr>
              <w:t>−V</w:t>
            </w:r>
            <w:r>
              <w:rPr>
                <w:rFonts w:hint="default"/>
                <w:vertAlign w:val="subscript"/>
                <w:lang w:val="en-US" w:eastAsia="zh-CN"/>
              </w:rPr>
              <w:t>3</w:t>
            </w:r>
            <w:r>
              <w:rPr>
                <w:rFonts w:hint="eastAsia"/>
                <w:lang w:val="en-US" w:eastAsia="zh-CN"/>
              </w:rPr>
              <w:t>）</w:t>
            </w:r>
            <w:r>
              <w:rPr>
                <w:rFonts w:hint="default"/>
                <w:vertAlign w:val="subscript"/>
                <w:lang w:val="en-US" w:eastAsia="zh-CN"/>
              </w:rPr>
              <w:t>max</w:t>
            </w:r>
            <w:r>
              <w:rPr>
                <w:rFonts w:hint="default"/>
                <w:lang w:val="en-US" w:eastAsia="zh-CN"/>
              </w:rPr>
              <w:t>：对收集系统范围内不同罐组或装置分别计算</w:t>
            </w:r>
            <w:r>
              <w:rPr>
                <w:rFonts w:hint="eastAsia"/>
                <w:lang w:val="en-US" w:eastAsia="zh-CN"/>
              </w:rPr>
              <w:t>（</w:t>
            </w:r>
            <w:r>
              <w:rPr>
                <w:rFonts w:hint="default"/>
                <w:lang w:val="en-US" w:eastAsia="zh-CN"/>
              </w:rPr>
              <w:t>V</w:t>
            </w:r>
            <w:r>
              <w:rPr>
                <w:rFonts w:hint="default"/>
                <w:vertAlign w:val="subscript"/>
                <w:lang w:val="en-US" w:eastAsia="zh-CN"/>
              </w:rPr>
              <w:t>1</w:t>
            </w:r>
            <w:r>
              <w:rPr>
                <w:rFonts w:hint="default"/>
                <w:lang w:val="en-US" w:eastAsia="zh-CN"/>
              </w:rPr>
              <w:t>+V</w:t>
            </w:r>
            <w:r>
              <w:rPr>
                <w:rFonts w:hint="default"/>
                <w:vertAlign w:val="subscript"/>
                <w:lang w:val="en-US" w:eastAsia="zh-CN"/>
              </w:rPr>
              <w:t>2</w:t>
            </w:r>
            <w:r>
              <w:rPr>
                <w:rFonts w:hint="default"/>
                <w:lang w:val="en-US" w:eastAsia="zh-CN"/>
              </w:rPr>
              <w:t>−V</w:t>
            </w:r>
            <w:r>
              <w:rPr>
                <w:rFonts w:hint="default"/>
                <w:vertAlign w:val="subscript"/>
                <w:lang w:val="en-US" w:eastAsia="zh-CN"/>
              </w:rPr>
              <w:t>3</w:t>
            </w:r>
            <w:r>
              <w:rPr>
                <w:rFonts w:hint="eastAsia"/>
                <w:lang w:val="en-US" w:eastAsia="zh-CN"/>
              </w:rPr>
              <w:t>）</w:t>
            </w:r>
            <w:r>
              <w:rPr>
                <w:rFonts w:hint="default"/>
                <w:lang w:val="en-US" w:eastAsia="zh-CN"/>
              </w:rPr>
              <w:t>，取其中最大值。</w:t>
            </w:r>
          </w:p>
          <w:p>
            <w:pPr>
              <w:pStyle w:val="8"/>
              <w:bidi w:val="0"/>
              <w:rPr>
                <w:rFonts w:hint="default"/>
                <w:lang w:val="en-US" w:eastAsia="zh-CN"/>
              </w:rPr>
            </w:pPr>
            <w:r>
              <w:rPr>
                <w:rFonts w:hint="default"/>
                <w:lang w:val="en-US" w:eastAsia="zh-CN"/>
              </w:rPr>
              <w:t>V</w:t>
            </w:r>
            <w:r>
              <w:rPr>
                <w:rFonts w:hint="default"/>
                <w:vertAlign w:val="subscript"/>
                <w:lang w:val="en-US" w:eastAsia="zh-CN"/>
              </w:rPr>
              <w:t>1</w:t>
            </w:r>
            <w:r>
              <w:rPr>
                <w:rFonts w:hint="default"/>
                <w:lang w:val="en-US" w:eastAsia="zh-CN"/>
              </w:rPr>
              <w:t>：收集系统范围内发生事故的一个罐组或一套装置的物料量，</w:t>
            </w:r>
            <w:r>
              <w:rPr>
                <w:rFonts w:hint="eastAsia"/>
                <w:lang w:val="en-US" w:eastAsia="zh-CN"/>
              </w:rPr>
              <w:t>m³</w:t>
            </w:r>
            <w:r>
              <w:rPr>
                <w:rFonts w:hint="default"/>
                <w:lang w:val="en-US" w:eastAsia="zh-CN"/>
              </w:rPr>
              <w:t>；储存相同物料的罐组按一个最大储罐计，装置物料量按存留最大物料量的一台反应（塔）器或中间储罐计）。</w:t>
            </w:r>
          </w:p>
          <w:p>
            <w:pPr>
              <w:pStyle w:val="8"/>
              <w:bidi w:val="0"/>
              <w:rPr>
                <w:rFonts w:hint="default"/>
                <w:lang w:val="en-US" w:eastAsia="zh-CN"/>
              </w:rPr>
            </w:pPr>
            <w:r>
              <w:rPr>
                <w:rFonts w:hint="default"/>
                <w:lang w:val="en-US" w:eastAsia="zh-CN"/>
              </w:rPr>
              <w:t>V</w:t>
            </w:r>
            <w:r>
              <w:rPr>
                <w:rFonts w:hint="default"/>
                <w:vertAlign w:val="subscript"/>
                <w:lang w:val="en-US" w:eastAsia="zh-CN"/>
              </w:rPr>
              <w:t>2</w:t>
            </w:r>
            <w:r>
              <w:rPr>
                <w:rFonts w:hint="default"/>
                <w:lang w:val="en-US" w:eastAsia="zh-CN"/>
              </w:rPr>
              <w:t>：发生事故的储罐或装置的消防水量，</w:t>
            </w:r>
            <w:r>
              <w:rPr>
                <w:rFonts w:hint="eastAsia"/>
                <w:lang w:val="en-US" w:eastAsia="zh-CN"/>
              </w:rPr>
              <w:t>m³</w:t>
            </w:r>
            <w:r>
              <w:rPr>
                <w:rFonts w:hint="default"/>
                <w:lang w:val="en-US" w:eastAsia="zh-CN"/>
              </w:rPr>
              <w:t>，</w:t>
            </w:r>
          </w:p>
          <w:p>
            <w:pPr>
              <w:pStyle w:val="8"/>
              <w:bidi w:val="0"/>
              <w:rPr>
                <w:rFonts w:hint="default"/>
                <w:vertAlign w:val="baseline"/>
                <w:lang w:val="en-US" w:eastAsia="zh-CN"/>
              </w:rPr>
            </w:pPr>
            <w:r>
              <w:rPr>
                <w:rFonts w:hint="default"/>
                <w:lang w:val="en-US" w:eastAsia="zh-CN"/>
              </w:rPr>
              <w:t>V</w:t>
            </w:r>
            <w:r>
              <w:rPr>
                <w:rFonts w:hint="default"/>
                <w:vertAlign w:val="subscript"/>
                <w:lang w:val="en-US" w:eastAsia="zh-CN"/>
              </w:rPr>
              <w:t>3</w:t>
            </w:r>
            <w:r>
              <w:rPr>
                <w:rFonts w:hint="default"/>
                <w:lang w:val="en-US" w:eastAsia="zh-CN"/>
              </w:rPr>
              <w:t>：发生事故时可以转输其他贮存或处理设施的物料量，</w:t>
            </w:r>
            <w:r>
              <w:rPr>
                <w:rFonts w:hint="eastAsia"/>
                <w:lang w:val="en-US" w:eastAsia="zh-CN"/>
              </w:rPr>
              <w:t>m³</w:t>
            </w:r>
            <w:r>
              <w:rPr>
                <w:rFonts w:hint="default"/>
                <w:lang w:val="en-US" w:eastAsia="zh-CN"/>
              </w:rPr>
              <w:t>。</w:t>
            </w:r>
          </w:p>
          <w:p>
            <w:pPr>
              <w:pStyle w:val="8"/>
              <w:bidi w:val="0"/>
              <w:rPr>
                <w:rFonts w:hint="default"/>
                <w:lang w:val="en-US" w:eastAsia="zh-CN"/>
              </w:rPr>
            </w:pPr>
            <w:r>
              <w:rPr>
                <w:rFonts w:hint="default"/>
                <w:lang w:val="en-US" w:eastAsia="zh-CN"/>
              </w:rPr>
              <w:t>V</w:t>
            </w:r>
            <w:r>
              <w:rPr>
                <w:rFonts w:hint="default"/>
                <w:vertAlign w:val="subscript"/>
                <w:lang w:val="en-US" w:eastAsia="zh-CN"/>
              </w:rPr>
              <w:t>4</w:t>
            </w:r>
            <w:r>
              <w:rPr>
                <w:rFonts w:hint="default"/>
                <w:lang w:val="en-US" w:eastAsia="zh-CN"/>
              </w:rPr>
              <w:t>：发生事故时仍必须进入该收集系统的生产废水量，</w:t>
            </w:r>
            <w:r>
              <w:rPr>
                <w:rFonts w:hint="eastAsia"/>
                <w:lang w:val="en-US" w:eastAsia="zh-CN"/>
              </w:rPr>
              <w:t>m³</w:t>
            </w:r>
            <w:r>
              <w:rPr>
                <w:rFonts w:hint="default"/>
                <w:lang w:val="en-US" w:eastAsia="zh-CN"/>
              </w:rPr>
              <w:t>，本项目不产生生产废水，即V</w:t>
            </w:r>
            <w:r>
              <w:rPr>
                <w:rFonts w:hint="default"/>
                <w:vertAlign w:val="subscript"/>
                <w:lang w:val="en-US" w:eastAsia="zh-CN"/>
              </w:rPr>
              <w:t>4</w:t>
            </w:r>
            <w:r>
              <w:rPr>
                <w:rFonts w:hint="default"/>
                <w:lang w:val="en-US" w:eastAsia="zh-CN"/>
              </w:rPr>
              <w:t>=0；</w:t>
            </w:r>
          </w:p>
          <w:p>
            <w:pPr>
              <w:pStyle w:val="8"/>
              <w:bidi w:val="0"/>
              <w:rPr>
                <w:rFonts w:hint="default"/>
                <w:lang w:val="en-US" w:eastAsia="zh-CN"/>
              </w:rPr>
            </w:pPr>
            <w:r>
              <w:rPr>
                <w:rFonts w:hint="default"/>
                <w:lang w:val="en-US" w:eastAsia="zh-CN"/>
              </w:rPr>
              <w:t>V</w:t>
            </w:r>
            <w:r>
              <w:rPr>
                <w:rFonts w:hint="default"/>
                <w:vertAlign w:val="subscript"/>
                <w:lang w:val="en-US" w:eastAsia="zh-CN"/>
              </w:rPr>
              <w:t>5</w:t>
            </w:r>
            <w:r>
              <w:rPr>
                <w:rFonts w:hint="default"/>
                <w:lang w:val="en-US" w:eastAsia="zh-CN"/>
              </w:rPr>
              <w:t>：发生事故时可能进入该收集系统的降雨量，</w:t>
            </w:r>
            <w:r>
              <w:rPr>
                <w:rFonts w:hint="eastAsia"/>
                <w:lang w:val="en-US" w:eastAsia="zh-CN"/>
              </w:rPr>
              <w:t>m³</w:t>
            </w:r>
            <w:r>
              <w:rPr>
                <w:rFonts w:hint="default"/>
                <w:lang w:val="en-US" w:eastAsia="zh-CN"/>
              </w:rPr>
              <w:t>。项目为封闭的厂房，厂房四周设置雨水沟，雨水不会进入厂区内，因此V</w:t>
            </w:r>
            <w:r>
              <w:rPr>
                <w:rFonts w:hint="default"/>
                <w:vertAlign w:val="subscript"/>
                <w:lang w:val="en-US" w:eastAsia="zh-CN"/>
              </w:rPr>
              <w:t>5</w:t>
            </w:r>
            <w:r>
              <w:rPr>
                <w:rFonts w:hint="default"/>
                <w:lang w:val="en-US" w:eastAsia="zh-CN"/>
              </w:rPr>
              <w:t>=0</w:t>
            </w:r>
            <w:r>
              <w:rPr>
                <w:rFonts w:hint="eastAsia"/>
                <w:lang w:val="en-US" w:eastAsia="zh-CN"/>
              </w:rPr>
              <w:t>。</w:t>
            </w:r>
            <w:r>
              <w:rPr>
                <w:rFonts w:hint="default"/>
                <w:lang w:val="en-US" w:eastAsia="zh-CN"/>
              </w:rPr>
              <w:t>其中：</w:t>
            </w:r>
          </w:p>
          <w:p>
            <w:pPr>
              <w:pStyle w:val="8"/>
              <w:bidi w:val="0"/>
              <w:jc w:val="center"/>
              <w:rPr>
                <w:rFonts w:hint="default"/>
                <w:lang w:val="en-US" w:eastAsia="zh-CN"/>
              </w:rPr>
            </w:pPr>
            <w:r>
              <w:rPr>
                <w:rFonts w:hint="default"/>
                <w:lang w:val="en-US" w:eastAsia="zh-CN"/>
              </w:rPr>
              <w:t>V</w:t>
            </w:r>
            <w:r>
              <w:rPr>
                <w:rFonts w:hint="default"/>
                <w:vertAlign w:val="subscript"/>
                <w:lang w:val="en-US" w:eastAsia="zh-CN"/>
              </w:rPr>
              <w:t>2</w:t>
            </w:r>
            <w:r>
              <w:rPr>
                <w:rFonts w:hint="default"/>
                <w:lang w:val="en-US" w:eastAsia="zh-CN"/>
              </w:rPr>
              <w:t>=∑Q</w:t>
            </w:r>
            <w:r>
              <w:rPr>
                <w:rFonts w:hint="default"/>
                <w:vertAlign w:val="subscript"/>
                <w:lang w:val="en-US" w:eastAsia="zh-CN"/>
              </w:rPr>
              <w:t>消</w:t>
            </w:r>
            <w:r>
              <w:rPr>
                <w:rFonts w:hint="default"/>
                <w:lang w:val="en-US" w:eastAsia="zh-CN"/>
              </w:rPr>
              <w:t>t</w:t>
            </w:r>
            <w:r>
              <w:rPr>
                <w:rFonts w:hint="default"/>
                <w:vertAlign w:val="subscript"/>
                <w:lang w:val="en-US" w:eastAsia="zh-CN"/>
              </w:rPr>
              <w:t>消</w:t>
            </w:r>
          </w:p>
          <w:p>
            <w:pPr>
              <w:pStyle w:val="8"/>
              <w:bidi w:val="0"/>
              <w:rPr>
                <w:rFonts w:hint="default"/>
                <w:lang w:val="en-US" w:eastAsia="zh-CN"/>
              </w:rPr>
            </w:pPr>
            <w:r>
              <w:rPr>
                <w:rFonts w:hint="default"/>
                <w:lang w:val="en-US" w:eastAsia="zh-CN"/>
              </w:rPr>
              <w:t>Q</w:t>
            </w:r>
            <w:r>
              <w:rPr>
                <w:rFonts w:hint="default"/>
                <w:vertAlign w:val="subscript"/>
                <w:lang w:val="en-US" w:eastAsia="zh-CN"/>
              </w:rPr>
              <w:t>消</w:t>
            </w:r>
            <w:r>
              <w:rPr>
                <w:rFonts w:hint="default"/>
                <w:lang w:val="en-US" w:eastAsia="zh-CN"/>
              </w:rPr>
              <w:t>：发生事故的储罐或装置的同时使用的消防设施给水流量，</w:t>
            </w:r>
            <w:r>
              <w:rPr>
                <w:rFonts w:hint="eastAsia"/>
                <w:lang w:val="en-US" w:eastAsia="zh-CN"/>
              </w:rPr>
              <w:t>m³</w:t>
            </w:r>
            <w:r>
              <w:rPr>
                <w:rFonts w:hint="default"/>
                <w:lang w:val="en-US" w:eastAsia="zh-CN"/>
              </w:rPr>
              <w:t>/h。</w:t>
            </w:r>
          </w:p>
          <w:p>
            <w:pPr>
              <w:pStyle w:val="8"/>
              <w:bidi w:val="0"/>
              <w:rPr>
                <w:rFonts w:hint="default"/>
                <w:lang w:val="en-US" w:eastAsia="zh-CN"/>
              </w:rPr>
            </w:pPr>
            <w:r>
              <w:rPr>
                <w:rFonts w:hint="default"/>
                <w:lang w:val="en-US" w:eastAsia="zh-CN"/>
              </w:rPr>
              <w:t>t</w:t>
            </w:r>
            <w:r>
              <w:rPr>
                <w:rFonts w:hint="default"/>
                <w:vertAlign w:val="subscript"/>
                <w:lang w:val="en-US" w:eastAsia="zh-CN"/>
              </w:rPr>
              <w:t>消</w:t>
            </w:r>
            <w:r>
              <w:rPr>
                <w:rFonts w:hint="default"/>
                <w:lang w:val="en-US" w:eastAsia="zh-CN"/>
              </w:rPr>
              <w:t>：消防设施对应的设计消防历时，h</w:t>
            </w:r>
          </w:p>
          <w:p>
            <w:pPr>
              <w:pStyle w:val="8"/>
              <w:bidi w:val="0"/>
              <w:rPr>
                <w:rFonts w:hint="default"/>
                <w:highlight w:val="none"/>
                <w:lang w:val="en-US" w:eastAsia="zh-CN"/>
              </w:rPr>
            </w:pPr>
            <w:r>
              <w:rPr>
                <w:rFonts w:hint="eastAsia"/>
                <w:highlight w:val="none"/>
                <w:lang w:val="en-US" w:eastAsia="zh-CN"/>
              </w:rPr>
              <w:t>②事故应急池计算分析</w:t>
            </w:r>
          </w:p>
          <w:p>
            <w:pPr>
              <w:pStyle w:val="8"/>
              <w:bidi w:val="0"/>
              <w:rPr>
                <w:rFonts w:hint="default"/>
                <w:vertAlign w:val="baseline"/>
                <w:lang w:val="en-US" w:eastAsia="zh-CN"/>
              </w:rPr>
            </w:pPr>
            <w:r>
              <w:rPr>
                <w:rFonts w:hint="eastAsia"/>
                <w:lang w:val="en-US" w:eastAsia="zh-CN"/>
              </w:rPr>
              <w:t>本项目单个储罐容积为30m³，考虑安全余量的情况下，单个储罐最大储存量为V</w:t>
            </w:r>
            <w:r>
              <w:rPr>
                <w:rFonts w:hint="eastAsia"/>
                <w:vertAlign w:val="subscript"/>
                <w:lang w:val="en-US" w:eastAsia="zh-CN"/>
              </w:rPr>
              <w:t>1</w:t>
            </w:r>
            <w:r>
              <w:rPr>
                <w:rFonts w:hint="eastAsia"/>
                <w:vertAlign w:val="baseline"/>
                <w:lang w:val="en-US" w:eastAsia="zh-CN"/>
              </w:rPr>
              <w:t>=28.5m³；假设发生火灾时，除企业配备的干粉灭火器外，还有1支消防水枪同时扑救，消防水枪用水量为20L/s，火灾延续时间按2h计，则产生消防废水量为V</w:t>
            </w:r>
            <w:r>
              <w:rPr>
                <w:rFonts w:hint="eastAsia"/>
                <w:vertAlign w:val="subscript"/>
                <w:lang w:val="en-US" w:eastAsia="zh-CN"/>
              </w:rPr>
              <w:t>2</w:t>
            </w:r>
            <w:r>
              <w:rPr>
                <w:rFonts w:hint="eastAsia"/>
                <w:vertAlign w:val="baseline"/>
                <w:lang w:val="en-US" w:eastAsia="zh-CN"/>
              </w:rPr>
              <w:t>=144m³；储罐区设置了0.4m高的围堰，围堰面积为84m²，则围堰总容量</w:t>
            </w:r>
            <w:r>
              <w:rPr>
                <w:rFonts w:hint="default"/>
                <w:lang w:val="en-US" w:eastAsia="zh-CN"/>
              </w:rPr>
              <w:t>V</w:t>
            </w:r>
            <w:r>
              <w:rPr>
                <w:rFonts w:hint="default"/>
                <w:vertAlign w:val="subscript"/>
                <w:lang w:val="en-US" w:eastAsia="zh-CN"/>
              </w:rPr>
              <w:t>3</w:t>
            </w:r>
            <w:r>
              <w:rPr>
                <w:rFonts w:hint="eastAsia"/>
                <w:vertAlign w:val="baseline"/>
                <w:lang w:val="en-US" w:eastAsia="zh-CN"/>
              </w:rPr>
              <w:t>为33.6m³。</w:t>
            </w:r>
          </w:p>
          <w:p>
            <w:pPr>
              <w:pStyle w:val="8"/>
              <w:bidi w:val="0"/>
              <w:rPr>
                <w:rFonts w:hint="default"/>
                <w:vertAlign w:val="baseline"/>
                <w:lang w:val="en-US" w:eastAsia="zh-CN"/>
              </w:rPr>
            </w:pPr>
            <w:r>
              <w:rPr>
                <w:rFonts w:hint="eastAsia"/>
                <w:lang w:val="en-US" w:eastAsia="zh-CN"/>
              </w:rPr>
              <w:t>因此，</w:t>
            </w:r>
            <w:r>
              <w:rPr>
                <w:rFonts w:hint="default"/>
                <w:lang w:val="en-US" w:eastAsia="zh-CN"/>
              </w:rPr>
              <w:t>V</w:t>
            </w:r>
            <w:r>
              <w:rPr>
                <w:rFonts w:hint="default"/>
                <w:vertAlign w:val="subscript"/>
                <w:lang w:val="en-US" w:eastAsia="zh-CN"/>
              </w:rPr>
              <w:t>总</w:t>
            </w:r>
            <w:r>
              <w:rPr>
                <w:rFonts w:hint="eastAsia"/>
                <w:vertAlign w:val="baseline"/>
                <w:lang w:val="en-US" w:eastAsia="zh-CN"/>
              </w:rPr>
              <w:t>=28.5m³</w:t>
            </w:r>
            <w:r>
              <w:rPr>
                <w:rFonts w:hint="default"/>
                <w:lang w:val="en-US" w:eastAsia="zh-CN"/>
              </w:rPr>
              <w:t>+</w:t>
            </w:r>
            <w:r>
              <w:rPr>
                <w:rFonts w:hint="eastAsia"/>
                <w:vertAlign w:val="baseline"/>
                <w:lang w:val="en-US" w:eastAsia="zh-CN"/>
              </w:rPr>
              <w:t>144m³</w:t>
            </w:r>
            <w:r>
              <w:rPr>
                <w:rFonts w:hint="default"/>
                <w:lang w:val="en-US" w:eastAsia="zh-CN"/>
              </w:rPr>
              <w:t>−</w:t>
            </w:r>
            <w:r>
              <w:rPr>
                <w:rFonts w:hint="eastAsia"/>
                <w:vertAlign w:val="baseline"/>
                <w:lang w:val="en-US" w:eastAsia="zh-CN"/>
              </w:rPr>
              <w:t>33.6m³+0+0=138.9m³。本项目新建容积为140m³的事故应急池，并配套导流系统，可以满足事故时消防废水的收集要求。</w:t>
            </w:r>
            <w:r>
              <w:rPr>
                <w:rFonts w:hint="eastAsia"/>
                <w:lang w:val="en-US" w:eastAsia="zh-CN"/>
              </w:rPr>
              <w:t>本项目</w:t>
            </w:r>
            <w:r>
              <w:rPr>
                <w:rFonts w:hint="eastAsia"/>
              </w:rPr>
              <w:t>消防废水污染物含量高，收集后</w:t>
            </w:r>
            <w:r>
              <w:rPr>
                <w:rFonts w:hint="eastAsia"/>
                <w:lang w:val="en-US" w:eastAsia="zh-CN"/>
              </w:rPr>
              <w:t>应</w:t>
            </w:r>
            <w:r>
              <w:rPr>
                <w:rFonts w:hint="eastAsia"/>
              </w:rPr>
              <w:t>及时委托有资质的单位外运处理</w:t>
            </w:r>
            <w:r>
              <w:rPr>
                <w:rFonts w:hint="eastAsia"/>
                <w:lang w:eastAsia="zh-CN"/>
              </w:rPr>
              <w:t>。</w:t>
            </w:r>
          </w:p>
          <w:p>
            <w:pPr>
              <w:pStyle w:val="5"/>
              <w:numPr>
                <w:ilvl w:val="2"/>
                <w:numId w:val="3"/>
              </w:numPr>
              <w:bidi w:val="0"/>
              <w:rPr>
                <w:rFonts w:hint="default" w:ascii="Times New Roman" w:hAnsi="Times New Roman" w:eastAsia="宋体" w:cs="Times New Roman"/>
                <w:color w:val="auto"/>
                <w:highlight w:val="none"/>
                <w:lang w:eastAsia="zh-CN"/>
              </w:rPr>
            </w:pPr>
            <w:r>
              <w:rPr>
                <w:rFonts w:hint="default"/>
                <w:lang w:eastAsia="zh-CN"/>
              </w:rPr>
              <w:t>环境风险评价结论</w:t>
            </w:r>
          </w:p>
          <w:p>
            <w:pPr>
              <w:pStyle w:val="8"/>
              <w:ind w:firstLine="480"/>
              <w:rPr>
                <w:color w:val="auto"/>
                <w:highlight w:val="none"/>
              </w:rPr>
            </w:pPr>
            <w:r>
              <w:rPr>
                <w:rFonts w:hint="eastAsia"/>
                <w:color w:val="auto"/>
                <w:highlight w:val="none"/>
              </w:rPr>
              <w:t>①本项目Q</w:t>
            </w:r>
            <w:r>
              <w:rPr>
                <w:rFonts w:hint="eastAsia"/>
                <w:color w:val="auto"/>
                <w:highlight w:val="none"/>
                <w:lang w:val="en-US" w:eastAsia="zh-CN"/>
              </w:rPr>
              <w:t>=0.0196</w:t>
            </w:r>
            <w:r>
              <w:rPr>
                <w:rFonts w:hint="eastAsia" w:cs="Times New Roman"/>
                <w:color w:val="auto"/>
                <w:sz w:val="24"/>
                <w:highlight w:val="none"/>
                <w:lang w:val="en-US" w:eastAsia="zh-CN"/>
              </w:rPr>
              <w:t>&lt;1</w:t>
            </w:r>
            <w:r>
              <w:rPr>
                <w:rFonts w:hint="eastAsia"/>
                <w:color w:val="auto"/>
                <w:highlight w:val="none"/>
              </w:rPr>
              <w:t>，经判定本项目环境风险评价等级为</w:t>
            </w:r>
            <w:r>
              <w:rPr>
                <w:rFonts w:hint="eastAsia"/>
                <w:color w:val="auto"/>
                <w:highlight w:val="none"/>
                <w:lang w:val="en-US" w:eastAsia="zh-CN"/>
              </w:rPr>
              <w:t>简单分析</w:t>
            </w:r>
            <w:r>
              <w:rPr>
                <w:rFonts w:hint="eastAsia"/>
                <w:color w:val="auto"/>
                <w:highlight w:val="none"/>
              </w:rPr>
              <w:t>。</w:t>
            </w:r>
          </w:p>
          <w:p>
            <w:pPr>
              <w:pStyle w:val="8"/>
              <w:ind w:firstLine="480"/>
              <w:rPr>
                <w:color w:val="auto"/>
                <w:highlight w:val="none"/>
              </w:rPr>
            </w:pPr>
            <w:r>
              <w:rPr>
                <w:rFonts w:hint="eastAsia"/>
                <w:color w:val="auto"/>
                <w:highlight w:val="none"/>
              </w:rPr>
              <w:t>②最大风险事故是</w:t>
            </w:r>
            <w:r>
              <w:rPr>
                <w:rFonts w:hint="eastAsia"/>
                <w:color w:val="auto"/>
                <w:highlight w:val="none"/>
                <w:lang w:val="en-US" w:eastAsia="zh-CN"/>
              </w:rPr>
              <w:t>储油罐</w:t>
            </w:r>
            <w:r>
              <w:rPr>
                <w:rFonts w:hint="eastAsia"/>
                <w:color w:val="auto"/>
                <w:highlight w:val="none"/>
              </w:rPr>
              <w:t>的</w:t>
            </w:r>
            <w:r>
              <w:rPr>
                <w:rFonts w:hint="eastAsia"/>
                <w:color w:val="auto"/>
                <w:highlight w:val="none"/>
                <w:lang w:eastAsia="zh-CN"/>
              </w:rPr>
              <w:t>泄漏</w:t>
            </w:r>
            <w:r>
              <w:rPr>
                <w:rFonts w:hint="eastAsia"/>
                <w:color w:val="auto"/>
                <w:highlight w:val="none"/>
              </w:rPr>
              <w:t>，通过采取有效防控措施，风险可控。</w:t>
            </w:r>
          </w:p>
          <w:p>
            <w:pPr>
              <w:pStyle w:val="8"/>
              <w:ind w:firstLine="480"/>
              <w:rPr>
                <w:rFonts w:hint="default" w:ascii="Times New Roman" w:hAnsi="Times New Roman" w:cs="Times New Roman"/>
                <w:color w:val="auto"/>
                <w:highlight w:val="none"/>
                <w:lang w:val="en-US" w:eastAsia="zh-CN"/>
              </w:rPr>
            </w:pPr>
            <w:r>
              <w:rPr>
                <w:rFonts w:hint="eastAsia"/>
                <w:color w:val="auto"/>
                <w:highlight w:val="none"/>
                <w:lang w:val="en-US" w:eastAsia="zh-CN"/>
              </w:rPr>
              <w:t>③建设单位应根据本项目建设内容，按照</w:t>
            </w:r>
            <w:r>
              <w:rPr>
                <w:rFonts w:hint="default" w:ascii="Times New Roman" w:hAnsi="Times New Roman" w:eastAsia="宋体" w:cs="Times New Roman"/>
                <w:color w:val="auto"/>
                <w:sz w:val="24"/>
                <w:highlight w:val="none"/>
                <w:lang w:val="en-US" w:eastAsia="zh-CN"/>
              </w:rPr>
              <w:t>《企业事业单位突发环境应急预案备案管理办法（试行）》（环发[2015]4号）</w:t>
            </w:r>
            <w:r>
              <w:rPr>
                <w:rFonts w:hint="eastAsia" w:ascii="Times New Roman" w:hAnsi="Times New Roman" w:cs="Times New Roman"/>
                <w:color w:val="auto"/>
                <w:sz w:val="24"/>
                <w:highlight w:val="none"/>
                <w:lang w:val="en-US" w:eastAsia="zh-CN"/>
              </w:rPr>
              <w:t>等规范文件</w:t>
            </w:r>
            <w:r>
              <w:rPr>
                <w:rFonts w:hint="eastAsia"/>
                <w:color w:val="auto"/>
                <w:highlight w:val="none"/>
                <w:lang w:val="en-US" w:eastAsia="zh-CN"/>
              </w:rPr>
              <w:t>修编突发环境事件应急预案，报当地环境主管部门备案，并加强员工安全及环境风险应急培训。</w:t>
            </w:r>
          </w:p>
          <w:p>
            <w:pPr>
              <w:pStyle w:val="8"/>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sz w:val="24"/>
                <w:highlight w:val="none"/>
                <w:lang w:val="en-US" w:eastAsia="zh-CN"/>
              </w:rPr>
              <w:t>建立应急联动，及时与政府相关部门联系，协助相应的应急处置工作；加强员工安全及环境风险应急培训，严格落实本评价提出的各项环境风险防控措施的情况下，发生风险事故概率较小，项目环境风险可防可控。</w:t>
            </w:r>
          </w:p>
        </w:tc>
      </w:tr>
    </w:tbl>
    <w:p>
      <w:pPr>
        <w:adjustRightInd w:val="0"/>
        <w:snapToGrid w:val="0"/>
        <w:spacing w:line="360" w:lineRule="auto"/>
        <w:rPr>
          <w:rFonts w:hint="default" w:ascii="Times New Roman" w:hAnsi="Times New Roman" w:cs="Times New Roman"/>
          <w:b/>
          <w:color w:val="auto"/>
          <w:kern w:val="0"/>
          <w:sz w:val="28"/>
          <w:szCs w:val="28"/>
          <w:highlight w:val="none"/>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pStyle w:val="3"/>
        <w:numPr>
          <w:ilvl w:val="0"/>
          <w:numId w:val="14"/>
        </w:numPr>
        <w:spacing w:line="240" w:lineRule="auto"/>
        <w:ind w:left="431" w:hanging="431"/>
        <w:rPr>
          <w:rFonts w:hint="default" w:ascii="Times New Roman" w:hAnsi="Times New Roman" w:cs="Times New Roman"/>
          <w:color w:val="auto"/>
          <w:highlight w:val="none"/>
        </w:rPr>
      </w:pPr>
      <w:bookmarkStart w:id="86" w:name="_Toc26051"/>
      <w:bookmarkStart w:id="87" w:name="_Toc10390"/>
      <w:bookmarkStart w:id="88" w:name="_Toc10367"/>
      <w:bookmarkStart w:id="89" w:name="_Toc30053"/>
      <w:bookmarkStart w:id="90" w:name="_Toc20572"/>
      <w:bookmarkStart w:id="91" w:name="_Toc18491"/>
      <w:bookmarkStart w:id="92" w:name="_Hlk54167917"/>
      <w:bookmarkStart w:id="93" w:name="_Toc19951"/>
      <w:bookmarkStart w:id="94" w:name="_Toc24305"/>
      <w:bookmarkStart w:id="95" w:name="_Toc884"/>
      <w:r>
        <w:rPr>
          <w:rFonts w:hint="default" w:ascii="Times New Roman" w:hAnsi="Times New Roman" w:cs="Times New Roman"/>
          <w:color w:val="auto"/>
          <w:highlight w:val="none"/>
        </w:rPr>
        <w:t>境保护措施监督检查清单</w:t>
      </w:r>
      <w:bookmarkEnd w:id="86"/>
      <w:bookmarkEnd w:id="87"/>
      <w:bookmarkEnd w:id="88"/>
      <w:bookmarkEnd w:id="89"/>
      <w:bookmarkEnd w:id="90"/>
      <w:bookmarkEnd w:id="91"/>
      <w:bookmarkEnd w:id="92"/>
      <w:bookmarkEnd w:id="93"/>
      <w:bookmarkEnd w:id="94"/>
      <w:bookmarkEnd w:id="95"/>
    </w:p>
    <w:tbl>
      <w:tblPr>
        <w:tblStyle w:val="24"/>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6"/>
        <w:gridCol w:w="1434"/>
        <w:gridCol w:w="1304"/>
        <w:gridCol w:w="1860"/>
        <w:gridCol w:w="32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tcBorders>
              <w:tl2br w:val="single" w:color="auto" w:sz="4" w:space="0"/>
            </w:tcBorders>
          </w:tcPr>
          <w:p>
            <w:pPr>
              <w:adjustRightInd w:val="0"/>
              <w:snapToGrid w:val="0"/>
              <w:ind w:firstLine="210" w:firstLineChars="1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内容</w:t>
            </w:r>
          </w:p>
          <w:p>
            <w:pPr>
              <w:adjustRightInd w:val="0"/>
              <w:snapToGrid w:val="0"/>
              <w:rPr>
                <w:rFonts w:hint="default" w:ascii="Times New Roman" w:hAnsi="Times New Roman" w:cs="Times New Roman"/>
                <w:color w:val="auto"/>
                <w:szCs w:val="21"/>
                <w:highlight w:val="none"/>
              </w:rPr>
            </w:pPr>
          </w:p>
          <w:p>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要素</w:t>
            </w:r>
          </w:p>
        </w:tc>
        <w:tc>
          <w:tcPr>
            <w:tcW w:w="1434"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排放口</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编号、名称</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/污染源</w:t>
            </w:r>
          </w:p>
        </w:tc>
        <w:tc>
          <w:tcPr>
            <w:tcW w:w="1304"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污染物项目</w:t>
            </w:r>
          </w:p>
        </w:tc>
        <w:tc>
          <w:tcPr>
            <w:tcW w:w="1860"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环境保护措施</w:t>
            </w:r>
          </w:p>
        </w:tc>
        <w:tc>
          <w:tcPr>
            <w:tcW w:w="3276"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restart"/>
            <w:vAlign w:val="center"/>
          </w:tcPr>
          <w:p>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大气</w:t>
            </w:r>
          </w:p>
          <w:p>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环境</w:t>
            </w:r>
          </w:p>
        </w:tc>
        <w:tc>
          <w:tcPr>
            <w:tcW w:w="1434" w:type="dxa"/>
            <w:vAlign w:val="center"/>
          </w:tcPr>
          <w:p>
            <w:pPr>
              <w:pStyle w:val="31"/>
              <w:keepNext w:val="0"/>
              <w:keepLines w:val="0"/>
              <w:pageBreakBefore w:val="0"/>
              <w:kinsoku/>
              <w:wordWrap/>
              <w:overflowPunct/>
              <w:topLinePunct w:val="0"/>
              <w:autoSpaceDE/>
              <w:autoSpaceDN/>
              <w:bidi w:val="0"/>
              <w:spacing w:line="240" w:lineRule="auto"/>
              <w:ind w:left="0" w:leftChars="0" w:firstLine="0" w:firstLineChars="0"/>
              <w:jc w:val="center"/>
              <w:textAlignment w:val="auto"/>
              <w:rPr>
                <w:rFonts w:hint="eastAsia"/>
                <w:lang w:val="en-US" w:eastAsia="zh-CN"/>
              </w:rPr>
            </w:pPr>
            <w:r>
              <w:rPr>
                <w:rFonts w:hint="eastAsia"/>
                <w:lang w:val="en-US" w:eastAsia="zh-CN"/>
              </w:rPr>
              <w:t>呼吸废气排放口</w:t>
            </w:r>
          </w:p>
          <w:p>
            <w:pPr>
              <w:jc w:val="center"/>
              <w:rPr>
                <w:rFonts w:hint="default"/>
              </w:rPr>
            </w:pPr>
            <w:r>
              <w:rPr>
                <w:rFonts w:hint="eastAsia"/>
                <w:lang w:val="en-US" w:eastAsia="zh-CN"/>
              </w:rPr>
              <w:t>（DA001）</w:t>
            </w:r>
          </w:p>
        </w:tc>
        <w:tc>
          <w:tcPr>
            <w:tcW w:w="1304" w:type="dxa"/>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非甲烷总烃</w:t>
            </w:r>
          </w:p>
        </w:tc>
        <w:tc>
          <w:tcPr>
            <w:tcW w:w="1860" w:type="dxa"/>
            <w:vAlign w:val="center"/>
          </w:tcPr>
          <w:p>
            <w:pPr>
              <w:keepNext w:val="0"/>
              <w:keepLines w:val="0"/>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cs="Times New Roman"/>
                <w:color w:val="auto"/>
                <w:highlight w:val="none"/>
                <w:lang w:val="en-US"/>
              </w:rPr>
            </w:pPr>
            <w:r>
              <w:rPr>
                <w:rFonts w:hint="eastAsia" w:cs="Times New Roman"/>
                <w:color w:val="auto"/>
                <w:szCs w:val="21"/>
                <w:highlight w:val="none"/>
                <w:lang w:val="en-US" w:eastAsia="zh-CN"/>
              </w:rPr>
              <w:t>负压收集+二级活性炭吸附+15m排气筒</w:t>
            </w:r>
          </w:p>
        </w:tc>
        <w:tc>
          <w:tcPr>
            <w:tcW w:w="3276" w:type="dxa"/>
            <w:vAlign w:val="center"/>
          </w:tcPr>
          <w:p>
            <w:pPr>
              <w:pStyle w:val="31"/>
              <w:keepNext w:val="0"/>
              <w:keepLines w:val="0"/>
              <w:pageBreakBefore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highlight w:val="none"/>
                <w:lang w:val="en-US" w:eastAsia="zh-CN"/>
              </w:rPr>
            </w:pPr>
            <w:r>
              <w:rPr>
                <w:rFonts w:hint="eastAsia"/>
                <w:lang w:val="en-US" w:eastAsia="zh-CN"/>
              </w:rPr>
              <w:t>《大气污染物综合排放标准》（GB16297-1996）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Merge w:val="continue"/>
            <w:vAlign w:val="center"/>
          </w:tcPr>
          <w:p>
            <w:pPr>
              <w:adjustRightInd w:val="0"/>
              <w:snapToGrid w:val="0"/>
              <w:jc w:val="center"/>
              <w:rPr>
                <w:rFonts w:hint="default" w:ascii="Times New Roman" w:hAnsi="Times New Roman" w:cs="Times New Roman"/>
                <w:color w:val="auto"/>
                <w:szCs w:val="21"/>
                <w:highlight w:val="none"/>
                <w:lang w:val="en-US" w:eastAsia="zh-CN"/>
              </w:rPr>
            </w:pPr>
          </w:p>
        </w:tc>
        <w:tc>
          <w:tcPr>
            <w:tcW w:w="1434" w:type="dxa"/>
            <w:vAlign w:val="center"/>
          </w:tcPr>
          <w:p>
            <w:pPr>
              <w:pStyle w:val="31"/>
              <w:keepNext w:val="0"/>
              <w:keepLines w:val="0"/>
              <w:pageBreakBefore w:val="0"/>
              <w:kinsoku/>
              <w:wordWrap/>
              <w:overflowPunct/>
              <w:topLinePunct w:val="0"/>
              <w:autoSpaceDE/>
              <w:autoSpaceDN/>
              <w:bidi w:val="0"/>
              <w:spacing w:line="240" w:lineRule="auto"/>
              <w:ind w:left="0" w:leftChars="0" w:firstLine="0" w:firstLineChars="0"/>
              <w:jc w:val="center"/>
              <w:textAlignment w:val="auto"/>
              <w:rPr>
                <w:rFonts w:hint="eastAsia" w:cs="Times New Roman"/>
                <w:color w:val="auto"/>
                <w:highlight w:val="none"/>
                <w:lang w:val="en-US" w:eastAsia="zh-CN"/>
              </w:rPr>
            </w:pPr>
            <w:r>
              <w:rPr>
                <w:rFonts w:hint="eastAsia" w:cs="Times New Roman"/>
                <w:color w:val="auto"/>
                <w:highlight w:val="none"/>
                <w:lang w:val="en-US" w:eastAsia="zh-CN"/>
              </w:rPr>
              <w:t>无组织废气</w:t>
            </w:r>
          </w:p>
        </w:tc>
        <w:tc>
          <w:tcPr>
            <w:tcW w:w="1304" w:type="dxa"/>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非甲烷总烃</w:t>
            </w:r>
          </w:p>
        </w:tc>
        <w:tc>
          <w:tcPr>
            <w:tcW w:w="1860" w:type="dxa"/>
            <w:vAlign w:val="center"/>
          </w:tcPr>
          <w:p>
            <w:pPr>
              <w:pStyle w:val="31"/>
              <w:keepNext w:val="0"/>
              <w:keepLines w:val="0"/>
              <w:pageBreakBefore w:val="0"/>
              <w:kinsoku/>
              <w:wordWrap/>
              <w:overflowPunct/>
              <w:topLinePunct w:val="0"/>
              <w:autoSpaceDE/>
              <w:autoSpaceDN/>
              <w:bidi w:val="0"/>
              <w:spacing w:line="240" w:lineRule="auto"/>
              <w:ind w:left="0" w:leftChars="0" w:firstLine="0" w:firstLineChars="0"/>
              <w:jc w:val="center"/>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w:t>
            </w:r>
          </w:p>
        </w:tc>
        <w:tc>
          <w:tcPr>
            <w:tcW w:w="3276" w:type="dxa"/>
            <w:vAlign w:val="center"/>
          </w:tcPr>
          <w:p>
            <w:pPr>
              <w:pStyle w:val="31"/>
              <w:keepNext w:val="0"/>
              <w:keepLines w:val="0"/>
              <w:pageBreakBefore w:val="0"/>
              <w:kinsoku/>
              <w:wordWrap/>
              <w:overflowPunct/>
              <w:topLinePunct w:val="0"/>
              <w:autoSpaceDE/>
              <w:autoSpaceDN/>
              <w:bidi w:val="0"/>
              <w:spacing w:line="240" w:lineRule="auto"/>
              <w:ind w:left="0" w:leftChars="0" w:firstLine="0" w:firstLineChars="0"/>
              <w:jc w:val="center"/>
              <w:textAlignment w:val="auto"/>
              <w:rPr>
                <w:rFonts w:hint="eastAsia" w:cs="Times New Roman"/>
                <w:color w:val="auto"/>
                <w:highlight w:val="none"/>
                <w:lang w:val="en-US" w:eastAsia="zh-CN"/>
              </w:rPr>
            </w:pPr>
            <w:r>
              <w:rPr>
                <w:rFonts w:hint="eastAsia" w:cs="Times New Roman"/>
                <w:color w:val="auto"/>
                <w:highlight w:val="none"/>
                <w:lang w:val="en-US" w:eastAsia="zh-CN"/>
              </w:rPr>
              <w:t>《挥发性有机物无组织排放控制标准》（GB37822-2019）</w:t>
            </w:r>
            <w:r>
              <w:rPr>
                <w:rFonts w:hint="eastAsia"/>
                <w:lang w:val="en-US" w:eastAsia="zh-CN"/>
              </w:rPr>
              <w:t>及《大气污染物综合排放标准》（GB16297-1996）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地表水环境</w:t>
            </w:r>
          </w:p>
        </w:tc>
        <w:tc>
          <w:tcPr>
            <w:tcW w:w="1434" w:type="dxa"/>
            <w:vAlign w:val="center"/>
          </w:tcPr>
          <w:p>
            <w:pPr>
              <w:adjustRightInd w:val="0"/>
              <w:snapToGrid w:val="0"/>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w:t>
            </w:r>
          </w:p>
        </w:tc>
        <w:tc>
          <w:tcPr>
            <w:tcW w:w="1304" w:type="dxa"/>
            <w:vAlign w:val="center"/>
          </w:tcPr>
          <w:p>
            <w:pPr>
              <w:adjustRightInd w:val="0"/>
              <w:snapToGrid w:val="0"/>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w:t>
            </w:r>
          </w:p>
        </w:tc>
        <w:tc>
          <w:tcPr>
            <w:tcW w:w="1860" w:type="dxa"/>
            <w:vAlign w:val="center"/>
          </w:tcPr>
          <w:p>
            <w:pPr>
              <w:adjustRightInd w:val="0"/>
              <w:snapToGrid w:val="0"/>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rPr>
              <w:t>/</w:t>
            </w:r>
          </w:p>
        </w:tc>
        <w:tc>
          <w:tcPr>
            <w:tcW w:w="3276" w:type="dxa"/>
            <w:vAlign w:val="center"/>
          </w:tcPr>
          <w:p>
            <w:pPr>
              <w:pStyle w:val="31"/>
              <w:keepNext w:val="0"/>
              <w:keepLines w:val="0"/>
              <w:pageBreakBefore w:val="0"/>
              <w:kinsoku/>
              <w:wordWrap/>
              <w:overflowPunct/>
              <w:topLinePunct w:val="0"/>
              <w:autoSpaceDE/>
              <w:autoSpaceDN/>
              <w:bidi w:val="0"/>
              <w:spacing w:line="240" w:lineRule="auto"/>
              <w:ind w:left="0" w:leftChars="0" w:firstLine="0" w:firstLineChars="0"/>
              <w:textAlignment w:val="auto"/>
              <w:rPr>
                <w:rFonts w:hint="default" w:ascii="Times New Roman" w:hAnsi="Times New Roman" w:cs="Times New Roman"/>
                <w:color w:val="auto"/>
                <w:szCs w:val="21"/>
                <w:highlight w:val="none"/>
                <w:lang w:val="en-US"/>
              </w:rPr>
            </w:pPr>
            <w:r>
              <w:rPr>
                <w:rFonts w:hint="eastAsia"/>
                <w:color w:val="auto"/>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1434" w:type="dxa"/>
            <w:vAlign w:val="center"/>
          </w:tcPr>
          <w:p>
            <w:pPr>
              <w:pStyle w:val="31"/>
              <w:ind w:left="0" w:lef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厂界噪声</w:t>
            </w:r>
          </w:p>
        </w:tc>
        <w:tc>
          <w:tcPr>
            <w:tcW w:w="1304" w:type="dxa"/>
            <w:vAlign w:val="center"/>
          </w:tcPr>
          <w:p>
            <w:pPr>
              <w:pStyle w:val="31"/>
              <w:ind w:left="0" w:lef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rPr>
              <w:t>连续等效A声级</w:t>
            </w:r>
          </w:p>
        </w:tc>
        <w:tc>
          <w:tcPr>
            <w:tcW w:w="1860" w:type="dxa"/>
            <w:vAlign w:val="center"/>
          </w:tcPr>
          <w:p>
            <w:pPr>
              <w:pStyle w:val="31"/>
              <w:ind w:left="0" w:lef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rPr>
              <w:t>设备采取隔声</w:t>
            </w:r>
            <w:r>
              <w:rPr>
                <w:rFonts w:hint="eastAsia" w:cs="Times New Roman"/>
                <w:color w:val="auto"/>
                <w:highlight w:val="none"/>
                <w:lang w:val="en-US" w:eastAsia="zh-CN"/>
              </w:rPr>
              <w:t>、</w:t>
            </w:r>
            <w:r>
              <w:rPr>
                <w:rFonts w:hint="default" w:ascii="Times New Roman" w:hAnsi="Times New Roman" w:cs="Times New Roman"/>
                <w:color w:val="auto"/>
                <w:highlight w:val="none"/>
              </w:rPr>
              <w:t>降噪</w:t>
            </w:r>
            <w:r>
              <w:rPr>
                <w:rFonts w:hint="eastAsia" w:cs="Times New Roman"/>
                <w:color w:val="auto"/>
                <w:highlight w:val="none"/>
                <w:lang w:val="en-US" w:eastAsia="zh-CN"/>
              </w:rPr>
              <w:t>、</w:t>
            </w:r>
            <w:r>
              <w:rPr>
                <w:rFonts w:hint="default" w:ascii="Times New Roman" w:hAnsi="Times New Roman" w:cs="Times New Roman"/>
                <w:color w:val="auto"/>
                <w:highlight w:val="none"/>
              </w:rPr>
              <w:t>减振等</w:t>
            </w:r>
          </w:p>
        </w:tc>
        <w:tc>
          <w:tcPr>
            <w:tcW w:w="3276" w:type="dxa"/>
            <w:vAlign w:val="center"/>
          </w:tcPr>
          <w:p>
            <w:pPr>
              <w:pStyle w:val="31"/>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《工业企业厂界环境噪声排放标准》</w:t>
            </w:r>
            <w:r>
              <w:rPr>
                <w:rFonts w:hint="eastAsia" w:cs="Times New Roman"/>
                <w:color w:val="auto"/>
                <w:highlight w:val="none"/>
                <w:lang w:eastAsia="zh-CN"/>
              </w:rPr>
              <w:t>（</w:t>
            </w:r>
            <w:r>
              <w:rPr>
                <w:rFonts w:hint="default" w:ascii="Times New Roman" w:hAnsi="Times New Roman" w:cs="Times New Roman"/>
                <w:color w:val="auto"/>
                <w:highlight w:val="none"/>
              </w:rPr>
              <w:t>GB12348-2008</w:t>
            </w:r>
            <w:r>
              <w:rPr>
                <w:rFonts w:hint="eastAsia" w:cs="Times New Roman"/>
                <w:color w:val="auto"/>
                <w:highlight w:val="none"/>
                <w:lang w:eastAsia="zh-CN"/>
              </w:rPr>
              <w:t>）</w:t>
            </w:r>
            <w:r>
              <w:rPr>
                <w:rFonts w:hint="default" w:ascii="Times New Roman" w:hAnsi="Times New Roman" w:cs="Times New Roman"/>
                <w:color w:val="auto"/>
                <w:highlight w:val="none"/>
              </w:rPr>
              <w:t>3类标准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电磁</w:t>
            </w:r>
          </w:p>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辐射</w:t>
            </w:r>
          </w:p>
        </w:tc>
        <w:tc>
          <w:tcPr>
            <w:tcW w:w="7874" w:type="dxa"/>
            <w:gridSpan w:val="4"/>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2" w:hRule="atLeast"/>
          <w:jc w:val="center"/>
        </w:trPr>
        <w:tc>
          <w:tcPr>
            <w:tcW w:w="926"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固体</w:t>
            </w:r>
          </w:p>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废物</w:t>
            </w:r>
          </w:p>
        </w:tc>
        <w:tc>
          <w:tcPr>
            <w:tcW w:w="7874" w:type="dxa"/>
            <w:gridSpan w:val="4"/>
            <w:vAlign w:val="center"/>
          </w:tcPr>
          <w:p>
            <w:pPr>
              <w:adjustRightInd w:val="0"/>
              <w:snapToGrid w:val="0"/>
              <w:jc w:val="center"/>
              <w:rPr>
                <w:rFonts w:hint="default" w:ascii="Times New Roman" w:hAnsi="Times New Roman" w:cs="Times New Roman"/>
                <w:color w:val="auto"/>
                <w:szCs w:val="21"/>
                <w:highlight w:val="none"/>
              </w:rPr>
            </w:pPr>
            <w:r>
              <w:rPr>
                <w:rFonts w:hint="eastAsia" w:cs="Times New Roman"/>
                <w:color w:val="auto"/>
                <w:sz w:val="21"/>
                <w:szCs w:val="21"/>
                <w:highlight w:val="none"/>
                <w:lang w:val="en-US" w:eastAsia="zh-CN"/>
              </w:rPr>
              <w:t>废油泥、废活性炭等</w:t>
            </w:r>
            <w:r>
              <w:rPr>
                <w:rFonts w:hint="default" w:ascii="Times New Roman" w:hAnsi="Times New Roman" w:cs="Times New Roman"/>
                <w:color w:val="auto"/>
                <w:sz w:val="21"/>
                <w:szCs w:val="21"/>
                <w:highlight w:val="none"/>
                <w:lang w:val="en-US" w:eastAsia="zh-CN"/>
              </w:rPr>
              <w:t>收集至危废间暂存后</w:t>
            </w:r>
            <w:r>
              <w:rPr>
                <w:rFonts w:hint="default" w:ascii="Times New Roman" w:hAnsi="Times New Roman" w:cs="Times New Roman"/>
                <w:color w:val="auto"/>
                <w:sz w:val="21"/>
                <w:szCs w:val="21"/>
                <w:highlight w:val="none"/>
              </w:rPr>
              <w:t>委托</w:t>
            </w:r>
            <w:r>
              <w:rPr>
                <w:rFonts w:hint="default" w:ascii="Times New Roman" w:hAnsi="Times New Roman" w:cs="Times New Roman"/>
                <w:color w:val="auto"/>
                <w:sz w:val="21"/>
                <w:szCs w:val="21"/>
                <w:highlight w:val="none"/>
                <w:lang w:val="en-US" w:eastAsia="zh-CN"/>
              </w:rPr>
              <w:t>有资质的单位</w:t>
            </w:r>
            <w:r>
              <w:rPr>
                <w:rFonts w:hint="default" w:ascii="Times New Roman" w:hAnsi="Times New Roman" w:cs="Times New Roman"/>
                <w:color w:val="auto"/>
                <w:sz w:val="21"/>
                <w:szCs w:val="21"/>
                <w:highlight w:val="none"/>
              </w:rPr>
              <w:t>处置。</w:t>
            </w:r>
            <w:r>
              <w:rPr>
                <w:rFonts w:hint="default" w:ascii="Times New Roman" w:hAnsi="Times New Roman" w:cs="Times New Roman"/>
                <w:color w:val="auto"/>
                <w:szCs w:val="21"/>
                <w:highlight w:val="none"/>
                <w:lang w:bidi="ar"/>
              </w:rPr>
              <w:t>危险废物收集、暂存、装运等需满足《危险废物贮存污染控制标准》</w:t>
            </w:r>
            <w:r>
              <w:rPr>
                <w:rFonts w:hint="eastAsia" w:cs="Times New Roman"/>
                <w:color w:val="auto"/>
                <w:szCs w:val="21"/>
                <w:highlight w:val="none"/>
                <w:lang w:eastAsia="zh-CN" w:bidi="ar"/>
              </w:rPr>
              <w:t>（</w:t>
            </w:r>
            <w:r>
              <w:rPr>
                <w:rFonts w:hint="default" w:ascii="Times New Roman" w:hAnsi="Times New Roman" w:cs="Times New Roman"/>
                <w:color w:val="auto"/>
                <w:szCs w:val="21"/>
                <w:highlight w:val="none"/>
                <w:lang w:bidi="ar"/>
              </w:rPr>
              <w:t>GB18597-20</w:t>
            </w:r>
            <w:r>
              <w:rPr>
                <w:rFonts w:hint="eastAsia" w:cs="Times New Roman"/>
                <w:color w:val="auto"/>
                <w:szCs w:val="21"/>
                <w:highlight w:val="none"/>
                <w:lang w:val="en-US" w:eastAsia="zh-CN" w:bidi="ar"/>
              </w:rPr>
              <w:t>23</w:t>
            </w:r>
            <w:r>
              <w:rPr>
                <w:rFonts w:hint="eastAsia" w:cs="Times New Roman"/>
                <w:color w:val="auto"/>
                <w:szCs w:val="21"/>
                <w:highlight w:val="none"/>
                <w:lang w:eastAsia="zh-CN" w:bidi="ar"/>
              </w:rPr>
              <w:t>）</w:t>
            </w:r>
            <w:r>
              <w:rPr>
                <w:rFonts w:hint="default" w:ascii="Times New Roman" w:hAnsi="Times New Roman" w:cs="Times New Roman"/>
                <w:color w:val="auto"/>
                <w:szCs w:val="21"/>
                <w:highlight w:val="none"/>
                <w:lang w:bidi="ar"/>
              </w:rPr>
              <w:t>。危废转移应严格按《危险废物转移联单管理办法》要求执行</w:t>
            </w:r>
            <w:r>
              <w:rPr>
                <w:rFonts w:hint="default" w:ascii="Times New Roman" w:hAnsi="Times New Roman" w:cs="Times New Roman"/>
                <w:color w:val="auto"/>
                <w:szCs w:val="21"/>
                <w:highlight w:val="none"/>
                <w:lang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土壤及地下水</w:t>
            </w:r>
          </w:p>
        </w:tc>
        <w:tc>
          <w:tcPr>
            <w:tcW w:w="7874" w:type="dxa"/>
            <w:gridSpan w:val="4"/>
            <w:vAlign w:val="center"/>
          </w:tcPr>
          <w:p>
            <w:pPr>
              <w:keepNext w:val="0"/>
              <w:keepLines w:val="0"/>
              <w:widowControl/>
              <w:suppressLineNumbers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按照</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源头控制、分区防治、污染监控、应急响应</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相结合的原则全阶段进行控制。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生态保护措施</w:t>
            </w:r>
          </w:p>
        </w:tc>
        <w:tc>
          <w:tcPr>
            <w:tcW w:w="7874" w:type="dxa"/>
            <w:gridSpan w:val="4"/>
            <w:vAlign w:val="center"/>
          </w:tcPr>
          <w:p>
            <w:pPr>
              <w:pStyle w:val="8"/>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cs="Times New Roman"/>
                <w:color w:val="auto"/>
                <w:szCs w:val="21"/>
                <w:highlight w:val="none"/>
              </w:rPr>
            </w:pPr>
            <w:r>
              <w:rPr>
                <w:rFonts w:hint="eastAsia" w:cs="Times New Roman"/>
                <w:color w:val="auto"/>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Align w:val="center"/>
          </w:tcPr>
          <w:p>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环境风险防范措施</w:t>
            </w:r>
          </w:p>
        </w:tc>
        <w:tc>
          <w:tcPr>
            <w:tcW w:w="7874" w:type="dxa"/>
            <w:gridSpan w:val="4"/>
            <w:vAlign w:val="center"/>
          </w:tcPr>
          <w:p>
            <w:pPr>
              <w:bidi w:val="0"/>
              <w:rPr>
                <w:rFonts w:hint="default"/>
                <w:lang w:val="en-US" w:eastAsia="zh-CN"/>
              </w:rPr>
            </w:pPr>
            <w:r>
              <w:rPr>
                <w:rFonts w:hint="eastAsia"/>
                <w:lang w:val="en-US" w:eastAsia="zh-CN"/>
              </w:rPr>
              <w:t>本项目采取有效的环境风险防控措施如下：</w:t>
            </w:r>
          </w:p>
          <w:p>
            <w:pPr>
              <w:bidi w:val="0"/>
              <w:rPr>
                <w:rFonts w:hint="eastAsia"/>
                <w:lang w:val="en-US" w:eastAsia="zh-CN"/>
              </w:rPr>
            </w:pPr>
            <w:r>
              <w:rPr>
                <w:rFonts w:hint="eastAsia"/>
                <w:lang w:val="en-US" w:eastAsia="zh-CN"/>
              </w:rPr>
              <w:t>①运输过程风险防范措施</w:t>
            </w:r>
          </w:p>
          <w:p>
            <w:pPr>
              <w:bidi w:val="0"/>
              <w:rPr>
                <w:rFonts w:hint="eastAsia"/>
                <w:lang w:val="en-US" w:eastAsia="zh-CN"/>
              </w:rPr>
            </w:pPr>
            <w:r>
              <w:rPr>
                <w:rFonts w:hint="eastAsia"/>
                <w:lang w:val="en-US" w:eastAsia="zh-CN"/>
              </w:rPr>
              <w:t>②贮存过程风险防范措施</w:t>
            </w:r>
          </w:p>
          <w:p>
            <w:pPr>
              <w:bidi w:val="0"/>
              <w:rPr>
                <w:rFonts w:hint="eastAsia"/>
                <w:lang w:val="en-US" w:eastAsia="zh-CN"/>
              </w:rPr>
            </w:pPr>
            <w:r>
              <w:rPr>
                <w:rFonts w:hint="eastAsia"/>
                <w:lang w:val="en-US" w:eastAsia="zh-CN"/>
              </w:rPr>
              <w:t>③火灾风险防范措施</w:t>
            </w:r>
          </w:p>
          <w:p>
            <w:pPr>
              <w:bidi w:val="0"/>
              <w:rPr>
                <w:rFonts w:hint="eastAsia"/>
                <w:lang w:val="en-US" w:eastAsia="zh-CN"/>
              </w:rPr>
            </w:pPr>
            <w:r>
              <w:rPr>
                <w:rFonts w:hint="eastAsia"/>
                <w:lang w:val="en-US" w:eastAsia="zh-CN"/>
              </w:rPr>
              <w:t>④事故泄漏防控措施</w:t>
            </w:r>
          </w:p>
          <w:p>
            <w:pPr>
              <w:bidi w:val="0"/>
              <w:rPr>
                <w:rFonts w:hint="default"/>
                <w:lang w:val="en-US"/>
              </w:rPr>
            </w:pPr>
            <w:r>
              <w:rPr>
                <w:rFonts w:hint="eastAsia"/>
                <w:lang w:val="en-US" w:eastAsia="zh-CN"/>
              </w:rPr>
              <w:t>详见</w:t>
            </w:r>
            <w:r>
              <w:rPr>
                <w:rFonts w:hint="eastAsia"/>
                <w:lang w:val="en-US" w:eastAsia="zh-CN"/>
              </w:rPr>
              <w:fldChar w:fldCharType="begin"/>
            </w:r>
            <w:r>
              <w:rPr>
                <w:rFonts w:hint="eastAsia"/>
                <w:lang w:val="en-US" w:eastAsia="zh-CN"/>
              </w:rPr>
              <w:instrText xml:space="preserve">REF_Ref30740\n\h</w:instrText>
            </w:r>
            <w:r>
              <w:rPr>
                <w:rFonts w:hint="eastAsia"/>
                <w:lang w:val="en-US" w:eastAsia="zh-CN"/>
              </w:rPr>
              <w:fldChar w:fldCharType="separate"/>
            </w:r>
            <w:r>
              <w:rPr>
                <w:rFonts w:hint="eastAsia"/>
                <w:lang w:val="en-US" w:eastAsia="zh-CN"/>
              </w:rPr>
              <w:t>6.3</w:t>
            </w:r>
            <w:r>
              <w:rPr>
                <w:rFonts w:hint="eastAsia"/>
                <w:lang w:val="en-US" w:eastAsia="zh-CN"/>
              </w:rPr>
              <w:fldChar w:fldCharType="end"/>
            </w:r>
            <w:r>
              <w:rPr>
                <w:rFonts w:hint="eastAsia"/>
                <w:lang w:val="en-US" w:eastAsia="zh-CN"/>
              </w:rPr>
              <w:fldChar w:fldCharType="begin"/>
            </w:r>
            <w:r>
              <w:rPr>
                <w:rFonts w:hint="eastAsia"/>
                <w:lang w:val="en-US" w:eastAsia="zh-CN"/>
              </w:rPr>
              <w:instrText xml:space="preserve">REF_Ref30740\h</w:instrText>
            </w:r>
            <w:r>
              <w:rPr>
                <w:rFonts w:hint="eastAsia"/>
                <w:lang w:val="en-US" w:eastAsia="zh-CN"/>
              </w:rPr>
              <w:fldChar w:fldCharType="separate"/>
            </w:r>
            <w:r>
              <w:rPr>
                <w:rFonts w:hint="eastAsia"/>
                <w:lang w:val="en-US" w:eastAsia="zh-CN"/>
              </w:rPr>
              <w:t>环境风险防范措施</w:t>
            </w:r>
            <w:r>
              <w:rPr>
                <w:rFonts w:hint="eastAsia"/>
                <w:lang w:val="en-US" w:eastAsia="zh-CN"/>
              </w:rPr>
              <w:fldChar w:fldCharType="end"/>
            </w:r>
            <w:r>
              <w:rPr>
                <w:rFonts w:hint="eastAsia"/>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6" w:type="dxa"/>
            <w:vAlign w:val="center"/>
          </w:tcPr>
          <w:p>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其他环境管理要求</w:t>
            </w:r>
          </w:p>
        </w:tc>
        <w:tc>
          <w:tcPr>
            <w:tcW w:w="7874" w:type="dxa"/>
            <w:gridSpan w:val="4"/>
            <w:vAlign w:val="center"/>
          </w:tcPr>
          <w:p>
            <w:pPr>
              <w:pStyle w:val="8"/>
              <w:keepNext w:val="0"/>
              <w:keepLines w:val="0"/>
              <w:pageBreakBefore w:val="0"/>
              <w:kinsoku/>
              <w:wordWrap/>
              <w:overflowPunct/>
              <w:topLinePunct w:val="0"/>
              <w:autoSpaceDE/>
              <w:autoSpaceDN/>
              <w:bidi w:val="0"/>
              <w:spacing w:line="240" w:lineRule="auto"/>
              <w:ind w:firstLine="0" w:firstLineChars="0"/>
              <w:textAlignment w:val="auto"/>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①设立专门的环保机构，配备专职环保工作人员。</w:t>
            </w:r>
          </w:p>
          <w:p>
            <w:pPr>
              <w:pStyle w:val="8"/>
              <w:keepNext w:val="0"/>
              <w:keepLines w:val="0"/>
              <w:pageBreakBefore w:val="0"/>
              <w:kinsoku/>
              <w:wordWrap/>
              <w:overflowPunct/>
              <w:topLinePunct w:val="0"/>
              <w:autoSpaceDE/>
              <w:autoSpaceDN/>
              <w:bidi w:val="0"/>
              <w:spacing w:line="240" w:lineRule="auto"/>
              <w:ind w:firstLine="0" w:firstLineChars="0"/>
              <w:textAlignment w:val="auto"/>
              <w:rPr>
                <w:rFonts w:hint="default" w:ascii="Times New Roman" w:hAnsi="Times New Roman" w:cs="Times New Roman"/>
                <w:color w:val="auto"/>
                <w:sz w:val="21"/>
                <w:szCs w:val="21"/>
                <w:highlight w:val="none"/>
                <w:lang w:val="en-GB"/>
              </w:rPr>
            </w:pPr>
            <w:r>
              <w:rPr>
                <w:rFonts w:hint="default" w:ascii="Times New Roman" w:hAnsi="Times New Roman" w:cs="Times New Roman"/>
                <w:color w:val="auto"/>
                <w:sz w:val="21"/>
                <w:szCs w:val="21"/>
                <w:highlight w:val="none"/>
                <w:lang w:val="en-GB"/>
              </w:rPr>
              <w:t>②建立日常环境管理制度和环境管理工作计划</w:t>
            </w:r>
            <w:r>
              <w:rPr>
                <w:rFonts w:hint="eastAsia" w:cs="Times New Roman"/>
                <w:color w:val="auto"/>
                <w:sz w:val="21"/>
                <w:szCs w:val="21"/>
                <w:highlight w:val="none"/>
                <w:lang w:val="en-GB" w:eastAsia="zh-CN"/>
              </w:rPr>
              <w:t>，</w:t>
            </w:r>
            <w:r>
              <w:rPr>
                <w:rFonts w:hint="default" w:ascii="Times New Roman" w:hAnsi="Times New Roman" w:cs="Times New Roman"/>
                <w:color w:val="auto"/>
                <w:sz w:val="21"/>
                <w:szCs w:val="21"/>
                <w:highlight w:val="none"/>
                <w:lang w:val="en-GB"/>
              </w:rPr>
              <w:t>加强环保设施运行管理维护，建立环保设施运行台账，确保环保设施正常运行及污染物稳定达标排放。</w:t>
            </w:r>
          </w:p>
          <w:p>
            <w:pPr>
              <w:pStyle w:val="8"/>
              <w:keepNext w:val="0"/>
              <w:keepLines w:val="0"/>
              <w:pageBreakBefore w:val="0"/>
              <w:kinsoku/>
              <w:wordWrap/>
              <w:overflowPunct/>
              <w:topLinePunct w:val="0"/>
              <w:autoSpaceDE/>
              <w:autoSpaceDN/>
              <w:bidi w:val="0"/>
              <w:spacing w:line="240" w:lineRule="auto"/>
              <w:ind w:firstLine="0" w:firstLineChars="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④</w:t>
            </w:r>
            <w:r>
              <w:rPr>
                <w:rFonts w:hint="default" w:ascii="Times New Roman" w:hAnsi="Times New Roman" w:cs="Times New Roman"/>
                <w:color w:val="auto"/>
                <w:sz w:val="21"/>
                <w:szCs w:val="21"/>
                <w:highlight w:val="none"/>
                <w:lang w:val="en-GB"/>
              </w:rPr>
              <w:t>企业投产前应按照《排污许可证申请与核发技术规范总则》（HJ942-2018）等有关要求，</w:t>
            </w:r>
            <w:r>
              <w:rPr>
                <w:rFonts w:hint="eastAsia" w:cs="Times New Roman"/>
                <w:color w:val="auto"/>
                <w:sz w:val="21"/>
                <w:szCs w:val="21"/>
                <w:highlight w:val="none"/>
                <w:lang w:val="en-US" w:eastAsia="zh-CN"/>
              </w:rPr>
              <w:t>办理排污许可证。根据《固定污染源排污许可分类管理名录》（2019年版），本项目</w:t>
            </w:r>
            <w:r>
              <w:rPr>
                <w:rFonts w:hint="default" w:ascii="Times New Roman" w:hAnsi="Times New Roman" w:cs="Times New Roman"/>
                <w:color w:val="auto"/>
                <w:sz w:val="21"/>
                <w:szCs w:val="21"/>
                <w:highlight w:val="none"/>
                <w:lang w:val="en-GB"/>
              </w:rPr>
              <w:t>排污许可</w:t>
            </w:r>
            <w:r>
              <w:rPr>
                <w:rFonts w:hint="eastAsia" w:cs="Times New Roman"/>
                <w:color w:val="auto"/>
                <w:sz w:val="21"/>
                <w:szCs w:val="21"/>
                <w:highlight w:val="none"/>
                <w:lang w:val="en-US" w:eastAsia="zh-CN"/>
              </w:rPr>
              <w:t>管理实行登记管理</w:t>
            </w:r>
            <w:r>
              <w:rPr>
                <w:rFonts w:hint="default" w:ascii="Times New Roman" w:hAnsi="Times New Roman" w:cs="Times New Roman"/>
                <w:color w:val="auto"/>
                <w:sz w:val="21"/>
                <w:szCs w:val="21"/>
                <w:highlight w:val="none"/>
                <w:lang w:val="en-GB"/>
              </w:rPr>
              <w:t>。</w:t>
            </w:r>
          </w:p>
          <w:p>
            <w:pPr>
              <w:pStyle w:val="8"/>
              <w:keepNext w:val="0"/>
              <w:keepLines w:val="0"/>
              <w:pageBreakBefore w:val="0"/>
              <w:kinsoku/>
              <w:wordWrap/>
              <w:overflowPunct/>
              <w:topLinePunct w:val="0"/>
              <w:autoSpaceDE/>
              <w:autoSpaceDN/>
              <w:bidi w:val="0"/>
              <w:spacing w:line="240" w:lineRule="auto"/>
              <w:ind w:firstLine="0" w:firstLineChars="0"/>
              <w:textAlignment w:val="auto"/>
              <w:rPr>
                <w:rFonts w:hint="default" w:ascii="Times New Roman" w:hAnsi="Times New Roman" w:cs="Times New Roman"/>
                <w:color w:val="auto"/>
                <w:sz w:val="21"/>
                <w:szCs w:val="21"/>
                <w:highlight w:val="none"/>
                <w:lang w:val="en-GB"/>
              </w:rPr>
            </w:pPr>
            <w:r>
              <w:rPr>
                <w:rFonts w:hint="eastAsia" w:cs="Times New Roman"/>
                <w:color w:val="auto"/>
                <w:sz w:val="21"/>
                <w:szCs w:val="21"/>
                <w:highlight w:val="none"/>
                <w:lang w:val="en-US" w:eastAsia="zh-CN"/>
              </w:rPr>
              <w:t>⑤</w:t>
            </w:r>
            <w:r>
              <w:rPr>
                <w:rFonts w:hint="default" w:ascii="Times New Roman" w:hAnsi="Times New Roman" w:cs="Times New Roman"/>
                <w:color w:val="auto"/>
                <w:sz w:val="21"/>
                <w:szCs w:val="21"/>
                <w:highlight w:val="none"/>
                <w:lang w:val="en-GB"/>
              </w:rPr>
              <w:t>根据《建设项目竣工环境保护验收暂行办法》，项目竣工后，建设单位如实查验、监测、记载建设项目环境保护设施的建设和调试情况，编制验收监测报告表。</w:t>
            </w:r>
          </w:p>
          <w:p>
            <w:pPr>
              <w:pStyle w:val="8"/>
              <w:keepNext w:val="0"/>
              <w:keepLines w:val="0"/>
              <w:pageBreakBefore w:val="0"/>
              <w:kinsoku/>
              <w:wordWrap/>
              <w:overflowPunct/>
              <w:topLinePunct w:val="0"/>
              <w:autoSpaceDE/>
              <w:autoSpaceDN/>
              <w:bidi w:val="0"/>
              <w:spacing w:line="240" w:lineRule="auto"/>
              <w:ind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⑥根据《中华人民共和国固体废物污染环境防治法》第八十条“禁止无许可证或者未按照许可证规定从事危险废物收集、贮存、利用、处置的经营活动。”，企业在投产前取得危废经营许可证。</w:t>
            </w:r>
          </w:p>
        </w:tc>
      </w:tr>
    </w:tbl>
    <w:p>
      <w:pPr>
        <w:pStyle w:val="3"/>
        <w:numPr>
          <w:ilvl w:val="0"/>
          <w:numId w:val="14"/>
        </w:numPr>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br w:type="page"/>
      </w:r>
      <w:bookmarkStart w:id="96" w:name="_Toc2287"/>
      <w:bookmarkStart w:id="97" w:name="_Toc21057"/>
      <w:bookmarkStart w:id="98" w:name="_Toc9633"/>
      <w:bookmarkStart w:id="99" w:name="_Toc681"/>
      <w:bookmarkStart w:id="100" w:name="_Toc27200"/>
      <w:bookmarkStart w:id="101" w:name="_Toc4357"/>
      <w:bookmarkStart w:id="102" w:name="_Toc17501"/>
      <w:bookmarkStart w:id="103" w:name="_Toc15933"/>
      <w:bookmarkStart w:id="104" w:name="_Toc12313"/>
      <w:r>
        <w:rPr>
          <w:rFonts w:hint="default" w:ascii="Times New Roman" w:hAnsi="Times New Roman" w:cs="Times New Roman"/>
          <w:snapToGrid w:val="0"/>
          <w:color w:val="auto"/>
          <w:highlight w:val="none"/>
        </w:rPr>
        <w:t>结论</w:t>
      </w:r>
      <w:bookmarkEnd w:id="96"/>
      <w:bookmarkEnd w:id="97"/>
      <w:bookmarkEnd w:id="98"/>
      <w:bookmarkEnd w:id="99"/>
      <w:bookmarkEnd w:id="100"/>
      <w:bookmarkEnd w:id="101"/>
      <w:bookmarkEnd w:id="102"/>
      <w:bookmarkEnd w:id="103"/>
      <w:bookmarkEnd w:id="104"/>
    </w:p>
    <w:tbl>
      <w:tblPr>
        <w:tblStyle w:val="24"/>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pPr>
              <w:pStyle w:val="8"/>
              <w:ind w:firstLine="480"/>
              <w:rPr>
                <w:rFonts w:hint="eastAsia"/>
                <w:color w:val="auto"/>
                <w:sz w:val="24"/>
              </w:rPr>
            </w:pPr>
          </w:p>
          <w:p>
            <w:pPr>
              <w:pStyle w:val="8"/>
              <w:ind w:firstLine="480"/>
              <w:rPr>
                <w:rFonts w:hint="default" w:ascii="Times New Roman" w:hAnsi="Times New Roman" w:cs="Times New Roman"/>
                <w:color w:val="auto"/>
                <w:highlight w:val="none"/>
              </w:rPr>
            </w:pPr>
            <w:r>
              <w:rPr>
                <w:rFonts w:hint="eastAsia"/>
                <w:color w:val="auto"/>
                <w:sz w:val="24"/>
              </w:rPr>
              <w:t>福建旺捷生态环保科技有限公司</w:t>
            </w:r>
            <w:r>
              <w:rPr>
                <w:rFonts w:hint="eastAsia" w:eastAsia="宋体"/>
                <w:color w:val="auto"/>
                <w:sz w:val="24"/>
                <w:lang w:val="en-US" w:eastAsia="zh-CN"/>
              </w:rPr>
              <w:t>年收集</w:t>
            </w:r>
            <w:r>
              <w:rPr>
                <w:rFonts w:hint="eastAsia"/>
                <w:color w:val="auto"/>
                <w:sz w:val="24"/>
                <w:lang w:val="en-US" w:eastAsia="zh-CN"/>
              </w:rPr>
              <w:t>贮存</w:t>
            </w:r>
            <w:r>
              <w:rPr>
                <w:rFonts w:hint="eastAsia" w:eastAsia="宋体"/>
                <w:color w:val="auto"/>
                <w:sz w:val="24"/>
                <w:lang w:val="en-US" w:eastAsia="zh-CN"/>
              </w:rPr>
              <w:t>转运8000吨废矿物油、废机油项目</w:t>
            </w:r>
            <w:r>
              <w:rPr>
                <w:rFonts w:hint="default" w:ascii="Times New Roman" w:hAnsi="Times New Roman" w:cs="Times New Roman"/>
                <w:color w:val="auto"/>
                <w:highlight w:val="none"/>
              </w:rPr>
              <w:t>符合国家有关产业政策，项目选址合理</w:t>
            </w:r>
            <w:r>
              <w:rPr>
                <w:rFonts w:hint="default" w:ascii="Times New Roman" w:hAnsi="Times New Roman" w:cs="Times New Roman"/>
                <w:color w:val="auto"/>
                <w:highlight w:val="none"/>
                <w:lang w:val="zh-CN"/>
              </w:rPr>
              <w:t>，在工程建设中，严格执行</w:t>
            </w:r>
            <w:r>
              <w:rPr>
                <w:rFonts w:hint="eastAsia" w:cs="Times New Roman"/>
                <w:color w:val="auto"/>
                <w:highlight w:val="none"/>
                <w:lang w:val="zh-CN"/>
              </w:rPr>
              <w:t>“</w:t>
            </w:r>
            <w:r>
              <w:rPr>
                <w:rFonts w:hint="default" w:ascii="Times New Roman" w:hAnsi="Times New Roman" w:cs="Times New Roman"/>
                <w:color w:val="auto"/>
                <w:highlight w:val="none"/>
                <w:lang w:val="zh-CN"/>
              </w:rPr>
              <w:t>三同时</w:t>
            </w:r>
            <w:r>
              <w:rPr>
                <w:rFonts w:hint="eastAsia" w:cs="Times New Roman"/>
                <w:color w:val="auto"/>
                <w:highlight w:val="none"/>
                <w:lang w:val="zh-CN"/>
              </w:rPr>
              <w:t>”</w:t>
            </w:r>
            <w:r>
              <w:rPr>
                <w:rFonts w:hint="default" w:ascii="Times New Roman" w:hAnsi="Times New Roman" w:cs="Times New Roman"/>
                <w:color w:val="auto"/>
                <w:highlight w:val="none"/>
                <w:lang w:val="zh-CN"/>
              </w:rPr>
              <w:t>制度，项目投产后，在严格落实国家有关法律法规、技术规范及相关环保措施，落实各项环境风险防范措施，</w:t>
            </w:r>
            <w:r>
              <w:rPr>
                <w:rFonts w:hint="default" w:ascii="Times New Roman" w:hAnsi="Times New Roman" w:cs="Times New Roman"/>
                <w:color w:val="auto"/>
                <w:highlight w:val="none"/>
              </w:rPr>
              <w:t>确保污染物排放</w:t>
            </w:r>
            <w:r>
              <w:rPr>
                <w:rFonts w:hint="default" w:ascii="Times New Roman" w:hAnsi="Times New Roman" w:cs="Times New Roman"/>
                <w:color w:val="auto"/>
                <w:highlight w:val="none"/>
                <w:lang w:val="en-US"/>
              </w:rPr>
              <w:t>总量</w:t>
            </w:r>
            <w:r>
              <w:rPr>
                <w:rFonts w:hint="default" w:ascii="Times New Roman" w:hAnsi="Times New Roman" w:cs="Times New Roman"/>
                <w:color w:val="auto"/>
                <w:highlight w:val="none"/>
              </w:rPr>
              <w:t>控制在经环保行政主管部门核定的范围内，污染物达标排放的前提下对周边环境影响较小，该项目可实现经济效益、环境效益的协调性发展。从环境保护的角度分析，该项目的建设是可行的。</w:t>
            </w:r>
          </w:p>
          <w:p>
            <w:pPr>
              <w:pStyle w:val="28"/>
              <w:rPr>
                <w:rFonts w:hint="default"/>
              </w:rPr>
            </w:pPr>
          </w:p>
          <w:p>
            <w:pPr>
              <w:keepNext w:val="0"/>
              <w:keepLines w:val="0"/>
              <w:widowControl/>
              <w:suppressLineNumbers w:val="0"/>
              <w:jc w:val="left"/>
            </w:pPr>
          </w:p>
          <w:p>
            <w:pPr>
              <w:pStyle w:val="28"/>
              <w:rPr>
                <w:rFonts w:hint="default"/>
              </w:rPr>
            </w:pPr>
          </w:p>
          <w:p>
            <w:pPr>
              <w:keepNext w:val="0"/>
              <w:keepLines w:val="0"/>
              <w:widowControl/>
              <w:suppressLineNumbers w:val="0"/>
              <w:jc w:val="left"/>
            </w:pPr>
          </w:p>
          <w:p>
            <w:pPr>
              <w:pStyle w:val="28"/>
              <w:rPr>
                <w:rFonts w:hint="default"/>
              </w:rPr>
            </w:pPr>
          </w:p>
          <w:p>
            <w:pPr>
              <w:pStyle w:val="28"/>
              <w:rPr>
                <w:rFonts w:hint="default"/>
              </w:rPr>
            </w:pPr>
          </w:p>
          <w:p>
            <w:pPr>
              <w:jc w:val="right"/>
              <w:rPr>
                <w:rFonts w:hint="default" w:ascii="Times New Roman" w:hAnsi="Times New Roman" w:cs="Times New Roman"/>
                <w:b/>
                <w:bCs/>
                <w:color w:val="auto"/>
                <w:sz w:val="24"/>
                <w:highlight w:val="none"/>
              </w:rPr>
            </w:pPr>
          </w:p>
          <w:p>
            <w:pPr>
              <w:keepNext w:val="0"/>
              <w:keepLines w:val="0"/>
              <w:widowControl/>
              <w:suppressLineNumbers w:val="0"/>
              <w:jc w:val="left"/>
            </w:pPr>
          </w:p>
          <w:p>
            <w:pPr>
              <w:pStyle w:val="28"/>
              <w:rPr>
                <w:rFonts w:hint="default"/>
              </w:rPr>
            </w:pPr>
          </w:p>
          <w:p>
            <w:pPr>
              <w:jc w:val="right"/>
              <w:rPr>
                <w:rFonts w:hint="default" w:ascii="Times New Roman" w:hAnsi="Times New Roman" w:cs="Times New Roman"/>
                <w:b/>
                <w:bCs/>
                <w:color w:val="auto"/>
                <w:sz w:val="24"/>
                <w:highlight w:val="none"/>
                <w:lang w:val="zh-CN"/>
              </w:rPr>
            </w:pPr>
          </w:p>
          <w:p>
            <w:pPr>
              <w:spacing w:line="360" w:lineRule="auto"/>
              <w:rPr>
                <w:rFonts w:hint="default" w:ascii="Times New Roman" w:hAnsi="Times New Roman" w:cs="Times New Roman"/>
                <w:color w:val="auto"/>
                <w:sz w:val="24"/>
                <w:highlight w:val="none"/>
              </w:rPr>
            </w:pPr>
          </w:p>
        </w:tc>
      </w:tr>
    </w:tbl>
    <w:p>
      <w:pPr>
        <w:rPr>
          <w:rFonts w:hint="default" w:ascii="Times New Roman" w:hAnsi="Times New Roman" w:cs="Times New Roman"/>
          <w:color w:val="auto"/>
          <w:highlight w:val="none"/>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adjustRightInd w:val="0"/>
        <w:snapToGrid w:val="0"/>
        <w:spacing w:before="0" w:beforeAutospacing="0" w:after="0" w:afterAutospacing="0"/>
        <w:jc w:val="left"/>
        <w:outlineLvl w:val="0"/>
        <w:rPr>
          <w:rFonts w:hint="default" w:ascii="Times New Roman" w:hAnsi="Times New Roman" w:eastAsia="方正小标宋_GBK" w:cs="Times New Roman"/>
          <w:snapToGrid w:val="0"/>
          <w:color w:val="auto"/>
          <w:sz w:val="36"/>
          <w:szCs w:val="36"/>
          <w:highlight w:val="none"/>
          <w:lang w:val="en-US" w:eastAsia="zh-CN"/>
        </w:rPr>
      </w:pPr>
      <w:bookmarkStart w:id="105" w:name="_Toc2527"/>
      <w:bookmarkStart w:id="106" w:name="_Toc26272"/>
      <w:bookmarkStart w:id="107" w:name="_Toc30662"/>
      <w:bookmarkStart w:id="108" w:name="_Toc16358"/>
      <w:bookmarkStart w:id="109" w:name="_Toc15034"/>
      <w:bookmarkStart w:id="110" w:name="_Toc12498"/>
      <w:bookmarkStart w:id="111" w:name="_Toc18778"/>
      <w:bookmarkStart w:id="112" w:name="_Toc12570"/>
      <w:bookmarkStart w:id="113" w:name="_Toc7593"/>
      <w:r>
        <w:rPr>
          <w:rFonts w:hint="default" w:ascii="Times New Roman" w:hAnsi="Times New Roman" w:eastAsia="黑体" w:cs="Times New Roman"/>
          <w:snapToGrid w:val="0"/>
          <w:color w:val="auto"/>
          <w:sz w:val="32"/>
          <w:szCs w:val="32"/>
          <w:highlight w:val="none"/>
        </w:rPr>
        <w:t>附表</w:t>
      </w:r>
      <w:bookmarkEnd w:id="105"/>
      <w:bookmarkEnd w:id="106"/>
      <w:bookmarkEnd w:id="107"/>
      <w:bookmarkEnd w:id="108"/>
      <w:bookmarkEnd w:id="109"/>
      <w:bookmarkEnd w:id="110"/>
      <w:bookmarkStart w:id="114" w:name="_Toc7407"/>
      <w:bookmarkStart w:id="115" w:name="_Toc3874"/>
      <w:bookmarkStart w:id="116" w:name="_Toc22868"/>
      <w:r>
        <w:rPr>
          <w:rFonts w:hint="eastAsia" w:eastAsia="黑体" w:cs="Times New Roman"/>
          <w:snapToGrid w:val="0"/>
          <w:color w:val="auto"/>
          <w:sz w:val="32"/>
          <w:szCs w:val="32"/>
          <w:highlight w:val="none"/>
          <w:lang w:val="en-US" w:eastAsia="zh-CN"/>
        </w:rPr>
        <w:t>1：</w:t>
      </w:r>
      <w:r>
        <w:rPr>
          <w:rFonts w:hint="default" w:ascii="Times New Roman" w:hAnsi="Times New Roman" w:eastAsia="方正小标宋_GBK" w:cs="Times New Roman"/>
          <w:snapToGrid w:val="0"/>
          <w:color w:val="auto"/>
          <w:sz w:val="36"/>
          <w:szCs w:val="36"/>
          <w:highlight w:val="none"/>
        </w:rPr>
        <w:t>建设项目污染物排放量汇总表</w:t>
      </w:r>
      <w:bookmarkEnd w:id="111"/>
      <w:bookmarkEnd w:id="112"/>
      <w:bookmarkEnd w:id="113"/>
      <w:bookmarkEnd w:id="114"/>
      <w:bookmarkEnd w:id="115"/>
      <w:bookmarkEnd w:id="116"/>
    </w:p>
    <w:tbl>
      <w:tblPr>
        <w:tblStyle w:val="24"/>
        <w:tblW w:w="499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480"/>
        <w:gridCol w:w="1527"/>
        <w:gridCol w:w="1629"/>
        <w:gridCol w:w="1240"/>
        <w:gridCol w:w="1629"/>
        <w:gridCol w:w="1676"/>
        <w:gridCol w:w="1846"/>
        <w:gridCol w:w="1986"/>
        <w:gridCol w:w="159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5" w:hRule="atLeast"/>
          <w:tblHeader/>
          <w:jc w:val="center"/>
        </w:trPr>
        <w:tc>
          <w:tcPr>
            <w:tcW w:w="506" w:type="pct"/>
            <w:tcBorders>
              <w:tl2br w:val="single" w:color="auto" w:sz="4" w:space="0"/>
            </w:tcBorders>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项目</w:t>
            </w:r>
          </w:p>
          <w:p>
            <w:pPr>
              <w:spacing w:beforeLines="0" w:afterLines="0" w:line="216" w:lineRule="auto"/>
              <w:jc w:val="both"/>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分类</w:t>
            </w:r>
          </w:p>
        </w:tc>
        <w:tc>
          <w:tcPr>
            <w:tcW w:w="522" w:type="pct"/>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污染物名称</w:t>
            </w:r>
          </w:p>
        </w:tc>
        <w:tc>
          <w:tcPr>
            <w:tcW w:w="557" w:type="pct"/>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eastAsia" w:cs="Times New Roman"/>
                <w:snapToGrid w:val="0"/>
                <w:color w:val="auto"/>
                <w:spacing w:val="-6"/>
                <w:kern w:val="21"/>
                <w:szCs w:val="21"/>
                <w:highlight w:val="none"/>
                <w:lang w:val="en-US" w:eastAsia="zh-CN"/>
              </w:rPr>
              <w:t>现有</w:t>
            </w:r>
            <w:r>
              <w:rPr>
                <w:rFonts w:hint="default" w:ascii="Times New Roman" w:hAnsi="Times New Roman" w:cs="Times New Roman"/>
                <w:snapToGrid w:val="0"/>
                <w:color w:val="auto"/>
                <w:spacing w:val="-6"/>
                <w:kern w:val="21"/>
                <w:szCs w:val="21"/>
                <w:highlight w:val="none"/>
              </w:rPr>
              <w:t>工程</w:t>
            </w:r>
          </w:p>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排放量（固体废物产生量）</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=1\*GB3\*MERGEFORMAT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kern w:val="2"/>
                <w:szCs w:val="21"/>
                <w:highlight w:val="none"/>
              </w:rPr>
              <w:t>①</w:t>
            </w:r>
            <w:r>
              <w:rPr>
                <w:rFonts w:hint="default" w:ascii="Times New Roman" w:hAnsi="Times New Roman" w:cs="Times New Roman"/>
                <w:snapToGrid w:val="0"/>
                <w:color w:val="auto"/>
                <w:spacing w:val="-6"/>
                <w:kern w:val="21"/>
                <w:szCs w:val="21"/>
                <w:highlight w:val="none"/>
              </w:rPr>
              <w:fldChar w:fldCharType="end"/>
            </w:r>
          </w:p>
        </w:tc>
        <w:tc>
          <w:tcPr>
            <w:tcW w:w="424" w:type="pct"/>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现有工程</w:t>
            </w:r>
          </w:p>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许可排放量</w:t>
            </w:r>
          </w:p>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=2\*GB3\*MERGEFORMAT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snapToGrid w:val="0"/>
                <w:color w:val="auto"/>
                <w:spacing w:val="-6"/>
                <w:kern w:val="21"/>
                <w:szCs w:val="21"/>
                <w:highlight w:val="none"/>
              </w:rPr>
              <w:t>②</w:t>
            </w:r>
            <w:r>
              <w:rPr>
                <w:rFonts w:hint="default" w:ascii="Times New Roman" w:hAnsi="Times New Roman" w:cs="Times New Roman"/>
                <w:snapToGrid w:val="0"/>
                <w:color w:val="auto"/>
                <w:spacing w:val="-6"/>
                <w:kern w:val="21"/>
                <w:szCs w:val="21"/>
                <w:highlight w:val="none"/>
              </w:rPr>
              <w:fldChar w:fldCharType="end"/>
            </w:r>
          </w:p>
        </w:tc>
        <w:tc>
          <w:tcPr>
            <w:tcW w:w="557" w:type="pct"/>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在建工程</w:t>
            </w:r>
          </w:p>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排放量（固体废物产生量）</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=3\*GB3\*MERGEFORMAT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kern w:val="2"/>
                <w:szCs w:val="21"/>
                <w:highlight w:val="none"/>
              </w:rPr>
              <w:t>③</w:t>
            </w:r>
            <w:r>
              <w:rPr>
                <w:rFonts w:hint="default" w:ascii="Times New Roman" w:hAnsi="Times New Roman" w:cs="Times New Roman"/>
                <w:snapToGrid w:val="0"/>
                <w:color w:val="auto"/>
                <w:spacing w:val="-6"/>
                <w:kern w:val="21"/>
                <w:szCs w:val="21"/>
                <w:highlight w:val="none"/>
              </w:rPr>
              <w:fldChar w:fldCharType="end"/>
            </w:r>
          </w:p>
        </w:tc>
        <w:tc>
          <w:tcPr>
            <w:tcW w:w="573" w:type="pct"/>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本项目</w:t>
            </w:r>
          </w:p>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排放量（固体废物产生量）</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=4\*GB3\*MERGEFORMAT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kern w:val="2"/>
                <w:szCs w:val="21"/>
                <w:highlight w:val="none"/>
              </w:rPr>
              <w:t>④</w:t>
            </w:r>
            <w:r>
              <w:rPr>
                <w:rFonts w:hint="default" w:ascii="Times New Roman" w:hAnsi="Times New Roman" w:cs="Times New Roman"/>
                <w:snapToGrid w:val="0"/>
                <w:color w:val="auto"/>
                <w:spacing w:val="-6"/>
                <w:kern w:val="21"/>
                <w:szCs w:val="21"/>
                <w:highlight w:val="none"/>
              </w:rPr>
              <w:fldChar w:fldCharType="end"/>
            </w:r>
          </w:p>
        </w:tc>
        <w:tc>
          <w:tcPr>
            <w:tcW w:w="631" w:type="pct"/>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16"/>
                <w:kern w:val="21"/>
                <w:szCs w:val="21"/>
                <w:highlight w:val="none"/>
              </w:rPr>
            </w:pPr>
            <w:r>
              <w:rPr>
                <w:rFonts w:hint="default" w:ascii="Times New Roman" w:hAnsi="Times New Roman" w:cs="Times New Roman"/>
                <w:snapToGrid w:val="0"/>
                <w:color w:val="auto"/>
                <w:spacing w:val="-16"/>
                <w:kern w:val="21"/>
                <w:szCs w:val="21"/>
                <w:highlight w:val="none"/>
              </w:rPr>
              <w:t>以新带老削减量</w:t>
            </w:r>
          </w:p>
          <w:p>
            <w:pPr>
              <w:spacing w:beforeLines="0" w:afterLines="0" w:line="216" w:lineRule="auto"/>
              <w:jc w:val="center"/>
              <w:rPr>
                <w:rFonts w:hint="default" w:ascii="Times New Roman" w:hAnsi="Times New Roman" w:cs="Times New Roman"/>
                <w:snapToGrid w:val="0"/>
                <w:color w:val="auto"/>
                <w:spacing w:val="-16"/>
                <w:kern w:val="21"/>
                <w:szCs w:val="21"/>
                <w:highlight w:val="none"/>
              </w:rPr>
            </w:pPr>
            <w:r>
              <w:rPr>
                <w:rFonts w:hint="default" w:ascii="Times New Roman" w:hAnsi="Times New Roman" w:cs="Times New Roman"/>
                <w:snapToGrid w:val="0"/>
                <w:color w:val="auto"/>
                <w:spacing w:val="-16"/>
                <w:kern w:val="21"/>
                <w:szCs w:val="21"/>
                <w:highlight w:val="none"/>
              </w:rPr>
              <w:t>（新建项目不填）</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=5\*GB3\*MERGEFORMAT</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kern w:val="2"/>
                <w:szCs w:val="21"/>
                <w:highlight w:val="none"/>
              </w:rPr>
              <w:t>⑤</w:t>
            </w:r>
            <w:r>
              <w:rPr>
                <w:rFonts w:hint="default" w:ascii="Times New Roman" w:hAnsi="Times New Roman" w:cs="Times New Roman"/>
                <w:snapToGrid w:val="0"/>
                <w:color w:val="auto"/>
                <w:spacing w:val="-16"/>
                <w:kern w:val="21"/>
                <w:szCs w:val="21"/>
                <w:highlight w:val="none"/>
              </w:rPr>
              <w:fldChar w:fldCharType="end"/>
            </w:r>
          </w:p>
        </w:tc>
        <w:tc>
          <w:tcPr>
            <w:tcW w:w="679" w:type="pct"/>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16"/>
                <w:kern w:val="21"/>
                <w:szCs w:val="21"/>
                <w:highlight w:val="none"/>
              </w:rPr>
            </w:pPr>
            <w:r>
              <w:rPr>
                <w:rFonts w:hint="default" w:ascii="Times New Roman" w:hAnsi="Times New Roman" w:cs="Times New Roman"/>
                <w:snapToGrid w:val="0"/>
                <w:color w:val="auto"/>
                <w:spacing w:val="-16"/>
                <w:kern w:val="21"/>
                <w:szCs w:val="21"/>
                <w:highlight w:val="none"/>
              </w:rPr>
              <w:t>本项目建成后</w:t>
            </w:r>
          </w:p>
          <w:p>
            <w:pPr>
              <w:spacing w:beforeLines="0" w:afterLines="0" w:line="216" w:lineRule="auto"/>
              <w:jc w:val="center"/>
              <w:rPr>
                <w:rFonts w:hint="default" w:ascii="Times New Roman" w:hAnsi="Times New Roman" w:cs="Times New Roman"/>
                <w:snapToGrid w:val="0"/>
                <w:color w:val="auto"/>
                <w:spacing w:val="-16"/>
                <w:kern w:val="21"/>
                <w:szCs w:val="21"/>
                <w:highlight w:val="none"/>
              </w:rPr>
            </w:pPr>
            <w:r>
              <w:rPr>
                <w:rFonts w:hint="default" w:ascii="Times New Roman" w:hAnsi="Times New Roman" w:cs="Times New Roman"/>
                <w:snapToGrid w:val="0"/>
                <w:color w:val="auto"/>
                <w:spacing w:val="-16"/>
                <w:kern w:val="21"/>
                <w:szCs w:val="21"/>
                <w:highlight w:val="none"/>
              </w:rPr>
              <w:t>全厂排放量（固体废物产生量）</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=6\*GB3\*MERGEFORMAT</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kern w:val="2"/>
                <w:szCs w:val="21"/>
                <w:highlight w:val="none"/>
              </w:rPr>
              <w:t>⑥</w:t>
            </w:r>
            <w:r>
              <w:rPr>
                <w:rFonts w:hint="default" w:ascii="Times New Roman" w:hAnsi="Times New Roman" w:cs="Times New Roman"/>
                <w:snapToGrid w:val="0"/>
                <w:color w:val="auto"/>
                <w:spacing w:val="-16"/>
                <w:kern w:val="21"/>
                <w:szCs w:val="21"/>
                <w:highlight w:val="none"/>
              </w:rPr>
              <w:fldChar w:fldCharType="end"/>
            </w:r>
          </w:p>
        </w:tc>
        <w:tc>
          <w:tcPr>
            <w:tcW w:w="546" w:type="pct"/>
            <w:tcMar>
              <w:left w:w="28" w:type="dxa"/>
              <w:right w:w="28" w:type="dxa"/>
            </w:tcMar>
            <w:vAlign w:val="center"/>
          </w:tcPr>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t>变化量</w:t>
            </w:r>
          </w:p>
          <w:p>
            <w:pPr>
              <w:spacing w:beforeLines="0" w:afterLines="0" w:line="216" w:lineRule="auto"/>
              <w:jc w:val="center"/>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=7\*GB3\*MERGEFORMAT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kern w:val="2"/>
                <w:szCs w:val="21"/>
                <w:highlight w:val="none"/>
              </w:rPr>
              <w:t>⑦</w:t>
            </w:r>
            <w:r>
              <w:rPr>
                <w:rFonts w:hint="default" w:ascii="Times New Roman" w:hAnsi="Times New Roman" w:cs="Times New Roman"/>
                <w:snapToGrid w:val="0"/>
                <w:color w:val="auto"/>
                <w:spacing w:val="-6"/>
                <w:kern w:val="21"/>
                <w:szCs w:val="21"/>
                <w:highlight w:val="none"/>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bookmarkStart w:id="117" w:name="OLE_LINK2" w:colFirst="2" w:colLast="8"/>
            <w:r>
              <w:rPr>
                <w:rFonts w:hint="default" w:ascii="Times New Roman" w:hAnsi="Times New Roman" w:cs="Times New Roman"/>
                <w:snapToGrid w:val="0"/>
                <w:color w:val="auto"/>
                <w:kern w:val="21"/>
                <w:szCs w:val="21"/>
                <w:highlight w:val="none"/>
              </w:rPr>
              <w:t>废气</w:t>
            </w:r>
          </w:p>
        </w:tc>
        <w:tc>
          <w:tcPr>
            <w:tcW w:w="522"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非甲烷总烃</w:t>
            </w: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w:t>
            </w:r>
          </w:p>
        </w:tc>
        <w:tc>
          <w:tcPr>
            <w:tcW w:w="424"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w:t>
            </w: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w:t>
            </w:r>
          </w:p>
        </w:tc>
        <w:tc>
          <w:tcPr>
            <w:tcW w:w="573"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0.0397</w:t>
            </w:r>
          </w:p>
        </w:tc>
        <w:tc>
          <w:tcPr>
            <w:tcW w:w="631"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w:t>
            </w:r>
          </w:p>
        </w:tc>
        <w:tc>
          <w:tcPr>
            <w:tcW w:w="679"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0.0397</w:t>
            </w:r>
          </w:p>
        </w:tc>
        <w:tc>
          <w:tcPr>
            <w:tcW w:w="546"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restart"/>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废水</w:t>
            </w:r>
          </w:p>
        </w:tc>
        <w:tc>
          <w:tcPr>
            <w:tcW w:w="522" w:type="pct"/>
            <w:vAlign w:val="center"/>
          </w:tcPr>
          <w:p>
            <w:pPr>
              <w:keepNext w:val="0"/>
              <w:keepLines w:val="0"/>
              <w:widowControl/>
              <w:suppressLineNumbers w:val="0"/>
              <w:jc w:val="center"/>
              <w:textAlignment w:val="center"/>
              <w:rPr>
                <w:rFonts w:hint="default" w:ascii="Times New Roman" w:hAnsi="Times New Roman" w:cs="Times New Roman"/>
                <w:snapToGrid w:val="0"/>
                <w:color w:val="auto"/>
                <w:kern w:val="21"/>
                <w:szCs w:val="21"/>
                <w:highlight w:val="none"/>
              </w:rPr>
            </w:pPr>
            <w:r>
              <w:rPr>
                <w:rFonts w:hint="eastAsia" w:ascii="宋体" w:hAnsi="宋体" w:eastAsia="宋体" w:cs="宋体"/>
                <w:i w:val="0"/>
                <w:iCs w:val="0"/>
                <w:color w:val="000000"/>
                <w:kern w:val="0"/>
                <w:sz w:val="21"/>
                <w:szCs w:val="21"/>
                <w:u w:val="none"/>
                <w:lang w:val="en-US" w:eastAsia="zh-CN" w:bidi="ar"/>
              </w:rPr>
              <w:t>废水量</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w:t>
            </w:r>
          </w:p>
        </w:tc>
        <w:tc>
          <w:tcPr>
            <w:tcW w:w="424" w:type="pct"/>
            <w:vAlign w:val="center"/>
          </w:tcPr>
          <w:p>
            <w:pPr>
              <w:keepNext w:val="0"/>
              <w:keepLines w:val="0"/>
              <w:widowControl/>
              <w:suppressLineNumbers w:val="0"/>
              <w:jc w:val="center"/>
              <w:textAlignment w:val="bottom"/>
              <w:rPr>
                <w:rFonts w:hint="default" w:ascii="Times New Roman" w:hAnsi="Times New Roman" w:cs="Times New Roman"/>
                <w:snapToGrid w:val="0"/>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573"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79.2</w:t>
            </w:r>
          </w:p>
        </w:tc>
        <w:tc>
          <w:tcPr>
            <w:tcW w:w="631" w:type="pct"/>
            <w:vAlign w:val="center"/>
          </w:tcPr>
          <w:p>
            <w:pPr>
              <w:keepNext w:val="0"/>
              <w:keepLines w:val="0"/>
              <w:widowControl/>
              <w:suppressLineNumbers w:val="0"/>
              <w:jc w:val="center"/>
              <w:textAlignment w:val="center"/>
              <w:rPr>
                <w:rFonts w:hint="default" w:ascii="Times New Roman" w:hAnsi="Times New Roman" w:cs="Times New Roman"/>
                <w:snapToGrid w:val="0"/>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679"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79.2</w:t>
            </w:r>
          </w:p>
        </w:tc>
        <w:tc>
          <w:tcPr>
            <w:tcW w:w="546"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p>
        </w:tc>
        <w:tc>
          <w:tcPr>
            <w:tcW w:w="522" w:type="pct"/>
            <w:vAlign w:val="center"/>
          </w:tcPr>
          <w:p>
            <w:pPr>
              <w:keepNext w:val="0"/>
              <w:keepLines w:val="0"/>
              <w:widowControl/>
              <w:suppressLineNumbers w:val="0"/>
              <w:jc w:val="center"/>
              <w:textAlignment w:val="center"/>
              <w:rPr>
                <w:rFonts w:hint="default" w:ascii="Times New Roman" w:hAnsi="Times New Roman" w:cs="Times New Roman"/>
                <w:snapToGrid w:val="0"/>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CODcr</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w:t>
            </w:r>
          </w:p>
        </w:tc>
        <w:tc>
          <w:tcPr>
            <w:tcW w:w="424" w:type="pct"/>
            <w:vAlign w:val="center"/>
          </w:tcPr>
          <w:p>
            <w:pPr>
              <w:keepNext w:val="0"/>
              <w:keepLines w:val="0"/>
              <w:widowControl/>
              <w:suppressLineNumbers w:val="0"/>
              <w:jc w:val="center"/>
              <w:textAlignment w:val="bottom"/>
              <w:rPr>
                <w:rFonts w:hint="eastAsia" w:ascii="Times New Roman" w:hAnsi="Times New Roman" w:eastAsia="宋体" w:cs="Times New Roman"/>
                <w:snapToGrid w:val="0"/>
                <w:color w:val="auto"/>
                <w:kern w:val="21"/>
                <w:szCs w:val="21"/>
                <w:highlight w:val="none"/>
                <w:lang w:val="en-US" w:eastAsia="zh-CN"/>
              </w:rPr>
            </w:pP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1676"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0.0269</w:t>
            </w:r>
          </w:p>
        </w:tc>
        <w:tc>
          <w:tcPr>
            <w:tcW w:w="631" w:type="pct"/>
            <w:vAlign w:val="center"/>
          </w:tcPr>
          <w:p>
            <w:pPr>
              <w:keepNext w:val="0"/>
              <w:keepLines w:val="0"/>
              <w:widowControl/>
              <w:suppressLineNumbers w:val="0"/>
              <w:jc w:val="center"/>
              <w:textAlignment w:val="center"/>
              <w:rPr>
                <w:rFonts w:hint="default" w:ascii="Times New Roman" w:hAnsi="Times New Roman" w:cs="Times New Roman"/>
                <w:snapToGrid w:val="0"/>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986"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0.0269</w:t>
            </w:r>
          </w:p>
        </w:tc>
        <w:tc>
          <w:tcPr>
            <w:tcW w:w="546"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p>
        </w:tc>
        <w:tc>
          <w:tcPr>
            <w:tcW w:w="522"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BOD</w:t>
            </w:r>
            <w:r>
              <w:rPr>
                <w:rFonts w:hint="default" w:ascii="Times New Roman" w:hAnsi="Times New Roman" w:eastAsia="宋体" w:cs="Times New Roman"/>
                <w:i w:val="0"/>
                <w:iCs w:val="0"/>
                <w:color w:val="000000"/>
                <w:kern w:val="0"/>
                <w:sz w:val="21"/>
                <w:szCs w:val="21"/>
                <w:u w:val="none"/>
                <w:vertAlign w:val="subscript"/>
                <w:lang w:val="en-US" w:eastAsia="zh-CN" w:bidi="ar"/>
              </w:rPr>
              <w:t>5</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w:t>
            </w:r>
          </w:p>
        </w:tc>
        <w:tc>
          <w:tcPr>
            <w:tcW w:w="424" w:type="pct"/>
            <w:vAlign w:val="center"/>
          </w:tcPr>
          <w:p>
            <w:pPr>
              <w:keepNext w:val="0"/>
              <w:keepLines w:val="0"/>
              <w:widowControl/>
              <w:suppressLineNumbers w:val="0"/>
              <w:jc w:val="center"/>
              <w:textAlignment w:val="bottom"/>
              <w:rPr>
                <w:rFonts w:hint="eastAsia" w:ascii="Times New Roman" w:hAnsi="Times New Roman" w:eastAsia="宋体" w:cs="Times New Roman"/>
                <w:snapToGrid w:val="0"/>
                <w:color w:val="auto"/>
                <w:kern w:val="21"/>
                <w:szCs w:val="21"/>
                <w:highlight w:val="none"/>
                <w:lang w:val="en-US" w:eastAsia="zh-CN"/>
              </w:rPr>
            </w:pP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1676"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0.0159</w:t>
            </w:r>
          </w:p>
        </w:tc>
        <w:tc>
          <w:tcPr>
            <w:tcW w:w="631" w:type="pct"/>
            <w:vAlign w:val="center"/>
          </w:tcPr>
          <w:p>
            <w:pPr>
              <w:keepNext w:val="0"/>
              <w:keepLines w:val="0"/>
              <w:widowControl/>
              <w:suppressLineNumbers w:val="0"/>
              <w:jc w:val="center"/>
              <w:textAlignment w:val="center"/>
              <w:rPr>
                <w:rFonts w:hint="default" w:ascii="Times New Roman" w:hAnsi="Times New Roman" w:cs="Times New Roman"/>
                <w:color w:val="auto"/>
                <w:kern w:val="0"/>
                <w:szCs w:val="21"/>
                <w:highlight w:val="none"/>
                <w:lang w:bidi="ar"/>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986"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0.0159</w:t>
            </w:r>
          </w:p>
        </w:tc>
        <w:tc>
          <w:tcPr>
            <w:tcW w:w="546"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p>
        </w:tc>
        <w:tc>
          <w:tcPr>
            <w:tcW w:w="522"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SS</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424" w:type="pct"/>
            <w:vAlign w:val="center"/>
          </w:tcPr>
          <w:p>
            <w:pPr>
              <w:keepNext w:val="0"/>
              <w:keepLines w:val="0"/>
              <w:widowControl/>
              <w:suppressLineNumbers w:val="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1676"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0.0061</w:t>
            </w:r>
          </w:p>
        </w:tc>
        <w:tc>
          <w:tcPr>
            <w:tcW w:w="631"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986"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0.0061</w:t>
            </w:r>
          </w:p>
        </w:tc>
        <w:tc>
          <w:tcPr>
            <w:tcW w:w="546" w:type="pct"/>
            <w:vAlign w:val="center"/>
          </w:tcPr>
          <w:p>
            <w:pPr>
              <w:keepNext w:val="0"/>
              <w:keepLines w:val="0"/>
              <w:widowControl/>
              <w:suppressLineNumbers w:val="0"/>
              <w:jc w:val="center"/>
              <w:textAlignment w:val="bottom"/>
              <w:rPr>
                <w:rFonts w:hint="default" w:ascii="Times New Roman" w:hAnsi="Times New Roman" w:eastAsia="宋体" w:cs="Times New Roman"/>
                <w:snapToGrid w:val="0"/>
                <w:color w:val="auto"/>
                <w:kern w:val="21"/>
                <w:sz w:val="21"/>
                <w:szCs w:val="21"/>
                <w:highlight w:val="none"/>
                <w:u w:val="none"/>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p>
        </w:tc>
        <w:tc>
          <w:tcPr>
            <w:tcW w:w="522"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NH</w:t>
            </w:r>
            <w:r>
              <w:rPr>
                <w:rFonts w:hint="default" w:ascii="Times New Roman" w:hAnsi="Times New Roman" w:eastAsia="宋体" w:cs="Times New Roman"/>
                <w:i w:val="0"/>
                <w:iCs w:val="0"/>
                <w:color w:val="000000"/>
                <w:kern w:val="0"/>
                <w:sz w:val="21"/>
                <w:szCs w:val="21"/>
                <w:u w:val="none"/>
                <w:vertAlign w:val="sub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-N</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424" w:type="pct"/>
            <w:vAlign w:val="center"/>
          </w:tcPr>
          <w:p>
            <w:pPr>
              <w:keepNext w:val="0"/>
              <w:keepLines w:val="0"/>
              <w:widowControl/>
              <w:suppressLineNumbers w:val="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1676"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0.0023</w:t>
            </w:r>
          </w:p>
        </w:tc>
        <w:tc>
          <w:tcPr>
            <w:tcW w:w="631"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986"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0.0023</w:t>
            </w:r>
          </w:p>
        </w:tc>
        <w:tc>
          <w:tcPr>
            <w:tcW w:w="546"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u w:val="none"/>
                <w:lang w:val="en-US" w:eastAsia="zh-CN" w:bidi="ar"/>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Align w:val="center"/>
          </w:tcPr>
          <w:p>
            <w:pPr>
              <w:spacing w:beforeLines="0" w:afterLines="0" w:line="216"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Cs w:val="21"/>
                <w:highlight w:val="none"/>
              </w:rPr>
              <w:t>一般固</w:t>
            </w:r>
            <w:r>
              <w:rPr>
                <w:rFonts w:hint="eastAsia" w:cs="Times New Roman"/>
                <w:snapToGrid w:val="0"/>
                <w:color w:val="auto"/>
                <w:kern w:val="21"/>
                <w:szCs w:val="21"/>
                <w:highlight w:val="none"/>
                <w:lang w:val="en-US" w:eastAsia="zh-CN"/>
              </w:rPr>
              <w:t>体</w:t>
            </w:r>
            <w:r>
              <w:rPr>
                <w:rFonts w:hint="default" w:ascii="Times New Roman" w:hAnsi="Times New Roman" w:cs="Times New Roman"/>
                <w:snapToGrid w:val="0"/>
                <w:color w:val="auto"/>
                <w:kern w:val="21"/>
                <w:szCs w:val="21"/>
                <w:highlight w:val="none"/>
              </w:rPr>
              <w:t>废物</w:t>
            </w:r>
          </w:p>
        </w:tc>
        <w:tc>
          <w:tcPr>
            <w:tcW w:w="522"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Cs w:val="21"/>
                <w:highlight w:val="none"/>
                <w:lang w:val="en-US" w:eastAsia="zh-CN"/>
              </w:rPr>
              <w:t>生活垃圾</w:t>
            </w: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bidi="ar-SA"/>
              </w:rPr>
              <w:t>/</w:t>
            </w:r>
          </w:p>
        </w:tc>
        <w:tc>
          <w:tcPr>
            <w:tcW w:w="424" w:type="pct"/>
            <w:vAlign w:val="center"/>
          </w:tcPr>
          <w:p>
            <w:pPr>
              <w:keepNext w:val="0"/>
              <w:keepLines w:val="0"/>
              <w:widowControl/>
              <w:suppressLineNumbers w:val="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bidi="ar-SA"/>
              </w:rPr>
              <w:t>/</w:t>
            </w: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bidi="ar-SA"/>
              </w:rPr>
              <w:t>/</w:t>
            </w:r>
          </w:p>
        </w:tc>
        <w:tc>
          <w:tcPr>
            <w:tcW w:w="573"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i w:val="0"/>
                <w:iCs w:val="0"/>
                <w:color w:val="000000"/>
                <w:kern w:val="0"/>
                <w:sz w:val="21"/>
                <w:szCs w:val="21"/>
                <w:u w:val="none"/>
                <w:lang w:val="en-US" w:eastAsia="zh-CN" w:bidi="ar"/>
              </w:rPr>
              <w:t>1.98</w:t>
            </w:r>
          </w:p>
        </w:tc>
        <w:tc>
          <w:tcPr>
            <w:tcW w:w="631" w:type="pct"/>
            <w:vAlign w:val="center"/>
          </w:tcPr>
          <w:p>
            <w:pPr>
              <w:keepNext w:val="0"/>
              <w:keepLines w:val="0"/>
              <w:widowControl/>
              <w:suppressLineNumbers w:val="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bidi="ar-SA"/>
              </w:rPr>
              <w:t>/</w:t>
            </w:r>
          </w:p>
        </w:tc>
        <w:tc>
          <w:tcPr>
            <w:tcW w:w="679"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i w:val="0"/>
                <w:iCs w:val="0"/>
                <w:color w:val="000000"/>
                <w:kern w:val="0"/>
                <w:sz w:val="21"/>
                <w:szCs w:val="21"/>
                <w:u w:val="none"/>
                <w:lang w:val="en-US" w:eastAsia="zh-CN" w:bidi="ar"/>
              </w:rPr>
              <w:t>1.98</w:t>
            </w:r>
          </w:p>
        </w:tc>
        <w:tc>
          <w:tcPr>
            <w:tcW w:w="546" w:type="pct"/>
            <w:vAlign w:val="center"/>
          </w:tcPr>
          <w:p>
            <w:pPr>
              <w:keepNext w:val="0"/>
              <w:keepLines w:val="0"/>
              <w:widowControl/>
              <w:suppressLineNumbers w:val="0"/>
              <w:jc w:val="center"/>
              <w:textAlignment w:val="bottom"/>
              <w:rPr>
                <w:rFonts w:hint="default" w:ascii="Times New Roman" w:hAnsi="Times New Roman" w:eastAsia="宋体" w:cs="Times New Roman"/>
                <w:color w:val="auto"/>
                <w:kern w:val="0"/>
                <w:sz w:val="21"/>
                <w:szCs w:val="21"/>
                <w:highlight w:val="none"/>
                <w:u w:val="none"/>
                <w:lang w:val="en-US" w:eastAsia="zh-CN" w:bidi="ar"/>
              </w:rPr>
            </w:pPr>
            <w:r>
              <w:rPr>
                <w:rFonts w:hint="eastAsia" w:cs="Times New Roman"/>
                <w:color w:val="auto"/>
                <w:kern w:val="0"/>
                <w:sz w:val="21"/>
                <w:szCs w:val="21"/>
                <w:highlight w:val="none"/>
                <w:u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restart"/>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危险</w:t>
            </w:r>
          </w:p>
          <w:p>
            <w:pPr>
              <w:spacing w:beforeLines="0" w:afterLines="0" w:line="216" w:lineRule="auto"/>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废物</w:t>
            </w:r>
          </w:p>
        </w:tc>
        <w:tc>
          <w:tcPr>
            <w:tcW w:w="522"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kern w:val="2"/>
                <w:sz w:val="21"/>
                <w:szCs w:val="24"/>
                <w:u w:val="none"/>
                <w:lang w:val="en-US" w:eastAsia="zh-CN" w:bidi="ar-SA"/>
              </w:rPr>
            </w:pPr>
            <w:r>
              <w:rPr>
                <w:rFonts w:hint="eastAsia" w:cs="Times New Roman"/>
                <w:snapToGrid/>
                <w:kern w:val="2"/>
                <w:szCs w:val="24"/>
                <w:lang w:val="en-US" w:eastAsia="zh-CN"/>
              </w:rPr>
              <w:t>含油劳保用品</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snapToGrid/>
                <w:kern w:val="2"/>
                <w:sz w:val="21"/>
                <w:szCs w:val="24"/>
                <w:lang w:val="en-US" w:eastAsia="zh-CN" w:bidi="ar-SA"/>
              </w:rPr>
            </w:pPr>
            <w:r>
              <w:rPr>
                <w:rFonts w:hint="eastAsia" w:cs="Times New Roman"/>
                <w:snapToGrid/>
                <w:kern w:val="2"/>
                <w:sz w:val="21"/>
                <w:szCs w:val="24"/>
                <w:lang w:val="en-US" w:eastAsia="zh-CN" w:bidi="ar-SA"/>
              </w:rPr>
              <w:t>/</w:t>
            </w:r>
          </w:p>
        </w:tc>
        <w:tc>
          <w:tcPr>
            <w:tcW w:w="424" w:type="pct"/>
            <w:vAlign w:val="center"/>
          </w:tcPr>
          <w:p>
            <w:pPr>
              <w:keepNext w:val="0"/>
              <w:keepLines w:val="0"/>
              <w:widowControl/>
              <w:suppressLineNumbers w:val="0"/>
              <w:jc w:val="center"/>
              <w:textAlignment w:val="bottom"/>
              <w:rPr>
                <w:rFonts w:hint="eastAsia" w:ascii="Times New Roman" w:hAnsi="Times New Roman" w:eastAsia="宋体" w:cs="Times New Roman"/>
                <w:i w:val="0"/>
                <w:iCs w:val="0"/>
                <w:kern w:val="2"/>
                <w:sz w:val="21"/>
                <w:szCs w:val="24"/>
                <w:u w:val="none"/>
                <w:lang w:val="en-US" w:eastAsia="zh-CN" w:bidi="ar-SA"/>
              </w:rPr>
            </w:pPr>
            <w:r>
              <w:rPr>
                <w:rFonts w:hint="eastAsia" w:cs="Times New Roman"/>
                <w:i w:val="0"/>
                <w:iCs w:val="0"/>
                <w:kern w:val="2"/>
                <w:sz w:val="21"/>
                <w:szCs w:val="24"/>
                <w:u w:val="none"/>
                <w:lang w:val="en-US" w:eastAsia="zh-CN" w:bidi="ar-SA"/>
              </w:rPr>
              <w:t>/</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snapToGrid/>
                <w:kern w:val="2"/>
                <w:sz w:val="21"/>
                <w:szCs w:val="24"/>
                <w:lang w:val="en-US" w:eastAsia="zh-CN" w:bidi="ar-SA"/>
              </w:rPr>
            </w:pPr>
            <w:r>
              <w:rPr>
                <w:rFonts w:hint="eastAsia" w:cs="Times New Roman"/>
                <w:snapToGrid/>
                <w:kern w:val="2"/>
                <w:sz w:val="21"/>
                <w:szCs w:val="24"/>
                <w:lang w:val="en-US" w:eastAsia="zh-CN" w:bidi="ar-SA"/>
              </w:rPr>
              <w:t>/</w:t>
            </w:r>
          </w:p>
        </w:tc>
        <w:tc>
          <w:tcPr>
            <w:tcW w:w="573"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kern w:val="2"/>
                <w:sz w:val="21"/>
                <w:szCs w:val="24"/>
                <w:u w:val="none"/>
                <w:lang w:val="en-US" w:eastAsia="zh-CN" w:bidi="ar-SA"/>
              </w:rPr>
            </w:pPr>
            <w:r>
              <w:rPr>
                <w:rFonts w:hint="eastAsia"/>
                <w:lang w:val="en-US" w:eastAsia="zh-CN"/>
              </w:rPr>
              <w:t>0.096</w:t>
            </w:r>
          </w:p>
        </w:tc>
        <w:tc>
          <w:tcPr>
            <w:tcW w:w="631" w:type="pct"/>
            <w:vAlign w:val="center"/>
          </w:tcPr>
          <w:p>
            <w:pPr>
              <w:keepNext w:val="0"/>
              <w:keepLines w:val="0"/>
              <w:widowControl/>
              <w:suppressLineNumbers w:val="0"/>
              <w:jc w:val="center"/>
              <w:textAlignment w:val="bottom"/>
              <w:rPr>
                <w:rFonts w:hint="eastAsia" w:ascii="Times New Roman" w:hAnsi="Times New Roman" w:eastAsia="宋体" w:cs="Times New Roman"/>
                <w:i w:val="0"/>
                <w:iCs w:val="0"/>
                <w:kern w:val="2"/>
                <w:sz w:val="21"/>
                <w:szCs w:val="24"/>
                <w:u w:val="none"/>
                <w:lang w:val="en-US" w:eastAsia="zh-CN" w:bidi="ar-SA"/>
              </w:rPr>
            </w:pPr>
            <w:r>
              <w:rPr>
                <w:rFonts w:hint="eastAsia" w:cs="Times New Roman"/>
                <w:i w:val="0"/>
                <w:iCs w:val="0"/>
                <w:kern w:val="2"/>
                <w:sz w:val="21"/>
                <w:szCs w:val="24"/>
                <w:u w:val="none"/>
                <w:lang w:val="en-US" w:eastAsia="zh-CN" w:bidi="ar-SA"/>
              </w:rPr>
              <w:t>/</w:t>
            </w:r>
          </w:p>
        </w:tc>
        <w:tc>
          <w:tcPr>
            <w:tcW w:w="679"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kern w:val="2"/>
                <w:sz w:val="21"/>
                <w:szCs w:val="24"/>
                <w:u w:val="none"/>
                <w:lang w:val="en-US" w:eastAsia="zh-CN" w:bidi="ar-SA"/>
              </w:rPr>
            </w:pPr>
            <w:r>
              <w:rPr>
                <w:rFonts w:hint="eastAsia"/>
                <w:lang w:val="en-US" w:eastAsia="zh-CN"/>
              </w:rPr>
              <w:t>0.096</w:t>
            </w:r>
          </w:p>
        </w:tc>
        <w:tc>
          <w:tcPr>
            <w:tcW w:w="546" w:type="pct"/>
            <w:vAlign w:val="center"/>
          </w:tcPr>
          <w:p>
            <w:pPr>
              <w:keepNext w:val="0"/>
              <w:keepLines w:val="0"/>
              <w:widowControl/>
              <w:suppressLineNumbers w:val="0"/>
              <w:jc w:val="center"/>
              <w:textAlignment w:val="bottom"/>
              <w:rPr>
                <w:rFonts w:hint="eastAsia" w:ascii="Times New Roman" w:hAnsi="Times New Roman" w:eastAsia="宋体" w:cs="Times New Roman"/>
                <w:i w:val="0"/>
                <w:iCs w:val="0"/>
                <w:kern w:val="2"/>
                <w:sz w:val="21"/>
                <w:szCs w:val="24"/>
                <w:u w:val="none"/>
                <w:lang w:val="en-US" w:eastAsia="zh-CN" w:bidi="ar-SA"/>
              </w:rPr>
            </w:pPr>
            <w:r>
              <w:rPr>
                <w:rFonts w:hint="eastAsia" w:cs="Times New Roman"/>
                <w:i w:val="0"/>
                <w:iCs w:val="0"/>
                <w:kern w:val="2"/>
                <w:sz w:val="21"/>
                <w:szCs w:val="24"/>
                <w:u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p>
        </w:tc>
        <w:tc>
          <w:tcPr>
            <w:tcW w:w="522" w:type="pct"/>
            <w:vAlign w:val="center"/>
          </w:tcPr>
          <w:p>
            <w:pPr>
              <w:pStyle w:val="31"/>
              <w:bidi w:val="0"/>
              <w:ind w:left="0" w:leftChars="0" w:firstLine="0" w:firstLineChars="0"/>
              <w:rPr>
                <w:rFonts w:hint="default" w:ascii="Times New Roman" w:hAnsi="Times New Roman" w:eastAsia="宋体" w:cs="Times New Roman"/>
                <w:color w:val="auto"/>
                <w:kern w:val="0"/>
                <w:sz w:val="22"/>
                <w:szCs w:val="22"/>
                <w:highlight w:val="none"/>
                <w:lang w:val="en-US" w:eastAsia="zh-CN" w:bidi="ar"/>
              </w:rPr>
            </w:pPr>
            <w:r>
              <w:rPr>
                <w:rFonts w:hint="eastAsia"/>
                <w:lang w:val="en-US" w:eastAsia="zh-CN"/>
              </w:rPr>
              <w:t>废油泥</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424" w:type="pct"/>
            <w:vAlign w:val="center"/>
          </w:tcPr>
          <w:p>
            <w:pPr>
              <w:keepNext w:val="0"/>
              <w:keepLines w:val="0"/>
              <w:widowControl/>
              <w:suppressLineNumbers w:val="0"/>
              <w:jc w:val="center"/>
              <w:textAlignment w:val="bottom"/>
              <w:rPr>
                <w:rFonts w:hint="default" w:ascii="Times New Roman" w:hAnsi="Times New Roman" w:cs="Times New Roman"/>
                <w:snapToGrid w:val="0"/>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573" w:type="pct"/>
            <w:vAlign w:val="center"/>
          </w:tcPr>
          <w:p>
            <w:pPr>
              <w:pStyle w:val="31"/>
              <w:bidi w:val="0"/>
              <w:ind w:left="0" w:leftChars="0" w:firstLine="0" w:firstLineChars="0"/>
              <w:rPr>
                <w:rFonts w:hint="default" w:ascii="Times New Roman" w:hAnsi="Times New Roman" w:eastAsia="宋体" w:cs="Times New Roman"/>
                <w:snapToGrid w:val="0"/>
                <w:color w:val="auto"/>
                <w:kern w:val="21"/>
                <w:szCs w:val="21"/>
                <w:highlight w:val="none"/>
                <w:lang w:val="en-US" w:eastAsia="zh-CN"/>
              </w:rPr>
            </w:pPr>
            <w:r>
              <w:rPr>
                <w:rFonts w:hint="eastAsia"/>
                <w:lang w:val="en-US" w:eastAsia="zh-CN"/>
              </w:rPr>
              <w:t>2</w:t>
            </w:r>
          </w:p>
        </w:tc>
        <w:tc>
          <w:tcPr>
            <w:tcW w:w="631" w:type="pct"/>
            <w:vAlign w:val="center"/>
          </w:tcPr>
          <w:p>
            <w:pPr>
              <w:keepNext w:val="0"/>
              <w:keepLines w:val="0"/>
              <w:widowControl/>
              <w:suppressLineNumbers w:val="0"/>
              <w:jc w:val="center"/>
              <w:textAlignment w:val="bottom"/>
              <w:rPr>
                <w:rFonts w:hint="eastAsia"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679" w:type="pct"/>
            <w:vAlign w:val="center"/>
          </w:tcPr>
          <w:p>
            <w:pPr>
              <w:pStyle w:val="31"/>
              <w:bidi w:val="0"/>
              <w:ind w:left="0" w:leftChars="0" w:firstLine="0" w:firstLineChars="0"/>
              <w:rPr>
                <w:rFonts w:hint="default" w:ascii="Times New Roman" w:hAnsi="Times New Roman" w:eastAsia="宋体" w:cs="Times New Roman"/>
                <w:snapToGrid w:val="0"/>
                <w:color w:val="auto"/>
                <w:kern w:val="21"/>
                <w:sz w:val="21"/>
                <w:szCs w:val="21"/>
                <w:highlight w:val="none"/>
                <w:lang w:val="en-US" w:eastAsia="zh-CN" w:bidi="ar-SA"/>
              </w:rPr>
            </w:pPr>
            <w:r>
              <w:rPr>
                <w:rFonts w:hint="eastAsia"/>
                <w:lang w:val="en-US" w:eastAsia="zh-CN"/>
              </w:rPr>
              <w:t>2</w:t>
            </w:r>
          </w:p>
        </w:tc>
        <w:tc>
          <w:tcPr>
            <w:tcW w:w="546" w:type="pct"/>
            <w:vAlign w:val="bottom"/>
          </w:tcPr>
          <w:p>
            <w:pPr>
              <w:keepNext w:val="0"/>
              <w:keepLines w:val="0"/>
              <w:widowControl/>
              <w:suppressLineNumbers w:val="0"/>
              <w:jc w:val="center"/>
              <w:textAlignment w:val="bottom"/>
              <w:rPr>
                <w:rFonts w:hint="eastAsia" w:ascii="Times New Roman" w:hAnsi="Times New Roman" w:eastAsia="宋体" w:cs="Times New Roman"/>
                <w:snapToGrid w:val="0"/>
                <w:color w:val="auto"/>
                <w:kern w:val="21"/>
                <w:szCs w:val="21"/>
                <w:highlight w:val="none"/>
                <w:u w:val="none"/>
                <w:lang w:val="en-US" w:eastAsia="zh-CN"/>
              </w:rPr>
            </w:pPr>
            <w:r>
              <w:rPr>
                <w:rFonts w:hint="eastAsia" w:cs="Times New Roman"/>
                <w:snapToGrid w:val="0"/>
                <w:color w:val="auto"/>
                <w:kern w:val="21"/>
                <w:szCs w:val="21"/>
                <w:highlight w:val="none"/>
                <w:u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6" w:type="pct"/>
            <w:vMerge w:val="continue"/>
            <w:vAlign w:val="center"/>
          </w:tcPr>
          <w:p>
            <w:pPr>
              <w:spacing w:beforeLines="0" w:afterLines="0" w:line="216" w:lineRule="auto"/>
              <w:jc w:val="center"/>
              <w:rPr>
                <w:rFonts w:hint="default" w:ascii="Times New Roman" w:hAnsi="Times New Roman" w:cs="Times New Roman"/>
                <w:snapToGrid w:val="0"/>
                <w:color w:val="auto"/>
                <w:kern w:val="21"/>
                <w:szCs w:val="21"/>
                <w:highlight w:val="none"/>
              </w:rPr>
            </w:pPr>
          </w:p>
        </w:tc>
        <w:tc>
          <w:tcPr>
            <w:tcW w:w="522" w:type="pct"/>
            <w:vAlign w:val="center"/>
          </w:tcPr>
          <w:p>
            <w:pPr>
              <w:pStyle w:val="31"/>
              <w:bidi w:val="0"/>
              <w:ind w:left="0" w:leftChars="0" w:firstLine="0" w:firstLineChars="0"/>
              <w:rPr>
                <w:rFonts w:hint="eastAsia" w:ascii="Times New Roman" w:hAnsi="Times New Roman" w:eastAsia="宋体" w:cs="Times New Roman"/>
                <w:snapToGrid w:val="0"/>
                <w:color w:val="auto"/>
                <w:kern w:val="21"/>
                <w:szCs w:val="21"/>
                <w:highlight w:val="none"/>
                <w:lang w:val="en-US" w:eastAsia="zh-CN"/>
              </w:rPr>
            </w:pPr>
            <w:r>
              <w:rPr>
                <w:rFonts w:hint="eastAsia"/>
                <w:lang w:val="en-US" w:eastAsia="zh-CN"/>
              </w:rPr>
              <w:t>废活性炭</w:t>
            </w:r>
          </w:p>
        </w:tc>
        <w:tc>
          <w:tcPr>
            <w:tcW w:w="557" w:type="pct"/>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424" w:type="pct"/>
            <w:vAlign w:val="center"/>
          </w:tcPr>
          <w:p>
            <w:pPr>
              <w:keepNext w:val="0"/>
              <w:keepLines w:val="0"/>
              <w:widowControl/>
              <w:suppressLineNumbers w:val="0"/>
              <w:jc w:val="center"/>
              <w:textAlignment w:val="bottom"/>
              <w:rPr>
                <w:rFonts w:hint="eastAsia"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557" w:type="pct"/>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573" w:type="pct"/>
            <w:vAlign w:val="center"/>
          </w:tcPr>
          <w:p>
            <w:pPr>
              <w:pStyle w:val="31"/>
              <w:bidi w:val="0"/>
              <w:ind w:left="0" w:leftChars="0" w:firstLine="0" w:firstLineChars="0"/>
              <w:rPr>
                <w:rFonts w:hint="default" w:ascii="Times New Roman" w:hAnsi="Times New Roman" w:eastAsia="宋体" w:cs="Times New Roman"/>
                <w:snapToGrid w:val="0"/>
                <w:color w:val="auto"/>
                <w:kern w:val="21"/>
                <w:szCs w:val="21"/>
                <w:highlight w:val="none"/>
                <w:lang w:val="en-US" w:eastAsia="zh-CN"/>
              </w:rPr>
            </w:pPr>
            <w:r>
              <w:rPr>
                <w:rFonts w:hint="eastAsia"/>
                <w:lang w:val="en-US" w:eastAsia="zh-CN"/>
              </w:rPr>
              <w:t>0.3825</w:t>
            </w:r>
          </w:p>
        </w:tc>
        <w:tc>
          <w:tcPr>
            <w:tcW w:w="631" w:type="pct"/>
            <w:vAlign w:val="center"/>
          </w:tcPr>
          <w:p>
            <w:pPr>
              <w:keepNext w:val="0"/>
              <w:keepLines w:val="0"/>
              <w:widowControl/>
              <w:suppressLineNumbers w:val="0"/>
              <w:jc w:val="center"/>
              <w:textAlignment w:val="bottom"/>
              <w:rPr>
                <w:rFonts w:hint="eastAsia"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w:t>
            </w:r>
          </w:p>
        </w:tc>
        <w:tc>
          <w:tcPr>
            <w:tcW w:w="679" w:type="pct"/>
            <w:vAlign w:val="center"/>
          </w:tcPr>
          <w:p>
            <w:pPr>
              <w:pStyle w:val="31"/>
              <w:bidi w:val="0"/>
              <w:ind w:left="0" w:leftChars="0" w:firstLine="0" w:firstLineChars="0"/>
              <w:rPr>
                <w:rFonts w:hint="default" w:ascii="Times New Roman" w:hAnsi="Times New Roman" w:eastAsia="宋体" w:cs="Times New Roman"/>
                <w:snapToGrid w:val="0"/>
                <w:color w:val="auto"/>
                <w:kern w:val="21"/>
                <w:sz w:val="21"/>
                <w:szCs w:val="21"/>
                <w:highlight w:val="none"/>
                <w:lang w:val="en-US" w:eastAsia="zh-CN" w:bidi="ar-SA"/>
              </w:rPr>
            </w:pPr>
            <w:r>
              <w:rPr>
                <w:rFonts w:hint="eastAsia"/>
                <w:lang w:val="en-US" w:eastAsia="zh-CN"/>
              </w:rPr>
              <w:t>0.3825</w:t>
            </w:r>
          </w:p>
        </w:tc>
        <w:tc>
          <w:tcPr>
            <w:tcW w:w="546" w:type="pct"/>
            <w:vAlign w:val="center"/>
          </w:tcPr>
          <w:p>
            <w:pPr>
              <w:keepNext w:val="0"/>
              <w:keepLines w:val="0"/>
              <w:widowControl/>
              <w:suppressLineNumbers w:val="0"/>
              <w:jc w:val="center"/>
              <w:textAlignment w:val="bottom"/>
              <w:rPr>
                <w:rFonts w:hint="eastAsia" w:ascii="Times New Roman" w:hAnsi="Times New Roman" w:eastAsia="宋体" w:cs="Times New Roman"/>
                <w:snapToGrid w:val="0"/>
                <w:color w:val="auto"/>
                <w:kern w:val="21"/>
                <w:szCs w:val="21"/>
                <w:highlight w:val="none"/>
                <w:u w:val="none"/>
                <w:lang w:val="en-US" w:eastAsia="zh-CN"/>
              </w:rPr>
            </w:pPr>
            <w:r>
              <w:rPr>
                <w:rFonts w:hint="eastAsia" w:cs="Times New Roman"/>
                <w:snapToGrid w:val="0"/>
                <w:color w:val="auto"/>
                <w:kern w:val="21"/>
                <w:szCs w:val="21"/>
                <w:highlight w:val="none"/>
                <w:u w:val="none"/>
                <w:lang w:val="en-US" w:eastAsia="zh-CN"/>
              </w:rPr>
              <w:t>/</w:t>
            </w:r>
          </w:p>
        </w:tc>
      </w:tr>
      <w:bookmarkEnd w:id="117"/>
    </w:tbl>
    <w:p>
      <w:pPr>
        <w:spacing w:before="0" w:beforeLines="0" w:after="0"/>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=6\*GB3\*MERGEFORMAT</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=1\*GB3\*MERGEFORMAT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=3\*GB3\*MERGEFORMAT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=4\*GB3\*MERGEFORMAT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eastAsia" w:cs="Times New Roman"/>
          <w:snapToGrid w:val="0"/>
          <w:color w:val="auto"/>
          <w:spacing w:val="-6"/>
          <w:kern w:val="21"/>
          <w:szCs w:val="21"/>
          <w:highlight w:val="none"/>
          <w:lang w:val="en-US" w:eastAsia="zh-CN"/>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=5\*GB3\*MERGEFORMAT</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=7\*GB3\*MERGEFORMAT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=6\*GB3\*MERGEFORMAT</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=1\*GB3\*MERGEFORMAT</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p>
    <w:p>
      <w:pPr>
        <w:rPr>
          <w:rFonts w:hint="default"/>
        </w:rPr>
        <w:sectPr>
          <w:footerReference r:id="rId6" w:type="default"/>
          <w:pgSz w:w="16838" w:h="11905" w:orient="landscape"/>
          <w:pgMar w:top="1134" w:right="1134" w:bottom="1134" w:left="1134" w:header="851" w:footer="1077" w:gutter="0"/>
          <w:pgBorders>
            <w:top w:val="none" w:sz="0" w:space="0"/>
            <w:left w:val="none" w:sz="0" w:space="0"/>
            <w:bottom w:val="none" w:sz="0" w:space="0"/>
            <w:right w:val="none" w:sz="0" w:space="0"/>
          </w:pgBorders>
          <w:pgNumType w:fmt="decimal"/>
          <w:cols w:space="0" w:num="1"/>
          <w:docGrid w:linePitch="312" w:charSpace="0"/>
        </w:sectPr>
      </w:pPr>
    </w:p>
    <w:p>
      <w:pPr>
        <w:pStyle w:val="3"/>
        <w:numPr>
          <w:ilvl w:val="0"/>
          <w:numId w:val="0"/>
        </w:numPr>
        <w:bidi w:val="0"/>
        <w:ind w:leftChars="0"/>
        <w:jc w:val="both"/>
        <w:rPr>
          <w:rFonts w:hint="default"/>
        </w:rPr>
      </w:pPr>
      <w:bookmarkStart w:id="118" w:name="_Toc27735"/>
      <w:bookmarkStart w:id="119" w:name="_Toc3045"/>
      <w:bookmarkStart w:id="120" w:name="_Toc24654"/>
      <w:bookmarkStart w:id="121" w:name="_Toc13547"/>
      <w:bookmarkStart w:id="122" w:name="_Toc3637"/>
      <w:bookmarkStart w:id="123" w:name="_Toc23923"/>
      <w:bookmarkStart w:id="124" w:name="_Toc18192"/>
      <w:bookmarkStart w:id="125" w:name="_Toc19350"/>
      <w:bookmarkStart w:id="126" w:name="_Toc31155"/>
      <w:r>
        <w:rPr>
          <w:rFonts w:hint="default"/>
        </w:rPr>
        <w:t>附图1：项目地理位置图</w:t>
      </w:r>
      <w:bookmarkEnd w:id="118"/>
      <w:bookmarkEnd w:id="119"/>
      <w:bookmarkEnd w:id="120"/>
      <w:bookmarkEnd w:id="121"/>
      <w:bookmarkEnd w:id="122"/>
      <w:bookmarkEnd w:id="123"/>
      <w:bookmarkEnd w:id="124"/>
      <w:bookmarkEnd w:id="125"/>
      <w:bookmarkEnd w:id="126"/>
    </w:p>
    <w:p>
      <w:pPr>
        <w:rPr>
          <w:rFonts w:hint="eastAsia"/>
          <w:lang w:eastAsia="zh-CN"/>
        </w:rPr>
        <w:sectPr>
          <w:footerReference r:id="rId7" w:type="default"/>
          <w:pgSz w:w="11905" w:h="16838"/>
          <w:pgMar w:top="99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r>
        <w:rPr>
          <w:sz w:val="21"/>
        </w:rPr>
        <mc:AlternateContent>
          <mc:Choice Requires="wps">
            <w:drawing>
              <wp:anchor distT="0" distB="0" distL="114300" distR="114300" simplePos="0" relativeHeight="251670528" behindDoc="0" locked="0" layoutInCell="1" allowOverlap="1">
                <wp:simplePos x="0" y="0"/>
                <wp:positionH relativeFrom="column">
                  <wp:posOffset>4284980</wp:posOffset>
                </wp:positionH>
                <wp:positionV relativeFrom="paragraph">
                  <wp:posOffset>5930265</wp:posOffset>
                </wp:positionV>
                <wp:extent cx="842010" cy="281940"/>
                <wp:effectExtent l="0" t="0" r="0" b="0"/>
                <wp:wrapNone/>
                <wp:docPr id="165" name="文本框 165"/>
                <wp:cNvGraphicFramePr/>
                <a:graphic xmlns:a="http://schemas.openxmlformats.org/drawingml/2006/main">
                  <a:graphicData uri="http://schemas.microsoft.com/office/word/2010/wordprocessingShape">
                    <wps:wsp>
                      <wps:cNvSpPr txBox="1"/>
                      <wps:spPr>
                        <a:xfrm>
                          <a:off x="4498340" y="8131175"/>
                          <a:ext cx="842010" cy="2819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rPr>
                                <w:rFonts w:hint="default" w:eastAsia="宋体"/>
                                <w:sz w:val="24"/>
                                <w:szCs w:val="24"/>
                                <w:lang w:val="en-US" w:eastAsia="zh-CN"/>
                              </w:rPr>
                            </w:pPr>
                            <w:r>
                              <w:rPr>
                                <w:rFonts w:hint="eastAsia"/>
                                <w:b/>
                                <w:bCs/>
                                <w:sz w:val="24"/>
                                <w:szCs w:val="24"/>
                                <w:lang w:val="en-US" w:eastAsia="zh-CN"/>
                              </w:rPr>
                              <w:t>项目位置</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37.4pt;margin-top:466.95pt;height:22.2pt;width:66.3pt;z-index:251670528;mso-width-relative:page;mso-height-relative:page;" filled="f" stroked="f" coordsize="21600,21600" o:gfxdata="UEsDBAoAAAAAAIdO4kAAAAAAAAAAAAAAAAAEAAAAZHJzL1BLAwQUAAAACACHTuJAIH3H190AAAAL&#10;AQAADwAAAGRycy9kb3ducmV2LnhtbE2PzU7DMBCE70i8g7WVuFG7TWnSEKdCkSokBIeWXrhtYjeJ&#10;aq9D7P7A02NOcNzZ0cw3xfpqDTvr0feOJMymApimxqmeWgn79819BswHJIXGkZbwpT2sy9ubAnPl&#10;LrTV511oWQwhn6OELoQh59w3nbbop27QFH8HN1oM8Rxbrka8xHBr+FyIJbfYU2zocNBVp5vj7mQl&#10;vFSbN9zWc5t9m+r59fA0fO4/HqS8m8zEI7Cgr+HPDL/4ER3KyFS7EynPjIRluojoQcIqSVbAoiMT&#10;6QJYHZU0S4CXBf+/ofwBUEsDBBQAAAAIAIdO4kDFg1A1TgIAAIEEAAAOAAAAZHJzL2Uyb0RvYy54&#10;bWytVMFuEzEQvSPxD5bvdLPJNk2ibqrQqgipopUC4ux4vVlLtsfY3uyWD4A/4MSFO9/V72DsTdqo&#10;cOiBizP2vH3j92ac84teK7ITzkswJc1PRpQIw6GSZlvSTx+v38wo8YGZiikwoqT3wtOL5etX551d&#10;iDE0oCrhCJIYv+hsSZsQ7CLLPG+EZv4ErDCYrMFpFnDrtlnlWIfsWmXj0WiadeAq64AL7/H0akjS&#10;PaN7CSHUteTiCnirhQkDqxOKBZTkG2k9Xabb1rXg4bauvQhElRSVhrRiEYw3cc2W52yxdcw2ku+v&#10;wF5yhWeaNJMGiz5SXbHASOvkX1Racgce6nDCQWeDkOQIqshHz7xZN8yKpAWt9vbRdP//aPmH3Z0j&#10;ssJJmJ5SYpjGlj/8+P7w8/fDr28kHqJFnfULRK4tYkP/FnqEH849Hkblfe10/EVNBPNFMZ9NCrT5&#10;vqSzfJLnZ4mJLUQfCEfArIiKKeEIGM/yOWKxUvZEZJ0P7wRoEoOSOuxlspjtbnwYoAdIrGvgWiqV&#10;+qkM6Uo6nZyO0gePGSRXBmtEOcO1YxT6Tb/XuIHqHiU6GObEW34tsfgN8+GOORwMvC8+nXCLS60A&#10;i8A+oqQB9/Vf5xGP/cIsJR0OWkn9l5Y5QYl6b7CT87yINoW0KU7Pxrhxx5nNcca0+hJwlnN8pJan&#10;MOKDOoS1A/0ZX9gqVsUUMxxrlzQcwsswjD++UC5WqwRqrZPbZvgA59KycGPWlscyg7WrNkAtk+vR&#10;ssGnvZM4malv+1cUR/94n1BP/xz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CB9x9fdAAAACwEA&#10;AA8AAAAAAAAAAQAgAAAAIgAAAGRycy9kb3ducmV2LnhtbFBLAQIUABQAAAAIAIdO4kDFg1A1TgIA&#10;AIEEAAAOAAAAAAAAAAEAIAAAACwBAABkcnMvZTJvRG9jLnhtbFBLBQYAAAAABgAGAFkBAADsBQAA&#10;AAA=&#10;">
                <v:fill on="f" focussize="0,0"/>
                <v:stroke on="f" weight="0.5pt"/>
                <v:imagedata o:title=""/>
                <o:lock v:ext="edit" aspectratio="f"/>
                <v:textbox>
                  <w:txbxContent>
                    <w:p>
                      <w:pPr>
                        <w:spacing w:line="240" w:lineRule="auto"/>
                        <w:rPr>
                          <w:rFonts w:hint="default" w:eastAsia="宋体"/>
                          <w:sz w:val="24"/>
                          <w:szCs w:val="24"/>
                          <w:lang w:val="en-US" w:eastAsia="zh-CN"/>
                        </w:rPr>
                      </w:pPr>
                      <w:r>
                        <w:rPr>
                          <w:rFonts w:hint="eastAsia"/>
                          <w:b/>
                          <w:bCs/>
                          <w:sz w:val="24"/>
                          <w:szCs w:val="24"/>
                          <w:lang w:val="en-US" w:eastAsia="zh-CN"/>
                        </w:rPr>
                        <w:t>项目位置</w:t>
                      </w:r>
                    </w:p>
                  </w:txbxContent>
                </v:textbox>
              </v:shap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4688840</wp:posOffset>
                </wp:positionH>
                <wp:positionV relativeFrom="paragraph">
                  <wp:posOffset>6240780</wp:posOffset>
                </wp:positionV>
                <wp:extent cx="92075" cy="107950"/>
                <wp:effectExtent l="12700" t="12700" r="28575" b="12700"/>
                <wp:wrapNone/>
                <wp:docPr id="12" name="流程图: 合并 12"/>
                <wp:cNvGraphicFramePr/>
                <a:graphic xmlns:a="http://schemas.openxmlformats.org/drawingml/2006/main">
                  <a:graphicData uri="http://schemas.microsoft.com/office/word/2010/wordprocessingShape">
                    <wps:wsp>
                      <wps:cNvSpPr/>
                      <wps:spPr>
                        <a:xfrm>
                          <a:off x="5246370" y="7930515"/>
                          <a:ext cx="92075" cy="107950"/>
                        </a:xfrm>
                        <a:prstGeom prst="flowChartMerg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8" type="#_x0000_t128" style="position:absolute;left:0pt;margin-left:369.2pt;margin-top:491.4pt;height:8.5pt;width:7.25pt;z-index:251681792;v-text-anchor:middle;mso-width-relative:page;mso-height-relative:page;" fillcolor="#FF0000" filled="t" stroked="t" coordsize="21600,21600" o:gfxdata="UEsDBAoAAAAAAIdO4kAAAAAAAAAAAAAAAAAEAAAAZHJzL1BLAwQUAAAACACHTuJAM+7krtYAAAAL&#10;AQAADwAAAGRycy9kb3ducmV2LnhtbE2PTW6DMBBG95VyB2siddcYaH6AYiK1Ug8QmgNM8NSgYBth&#10;E5Lbd7pqlzPz9M37quPdDuJGU+i9U5BuEhDkWq97ZxScvz5fchAhotM4eEcKHhTgWK+eKiy1X9yJ&#10;bk00gkNcKFFBF+NYShnajiyGjR/J8e3bTxYjj5OResKFw+0gsyTZS4u94w8djvTRUXttZqvgFHFv&#10;rg9p5my7NDvTpD6+p0o9r9PkDUSke/yD4Vef1aFmp4ufnQ5iUHB4zbeMKijyjDswcdhlBYgLb4oi&#10;B1lX8n+H+gdQSwMEFAAAAAgAh07iQJxAijiJAgAA/gQAAA4AAABkcnMvZTJvRG9jLnhtbK1UzW4T&#10;MRC+I/EOlu90N9uEkFU3VZQoCKnQSgVxdrzeH8l/jJ1syo0bEhfuvAAvABIX3qbwGoy921849EAO&#10;zszO+JuZb2Z8dLxXkuwEuNbogo4OUkqE5qZsdV3QN6/XT55R4jzTJZNGi4JeCEeP548fHXU2F5lp&#10;jCwFEATRLu9sQRvvbZ4kjjdCMXdgrNBorAwo5lGFOimBdYiuZJKl6dOkM1BaMFw4h19XvZEOiPAQ&#10;QFNVLRcrw7dKaN+jgpDMY0muaa2j85htVQnuT6vKCU9kQbFSH08MgvImnMn8iOU1MNu0fEiBPSSF&#10;ezUp1moMeg21Yp6RLbR/QamWg3Gm8gfcqKQvJDKCVYzSe9ycN8yKWAtS7ew16e7/wfJXuzMgbYmT&#10;kFGimcKO//r24ffXT5dffubk8vPHyx/fCdqQqM66HP3P7RkMmkMxVL2vQIV/rIfsCzrJxk8Pp0jx&#10;RUGns8N0Mpr0RIu9JxwdZlk6nVDC0T5Kp7NJ7ENyg2PB+efCKBKEglbSdMuGgX8poA6EsJztTpzH&#10;LPDSlXP47Ixsy3UrZVSg3iwlkB3D5q/XKf5CGnjljpvUpCtoNhmjmXCGI13hKKGoLNLidE0JkzXu&#10;CvcQY9+57R4WJCS5Yq7pk4kIQy5SY0qB2p7MIG1MeYFdAdOPq7N83eL9E+b8GQOcT0wUN9if4hG4&#10;KagZJEoaA+//9T3449iglZIO5x0re7dlICiRLzQO1Gw0HiOsj8p4Ms1QgduWzW2L3qqlQVZH+FZY&#10;HsXg7+WVWIFRb3HRFyEqmpjmGLvncFCWvt9DfCq4WCyiGy6FZf5En1sewEMXtVlsvana2O0bdgbS&#10;cC1iR4cVDnt3W49eN8/W/A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Az7uSu1gAAAAsBAAAPAAAA&#10;AAAAAAEAIAAAACIAAABkcnMvZG93bnJldi54bWxQSwECFAAUAAAACACHTuJAnECKOIkCAAD+BAAA&#10;DgAAAAAAAAABACAAAAAlAQAAZHJzL2Uyb0RvYy54bWxQSwUGAAAAAAYABgBZAQAAIAYAAAAA&#10;">
                <v:fill on="t" focussize="0,0"/>
                <v:stroke weight="2pt" color="#FF0000 [3204]" joinstyle="round"/>
                <v:imagedata o:title=""/>
                <o:lock v:ext="edit" aspectratio="f"/>
              </v:shape>
            </w:pict>
          </mc:Fallback>
        </mc:AlternateContent>
      </w:r>
      <w:r>
        <w:drawing>
          <wp:anchor distT="0" distB="0" distL="114300" distR="114300" simplePos="0" relativeHeight="251668480" behindDoc="0" locked="0" layoutInCell="1" allowOverlap="1">
            <wp:simplePos x="0" y="0"/>
            <wp:positionH relativeFrom="column">
              <wp:posOffset>4895850</wp:posOffset>
            </wp:positionH>
            <wp:positionV relativeFrom="paragraph">
              <wp:posOffset>320040</wp:posOffset>
            </wp:positionV>
            <wp:extent cx="712470" cy="648970"/>
            <wp:effectExtent l="0" t="0" r="11430" b="17780"/>
            <wp:wrapNone/>
            <wp:docPr id="16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1"/>
                    <pic:cNvPicPr>
                      <a:picLocks noChangeAspect="1"/>
                    </pic:cNvPicPr>
                  </pic:nvPicPr>
                  <pic:blipFill>
                    <a:blip r:embed="rId33"/>
                    <a:stretch>
                      <a:fillRect/>
                    </a:stretch>
                  </pic:blipFill>
                  <pic:spPr>
                    <a:xfrm>
                      <a:off x="0" y="0"/>
                      <a:ext cx="712470" cy="648970"/>
                    </a:xfrm>
                    <a:prstGeom prst="rect">
                      <a:avLst/>
                    </a:prstGeom>
                    <a:noFill/>
                    <a:ln>
                      <a:noFill/>
                    </a:ln>
                  </pic:spPr>
                </pic:pic>
              </a:graphicData>
            </a:graphic>
          </wp:anchor>
        </w:drawing>
      </w:r>
      <w:r>
        <w:drawing>
          <wp:inline distT="0" distB="0" distL="114300" distR="114300">
            <wp:extent cx="5755640" cy="7976870"/>
            <wp:effectExtent l="0" t="0" r="16510" b="5080"/>
            <wp:docPr id="10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6"/>
                    <pic:cNvPicPr>
                      <a:picLocks noChangeAspect="1"/>
                    </pic:cNvPicPr>
                  </pic:nvPicPr>
                  <pic:blipFill>
                    <a:blip r:embed="rId34"/>
                    <a:stretch>
                      <a:fillRect/>
                    </a:stretch>
                  </pic:blipFill>
                  <pic:spPr>
                    <a:xfrm>
                      <a:off x="0" y="0"/>
                      <a:ext cx="5755640" cy="7976870"/>
                    </a:xfrm>
                    <a:prstGeom prst="rect">
                      <a:avLst/>
                    </a:prstGeom>
                    <a:noFill/>
                    <a:ln>
                      <a:noFill/>
                    </a:ln>
                  </pic:spPr>
                </pic:pic>
              </a:graphicData>
            </a:graphic>
          </wp:inline>
        </w:drawing>
      </w:r>
    </w:p>
    <w:p>
      <w:pPr>
        <w:pStyle w:val="3"/>
        <w:numPr>
          <w:ilvl w:val="0"/>
          <w:numId w:val="0"/>
        </w:numPr>
        <w:bidi w:val="0"/>
        <w:ind w:leftChars="0"/>
        <w:jc w:val="both"/>
        <w:rPr>
          <w:rFonts w:hint="default"/>
        </w:rPr>
        <w:sectPr>
          <w:footerReference r:id="rId8" w:type="default"/>
          <w:pgSz w:w="11906"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bookmarkStart w:id="127" w:name="_Toc29679"/>
      <w:r>
        <w:rPr>
          <w:sz w:val="30"/>
          <w:highlight w:val="yellow"/>
        </w:rPr>
        <mc:AlternateContent>
          <mc:Choice Requires="wpg">
            <w:drawing>
              <wp:anchor distT="0" distB="0" distL="114300" distR="114300" simplePos="0" relativeHeight="251707392" behindDoc="0" locked="0" layoutInCell="1" allowOverlap="1">
                <wp:simplePos x="0" y="0"/>
                <wp:positionH relativeFrom="column">
                  <wp:posOffset>922020</wp:posOffset>
                </wp:positionH>
                <wp:positionV relativeFrom="paragraph">
                  <wp:posOffset>1441450</wp:posOffset>
                </wp:positionV>
                <wp:extent cx="2058670" cy="1613535"/>
                <wp:effectExtent l="4445" t="4445" r="13335" b="20320"/>
                <wp:wrapNone/>
                <wp:docPr id="328" name="组合 328"/>
                <wp:cNvGraphicFramePr/>
                <a:graphic xmlns:a="http://schemas.openxmlformats.org/drawingml/2006/main">
                  <a:graphicData uri="http://schemas.microsoft.com/office/word/2010/wordprocessingGroup">
                    <wpg:wgp>
                      <wpg:cNvGrpSpPr/>
                      <wpg:grpSpPr>
                        <a:xfrm>
                          <a:off x="0" y="0"/>
                          <a:ext cx="2058670" cy="1613535"/>
                          <a:chOff x="2681" y="794965"/>
                          <a:chExt cx="3242" cy="2541"/>
                        </a:xfrm>
                      </wpg:grpSpPr>
                      <wpg:grpSp>
                        <wpg:cNvPr id="329" name="组合 73"/>
                        <wpg:cNvGrpSpPr/>
                        <wpg:grpSpPr>
                          <a:xfrm rot="0">
                            <a:off x="2681" y="794965"/>
                            <a:ext cx="3242" cy="2541"/>
                            <a:chOff x="1994" y="889474"/>
                            <a:chExt cx="2886" cy="2155"/>
                          </a:xfrm>
                        </wpg:grpSpPr>
                        <wps:wsp>
                          <wps:cNvPr id="330" name="文本框 24"/>
                          <wps:cNvSpPr txBox="1"/>
                          <wps:spPr>
                            <a:xfrm>
                              <a:off x="1994" y="889474"/>
                              <a:ext cx="2886" cy="2155"/>
                            </a:xfrm>
                            <a:prstGeom prst="rect">
                              <a:avLst/>
                            </a:prstGeom>
                            <a:solidFill>
                              <a:schemeClr val="bg1">
                                <a:alpha val="56000"/>
                              </a:schemeClr>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spacing w:line="360" w:lineRule="auto"/>
                                  <w:rPr>
                                    <w:rFonts w:hint="eastAsia"/>
                                    <w:b/>
                                    <w:bCs/>
                                    <w:color w:val="auto"/>
                                    <w:sz w:val="28"/>
                                    <w:szCs w:val="28"/>
                                    <w:lang w:val="en-US" w:eastAsia="zh-CN"/>
                                  </w:rPr>
                                </w:pPr>
                                <w:r>
                                  <w:rPr>
                                    <w:rFonts w:hint="eastAsia"/>
                                    <w:b/>
                                    <w:bCs/>
                                    <w:color w:val="auto"/>
                                    <w:sz w:val="28"/>
                                    <w:szCs w:val="28"/>
                                    <w:lang w:val="en-US" w:eastAsia="zh-CN"/>
                                  </w:rPr>
                                  <w:t>图例</w:t>
                                </w:r>
                              </w:p>
                              <w:p>
                                <w:pPr>
                                  <w:pStyle w:val="28"/>
                                  <w:ind w:left="840" w:leftChars="0" w:firstLine="420" w:firstLineChars="0"/>
                                  <w:rPr>
                                    <w:rFonts w:hint="default"/>
                                    <w:lang w:val="en-US" w:eastAsia="zh-CN"/>
                                  </w:rPr>
                                </w:pPr>
                                <w:r>
                                  <w:rPr>
                                    <w:rFonts w:hint="eastAsia"/>
                                    <w:lang w:val="en-US" w:eastAsia="zh-CN"/>
                                  </w:rPr>
                                  <w:t>项目红线</w:t>
                                </w:r>
                              </w:p>
                              <w:p>
                                <w:pPr>
                                  <w:pStyle w:val="28"/>
                                  <w:ind w:left="840" w:leftChars="0" w:firstLine="420" w:firstLineChars="0"/>
                                  <w:rPr>
                                    <w:rFonts w:hint="default"/>
                                    <w:lang w:val="en-US" w:eastAsia="zh-CN"/>
                                  </w:rPr>
                                </w:pPr>
                                <w:r>
                                  <w:rPr>
                                    <w:rFonts w:hint="eastAsia"/>
                                    <w:lang w:val="en-US" w:eastAsia="zh-CN"/>
                                  </w:rPr>
                                  <w:t>收集管线</w:t>
                                </w:r>
                              </w:p>
                              <w:p>
                                <w:pPr>
                                  <w:pStyle w:val="28"/>
                                  <w:ind w:left="840" w:leftChars="0" w:firstLine="420" w:firstLineChars="0"/>
                                  <w:rPr>
                                    <w:rFonts w:hint="default"/>
                                    <w:lang w:val="en-US" w:eastAsia="zh-CN"/>
                                  </w:rPr>
                                </w:pPr>
                                <w:r>
                                  <w:rPr>
                                    <w:rFonts w:hint="eastAsia"/>
                                    <w:lang w:val="en-US" w:eastAsia="zh-CN"/>
                                  </w:rPr>
                                  <w:t>导流管</w:t>
                                </w:r>
                              </w:p>
                              <w:p>
                                <w:pPr>
                                  <w:pStyle w:val="28"/>
                                  <w:ind w:left="840" w:leftChars="0" w:firstLine="420" w:firstLineChars="0"/>
                                  <w:rPr>
                                    <w:rFonts w:hint="default"/>
                                    <w:lang w:val="en-US" w:eastAsia="zh-CN"/>
                                  </w:rPr>
                                </w:pPr>
                                <w:r>
                                  <w:rPr>
                                    <w:rFonts w:hint="eastAsia"/>
                                    <w:lang w:val="en-US" w:eastAsia="zh-CN"/>
                                  </w:rPr>
                                  <w:t>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31" name="直接连接符 26"/>
                          <wps:cNvCnPr/>
                          <wps:spPr>
                            <a:xfrm>
                              <a:off x="2266" y="890531"/>
                              <a:ext cx="825" cy="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332" name="直接连接符 28"/>
                          <wps:cNvCnPr/>
                          <wps:spPr>
                            <a:xfrm>
                              <a:off x="2252" y="890129"/>
                              <a:ext cx="82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33" name="椭圆 27"/>
                          <wps:cNvSpPr/>
                          <wps:spPr>
                            <a:xfrm>
                              <a:off x="2572" y="891247"/>
                              <a:ext cx="166" cy="150"/>
                            </a:xfrm>
                            <a:prstGeom prst="ellipse">
                              <a:avLst/>
                            </a:prstGeom>
                            <a:solidFill>
                              <a:srgbClr val="FB3FF0"/>
                            </a:solidFill>
                            <a:ln>
                              <a:solidFill>
                                <a:srgbClr val="FB3F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s:wsp>
                        <wps:cNvPr id="334" name="直接连接符 26"/>
                        <wps:cNvCnPr/>
                        <wps:spPr>
                          <a:xfrm>
                            <a:off x="2932" y="796703"/>
                            <a:ext cx="926" cy="0"/>
                          </a:xfrm>
                          <a:prstGeom prst="line">
                            <a:avLst/>
                          </a:prstGeom>
                          <a:ln w="28575">
                            <a:solidFill>
                              <a:srgbClr val="FFC000"/>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72.6pt;margin-top:113.5pt;height:127.05pt;width:162.1pt;z-index:251707392;mso-width-relative:page;mso-height-relative:page;" coordorigin="2681,794965" coordsize="3242,2541" o:gfxdata="UEsDBAoAAAAAAIdO4kAAAAAAAAAAAAAAAAAEAAAAZHJzL1BLAwQUAAAACACHTuJAFBmSmNoAAAAL&#10;AQAADwAAAGRycy9kb3ducmV2LnhtbE2PTUvDQBCG74L/YRnBm91sTGuN2RQp6qkItoJ422anSWh2&#10;NmS3SfvvHU96m5d5eD+K1dl1YsQhtJ40qFkCAqnytqVaw+fu9W4JIkRD1nSeUMMFA6zK66vC5NZP&#10;9IHjNtaCTSjkRkMTY59LGaoGnQkz3yPx7+AHZyLLoZZ2MBObu06mSbKQzrTECY3pcd1gddyenIa3&#10;yUzP9+pl3BwP68v3bv7+tVGo9e2NSp5ARDzHPxh+63N1KLnT3p/IBtGxzuYpoxrS9IFHMZEtHjMQ&#10;ez6WSoEsC/l/Q/kDUEsDBBQAAAAIAIdO4kCurHg4YwQAAKsPAAAOAAAAZHJzL2Uyb0RvYy54bWzd&#10;V8tuI0UU3SPxD6XeE/fT7m7FGSUOHSFFTKSAWJf7LXVXNVXl2GGNgBViNZsZISEBq2HHjgVfMx4+&#10;g1uP9mvswcxA0JCFU89bdc89597q00eLtkF3OeM1JWPLObEtlJOUZjUpx9annyQfhBbiApMMN5Tk&#10;Y+s+59ajs/ffO513ce7SijZZzhAYITyed2OrEqKLBwOeVnmL+QntcgKTBWUtFtBl5SBjeA7W22bg&#10;2vZwMKcs6xhNc85h9FJPWsYiO8YgLYo6zS9pOmtzIrRVljdYgEu8qjtunanbFkWeisdFwXOBmrEF&#10;ngr1C4dAeyp/B2enOC4Z7qo6NVfAx1xhx6cW1wQOXZm6xAKjGatfMdXWKaOcFuIkpe1AO6IQAS8c&#10;ewebK0ZnnfKljOdltwIdArWD+hubTT++u2GozsaW50LgCW4h5C9/+/LFd98gOQL4zLsyhmVXrLvt&#10;bpgZKHVPurwoWCv/gzNooZC9XyGbLwRKYdC1g3A4AtBTmHOGjhd4gcY+rSBAcp87DB0LwfQo8qPh&#10;avZDY8FzfVdvdwPfkXsH/dEDecPVhVadfxuuaAeukXcsWohRRcQN1PZ636P3qu84XuHmRJGvcAvD&#10;yB/5Pao9bm4YDg1uTqBQPYgb6JmvScbfjmS3Fe5yxV0u2dOTzAMOaJItn3y9fPZ8+cNXyFWXnndq&#10;oeQYEosLCpRQYZbjHAb3UG2v6z1or3Ecxx3j4iqnLZKNscUgTyj54rtrLjS3+iXyXE6bOkvqplEd&#10;Vk4nDUN3GHJKov703qarsB4NhratcgtgzfVyxdctOw1B87E19AJbbd+aM5u0NbC1YW59FTDeELC7&#10;Rki2xGK6UCLl8ZRm94CmYRviXZrU4O815uIGM8hzEAyoBOIx/BQNhdtQ07JQRdkX+8blemAGzFpo&#10;DnlzbPHPZ5jlFmo+IsCZyPF9MCtUxw9GLnTY5sx0c4bM2gkFGEH5cDvVlOtF0zcLRtvPoGCcy1Nh&#10;CpMUzh5bom9OhM7mUHDS/PxcLYLU2mFxTW67VJqWQSP0fCZoUavgSpg0NgY94L3Mcw8iAHDVZNmn&#10;vy6//emP37+H35fPf0buUOcPJYMJMan2IPlddwjChnwZRnbgKanguCd/6AZa9D0L+yTds9oQv6mJ&#10;FCmODxCfUMl6oJOkmqSrGwYjaVoGvoCKC822y4AEpISINCU8KVLB/pLQF3bS32yL9/J6l5hXmvhq&#10;yqT6PUzXIZRqNaF7sBhCJToQQ1Mxj45hAKZ0DB030rn73YhhkuxPSjq3vgMx9PoYLn/85cUzqEKj&#10;DfmtXjqH5QepzYTOcX21dy0/R0pTPXUguetyckCAedPAe/W1GtwSyFZhSC48CIM5YGuZEWvgQxl6&#10;S7EePuQNxPq/rEUy4ZnC9M9Vo/Wj9sGyGjwjD2S1v1mZIk9LYxTBm1+9itfSiKDMKWn0vD0gjP+m&#10;MiXJZO9TazerZVCjjO6OK0wqnPANp56B5ntTfiRu9lUhW39jn/0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gYAAFtDb250ZW50X1R5cGVzXS54&#10;bWxQSwECFAAKAAAAAACHTuJAAAAAAAAAAAAAAAAABgAAAAAAAAAAABAAAAC4BQAAX3JlbHMvUEsB&#10;AhQAFAAAAAgAh07iQIoUZjzRAAAAlAEAAAsAAAAAAAAAAQAgAAAA3AUAAF9yZWxzLy5yZWxzUEsB&#10;AhQACgAAAAAAh07iQAAAAAAAAAAAAAAAAAQAAAAAAAAAAAAQAAAAAAAAAGRycy9QSwECFAAUAAAA&#10;CACHTuJAFBmSmNoAAAALAQAADwAAAAAAAAABACAAAAAiAAAAZHJzL2Rvd25yZXYueG1sUEsBAhQA&#10;FAAAAAgAh07iQK6seDhjBAAAqw8AAA4AAAAAAAAAAQAgAAAAKQEAAGRycy9lMm9Eb2MueG1sUEsF&#10;BgAAAAAGAAYAWQEAAP4HAAAAAA==&#10;">
                <o:lock v:ext="edit" aspectratio="f"/>
                <v:group id="组合 73" o:spid="_x0000_s1026" o:spt="203" style="position:absolute;left:2681;top:794965;height:2541;width:3242;" coordorigin="1994,889474" coordsize="2886,2155" o:gfxdata="UEsDBAoAAAAAAIdO4kAAAAAAAAAAAAAAAAAEAAAAZHJzL1BLAwQUAAAACACHTuJA+tEGzb8AAADc&#10;AAAADwAAAGRycy9kb3ducmV2LnhtbEWPT2vCQBTE7wW/w/KE3ppNFItGVynSFg9S0Aji7ZF9JsHs&#10;25Dd5s+37xYKPQ4z8xtmsxtMLTpqXWVZQRLFIIhzqysuFFyyj5clCOeRNdaWScFIDnbbydMGU217&#10;PlF39oUIEHYpKii9b1IpXV6SQRfZhjh4d9sa9EG2hdQt9gFuajmL41dpsOKwUGJD+5Lyx/nbKPjs&#10;sX+bJ+/d8XHfj7ds8XU9JqTU8zSJ1yA8Df4//Nc+aAXz2Qp+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60QbNvwAAANwAAAAPAAAAAAAAAAEAIAAAACIAAABkcnMvZG93bnJldi54&#10;bWxQSwECFAAUAAAACACHTuJAMy8FnjsAAAA5AAAAFQAAAAAAAAABACAAAAAOAQAAZHJzL2dyb3Vw&#10;c2hhcGV4bWwueG1sUEsFBgAAAAAGAAYAYAEAAMsDAAAAAA==&#10;">
                  <o:lock v:ext="edit" aspectratio="f"/>
                  <v:shape id="文本框 24" o:spid="_x0000_s1026" o:spt="202" type="#_x0000_t202" style="position:absolute;left:1994;top:889474;height:2155;width:2886;" fillcolor="#FFFFFF [3212]" filled="t" stroked="t" coordsize="21600,21600" o:gfxdata="UEsDBAoAAAAAAIdO4kAAAAAAAAAAAAAAAAAEAAAAZHJzL1BLAwQUAAAACACHTuJAsM4us7sAAADc&#10;AAAADwAAAGRycy9kb3ducmV2LnhtbEVPvW7CMBDeK/EO1iF1Kw5EoJLiMLSiYmBp6AOc4mviEJ+D&#10;bQj06euhEuOn73+zvdleXMkH41jBfJaBIK6dNtwo+D7uXl5BhIissXdMCu4UYFtOnjZYaDfyF12r&#10;2IgUwqFABW2MQyFlqFuyGGZuIE7cj/MWY4K+kdrjmMJtLxdZtpIWDaeGFgd6b6k+VRer4HeZd5/D&#10;uVubj2pd+XF/P+xGo9TzdJ69gYh0iw/xv3uvFeR5mp/OpCMgy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M4us7sAAADc&#10;AAAADwAAAAAAAAABACAAAAAiAAAAZHJzL2Rvd25yZXYueG1sUEsBAhQAFAAAAAgAh07iQDMvBZ47&#10;AAAAOQAAABAAAAAAAAAAAQAgAAAACgEAAGRycy9zaGFwZXhtbC54bWxQSwUGAAAAAAYABgBbAQAA&#10;tAMAAAAA&#10;">
                    <v:fill on="t" opacity="36700f" focussize="0,0"/>
                    <v:stroke weight="0.5pt" color="#000000 [3213]" joinstyle="round"/>
                    <v:imagedata o:title=""/>
                    <o:lock v:ext="edit" aspectratio="f"/>
                    <v:textbox>
                      <w:txbxContent>
                        <w:p>
                          <w:pPr>
                            <w:spacing w:line="360" w:lineRule="auto"/>
                            <w:rPr>
                              <w:rFonts w:hint="eastAsia"/>
                              <w:b/>
                              <w:bCs/>
                              <w:color w:val="auto"/>
                              <w:sz w:val="28"/>
                              <w:szCs w:val="28"/>
                              <w:lang w:val="en-US" w:eastAsia="zh-CN"/>
                            </w:rPr>
                          </w:pPr>
                          <w:r>
                            <w:rPr>
                              <w:rFonts w:hint="eastAsia"/>
                              <w:b/>
                              <w:bCs/>
                              <w:color w:val="auto"/>
                              <w:sz w:val="28"/>
                              <w:szCs w:val="28"/>
                              <w:lang w:val="en-US" w:eastAsia="zh-CN"/>
                            </w:rPr>
                            <w:t>图例</w:t>
                          </w:r>
                        </w:p>
                        <w:p>
                          <w:pPr>
                            <w:pStyle w:val="28"/>
                            <w:ind w:left="840" w:leftChars="0" w:firstLine="420" w:firstLineChars="0"/>
                            <w:rPr>
                              <w:rFonts w:hint="default"/>
                              <w:lang w:val="en-US" w:eastAsia="zh-CN"/>
                            </w:rPr>
                          </w:pPr>
                          <w:r>
                            <w:rPr>
                              <w:rFonts w:hint="eastAsia"/>
                              <w:lang w:val="en-US" w:eastAsia="zh-CN"/>
                            </w:rPr>
                            <w:t>项目红线</w:t>
                          </w:r>
                        </w:p>
                        <w:p>
                          <w:pPr>
                            <w:pStyle w:val="28"/>
                            <w:ind w:left="840" w:leftChars="0" w:firstLine="420" w:firstLineChars="0"/>
                            <w:rPr>
                              <w:rFonts w:hint="default"/>
                              <w:lang w:val="en-US" w:eastAsia="zh-CN"/>
                            </w:rPr>
                          </w:pPr>
                          <w:r>
                            <w:rPr>
                              <w:rFonts w:hint="eastAsia"/>
                              <w:lang w:val="en-US" w:eastAsia="zh-CN"/>
                            </w:rPr>
                            <w:t>收集管线</w:t>
                          </w:r>
                        </w:p>
                        <w:p>
                          <w:pPr>
                            <w:pStyle w:val="28"/>
                            <w:ind w:left="840" w:leftChars="0" w:firstLine="420" w:firstLineChars="0"/>
                            <w:rPr>
                              <w:rFonts w:hint="default"/>
                              <w:lang w:val="en-US" w:eastAsia="zh-CN"/>
                            </w:rPr>
                          </w:pPr>
                          <w:r>
                            <w:rPr>
                              <w:rFonts w:hint="eastAsia"/>
                              <w:lang w:val="en-US" w:eastAsia="zh-CN"/>
                            </w:rPr>
                            <w:t>导流管</w:t>
                          </w:r>
                        </w:p>
                        <w:p>
                          <w:pPr>
                            <w:pStyle w:val="28"/>
                            <w:ind w:left="840" w:leftChars="0" w:firstLine="420" w:firstLineChars="0"/>
                            <w:rPr>
                              <w:rFonts w:hint="default"/>
                              <w:lang w:val="en-US" w:eastAsia="zh-CN"/>
                            </w:rPr>
                          </w:pPr>
                          <w:r>
                            <w:rPr>
                              <w:rFonts w:hint="eastAsia"/>
                              <w:lang w:val="en-US" w:eastAsia="zh-CN"/>
                            </w:rPr>
                            <w:t>排气筒</w:t>
                          </w:r>
                        </w:p>
                      </w:txbxContent>
                    </v:textbox>
                  </v:shape>
                  <v:line id="直接连接符 26" o:spid="_x0000_s1026" o:spt="20" style="position:absolute;left:2266;top:890531;height:0;width:825;" filled="f" stroked="t" coordsize="21600,21600" o:gfxdata="UEsDBAoAAAAAAIdO4kAAAAAAAAAAAAAAAAAEAAAAZHJzL1BLAwQUAAAACACHTuJAngJS38AAAADc&#10;AAAADwAAAGRycy9kb3ducmV2LnhtbEWPzWrDMBCE74W8g9hAb43kBtzUiWJCSiGFYshPD7kt1sY2&#10;sVbGkhP37atCocdhZr5hVvloW3Gj3jeONSQzBYK4dKbhSsPp+P60AOEDssHWMWn4Jg/5evKwwsy4&#10;O+/pdgiViBD2GWqoQ+gyKX1Zk0U/cx1x9C6utxii7CtperxHuG3ls1KptNhwXKixo21N5fUwWA3D&#10;x5g2bqPOr13xSTvzcvwqqjetH6eJWoIINIb/8F97ZzTM5wn8nolHQK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eAlLf&#10;wAAAANwAAAAPAAAAAAAAAAEAIAAAACIAAABkcnMvZG93bnJldi54bWxQSwECFAAUAAAACACHTuJA&#10;My8FnjsAAAA5AAAAEAAAAAAAAAABACAAAAAPAQAAZHJzL3NoYXBleG1sLnhtbFBLBQYAAAAABgAG&#10;AFsBAAC5AwAAAAA=&#10;">
                    <v:fill on="f" focussize="0,0"/>
                    <v:stroke weight="2.25pt" color="#00B0F0 [3204]" joinstyle="round"/>
                    <v:imagedata o:title=""/>
                    <o:lock v:ext="edit" aspectratio="f"/>
                  </v:line>
                  <v:line id="直接连接符 28" o:spid="_x0000_s1026" o:spt="20" style="position:absolute;left:2252;top:890129;height:0;width:825;" filled="f" stroked="t" coordsize="21600,21600" o:gfxdata="UEsDBAoAAAAAAIdO4kAAAAAAAAAAAAAAAAAEAAAAZHJzL1BLAwQUAAAACACHTuJAo9DMhL4AAADc&#10;AAAADwAAAGRycy9kb3ducmV2LnhtbEWPT4vCMBTE7wv7HcJb2Ns2tYJINYouK+xBELt/vD6aZ1Ns&#10;XkoTa/32RhA8DjPzG2a+HGwjeup87VjBKElBEJdO11wp+P3ZfExB+ICssXFMCq7kYbl4fZljrt2F&#10;99QXoRIRwj5HBSaENpfSl4Ys+sS1xNE7us5iiLKrpO7wEuG2kVmaTqTFmuOCwZY+DZWn4mwVDP/T&#10;lTlsw/rL/e3MaTgUts+uSr2/jdIZiEBDeIYf7W+tYDzO4H4mHgG5u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9DMhL4A&#10;AADcAAAADwAAAAAAAAABACAAAAAiAAAAZHJzL2Rvd25yZXYueG1sUEsBAhQAFAAAAAgAh07iQDMv&#10;BZ47AAAAOQAAABAAAAAAAAAAAQAgAAAADQEAAGRycy9zaGFwZXhtbC54bWxQSwUGAAAAAAYABgBb&#10;AQAAtwMAAAAA&#10;">
                    <v:fill on="f" focussize="0,0"/>
                    <v:stroke weight="2.25pt" color="#FF0000 [3204]" joinstyle="round"/>
                    <v:imagedata o:title=""/>
                    <o:lock v:ext="edit" aspectratio="f"/>
                  </v:line>
                  <v:shape id="椭圆 27" o:spid="_x0000_s1026" o:spt="3" type="#_x0000_t3" style="position:absolute;left:2572;top:891247;height:150;width:166;v-text-anchor:middle;" fillcolor="#FB3FF0" filled="t" stroked="t" coordsize="21600,21600" o:gfxdata="UEsDBAoAAAAAAIdO4kAAAAAAAAAAAAAAAAAEAAAAZHJzL1BLAwQUAAAACACHTuJApLIHWL8AAADc&#10;AAAADwAAAGRycy9kb3ducmV2LnhtbEWPT2vCQBTE7wW/w/IEL0U3GqgSXUWEaqCH4p+Dx0f2mY3J&#10;vg3Zrabfvlso9DjMzG+Y1aa3jXhQ5yvHCqaTBARx4XTFpYLL+X28AOEDssbGMSn4Jg+b9eBlhZl2&#10;Tz7S4xRKESHsM1RgQmgzKX1hyKKfuJY4ejfXWQxRdqXUHT4j3DZyliRv0mLFccFgSztDRX36sgrq&#10;7eHjYF7zVs7puse8v3/O6rNSo+E0WYII1If/8F871wrSNIXfM/EIyP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SyB1i/&#10;AAAA3AAAAA8AAAAAAAAAAQAgAAAAIgAAAGRycy9kb3ducmV2LnhtbFBLAQIUABQAAAAIAIdO4kAz&#10;LwWeOwAAADkAAAAQAAAAAAAAAAEAIAAAAA4BAABkcnMvc2hhcGV4bWwueG1sUEsFBgAAAAAGAAYA&#10;WwEAALgDAAAAAA==&#10;">
                    <v:fill on="t" focussize="0,0"/>
                    <v:stroke weight="2pt" color="#FB3FF0 [3204]" joinstyle="round"/>
                    <v:imagedata o:title=""/>
                    <o:lock v:ext="edit" aspectratio="f"/>
                  </v:shape>
                </v:group>
                <v:line id="直接连接符 26" o:spid="_x0000_s1026" o:spt="20" style="position:absolute;left:2932;top:796703;height:0;width:926;" filled="f" stroked="t" coordsize="21600,21600" o:gfxdata="UEsDBAoAAAAAAIdO4kAAAAAAAAAAAAAAAAAEAAAAZHJzL1BLAwQUAAAACACHTuJA3kHGyr0AAADc&#10;AAAADwAAAGRycy9kb3ducmV2LnhtbEWP3WoCMRSE74W+QzgFb0Sz/iBlNUopiHslVvsAh81xdzE5&#10;WZIYbZ++KQi9HGbmG2a9fVgjEvnQOVYwnRQgiGunO24UfJ134zcQISJrNI5JwTcF2G5eBmsstbvz&#10;J6VTbESGcChRQRtjX0oZ6pYshonribN3cd5izNI3Unu8Z7g1clYUS2mx47zQYk8fLdXX080qOB92&#10;Pymy2d+Oh/3oPZkq+Wqh1PB1WqxARHrE//CzXWkF8/kC/s7kIyA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QcbKvQAA&#10;ANwAAAAPAAAAAAAAAAEAIAAAACIAAABkcnMvZG93bnJldi54bWxQSwECFAAUAAAACACHTuJAMy8F&#10;njsAAAA5AAAAEAAAAAAAAAABACAAAAAMAQAAZHJzL3NoYXBleG1sLnhtbFBLBQYAAAAABgAGAFsB&#10;AAC2AwAAAAA=&#10;">
                  <v:fill on="f" focussize="0,0"/>
                  <v:stroke weight="2.25pt" color="#FFC000 [3204]" joinstyle="round" dashstyle="dash"/>
                  <v:imagedata o:title=""/>
                  <o:lock v:ext="edit" aspectratio="f"/>
                </v:line>
              </v:group>
            </w:pict>
          </mc:Fallback>
        </mc:AlternateContent>
      </w:r>
      <w:r>
        <w:rPr>
          <w:rFonts w:hint="default"/>
          <w:highlight w:val="none"/>
        </w:rPr>
        <w:t>附图</w:t>
      </w:r>
      <w:r>
        <w:rPr>
          <w:rFonts w:hint="eastAsia"/>
          <w:highlight w:val="none"/>
          <w:lang w:val="en-US" w:eastAsia="zh-CN"/>
        </w:rPr>
        <w:t>2</w:t>
      </w:r>
      <w:r>
        <w:rPr>
          <w:rFonts w:hint="default"/>
          <w:highlight w:val="none"/>
        </w:rPr>
        <w:t>：</w:t>
      </w:r>
      <w:r>
        <w:rPr>
          <w:rFonts w:hint="eastAsia"/>
          <w:highlight w:val="none"/>
          <w:lang w:val="en-US" w:eastAsia="zh-CN"/>
        </w:rPr>
        <w:t>厂区平面</w:t>
      </w:r>
      <w:r>
        <w:rPr>
          <w:rFonts w:hint="default"/>
          <w:highlight w:val="none"/>
        </w:rPr>
        <w:t>布置图</w:t>
      </w:r>
      <w:r>
        <mc:AlternateContent>
          <mc:Choice Requires="wps">
            <w:drawing>
              <wp:anchor distT="0" distB="0" distL="114300" distR="114300" simplePos="0" relativeHeight="251709440" behindDoc="0" locked="0" layoutInCell="1" allowOverlap="1">
                <wp:simplePos x="0" y="0"/>
                <wp:positionH relativeFrom="column">
                  <wp:posOffset>5121910</wp:posOffset>
                </wp:positionH>
                <wp:positionV relativeFrom="paragraph">
                  <wp:posOffset>5930900</wp:posOffset>
                </wp:positionV>
                <wp:extent cx="3175" cy="408940"/>
                <wp:effectExtent l="13970" t="0" r="20955" b="10160"/>
                <wp:wrapNone/>
                <wp:docPr id="90" name="直接连接符 26"/>
                <wp:cNvGraphicFramePr/>
                <a:graphic xmlns:a="http://schemas.openxmlformats.org/drawingml/2006/main">
                  <a:graphicData uri="http://schemas.microsoft.com/office/word/2010/wordprocessingShape">
                    <wps:wsp>
                      <wps:cNvCnPr>
                        <a:endCxn id="305" idx="0"/>
                      </wps:cNvCnPr>
                      <wps:spPr>
                        <a:xfrm>
                          <a:off x="0" y="0"/>
                          <a:ext cx="3175" cy="40894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6" o:spid="_x0000_s1026" o:spt="20" style="position:absolute;left:0pt;margin-left:403.3pt;margin-top:467pt;height:32.2pt;width:0.25pt;z-index:251709440;mso-width-relative:page;mso-height-relative:page;" filled="f" stroked="t" coordsize="21600,21600" o:gfxdata="UEsDBAoAAAAAAIdO4kAAAAAAAAAAAAAAAAAEAAAAZHJzL1BLAwQUAAAACACHTuJA9L3GmtoAAAAL&#10;AQAADwAAAGRycy9kb3ducmV2LnhtbE2PwUrDQBCG74LvsIzgze5GS5rEbIoogoIUbO2ht212TILZ&#10;2ZDdtPHtHU96nJmPf76/XM+uFyccQ+dJQ7JQIJBqbztqNHzsnm8yECEasqb3hBq+McC6urwoTWH9&#10;md7xtI2N4BAKhdHQxjgUUoa6RWfCwg9IfPv0ozORx7GRdjRnDne9vFUqlc50xB9aM+Bji/XXdnIa&#10;ptc57fyDOuTD5g1f7Gq33zRPWl9fJeoeRMQ5/sHwq8/qULHT0U9kg+g1ZCpNGdWQ3y25FBOZWiUg&#10;jrzJsyXIqpT/O1Q/UEsDBBQAAAAIAIdO4kBwO6eo8AEAAMgDAAAOAAAAZHJzL2Uyb0RvYy54bWyt&#10;U0uOEzEQ3SNxB8t70p3Mh0wrnZFIFDYIRgIOUHG7uy35J5cnnVyCCyCxgxVL9tyG4RiUnc8ww2YW&#10;bNy269VzvVfVs+ut0WwjAypnaz4elZxJK1yjbFfzjx9WL6acYQTbgHZW1nwnkV/Pnz+bDb6SE9c7&#10;3cjAiMRiNfia9zH6qihQ9NIAjpyXloKtCwYiHUNXNAEGYje6mJTlZTG40PjghESk2+U+yA+M4SmE&#10;rm2VkEsnbo20cc8apIZIkrBXHvk8V9u2UsR3bYsyMl1zUhrzSo/Qfp3WYj6DqgvgeyUOJcBTSnik&#10;yYCy9OiJagkR2G1Q/1AZJYJD18aRcKbYC8mOkIpx+cib9z14mbWQ1ehPpuP/oxVvNzeBqabmV2SJ&#10;BUMdv/v849enr79/fqH17vs3NrlMNg0eK0Iv7E1IQqVtFlubM8/KC06b7cHP4gEyHdDvc7ZtMCmX&#10;ZLOMZrtTD+Q2MkGXZ+OXxCYocF5Or85zhwqojqk+YHwtnWFpU3OtbDIIKti8wUhVEvQISdfWrZTW&#10;ucnasqHmk+lF5gea3JYmhp4yntSj7TgD3dEvIWLIlOi0alJ6IsLQrRc6sA2kQSpflatjZQ9g6e0l&#10;YL/H5VDyjqrSlj73ZqTd2jW7m5DC6UQNzsDDMKYJ+vucUfc/4Pw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9L3GmtoAAAALAQAADwAAAAAAAAABACAAAAAiAAAAZHJzL2Rvd25yZXYueG1sUEsBAhQA&#10;FAAAAAgAh07iQHA7p6jwAQAAyAMAAA4AAAAAAAAAAQAgAAAAKQEAAGRycy9lMm9Eb2MueG1sUEsF&#10;BgAAAAAGAAYAWQEAAIsFAAAAAA==&#10;">
                <v:fill on="f" focussize="0,0"/>
                <v:stroke weight="2.25pt" color="#00B0F0 [3204]" joinstyle="round"/>
                <v:imagedata o:title=""/>
                <o:lock v:ext="edit" aspectratio="f"/>
              </v:line>
            </w:pict>
          </mc:Fallback>
        </mc:AlternateContent>
      </w:r>
      <w:r>
        <mc:AlternateContent>
          <mc:Choice Requires="wps">
            <w:drawing>
              <wp:anchor distT="0" distB="0" distL="114300" distR="114300" simplePos="0" relativeHeight="251708416" behindDoc="0" locked="0" layoutInCell="1" allowOverlap="1">
                <wp:simplePos x="0" y="0"/>
                <wp:positionH relativeFrom="column">
                  <wp:posOffset>4349750</wp:posOffset>
                </wp:positionH>
                <wp:positionV relativeFrom="paragraph">
                  <wp:posOffset>5920105</wp:posOffset>
                </wp:positionV>
                <wp:extent cx="10160" cy="741045"/>
                <wp:effectExtent l="13970" t="0" r="33020" b="1905"/>
                <wp:wrapNone/>
                <wp:docPr id="335" name="直接连接符 26"/>
                <wp:cNvGraphicFramePr/>
                <a:graphic xmlns:a="http://schemas.openxmlformats.org/drawingml/2006/main">
                  <a:graphicData uri="http://schemas.microsoft.com/office/word/2010/wordprocessingShape">
                    <wps:wsp>
                      <wps:cNvCnPr/>
                      <wps:spPr>
                        <a:xfrm flipH="1">
                          <a:off x="0" y="0"/>
                          <a:ext cx="10160" cy="741045"/>
                        </a:xfrm>
                        <a:prstGeom prst="line">
                          <a:avLst/>
                        </a:prstGeom>
                        <a:ln w="28575">
                          <a:solidFill>
                            <a:srgbClr val="FFC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6" o:spid="_x0000_s1026" o:spt="20" style="position:absolute;left:0pt;flip:x;margin-left:342.5pt;margin-top:466.15pt;height:58.35pt;width:0.8pt;z-index:251708416;mso-width-relative:page;mso-height-relative:page;" filled="f" stroked="t" coordsize="21600,21600" o:gfxdata="UEsDBAoAAAAAAIdO4kAAAAAAAAAAAAAAAAAEAAAAZHJzL1BLAwQUAAAACACHTuJAF34fKtoAAAAM&#10;AQAADwAAAGRycy9kb3ducmV2LnhtbE2Py07DMBBF90j8gzVIbBC104KVhDhdgGDFgpbStWubODQe&#10;R7H74O8ZVrAczdG59zbLcxjY0U2pj6igmAlgDk20PXYKNu/PtyWwlDVaPUR0Cr5dgmV7edHo2sYT&#10;rtxxnTtGEky1VuBzHmvOk/Eu6DSLo0P6fcYp6Ezn1HE76RPJw8DnQkgedI+U4PXoHr0z+/UhkOVl&#10;8/G21cX262YvzKspqyc/ZqWurwrxACy7c/6D4bc+VYeWOu3iAW1igwJZ3tOWrKBazBfAiJCllMB2&#10;hIq7SgBvG/5/RPsDUEsDBBQAAAAIAIdO4kBzUyeW7AEAAKoDAAAOAAAAZHJzL2Uyb0RvYy54bWyt&#10;U0uOEzEQ3SNxB8t70p3MJDNqpTOLRIEFgkjAARy33W3JP7k86eQSXACJHaxYsuc2DMeg7G4yw7CZ&#10;BRurXC6/qvf8vLw5Gk0OIoBytqbTSUmJsNw1yrY1/fB+++KaEojMNkw7K2p6EkBvVs+fLXtfiZnr&#10;nG5EIAhioep9TbsYfVUUwDthGEycFxYPpQuGRdyGtmgC6xHd6GJWlouid6HxwXEBgNnNcEhHxPAU&#10;QCel4mLj+K0RNg6oQWgWkRJ0ygNd5WmlFDy+lRJEJLqmyDTmFZtgvE9rsVqyqg3Md4qPI7CnjPCI&#10;k2HKYtMz1IZFRm6D+gfKKB4cOBkn3JliIJIVQRbT8pE27zrmReaCUoM/iw7/D5a/OewCUU1NLy7m&#10;lFhm8MnvPn3/+fHLrx+fcb379pXMFkmn3kOF5Wu7C+MO/C4k0kcZDJFa+VdoqCwDEiPHrPLprLI4&#10;RsIxOS2nC5Sf48nV5bS8nCfwYkBJaD5AfCmcISmoqVY2acAqdngNcSj9U5LS1m2V1phnlbakr+ns&#10;en6FVDhDc0o0BYbGI0GwLSVMt+h6HkOGBKdVk66n2xDa/VoHcmDole12XZbZHjjZX2Wp94ZBN9Q1&#10;GI3za4s0kkiDLCnau+aU1cp5fMJMdLRb8sjDfb59/8V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Xfh8q2gAAAAwBAAAPAAAAAAAAAAEAIAAAACIAAABkcnMvZG93bnJldi54bWxQSwECFAAUAAAA&#10;CACHTuJAc1MnluwBAACqAwAADgAAAAAAAAABACAAAAApAQAAZHJzL2Uyb0RvYy54bWxQSwUGAAAA&#10;AAYABgBZAQAAhwUAAAAA&#10;">
                <v:fill on="f" focussize="0,0"/>
                <v:stroke weight="2.25pt" color="#FFC000 [3204]" joinstyle="round" dashstyle="dash"/>
                <v:imagedata o:title=""/>
                <o:lock v:ext="edit" aspectratio="f"/>
              </v:line>
            </w:pict>
          </mc:Fallback>
        </mc:AlternateContent>
      </w:r>
      <w:r>
        <w:rPr>
          <w:highlight w:val="yellow"/>
        </w:rPr>
        <mc:AlternateContent>
          <mc:Choice Requires="wps">
            <w:drawing>
              <wp:anchor distT="0" distB="0" distL="114300" distR="114300" simplePos="0" relativeHeight="251698176" behindDoc="0" locked="0" layoutInCell="1" allowOverlap="1">
                <wp:simplePos x="0" y="0"/>
                <wp:positionH relativeFrom="column">
                  <wp:posOffset>4617720</wp:posOffset>
                </wp:positionH>
                <wp:positionV relativeFrom="paragraph">
                  <wp:posOffset>6318885</wp:posOffset>
                </wp:positionV>
                <wp:extent cx="621665" cy="446405"/>
                <wp:effectExtent l="9525" t="9525" r="16510" b="20320"/>
                <wp:wrapNone/>
                <wp:docPr id="304" name="文本框 304"/>
                <wp:cNvGraphicFramePr/>
                <a:graphic xmlns:a="http://schemas.openxmlformats.org/drawingml/2006/main">
                  <a:graphicData uri="http://schemas.microsoft.com/office/word/2010/wordprocessingShape">
                    <wps:wsp>
                      <wps:cNvSpPr txBox="1"/>
                      <wps:spPr>
                        <a:xfrm>
                          <a:off x="0" y="0"/>
                          <a:ext cx="621665" cy="446405"/>
                        </a:xfrm>
                        <a:prstGeom prst="rect">
                          <a:avLst/>
                        </a:prstGeom>
                        <a:solidFill>
                          <a:srgbClr val="000000">
                            <a:alpha val="0"/>
                          </a:srgbClr>
                        </a:solid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b/>
                                <w:bCs/>
                                <w:sz w:val="21"/>
                                <w:szCs w:val="21"/>
                                <w:lang w:val="en-US" w:eastAsia="zh-CN"/>
                              </w:rPr>
                            </w:pPr>
                            <w:r>
                              <w:rPr>
                                <w:rFonts w:hint="eastAsia"/>
                                <w:b/>
                                <w:bCs/>
                                <w:sz w:val="21"/>
                                <w:szCs w:val="21"/>
                                <w:lang w:val="en-US" w:eastAsia="zh-CN"/>
                              </w:rPr>
                              <w:t>活性炭吸附</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363.6pt;margin-top:497.55pt;height:35.15pt;width:48.95pt;z-index:251698176;v-text-anchor:middle;mso-width-relative:page;mso-height-relative:page;" fillcolor="#000000" filled="t" stroked="t" coordsize="21600,21600" o:gfxdata="UEsDBAoAAAAAAIdO4kAAAAAAAAAAAAAAAAAEAAAAZHJzL1BLAwQUAAAACACHTuJAmnhdbdoAAAAM&#10;AQAADwAAAGRycy9kb3ducmV2LnhtbE2Py07DMBBF90j8gzVI7Kgfom0a4lQCFIkNCwoIlm5skoh4&#10;HMVuk/490xXdzWiO7pxbbGffs6MbYxdQg1wIYA7rYDtsNHy8V3cZsJgMWtMHdBpOLsK2vL4qTG7D&#10;hG/uuEsNoxCMudHQpjTknMe6dd7ERRgc0u0njN4kWseG29FMFO57roRYcW86pA+tGdxT6+rf3cFr&#10;qD4fX6eTGp+rkH1LOb+gkelL69sbKR6AJTenfxjO+qQOJTntwwFtZL2GtVorQjVsNksJjIhMnYc9&#10;oWK1vAdeFvyyRPkHUEsDBBQAAAAIAIdO4kBNDD+JagIAAOcEAAAOAAAAZHJzL2Uyb0RvYy54bWyt&#10;VM1u1DAQviPxDpbvNNklu9BVs9XSqgipopUK4ux1nI0lx2PG3k3KA8AbcOLCnefqczB2su0WOPRA&#10;Ds78+RvPN2OfnPatYTuFXoMt+eQo50xZCZW2m5J//HDx4jVnPghbCQNWlfxWeX66fP7spHMLNYUG&#10;TKWQEYj1i86VvAnBLbLMy0a1wh+BU5acNWArAqm4ySoUHaG3Jpvm+TzrACuHIJX3ZD0fnHxExKcA&#10;Ql1rqc5Bbltlw4CKyohAJflGO8+X6bR1rWS4qmuvAjMlp0pDWikJyeu4ZssTsdigcI2W4xHEU47w&#10;R02t0JaS3kOdiyDYFvVfUK2WCB7qcCShzYZCEiNUxST/g5ubRjiVaiGqvbsn3f8/WPl+d41MVyV/&#10;mRecWdFSy+++f7v78evu51cWjURR5/yCIm8cxYb+DfQ0OHu7J2OsvK+xjX+qiZGfCL69J1j1gUky&#10;zqeT+XzGmSRXUcyLfBZRsofNDn14q6BlUSg5Uv8SrWJ36cMQug+JuTwYXV1oY5KCm/WZQbYTsdfp&#10;G/Ya14jROqbzQ2hK/QjDWNZRbcf5LE97HznHXY8SDGc6CKNijCXgSNlATZRCv+5HHtdQ3RKNCMMs&#10;eicvNBV7KXy4FkjDR8zR9QxXtNQG6DgwSpw1gF/+ZY/xNBPk5ayjYS65/7wVqDgz7yxNy/GkKOL0&#10;J6WYvZqSgoee9aHHbtszIA4n9BA4mcQYH8xerBHaT3SLVzEruYSVlLvkMuBeOQvDJaN3QKrVKoVt&#10;HepNM2yh6XciXNobJ2Oi2D8Lq22AWqc+R9IGpkYuaf5Tu8a7Gi/YoZ6iHt6n5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aeF1t2gAAAAwBAAAPAAAAAAAAAAEAIAAAACIAAABkcnMvZG93bnJldi54&#10;bWxQSwECFAAUAAAACACHTuJATQw/iWoCAADnBAAADgAAAAAAAAABACAAAAApAQAAZHJzL2Uyb0Rv&#10;Yy54bWxQSwUGAAAAAAYABgBZAQAABQYAAAAA&#10;">
                <v:fill on="t" opacity="0f" focussize="0,0"/>
                <v:stroke weight="1.5pt" color="#000000 [3213]" joinstyle="round"/>
                <v:imagedata o:title=""/>
                <o:lock v:ext="edit" aspectratio="f"/>
                <v:textbox>
                  <w:txbxContent>
                    <w:p>
                      <w:pPr>
                        <w:jc w:val="center"/>
                        <w:rPr>
                          <w:rFonts w:hint="default" w:eastAsia="宋体"/>
                          <w:b/>
                          <w:bCs/>
                          <w:sz w:val="21"/>
                          <w:szCs w:val="21"/>
                          <w:lang w:val="en-US" w:eastAsia="zh-CN"/>
                        </w:rPr>
                      </w:pPr>
                      <w:r>
                        <w:rPr>
                          <w:rFonts w:hint="eastAsia"/>
                          <w:b/>
                          <w:bCs/>
                          <w:sz w:val="21"/>
                          <w:szCs w:val="21"/>
                          <w:lang w:val="en-US" w:eastAsia="zh-CN"/>
                        </w:rPr>
                        <w:t>活性炭吸附</w:t>
                      </w:r>
                    </w:p>
                  </w:txbxContent>
                </v:textbox>
              </v:shape>
            </w:pict>
          </mc:Fallback>
        </mc:AlternateContent>
      </w:r>
      <w:r>
        <w:rPr>
          <w:highlight w:val="yellow"/>
        </w:rPr>
        <mc:AlternateContent>
          <mc:Choice Requires="wps">
            <w:drawing>
              <wp:anchor distT="0" distB="0" distL="114300" distR="114300" simplePos="0" relativeHeight="251706368" behindDoc="0" locked="0" layoutInCell="1" allowOverlap="1">
                <wp:simplePos x="0" y="0"/>
                <wp:positionH relativeFrom="column">
                  <wp:posOffset>5072380</wp:posOffset>
                </wp:positionH>
                <wp:positionV relativeFrom="paragraph">
                  <wp:posOffset>6339840</wp:posOffset>
                </wp:positionV>
                <wp:extent cx="104775" cy="95250"/>
                <wp:effectExtent l="12700" t="12700" r="15875" b="25400"/>
                <wp:wrapNone/>
                <wp:docPr id="305" name="椭圆 27"/>
                <wp:cNvGraphicFramePr/>
                <a:graphic xmlns:a="http://schemas.openxmlformats.org/drawingml/2006/main">
                  <a:graphicData uri="http://schemas.microsoft.com/office/word/2010/wordprocessingShape">
                    <wps:wsp>
                      <wps:cNvSpPr/>
                      <wps:spPr>
                        <a:xfrm>
                          <a:off x="0" y="0"/>
                          <a:ext cx="104775" cy="95250"/>
                        </a:xfrm>
                        <a:prstGeom prst="ellipse">
                          <a:avLst/>
                        </a:prstGeom>
                        <a:solidFill>
                          <a:srgbClr val="FB3FF0"/>
                        </a:solidFill>
                        <a:ln>
                          <a:solidFill>
                            <a:srgbClr val="FB3F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7" o:spid="_x0000_s1026" o:spt="3" type="#_x0000_t3" style="position:absolute;left:0pt;margin-left:399.4pt;margin-top:499.2pt;height:7.5pt;width:8.25pt;z-index:251706368;v-text-anchor:middle;mso-width-relative:page;mso-height-relative:page;" fillcolor="#FB3FF0" filled="t" stroked="t" coordsize="21600,21600" o:gfxdata="UEsDBAoAAAAAAIdO4kAAAAAAAAAAAAAAAAAEAAAAZHJzL1BLAwQUAAAACACHTuJA62Jiad0AAAAM&#10;AQAADwAAAGRycy9kb3ducmV2LnhtbE2PwU7DMBBE70j8g7VIXFBrpy1tEuJUCAlaiQOi5cDRjZc4&#10;JLaj2G3D33c5wXE1TzNvi/VoO3bCITTeSUimAhi6yuvG1RI+9s+TFFiIymnVeYcSfjDAury+KlSu&#10;/dm942kXa0YlLuRKgomxzzkPlUGrwtT36Cj78oNVkc6h5npQZyq3HZ8JseRWNY4WjOrxyWDV7o5W&#10;Qvu4ed2Yu23PV/j5orbj99us3Ut5e5OIB2ARx/gHw68+qUNJTgd/dDqwTsIqS0k9SsiydAGMiDS5&#10;nwM7ECqS+QJ4WfD/T5QXUEsDBBQAAAAIAIdO4kAh3vnrZQIAAOEEAAAOAAAAZHJzL2Uyb0RvYy54&#10;bWytVM1uEzEQviPxDpbvdDdpQmjUTRUaBSFVtFJBnB2vnV3Jf9hONuUBeAqOXHkseA4+e7e/cOiB&#10;y+6MZ/zNzDczPj07aEX2wofWmoqOjkpKhOG2bs22op8+rl+9oSREZmqmrBEVvRGBni1evjjt3FyM&#10;bWNVLTwBiAnzzlW0idHNiyLwRmgWjqwTBkZpvWYRqt8WtWcd0LUqxmX5uuisr523XISA01VvpAOi&#10;fw6glbLlYmX5TgsTe1QvFIsoKTStC3SRs5VS8HgpZRCRqIqi0pi/CAJ5k77F4pTNt565puVDCuw5&#10;KTypSbPWIOgd1IpFRna+/QtKt9zbYGU84lYXfSGZEVQxKp9wc90wJ3ItoDq4O9LD/4PlH/ZXnrR1&#10;RY/LKSWGabT894+fv75/I+NZoqdzYQ6va3flBy1ATLUepNfpjyrIIVN6c0epOETCcTgqJ7MZgDlM&#10;J9PxNDNe3N91PsR3wmqShIoKpdC+VDObs/1FiAgJ71uvdBysaut1q1RW/HZzrjzZM/R3/fZ4vb4N&#10;8MhNGdJVdDydlOg7Z5haiWmBqB0qD2ZLCVNbrAOPPsd+dDs8L0hKcsVC0yeTERJ/SF8Z/BKPPXNJ&#10;2tj6BsR7209kcHzd4v4FC/GKeYwgEsWSxkt8pLLI3g4SJY31X/91nvwxGbBS0mGkUdmXHfOCEvXe&#10;YGZORpNJ2oGsTKazMRT/0LJ5aDE7fW7B6gjPgeNZTP5R3YrSW/0Zu7xMUWFihiN2z+GgnMd+1fAa&#10;cLFcZjfMvWPxwlw7nsBTF41d7qKVbe72PTsDaZj8zOKwpWm1HurZ6/5lWvw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62Jiad0AAAAMAQAADwAAAAAAAAABACAAAAAiAAAAZHJzL2Rvd25yZXYueG1s&#10;UEsBAhQAFAAAAAgAh07iQCHe+etlAgAA4QQAAA4AAAAAAAAAAQAgAAAALAEAAGRycy9lMm9Eb2Mu&#10;eG1sUEsFBgAAAAAGAAYAWQEAAAMGAAAAAA==&#10;">
                <v:fill on="t" focussize="0,0"/>
                <v:stroke weight="2pt" color="#FB3FF0 [3204]" joinstyle="round"/>
                <v:imagedata o:title=""/>
                <o:lock v:ext="edit" aspectratio="f"/>
              </v:shape>
            </w:pict>
          </mc:Fallback>
        </mc:AlternateContent>
      </w:r>
      <w:r>
        <w:rPr>
          <w:sz w:val="30"/>
        </w:rPr>
        <mc:AlternateContent>
          <mc:Choice Requires="wps">
            <w:drawing>
              <wp:anchor distT="0" distB="0" distL="114300" distR="114300" simplePos="0" relativeHeight="251702272" behindDoc="0" locked="0" layoutInCell="1" allowOverlap="1">
                <wp:simplePos x="0" y="0"/>
                <wp:positionH relativeFrom="column">
                  <wp:posOffset>3284855</wp:posOffset>
                </wp:positionH>
                <wp:positionV relativeFrom="paragraph">
                  <wp:posOffset>4561205</wp:posOffset>
                </wp:positionV>
                <wp:extent cx="2153920" cy="1577975"/>
                <wp:effectExtent l="9525" t="9525" r="27305" b="12700"/>
                <wp:wrapNone/>
                <wp:docPr id="307" name="文本框 307"/>
                <wp:cNvGraphicFramePr/>
                <a:graphic xmlns:a="http://schemas.openxmlformats.org/drawingml/2006/main">
                  <a:graphicData uri="http://schemas.microsoft.com/office/word/2010/wordprocessingShape">
                    <wps:wsp>
                      <wps:cNvSpPr txBox="1"/>
                      <wps:spPr>
                        <a:xfrm>
                          <a:off x="4124960" y="3645535"/>
                          <a:ext cx="2153920" cy="1577975"/>
                        </a:xfrm>
                        <a:prstGeom prst="rect">
                          <a:avLst/>
                        </a:prstGeom>
                        <a:no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b/>
                                <w:bCs/>
                                <w:sz w:val="32"/>
                                <w:szCs w:val="32"/>
                                <w:lang w:val="en-US" w:eastAsia="zh-CN"/>
                              </w:rPr>
                            </w:pPr>
                            <w:r>
                              <w:rPr>
                                <w:rFonts w:hint="eastAsia"/>
                                <w:b/>
                                <w:bCs/>
                                <w:sz w:val="32"/>
                                <w:szCs w:val="32"/>
                                <w:lang w:val="en-US" w:eastAsia="zh-CN"/>
                              </w:rPr>
                              <w:t>储罐区</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258.65pt;margin-top:359.15pt;height:124.25pt;width:169.6pt;z-index:251702272;v-text-anchor:middle;mso-width-relative:page;mso-height-relative:page;" filled="f" stroked="t" coordsize="21600,21600" o:gfxdata="UEsDBAoAAAAAAIdO4kAAAAAAAAAAAAAAAAAEAAAAZHJzL1BLAwQUAAAACACHTuJAM8EtatgAAAAL&#10;AQAADwAAAGRycy9kb3ducmV2LnhtbE2PwU7DMAyG70i8Q2QkbiwNqG0oTXdA7IYEG2hnrwlttcap&#10;mmwrb485wc2Wf33+/nq9+FGc3RyHQAbUKgPhqA12oM7A58fmToOICcniGMgZ+HYR1s31VY2VDRfa&#10;uvMudYIhFCs00Kc0VVLGtnce4ypMjvj2FWaPide5k3bGC8P9KO+zrJAeB+IPPU7uuXftcXfyBvLl&#10;ffOij7hsy9fxTaV238Vpb8ztjcqeQCS3pL8w/OqzOjTsdAgnslGMzFDlA0cNlErzwAmdFzmIg4HH&#10;otAgm1r+79D8AFBLAwQUAAAACACHTuJA4f0FTGkCAACvBAAADgAAAGRycy9lMm9Eb2MueG1srVTB&#10;btswDL0P2D8Iuq+207hZgjpFlqDDgGIt0A07K7IcC5BETVJidx+w/UFPu+y+7+p3jJKTNuh26GE5&#10;OBL5/Eg+kj6/6LUiO+G8BFPR4iSnRBgOtTSbin7+dPnmLSU+MFMzBUZU9E54ejF//eq8szMxghZU&#10;LRxBEuNnna1oG4KdZZnnrdDMn4AVBp0NOM0CXt0mqx3rkF2rbJTnZ1kHrrYOuPAeravBSfeM7iWE&#10;0DSSixXwrRYmDKxOKBawJN9K6+k8Zds0gofrpvEiEFVRrDSkJwbB8zo+s/k5m20cs63k+xTYS1J4&#10;VpNm0mDQR6oVC4xsnfyLSkvuwEMTTjjobCgkKYJVFPkzbW5bZkWqBaX29lF0//9o+cfdjSOyruhp&#10;PqHEMI0tf7j/8fDz98Ov7yQaUaLO+hkiby1iQ/8Oehycg92jMVbeN07Hf6yJoH9cjMbTM5T5DqnP&#10;xmV5Wg5iiz4QjoBRUZ5ORwjgiCjKyWQ6SYjsico6H94L0CQeKuqwm0lktrvyAdNC6AESIxu4lEql&#10;jipDOmSd5mWe3vCgZB29EefdZr1UjuxYHIr0i6kh2xEMb8qgMZY+lBhPoV/3ez3WUN+hHA6GmfKW&#10;X0pM84r5cMMcDhGWhmsWrvHRKMB0YH+ipAX37V/2iMfeopeSDoeyov7rljlBifpgsOvTYjxG2pAu&#10;43IS5XPHnvWxx2z1ErDEAhfa8nSM+KAOx8aB/oLbuIhR0cUMx9gV5cEdLsswLAvuMxeLRYJtrZOb&#10;dngFp9iycGVuLY+BhjYstgEamToURRuU2muJc5yk3u9cXJTje0I9fWfm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zwS1q2AAAAAsBAAAPAAAAAAAAAAEAIAAAACIAAABkcnMvZG93bnJldi54bWxQ&#10;SwECFAAUAAAACACHTuJA4f0FTGkCAACvBAAADgAAAAAAAAABACAAAAAnAQAAZHJzL2Uyb0RvYy54&#10;bWxQSwUGAAAAAAYABgBZAQAAAgYAAAAA&#10;">
                <v:fill on="f" focussize="0,0"/>
                <v:stroke weight="1.5pt" color="#000000 [3213]" joinstyle="round"/>
                <v:imagedata o:title=""/>
                <o:lock v:ext="edit" aspectratio="f"/>
                <v:textbox>
                  <w:txbxContent>
                    <w:p>
                      <w:pPr>
                        <w:jc w:val="center"/>
                        <w:rPr>
                          <w:rFonts w:hint="default"/>
                          <w:b/>
                          <w:bCs/>
                          <w:sz w:val="32"/>
                          <w:szCs w:val="32"/>
                          <w:lang w:val="en-US" w:eastAsia="zh-CN"/>
                        </w:rPr>
                      </w:pPr>
                      <w:r>
                        <w:rPr>
                          <w:rFonts w:hint="eastAsia"/>
                          <w:b/>
                          <w:bCs/>
                          <w:sz w:val="32"/>
                          <w:szCs w:val="32"/>
                          <w:lang w:val="en-US" w:eastAsia="zh-CN"/>
                        </w:rPr>
                        <w:t>储罐区</w:t>
                      </w:r>
                    </w:p>
                  </w:txbxContent>
                </v:textbox>
              </v:shape>
            </w:pict>
          </mc:Fallback>
        </mc:AlternateContent>
      </w:r>
      <w:r>
        <w:rPr>
          <w:sz w:val="30"/>
          <w:highlight w:val="yellow"/>
        </w:rPr>
        <mc:AlternateContent>
          <mc:Choice Requires="wps">
            <w:drawing>
              <wp:anchor distT="0" distB="0" distL="114300" distR="114300" simplePos="0" relativeHeight="251704320" behindDoc="0" locked="0" layoutInCell="1" allowOverlap="1">
                <wp:simplePos x="0" y="0"/>
                <wp:positionH relativeFrom="column">
                  <wp:posOffset>611505</wp:posOffset>
                </wp:positionH>
                <wp:positionV relativeFrom="paragraph">
                  <wp:posOffset>5453380</wp:posOffset>
                </wp:positionV>
                <wp:extent cx="392430" cy="715010"/>
                <wp:effectExtent l="0" t="0" r="7620" b="8890"/>
                <wp:wrapNone/>
                <wp:docPr id="317" name="文本框 46"/>
                <wp:cNvGraphicFramePr/>
                <a:graphic xmlns:a="http://schemas.openxmlformats.org/drawingml/2006/main">
                  <a:graphicData uri="http://schemas.microsoft.com/office/word/2010/wordprocessingShape">
                    <wps:wsp>
                      <wps:cNvSpPr txBox="1"/>
                      <wps:spPr>
                        <a:xfrm>
                          <a:off x="0" y="0"/>
                          <a:ext cx="392430" cy="715010"/>
                        </a:xfrm>
                        <a:prstGeom prst="rect">
                          <a:avLst/>
                        </a:prstGeom>
                        <a:solidFill>
                          <a:schemeClr val="bg1">
                            <a:alpha val="74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b/>
                                <w:bCs/>
                                <w:color w:val="auto"/>
                                <w:sz w:val="28"/>
                                <w:szCs w:val="28"/>
                                <w:lang w:val="en-US" w:eastAsia="zh-CN"/>
                              </w:rPr>
                            </w:pPr>
                            <w:r>
                              <w:rPr>
                                <w:rFonts w:hint="eastAsia"/>
                                <w:b/>
                                <w:bCs/>
                                <w:color w:val="auto"/>
                                <w:sz w:val="28"/>
                                <w:szCs w:val="28"/>
                                <w:lang w:val="en-US" w:eastAsia="zh-CN"/>
                              </w:rPr>
                              <w:t>大门</w:t>
                            </w:r>
                          </w:p>
                        </w:txbxContent>
                      </wps:txbx>
                      <wps:bodyPr rot="0" spcFirstLastPara="0" vertOverflow="overflow" horzOverflow="overflow" vert="eaVert" wrap="square" lIns="91440" tIns="45720" rIns="91440" bIns="45720" numCol="1" spcCol="0" rtlCol="0" fromWordArt="0" anchor="t" anchorCtr="0" forceAA="0" upright="0" compatLnSpc="1">
                        <a:noAutofit/>
                      </wps:bodyPr>
                    </wps:wsp>
                  </a:graphicData>
                </a:graphic>
              </wp:anchor>
            </w:drawing>
          </mc:Choice>
          <mc:Fallback>
            <w:pict>
              <v:shape id="文本框 46" o:spid="_x0000_s1026" o:spt="202" type="#_x0000_t202" style="position:absolute;left:0pt;margin-left:48.15pt;margin-top:429.4pt;height:56.3pt;width:30.9pt;z-index:251704320;mso-width-relative:page;mso-height-relative:page;" fillcolor="#FFFFFF [3212]" filled="t" stroked="f" coordsize="21600,21600" o:gfxdata="UEsDBAoAAAAAAIdO4kAAAAAAAAAAAAAAAAAEAAAAZHJzL1BLAwQUAAAACACHTuJAdTncvNoAAAAK&#10;AQAADwAAAGRycy9kb3ducmV2LnhtbE2PMU/DMBCFdyT+g3VIbNQJbdMQ4lQIVOjQpS0MbG58JBHx&#10;ObLdtPx7rhOMp/fp3ffK5dn2YkQfOkcK0kkCAql2pqNGwft+dZeDCFGT0b0jVPCDAZbV9VWpC+NO&#10;tMVxFxvBJRQKraCNcSikDHWLVoeJG5A4+3Le6sinb6Tx+sTltpf3SZJJqzviD60e8LnF+nt3tAqe&#10;ZhuzD6/Dx/Zz4cdss35b+ZepUrc3afIIIuI5/sFw0Wd1qNjp4I5kgugVPGRTJhXk85wnXIB5noI4&#10;cLJIZyCrUv6fUP0CUEsDBBQAAAAIAIdO4kCQwE/6ZwIAAMAEAAAOAAAAZHJzL2Uyb0RvYy54bWyt&#10;VM1uEzEQviPxDpbvdDc/bWjUTRVSBSFVtFL4OTteb9aS7TG2k93yAPQNOHHhznP1ORjbSVsKhx7I&#10;wTt/nvH3zUzOznutyE44L8FUdHBUUiIMh1qaTUU/fli+ek2JD8zUTIERFb0Rnp7PXr446+xUDKEF&#10;VQtHMInx085WtA3BTovC81Zo5o/ACoPOBpxmAVW3KWrHOsyuVTEsy5OiA1dbB1x4j9aL7KT7jO45&#10;CaFpJBcXwLdamJCzOqFYQEi+ldbTWXpt0wgerprGi0BURRFpSCcWQXkdz2J2xqYbx2wr+f4J7DlP&#10;eIJJM2mw6H2qCxYY2Tr5VyotuQMPTTjioIsMJDGCKAblE25WLbMiYUGqvb0n3f+/tPz97toRWVd0&#10;NJhQYpjGlt99v7378evu5zcyPokMddZPMXBlMTT0b6DHuTnYPRoj8L5xOn4REkE/8ntzz6/oA+Fo&#10;HJ0OxyP0cHRNBscIOGYpHi5b58NbAZpEoaIO25dYZbtLH3LoISTW8qBkvZRKJcVt1gvlyI5hq5fp&#10;l+8q27JsnYzL8lDS5/BU/o88ypCuoiej4zJdNxAL5NrKYHgkI4OOUujX/Z6hNdQ3SJCDPGTe8qVE&#10;GJfMh2vmcKoQOe5duMKjUYBFYC9R0oL7+i97jK+oYJ/wS0mHc1pR/2XLnKBEvTM4CKeD8RgTh6SM&#10;jydDVNxjz/qxx2z1ApCfAe645UmM8UEdxMaB/owLOo910cUMx7dVFKtncRHy9uCCczGfp6CtdXLT&#10;5gs41paFS7OyPJaJnTEw3wZoZOpgJC0ztecSBzs1Yb+EcXMe6ynq4Y9n9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1Ody82gAAAAoBAAAPAAAAAAAAAAEAIAAAACIAAABkcnMvZG93bnJldi54bWxQ&#10;SwECFAAUAAAACACHTuJAkMBP+mcCAADABAAADgAAAAAAAAABACAAAAApAQAAZHJzL2Uyb0RvYy54&#10;bWxQSwUGAAAAAAYABgBZAQAAAgYAAAAA&#10;">
                <v:fill on="t" opacity="48496f" focussize="0,0"/>
                <v:stroke on="f" weight="0.5pt"/>
                <v:imagedata o:title=""/>
                <o:lock v:ext="edit" aspectratio="f"/>
                <v:textbox style="layout-flow:vertical-ideographic;">
                  <w:txbxContent>
                    <w:p>
                      <w:pPr>
                        <w:jc w:val="center"/>
                        <w:rPr>
                          <w:rFonts w:hint="eastAsia"/>
                          <w:b/>
                          <w:bCs/>
                          <w:color w:val="auto"/>
                          <w:sz w:val="28"/>
                          <w:szCs w:val="28"/>
                          <w:lang w:val="en-US" w:eastAsia="zh-CN"/>
                        </w:rPr>
                      </w:pPr>
                      <w:r>
                        <w:rPr>
                          <w:rFonts w:hint="eastAsia"/>
                          <w:b/>
                          <w:bCs/>
                          <w:color w:val="auto"/>
                          <w:sz w:val="28"/>
                          <w:szCs w:val="28"/>
                          <w:lang w:val="en-US" w:eastAsia="zh-CN"/>
                        </w:rPr>
                        <w:t>大门</w:t>
                      </w:r>
                    </w:p>
                  </w:txbxContent>
                </v:textbox>
              </v:shape>
            </w:pict>
          </mc:Fallback>
        </mc:AlternateContent>
      </w:r>
      <w:r>
        <w:rPr>
          <w:sz w:val="30"/>
          <w:highlight w:val="yellow"/>
        </w:rPr>
        <mc:AlternateContent>
          <mc:Choice Requires="wps">
            <w:drawing>
              <wp:anchor distT="0" distB="0" distL="114300" distR="114300" simplePos="0" relativeHeight="251703296" behindDoc="0" locked="0" layoutInCell="1" allowOverlap="1">
                <wp:simplePos x="0" y="0"/>
                <wp:positionH relativeFrom="column">
                  <wp:posOffset>2915285</wp:posOffset>
                </wp:positionH>
                <wp:positionV relativeFrom="paragraph">
                  <wp:posOffset>6369685</wp:posOffset>
                </wp:positionV>
                <wp:extent cx="343535" cy="608330"/>
                <wp:effectExtent l="0" t="0" r="18415" b="1270"/>
                <wp:wrapNone/>
                <wp:docPr id="318" name="文本框 70"/>
                <wp:cNvGraphicFramePr/>
                <a:graphic xmlns:a="http://schemas.openxmlformats.org/drawingml/2006/main">
                  <a:graphicData uri="http://schemas.microsoft.com/office/word/2010/wordprocessingShape">
                    <wps:wsp>
                      <wps:cNvSpPr txBox="1"/>
                      <wps:spPr>
                        <a:xfrm>
                          <a:off x="0" y="0"/>
                          <a:ext cx="343535" cy="608330"/>
                        </a:xfrm>
                        <a:prstGeom prst="rect">
                          <a:avLst/>
                        </a:prstGeom>
                        <a:solidFill>
                          <a:schemeClr val="bg1">
                            <a:alpha val="74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b/>
                                <w:bCs/>
                                <w:color w:val="auto"/>
                                <w:sz w:val="28"/>
                                <w:szCs w:val="28"/>
                                <w:lang w:val="en-US" w:eastAsia="zh-CN"/>
                              </w:rPr>
                            </w:pPr>
                            <w:r>
                              <w:rPr>
                                <w:rFonts w:hint="eastAsia"/>
                                <w:b/>
                                <w:bCs/>
                                <w:color w:val="auto"/>
                                <w:sz w:val="28"/>
                                <w:szCs w:val="28"/>
                                <w:lang w:val="en-US" w:eastAsia="zh-CN"/>
                              </w:rPr>
                              <w:t>小门</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文本框 70" o:spid="_x0000_s1026" o:spt="202" type="#_x0000_t202" style="position:absolute;left:0pt;margin-left:229.55pt;margin-top:501.55pt;height:47.9pt;width:27.05pt;z-index:251703296;mso-width-relative:page;mso-height-relative:page;" fillcolor="#FFFFFF [3212]" filled="t" stroked="f" coordsize="21600,21600" o:gfxdata="UEsDBAoAAAAAAIdO4kAAAAAAAAAAAAAAAAAEAAAAZHJzL1BLAwQUAAAACACHTuJAQpePbNsAAAAN&#10;AQAADwAAAGRycy9kb3ducmV2LnhtbE2PwU7DMBBE70j8g7VI3KidlqImxKkEKhIHLi2RuLrxNo4a&#10;25HtpKVfz/ZEb7s7o9k35fpsezZhiJ13ErKZAIau8bpzrYT6++NpBSwm5bTqvUMJvxhhXd3flarQ&#10;/uS2OO1SyyjExUJJMCkNBeexMWhVnPkBHWkHH6xKtIaW66BOFG57PhfihVvVOfpg1IDvBpvjbrQS&#10;xq+LD3F7+Hlr6s/NtKnRXI6jlI8PmXgFlvCc/s1wxSd0qIhp70enI+slPC/zjKwkCLGgiSzLbDEH&#10;tr+e8lUOvCr5bYvqD1BLAwQUAAAACACHTuJAAVH/qGQCAAC+BAAADgAAAGRycy9lMm9Eb2MueG1s&#10;rVTNbhMxEL4j8Q6W73Q33aQtUTZVaBWEFNFKBXF2vN6sJdtjbCe74QHgDThx4c5z5TkYe5M0FA49&#10;kIMzf57P883MTq47rchGOC/BlHRwllMiDIdKmlVJP36Yv7qixAdmKqbAiJJuhafX05cvJq0di3No&#10;QFXCEUxi/Li1JW1CsOMs87wRmvkzsMKgswanWUDVrbLKsRaza5Wd5/lF1oKrrAMuvEfrbe+k+4zu&#10;OQmhriUXt8DXWpjQZ3VCsYAl+UZaT6fptXUteLiray8CUSXFSkM6EQTlZTyz6YSNV47ZRvL9E9hz&#10;nvCkJs2kQdBjqlsWGFk7+VcqLbkDD3U446CzvpDECFYxyJ9w89AwK1ItSLW3R9L9/0vL32/uHZFV&#10;SYsBNt4wjS3fff+2+/Fr9/MruUwMtdaPMfDBYmjo3kCHcxOZi3aPxlh4Vzsd/7Ekgn7kd3vkV3SB&#10;cDQWw2JUjCjh6LrIr4oiZc8eL1vnw1sBmkShpA7bl1hlm4UPCIihh5CI5UHJai6VSopbLW+UIxuG&#10;rZ6nX39X2Yb11sthnh8gfR+ecv6RRxnS4vOKUZ6uG4gAPbYyGP5YdJRCt+z2TCyh2iJBDvoh85bP&#10;JZaxYD7cM4dThZzg3oU7PGoFCAJ7iZIG3Jd/2WM8Nhu9lLQ4pSX1n9fMCUrUO4Nj8HowHMaxTspw&#10;dHmOijv1LE89Zq1vANkZ4IZbnsQYH9RBrB3oT7ies4iKLmY4Ypc0HMSb0O8OrjcXs1kKWlsnV01/&#10;AYfasrAwD5ZHmNgXA7N1gFqm/kXKep72TOJYpxbsVzDuzameoh4/O9P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QpePbNsAAAANAQAADwAAAAAAAAABACAAAAAiAAAAZHJzL2Rvd25yZXYueG1sUEsB&#10;AhQAFAAAAAgAh07iQAFR/6hkAgAAvgQAAA4AAAAAAAAAAQAgAAAAKgEAAGRycy9lMm9Eb2MueG1s&#10;UEsFBgAAAAAGAAYAWQEAAAAGAAAAAA==&#10;">
                <v:fill on="t" opacity="48496f" focussize="0,0"/>
                <v:stroke on="f" weight="0.5pt"/>
                <v:imagedata o:title=""/>
                <o:lock v:ext="edit" aspectratio="f"/>
                <v:textbox>
                  <w:txbxContent>
                    <w:p>
                      <w:pPr>
                        <w:jc w:val="center"/>
                        <w:rPr>
                          <w:rFonts w:hint="eastAsia" w:eastAsia="宋体"/>
                          <w:b/>
                          <w:bCs/>
                          <w:color w:val="auto"/>
                          <w:sz w:val="28"/>
                          <w:szCs w:val="28"/>
                          <w:lang w:val="en-US" w:eastAsia="zh-CN"/>
                        </w:rPr>
                      </w:pPr>
                      <w:r>
                        <w:rPr>
                          <w:rFonts w:hint="eastAsia"/>
                          <w:b/>
                          <w:bCs/>
                          <w:color w:val="auto"/>
                          <w:sz w:val="28"/>
                          <w:szCs w:val="28"/>
                          <w:lang w:val="en-US" w:eastAsia="zh-CN"/>
                        </w:rPr>
                        <w:t>小门</w:t>
                      </w:r>
                    </w:p>
                  </w:txbxContent>
                </v:textbox>
              </v:shape>
            </w:pict>
          </mc:Fallback>
        </mc:AlternateContent>
      </w:r>
      <w:r>
        <w:rPr>
          <w:sz w:val="30"/>
        </w:rPr>
        <mc:AlternateContent>
          <mc:Choice Requires="wps">
            <w:drawing>
              <wp:anchor distT="0" distB="0" distL="114300" distR="114300" simplePos="0" relativeHeight="251701248" behindDoc="0" locked="0" layoutInCell="1" allowOverlap="1">
                <wp:simplePos x="0" y="0"/>
                <wp:positionH relativeFrom="column">
                  <wp:posOffset>4189095</wp:posOffset>
                </wp:positionH>
                <wp:positionV relativeFrom="paragraph">
                  <wp:posOffset>635635</wp:posOffset>
                </wp:positionV>
                <wp:extent cx="1279525" cy="414655"/>
                <wp:effectExtent l="9525" t="9525" r="25400" b="13970"/>
                <wp:wrapNone/>
                <wp:docPr id="319" name="文本框 319"/>
                <wp:cNvGraphicFramePr/>
                <a:graphic xmlns:a="http://schemas.openxmlformats.org/drawingml/2006/main">
                  <a:graphicData uri="http://schemas.microsoft.com/office/word/2010/wordprocessingShape">
                    <wps:wsp>
                      <wps:cNvSpPr txBox="1"/>
                      <wps:spPr>
                        <a:xfrm>
                          <a:off x="2625090" y="8778240"/>
                          <a:ext cx="1279525" cy="414655"/>
                        </a:xfrm>
                        <a:prstGeom prst="rect">
                          <a:avLst/>
                        </a:prstGeom>
                        <a:no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32"/>
                                <w:szCs w:val="32"/>
                                <w:lang w:val="en-US" w:eastAsia="zh-CN"/>
                              </w:rPr>
                            </w:pPr>
                            <w:r>
                              <w:rPr>
                                <w:rFonts w:hint="eastAsia"/>
                                <w:b/>
                                <w:bCs/>
                                <w:sz w:val="32"/>
                                <w:szCs w:val="32"/>
                                <w:lang w:val="en-US" w:eastAsia="zh-CN"/>
                              </w:rPr>
                              <w:t>危废间</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329.85pt;margin-top:50.05pt;height:32.65pt;width:100.75pt;z-index:251701248;v-text-anchor:middle;mso-width-relative:page;mso-height-relative:page;" filled="f" stroked="t" coordsize="21600,21600" o:gfxdata="UEsDBAoAAAAAAIdO4kAAAAAAAAAAAAAAAAAEAAAAZHJzL1BLAwQUAAAACACHTuJAhBuEkdcAAAAL&#10;AQAADwAAAGRycy9kb3ducmV2LnhtbE2PwU7DMAyG70i8Q2QkbizJRLtSmu6A2A0JtqGds8a01Rqn&#10;arKtvD3mBEf7//T7c7We/SAuOMU+kAG9UCCQmuB6ag187jcPBYiYLDk7BEID3xhhXd/eVLZ04Upb&#10;vOxSK7iEYmkNdCmNpZSx6dDbuAgjEmdfYfI28Ti10k32yuV+kEulcultT3yhsyO+dNicdmdvIJs/&#10;Nq/Fyc7b1dvwrlNzaON4MOb+TqtnEAnn9AfDrz6rQ81Ox3AmF8VgIM+eVoxyoJQGwUSR6yWII2/y&#10;7BFkXcn/P9Q/UEsDBBQAAAAIAIdO4kAa1+WZZwIAAK4EAAAOAAAAZHJzL2Uyb0RvYy54bWytVMFu&#10;2zAMvQ/YPwi6r3a8uGmCOkXWosOAYi3QDTsrshwLkERNUmJ3H7D9QU+77L7v6neMkp026HboYTk4&#10;lPhM8j2SPj3rtSI74bwEU9HJUU6JMBxqaTYV/fzp8s0JJT4wUzMFRlT0Tnh6tnz96rSzC1FAC6oW&#10;jmAQ4xedrWgbgl1kmeet0MwfgRUGnQ04zQIe3SarHeswulZZkefHWQeutg648B5vLwYnHSO6lwSE&#10;ppFcXADfamHCENUJxQJS8q20ni5TtU0jeLhuGi8CURVFpiE9MQna6/jMlqdssXHMtpKPJbCXlPCM&#10;k2bSYNLHUBcsMLJ18q9QWnIHHppwxEFnA5GkCLKY5M+0uW2ZFYkLSu3to+j+/4XlH3c3jsi6om8n&#10;c0oM09jyh/sfDz9/P/z6TuIlStRZv0DkrUVs6N9Bj4Ozv/d4GZn3jdPxHzkR9BfHRZnPUea7ip7M&#10;ZifFdBRb9IHwGKCYzcuipIQjYjqZHpdlDJk9RbLOh/cCNIlGRR02M2nMdlc+DNA9JCY2cCmVSg1V&#10;hnSYYZ6XeXrDg5J19Eacd5v1uXJkx+JMpN+Y+ACGZSiD1UTmA8NohX7dj3Ksob5DNRwMI+Utv5RY&#10;5hXz4YY5nCGkjlsWrvHRKMByYLQoacF9+9d9xGNr0UtJhzNZUf91y5ygRH0w2PT5ZIoqkpAO03JW&#10;4MEdetaHHrPV54AUJ7jPlicz4oPam40D/QWXcRWzoosZjrkryoPbH87DsCu4zlysVgm2tU5u2uEV&#10;HGLLwpW5tTwmGtqw2gZoZOpQFG1QatQSxzj1eFy5uCeH54R6+sws/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EG4SR1wAAAAsBAAAPAAAAAAAAAAEAIAAAACIAAABkcnMvZG93bnJldi54bWxQSwEC&#10;FAAUAAAACACHTuJAGtflmWcCAACuBAAADgAAAAAAAAABACAAAAAmAQAAZHJzL2Uyb0RvYy54bWxQ&#10;SwUGAAAAAAYABgBZAQAA/wUAAAAA&#10;">
                <v:fill on="f" focussize="0,0"/>
                <v:stroke weight="1.5pt" color="#000000 [3213]" joinstyle="round"/>
                <v:imagedata o:title=""/>
                <o:lock v:ext="edit" aspectratio="f"/>
                <v:textbox>
                  <w:txbxContent>
                    <w:p>
                      <w:pPr>
                        <w:jc w:val="center"/>
                        <w:rPr>
                          <w:rFonts w:hint="default" w:eastAsia="宋体"/>
                          <w:sz w:val="32"/>
                          <w:szCs w:val="32"/>
                          <w:lang w:val="en-US" w:eastAsia="zh-CN"/>
                        </w:rPr>
                      </w:pPr>
                      <w:r>
                        <w:rPr>
                          <w:rFonts w:hint="eastAsia"/>
                          <w:b/>
                          <w:bCs/>
                          <w:sz w:val="32"/>
                          <w:szCs w:val="32"/>
                          <w:lang w:val="en-US" w:eastAsia="zh-CN"/>
                        </w:rPr>
                        <w:t>危废间</w:t>
                      </w:r>
                    </w:p>
                  </w:txbxContent>
                </v:textbox>
              </v:shap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1560195</wp:posOffset>
                </wp:positionH>
                <wp:positionV relativeFrom="paragraph">
                  <wp:posOffset>7613650</wp:posOffset>
                </wp:positionV>
                <wp:extent cx="1398270" cy="751840"/>
                <wp:effectExtent l="9525" t="9525" r="20955" b="19685"/>
                <wp:wrapNone/>
                <wp:docPr id="321" name="文本框 321"/>
                <wp:cNvGraphicFramePr/>
                <a:graphic xmlns:a="http://schemas.openxmlformats.org/drawingml/2006/main">
                  <a:graphicData uri="http://schemas.microsoft.com/office/word/2010/wordprocessingShape">
                    <wps:wsp>
                      <wps:cNvSpPr txBox="1"/>
                      <wps:spPr>
                        <a:xfrm>
                          <a:off x="0" y="0"/>
                          <a:ext cx="1398270" cy="751840"/>
                        </a:xfrm>
                        <a:prstGeom prst="rect">
                          <a:avLst/>
                        </a:prstGeom>
                        <a:no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44"/>
                                <w:szCs w:val="44"/>
                                <w:lang w:val="en-US" w:eastAsia="zh-CN"/>
                              </w:rPr>
                            </w:pPr>
                            <w:r>
                              <w:rPr>
                                <w:rFonts w:hint="eastAsia"/>
                                <w:sz w:val="44"/>
                                <w:szCs w:val="44"/>
                                <w:lang w:val="en-US" w:eastAsia="zh-CN"/>
                              </w:rPr>
                              <w:t>仓库</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122.85pt;margin-top:599.5pt;height:59.2pt;width:110.1pt;z-index:251697152;v-text-anchor:middle;mso-width-relative:page;mso-height-relative:page;" filled="f" stroked="t" coordsize="21600,21600" o:gfxdata="UEsDBAoAAAAAAIdO4kAAAAAAAAAAAAAAAAAEAAAAZHJzL1BLAwQUAAAACACHTuJAGMlM9toAAAAN&#10;AQAADwAAAGRycy9kb3ducmV2LnhtbE2PwU7DMBBE70j8g7VI3KjjkjRNiNMDojckaEE9b+MliRrb&#10;Uey24e9ZTnDcmafZmWoz20FcaAq9dxrUIgFBrvGmd62Gz4/twxpEiOgMDt6Rhm8KsKlvbyosjb+6&#10;HV32sRUc4kKJGroYx1LK0HRkMSz8SI69Lz9ZjHxOrTQTXjncDnKZJCtpsXf8ocORnjtqTvuz1ZDN&#10;79uX9QnnXf46vKnYHNowHrS+v1PJE4hIc/yD4bc+V4eaOx392ZkgBg3LNMsZZUMVBa9iJF1lBYgj&#10;S48qT0HWlfy/ov4BUEsDBBQAAAAIAIdO4kBVVl2eWwIAAKIEAAAOAAAAZHJzL2Uyb0RvYy54bWyt&#10;VM1OGzEQvlfqO1i+l00CFIjYoBREVQkVJFr17Hi9WUte2x072aUP0L4Bp15673PxHP3sTSCiPXBo&#10;Do7nxzPzfTOzp2d9a9haUdDOlny8N+JMWekqbZcl//zp8s0xZyEKWwnjrCr5nQr8bPb61Wnnp2ri&#10;GmcqRQxBbJh2vuRNjH5aFEE2qhVhz3llYawdtSJCpGVRkegQvTXFZDR6W3SOKk9OqhCgvRiMfBOR&#10;XhLQ1bWW6sLJVatsHKKSMiICUmi0D3yWq61rJeN1XQcVmSk5kMZ8Ignui3QWs1MxXZLwjZabEsRL&#10;SniGqRXaIuljqAsRBVuR/itUqyW54Oq4J11bDEAyI0AxHj3j5rYRXmUsoDr4R9LD/wsrP65viOmq&#10;5PuTMWdWtGj5w/2Ph5+/H359Z0kJijofpvC89fCN/TvXY3C2+gBlQt7X1KZ/YGKwg+C7R4JVH5lM&#10;j/ZPjidHMEnYjg7Hxwe5A8XTa08hvleuZelSckIDM69ifRUiKoHr1iUls+5SG5ObaCzrkOFkdDjK&#10;L4IzukrW5BdouTg3xNYizUH+pfoRbccNkrFQJrQDqnSL/aLfULBw1R0YIDeMUfDyUqPMKxHijSDM&#10;DZBhs+I1jto4lOM2N84aR9/+pU/+aCesnHWYw5KHrytBijPzwaLRJ+MDkMRiFg4OjyYQaNey2LXY&#10;VXvuABGtRHX5mvyj2V5rcu0XLOA8ZYVJWIncJZeRtsJ5HPYDKyzVfJ7dVp70shmeYHC9iFf21suU&#10;aGjDfBVdrXOHEmkDUxsuMbqZ6s2apd3YlbPX06dl9g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Y&#10;yUz22gAAAA0BAAAPAAAAAAAAAAEAIAAAACIAAABkcnMvZG93bnJldi54bWxQSwECFAAUAAAACACH&#10;TuJAVVZdnlsCAACiBAAADgAAAAAAAAABACAAAAApAQAAZHJzL2Uyb0RvYy54bWxQSwUGAAAAAAYA&#10;BgBZAQAA9gUAAAAA&#10;">
                <v:fill on="f" focussize="0,0"/>
                <v:stroke weight="1.5pt" color="#000000 [3213]" joinstyle="round"/>
                <v:imagedata o:title=""/>
                <o:lock v:ext="edit" aspectratio="f"/>
                <v:textbox>
                  <w:txbxContent>
                    <w:p>
                      <w:pPr>
                        <w:jc w:val="center"/>
                        <w:rPr>
                          <w:rFonts w:hint="default" w:eastAsia="宋体"/>
                          <w:sz w:val="44"/>
                          <w:szCs w:val="44"/>
                          <w:lang w:val="en-US" w:eastAsia="zh-CN"/>
                        </w:rPr>
                      </w:pPr>
                      <w:r>
                        <w:rPr>
                          <w:rFonts w:hint="eastAsia"/>
                          <w:sz w:val="44"/>
                          <w:szCs w:val="44"/>
                          <w:lang w:val="en-US" w:eastAsia="zh-CN"/>
                        </w:rPr>
                        <w:t>仓库</w:t>
                      </w:r>
                    </w:p>
                  </w:txbxContent>
                </v:textbox>
              </v:shape>
            </w:pict>
          </mc:Fallback>
        </mc:AlternateContent>
      </w:r>
      <w:r>
        <w:rPr>
          <w:rFonts w:hint="eastAsia"/>
          <w:highlight w:val="yellow"/>
          <w:lang w:eastAsia="zh-CN"/>
        </w:rPr>
        <w:drawing>
          <wp:anchor distT="0" distB="0" distL="114300" distR="114300" simplePos="0" relativeHeight="251705344" behindDoc="0" locked="0" layoutInCell="1" allowOverlap="1">
            <wp:simplePos x="0" y="0"/>
            <wp:positionH relativeFrom="column">
              <wp:posOffset>903605</wp:posOffset>
            </wp:positionH>
            <wp:positionV relativeFrom="paragraph">
              <wp:posOffset>638175</wp:posOffset>
            </wp:positionV>
            <wp:extent cx="723900" cy="749300"/>
            <wp:effectExtent l="5080" t="0" r="13970" b="0"/>
            <wp:wrapNone/>
            <wp:docPr id="322" name="图片 322" descr="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指北针"/>
                    <pic:cNvPicPr>
                      <a:picLocks noChangeAspect="1"/>
                    </pic:cNvPicPr>
                  </pic:nvPicPr>
                  <pic:blipFill>
                    <a:blip r:embed="rId35"/>
                    <a:srcRect l="16546" t="-2253" r="8601"/>
                    <a:stretch>
                      <a:fillRect/>
                    </a:stretch>
                  </pic:blipFill>
                  <pic:spPr>
                    <a:xfrm rot="2400000">
                      <a:off x="0" y="0"/>
                      <a:ext cx="723900" cy="749300"/>
                    </a:xfrm>
                    <a:prstGeom prst="ellipse">
                      <a:avLst/>
                    </a:prstGeom>
                  </pic:spPr>
                </pic:pic>
              </a:graphicData>
            </a:graphic>
          </wp:anchor>
        </w:drawing>
      </w:r>
      <w:r>
        <w:rPr>
          <w:sz w:val="30"/>
        </w:rPr>
        <mc:AlternateContent>
          <mc:Choice Requires="wps">
            <w:drawing>
              <wp:anchor distT="0" distB="0" distL="114300" distR="114300" simplePos="0" relativeHeight="251700224" behindDoc="0" locked="0" layoutInCell="1" allowOverlap="1">
                <wp:simplePos x="0" y="0"/>
                <wp:positionH relativeFrom="column">
                  <wp:posOffset>253365</wp:posOffset>
                </wp:positionH>
                <wp:positionV relativeFrom="paragraph">
                  <wp:posOffset>6456680</wp:posOffset>
                </wp:positionV>
                <wp:extent cx="504825" cy="1944370"/>
                <wp:effectExtent l="9525" t="9525" r="19050" b="27305"/>
                <wp:wrapNone/>
                <wp:docPr id="323" name="文本框 323"/>
                <wp:cNvGraphicFramePr/>
                <a:graphic xmlns:a="http://schemas.openxmlformats.org/drawingml/2006/main">
                  <a:graphicData uri="http://schemas.microsoft.com/office/word/2010/wordprocessingShape">
                    <wps:wsp>
                      <wps:cNvSpPr txBox="1"/>
                      <wps:spPr>
                        <a:xfrm>
                          <a:off x="1126490" y="7332345"/>
                          <a:ext cx="504825" cy="1944370"/>
                        </a:xfrm>
                        <a:prstGeom prst="rect">
                          <a:avLst/>
                        </a:prstGeom>
                        <a:no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32"/>
                                <w:szCs w:val="32"/>
                                <w:lang w:val="en-US" w:eastAsia="zh-CN"/>
                              </w:rPr>
                            </w:pPr>
                            <w:r>
                              <w:rPr>
                                <w:rFonts w:hint="eastAsia"/>
                                <w:sz w:val="32"/>
                                <w:szCs w:val="32"/>
                                <w:lang w:val="en-US" w:eastAsia="zh-CN"/>
                              </w:rPr>
                              <w:t>办公区</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19.95pt;margin-top:508.4pt;height:153.1pt;width:39.75pt;z-index:251700224;v-text-anchor:middle;mso-width-relative:page;mso-height-relative:page;" filled="f" stroked="t" coordsize="21600,21600" o:gfxdata="UEsDBAoAAAAAAIdO4kAAAAAAAAAAAAAAAAAEAAAAZHJzL1BLAwQUAAAACACHTuJAEwwVr9kAAAAM&#10;AQAADwAAAGRycy9kb3ducmV2LnhtbE2PQU/DMAyF70j8h8hI3FjSFcZamu6A2A0JNtDOWWPaaolT&#10;NdlW/j3eid1sv6fn71WryTtxwjH2gTRkMwUCqQm2p1bD99f6YQkiJkPWuECo4RcjrOrbm8qUNpxp&#10;g6dtagWHUCyNhi6loZQyNh16E2dhQGLtJ4zeJF7HVtrRnDncOzlXaiG96Yk/dGbA1w6bw/boNTxN&#10;n+u35cFMm+d395GlZtfGYaf1/V2mXkAknNK/GS74jA41M+3DkWwUTkNeFOzku8oW3OHiyIpHEHse&#10;8nmuQNaVvC5R/wFQSwMEFAAAAAgAh07iQOZdaoFnAgAArgQAAA4AAABkcnMvZTJvRG9jLnhtbK1U&#10;zW7bMAy+D9g7CLqvdhKnP0GdImvRYUCxFsiGnRVZjgXIokYpsbsH2N5gp11233P1OUbJSRt0O/Sw&#10;HBz+meT3kfT5Rd8atlXoNdiSj45yzpSVUGm7Lvmnj9dvTjnzQdhKGLCq5PfK84v561fnnZupMTRg&#10;KoWMklg/61zJmxDcLMu8bFQr/BE4ZclZA7YikIrrrELRUfbWZOM8P846wMohSOU9Wa8GJ99lxJck&#10;hLrWUl2B3LTKhiErKiMCQfKNdp7PU7d1rWS4rWuvAjMlJ6QhPakIyav4zObnYrZG4Rotdy2Il7Tw&#10;DFMrtKWij6muRBBsg/qvVK2WCB7qcCShzQYgiRFCMcqfcbNshFMJC1Ht3SPp/v+llR+2d8h0VfLJ&#10;eMKZFS2N/OHH94efvx9+fWPRSBR1zs8ocukoNvRvoafF2ds9GSPyvsY2/hMmFv2j8XFxRjTfl/xk&#10;QnmK6UC26gOTFDDNi9PxlDNJAaOzopicpGlkT5kc+vBOQcuiUHKkYSaOxfbGB+qKQvchsbCFa21M&#10;GqixrItZ82me3vBgdBW9Mc7jenVpkG1F3In0i51RtoMw0owlY0Q+IIxS6Ff9jo4VVPfEBsKwUt7J&#10;a01t3ggf7gTSDhF0urJwS4/aALUDO4mzBvDrv+wxnkZLXs462smS+y8bgYoz897S0M9GRRGXOCnF&#10;9GRMCh56Voceu2kvgSCO6J6dTGKMD2Yv1gjtZzrGRaxKLmEl1S65DLhXLsNwK3TOUi0WKWzjUK+b&#10;4RVaYifCjV06GQsNY1hsAtQ6TSiSNjC145LWOFG9O7l4J4d6inr6zM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BMMFa/ZAAAADAEAAA8AAAAAAAAAAQAgAAAAIgAAAGRycy9kb3ducmV2LnhtbFBL&#10;AQIUABQAAAAIAIdO4kDmXWqBZwIAAK4EAAAOAAAAAAAAAAEAIAAAACgBAABkcnMvZTJvRG9jLnht&#10;bFBLBQYAAAAABgAGAFkBAAABBgAAAAA=&#10;">
                <v:fill on="f" focussize="0,0"/>
                <v:stroke weight="1.5pt" color="#000000 [3213]" joinstyle="round"/>
                <v:imagedata o:title=""/>
                <o:lock v:ext="edit" aspectratio="f"/>
                <v:textbox>
                  <w:txbxContent>
                    <w:p>
                      <w:pPr>
                        <w:jc w:val="center"/>
                        <w:rPr>
                          <w:rFonts w:hint="default" w:eastAsia="宋体"/>
                          <w:sz w:val="32"/>
                          <w:szCs w:val="32"/>
                          <w:lang w:val="en-US" w:eastAsia="zh-CN"/>
                        </w:rPr>
                      </w:pPr>
                      <w:r>
                        <w:rPr>
                          <w:rFonts w:hint="eastAsia"/>
                          <w:sz w:val="32"/>
                          <w:szCs w:val="32"/>
                          <w:lang w:val="en-US" w:eastAsia="zh-CN"/>
                        </w:rPr>
                        <w:t>办公区</w:t>
                      </w:r>
                    </w:p>
                  </w:txbxContent>
                </v:textbox>
              </v:shape>
            </w:pict>
          </mc:Fallback>
        </mc:AlternateContent>
      </w:r>
      <w:r>
        <w:rPr>
          <w:highlight w:val="yellow"/>
        </w:rPr>
        <mc:AlternateContent>
          <mc:Choice Requires="wps">
            <w:drawing>
              <wp:anchor distT="0" distB="0" distL="114300" distR="114300" simplePos="0" relativeHeight="251719680" behindDoc="0" locked="0" layoutInCell="1" allowOverlap="1">
                <wp:simplePos x="0" y="0"/>
                <wp:positionH relativeFrom="column">
                  <wp:posOffset>3227705</wp:posOffset>
                </wp:positionH>
                <wp:positionV relativeFrom="paragraph">
                  <wp:posOffset>6499860</wp:posOffset>
                </wp:positionV>
                <wp:extent cx="2265680" cy="1946910"/>
                <wp:effectExtent l="9525" t="9525" r="10795" b="24765"/>
                <wp:wrapNone/>
                <wp:docPr id="325" name="文本框 325"/>
                <wp:cNvGraphicFramePr/>
                <a:graphic xmlns:a="http://schemas.openxmlformats.org/drawingml/2006/main">
                  <a:graphicData uri="http://schemas.microsoft.com/office/word/2010/wordprocessingShape">
                    <wps:wsp>
                      <wps:cNvSpPr txBox="1"/>
                      <wps:spPr>
                        <a:xfrm>
                          <a:off x="0" y="0"/>
                          <a:ext cx="2265680" cy="1946910"/>
                        </a:xfrm>
                        <a:prstGeom prst="rect">
                          <a:avLst/>
                        </a:prstGeom>
                        <a:noFill/>
                        <a:ln w="19050">
                          <a:solidFill>
                            <a:schemeClr val="tx1"/>
                          </a:solidFill>
                          <a:prstDash val="dash"/>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b/>
                                <w:bCs/>
                                <w:sz w:val="32"/>
                                <w:szCs w:val="32"/>
                                <w:lang w:val="en-US" w:eastAsia="zh-CN"/>
                              </w:rPr>
                            </w:pPr>
                            <w:r>
                              <w:rPr>
                                <w:rFonts w:hint="eastAsia"/>
                                <w:b/>
                                <w:bCs/>
                                <w:sz w:val="32"/>
                                <w:szCs w:val="32"/>
                                <w:lang w:val="en-US" w:eastAsia="zh-CN"/>
                              </w:rPr>
                              <w:t>地下应急池</w:t>
                            </w:r>
                          </w:p>
                          <w:p>
                            <w:pPr>
                              <w:jc w:val="center"/>
                              <w:rPr>
                                <w:rFonts w:hint="default"/>
                                <w:b/>
                                <w:bCs/>
                                <w:sz w:val="32"/>
                                <w:szCs w:val="32"/>
                                <w:lang w:val="en-US" w:eastAsia="zh-CN"/>
                              </w:rPr>
                            </w:pPr>
                            <w:r>
                              <w:rPr>
                                <w:rFonts w:hint="eastAsia"/>
                                <w:b/>
                                <w:bCs/>
                                <w:sz w:val="32"/>
                                <w:szCs w:val="32"/>
                                <w:lang w:val="en-US" w:eastAsia="zh-CN"/>
                              </w:rPr>
                              <w:t>（原绿化地）</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254.15pt;margin-top:511.8pt;height:153.3pt;width:178.4pt;z-index:251719680;v-text-anchor:middle;mso-width-relative:page;mso-height-relative:page;" filled="f" stroked="t" coordsize="21600,21600" o:gfxdata="UEsDBAoAAAAAAIdO4kAAAAAAAAAAAAAAAAAEAAAAZHJzL1BLAwQUAAAACACHTuJAzGCTadsAAAAN&#10;AQAADwAAAGRycy9kb3ducmV2LnhtbE2PwU7DMAyG70i8Q2QkLoglbVhVStMJIY0LCEThwi1rvKai&#10;SaomW8fbY05wtP9Pvz/Xm5Mb2RHnOASvIFsJYOi7YAbfK/h4316XwGLS3ugxeFTwjRE2zflZrSsT&#10;Fv+Gxzb1jEp8rLQCm9JUcR47i07HVZjQU7YPs9OJxrnnZtYLlbuR50IU3OnB0wWrJ3yw2H21B6fg&#10;8Vneuvbp/mb7+XJlY3Svi+n2Sl1eZOIOWMJT+oPhV5/UoSGnXTh4E9moYC1KSSgFIpcFMELKYp0B&#10;29FKSpEDb2r+/4vmB1BLAwQUAAAACACHTuJAw/AZYWUCAAC7BAAADgAAAGRycy9lMm9Eb2MueG1s&#10;rVTNbhMxEL4j8Q6W73STkIQ26qYKjYqQKlqpIM6O15u1ZHvM2MlueQB4A05cuPNcfQ7G3k1bfg49&#10;kIMz9nz+xvPNzJ6eddawvcKgwZV8fDTiTDkJlXbbkn94f/HimLMQhauEAadKfqsCP1s+f3ba+oWa&#10;QAOmUsiIxIVF60vexOgXRRFko6wIR+CVI2cNaEWkLW6LCkVL7NYUk9FoXrSAlUeQKgQ6XfdOPjDi&#10;UwihrrVUa5A7q1zsWVEZESml0Ggf+DK/tq6VjFd1HVRkpuSUacwrBSF7k9ZieSoWWxS+0XJ4gnjK&#10;E/7IyQrtKOg91VpEwXao/6KyWiIEqOORBFv0iWRFKIvx6A9tbhrhVc6FpA7+XvTw/2jlu/01Ml2V&#10;/OVkxpkTlkp+9+3r3fefdz++sHRIErU+LAh54wkbu9fQUeMczgMdpsy7Gm36p5wY+Ung23uBVReZ&#10;pMPJZD6bH5NLkm98Mp2fjHMJiofrHkN8o8CyZJQcqYJZWLG/DJGeQtADJEVzcKGNyVU0jrWJdTQb&#10;5RsBjK6SN+ECbjfnBtlepEbIv5QAsf0GS9RrEZoeV5E1oIwjcJKhTzdZsdt0gzYbqG5JGoS+v4KX&#10;F5qYLkWI1wKpoShlGrl4RUttgJ4Jg8VZA/j5X+cJT3UmL2ctNWjJw6edQMWZeeuoA07G0ynRxryZ&#10;zl5NaIOPPZvHHrez50Cpj2m4vcxmwkdzMGsE+5Emc5Wikks4SbFLLiMeNuexHxyabalWqwzbedTb&#10;pr9CHe1FvHQ3XqZAfXlWuwi1zpVLovVKDVpST+cSDPOXhubxPqMevjnL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Mxgk2nbAAAADQEAAA8AAAAAAAAAAQAgAAAAIgAAAGRycy9kb3ducmV2LnhtbFBL&#10;AQIUABQAAAAIAIdO4kDD8BlhZQIAALsEAAAOAAAAAAAAAAEAIAAAACoBAABkcnMvZTJvRG9jLnht&#10;bFBLBQYAAAAABgAGAFkBAAABBgAAAAA=&#10;">
                <v:fill on="f" focussize="0,0"/>
                <v:stroke weight="1.5pt" color="#000000 [3213]" joinstyle="round" dashstyle="dash"/>
                <v:imagedata o:title=""/>
                <o:lock v:ext="edit" aspectratio="f"/>
                <v:textbox>
                  <w:txbxContent>
                    <w:p>
                      <w:pPr>
                        <w:jc w:val="center"/>
                        <w:rPr>
                          <w:rFonts w:hint="eastAsia"/>
                          <w:b/>
                          <w:bCs/>
                          <w:sz w:val="32"/>
                          <w:szCs w:val="32"/>
                          <w:lang w:val="en-US" w:eastAsia="zh-CN"/>
                        </w:rPr>
                      </w:pPr>
                      <w:r>
                        <w:rPr>
                          <w:rFonts w:hint="eastAsia"/>
                          <w:b/>
                          <w:bCs/>
                          <w:sz w:val="32"/>
                          <w:szCs w:val="32"/>
                          <w:lang w:val="en-US" w:eastAsia="zh-CN"/>
                        </w:rPr>
                        <w:t>地下应急池</w:t>
                      </w:r>
                    </w:p>
                    <w:p>
                      <w:pPr>
                        <w:jc w:val="center"/>
                        <w:rPr>
                          <w:rFonts w:hint="default"/>
                          <w:b/>
                          <w:bCs/>
                          <w:sz w:val="32"/>
                          <w:szCs w:val="32"/>
                          <w:lang w:val="en-US" w:eastAsia="zh-CN"/>
                        </w:rPr>
                      </w:pPr>
                      <w:r>
                        <w:rPr>
                          <w:rFonts w:hint="eastAsia"/>
                          <w:b/>
                          <w:bCs/>
                          <w:sz w:val="32"/>
                          <w:szCs w:val="32"/>
                          <w:lang w:val="en-US" w:eastAsia="zh-CN"/>
                        </w:rPr>
                        <w:t>（原绿化地）</w:t>
                      </w:r>
                    </w:p>
                  </w:txbxContent>
                </v:textbox>
              </v:shape>
            </w:pict>
          </mc:Fallback>
        </mc:AlternateContent>
      </w:r>
      <w:r>
        <w:rPr>
          <w:sz w:val="30"/>
          <w:highlight w:val="yellow"/>
        </w:rPr>
        <mc:AlternateContent>
          <mc:Choice Requires="wps">
            <w:drawing>
              <wp:anchor distT="0" distB="0" distL="114300" distR="114300" simplePos="0" relativeHeight="251699200" behindDoc="0" locked="0" layoutInCell="1" allowOverlap="1">
                <wp:simplePos x="0" y="0"/>
                <wp:positionH relativeFrom="column">
                  <wp:posOffset>144145</wp:posOffset>
                </wp:positionH>
                <wp:positionV relativeFrom="paragraph">
                  <wp:posOffset>527685</wp:posOffset>
                </wp:positionV>
                <wp:extent cx="5400040" cy="7946390"/>
                <wp:effectExtent l="12700" t="12700" r="16510" b="22860"/>
                <wp:wrapNone/>
                <wp:docPr id="326" name="任意多边形 326"/>
                <wp:cNvGraphicFramePr/>
                <a:graphic xmlns:a="http://schemas.openxmlformats.org/drawingml/2006/main">
                  <a:graphicData uri="http://schemas.microsoft.com/office/word/2010/wordprocessingShape">
                    <wps:wsp>
                      <wps:cNvSpPr/>
                      <wps:spPr>
                        <a:xfrm>
                          <a:off x="859155" y="1428115"/>
                          <a:ext cx="5400040" cy="7946390"/>
                        </a:xfrm>
                        <a:custGeom>
                          <a:avLst/>
                          <a:gdLst>
                            <a:gd name="connsiteX0" fmla="*/ 1005 w 8504"/>
                            <a:gd name="connsiteY0" fmla="*/ 4 h 12514"/>
                            <a:gd name="connsiteX1" fmla="*/ 8504 w 8504"/>
                            <a:gd name="connsiteY1" fmla="*/ 0 h 12514"/>
                            <a:gd name="connsiteX2" fmla="*/ 8490 w 8504"/>
                            <a:gd name="connsiteY2" fmla="*/ 9071 h 12514"/>
                            <a:gd name="connsiteX3" fmla="*/ 4605 w 8504"/>
                            <a:gd name="connsiteY3" fmla="*/ 9064 h 12514"/>
                            <a:gd name="connsiteX4" fmla="*/ 4560 w 8504"/>
                            <a:gd name="connsiteY4" fmla="*/ 12514 h 12514"/>
                            <a:gd name="connsiteX5" fmla="*/ 0 w 8504"/>
                            <a:gd name="connsiteY5" fmla="*/ 12514 h 12514"/>
                            <a:gd name="connsiteX6" fmla="*/ 45 w 8504"/>
                            <a:gd name="connsiteY6" fmla="*/ 9184 h 12514"/>
                            <a:gd name="connsiteX7" fmla="*/ 1050 w 8504"/>
                            <a:gd name="connsiteY7" fmla="*/ 9169 h 12514"/>
                            <a:gd name="connsiteX8" fmla="*/ 1005 w 8504"/>
                            <a:gd name="connsiteY8" fmla="*/ 4 h 125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504" h="12514">
                              <a:moveTo>
                                <a:pt x="1005" y="4"/>
                              </a:moveTo>
                              <a:lnTo>
                                <a:pt x="8504" y="0"/>
                              </a:lnTo>
                              <a:lnTo>
                                <a:pt x="8490" y="9071"/>
                              </a:lnTo>
                              <a:lnTo>
                                <a:pt x="4605" y="9064"/>
                              </a:lnTo>
                              <a:lnTo>
                                <a:pt x="4560" y="12514"/>
                              </a:lnTo>
                              <a:lnTo>
                                <a:pt x="0" y="12514"/>
                              </a:lnTo>
                              <a:lnTo>
                                <a:pt x="45" y="9184"/>
                              </a:lnTo>
                              <a:lnTo>
                                <a:pt x="1050" y="9169"/>
                              </a:lnTo>
                              <a:lnTo>
                                <a:pt x="1005" y="4"/>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1.35pt;margin-top:41.55pt;height:625.7pt;width:425.2pt;z-index:251699200;mso-width-relative:page;mso-height-relative:page;" filled="f" stroked="t" coordsize="8504,12514" o:gfxdata="UEsDBAoAAAAAAIdO4kAAAAAAAAAAAAAAAAAEAAAAZHJzL1BLAwQUAAAACACHTuJAAW7PV9kAAAAK&#10;AQAADwAAAGRycy9kb3ducmV2LnhtbE2PTU/DMAyG70j8h8hI3Fj6wVhVmk5oEhIHODBg0m5pY9KK&#10;xqmarNv+Pd4JbrbeR68fV+uTG8SMU+g9KUgXCQik1puerILPj+e7AkSImowePKGCMwZY19dXlS6N&#10;P9I7zttoBZdQKLWCLsaxlDK0HTodFn5E4uzbT05HXicrzaSPXO4GmSXJg3S6J77Q6RE3HbY/24NT&#10;sJ9frM3xNT5tqPnaN7vz7m3ZK3V7kyaPICKe4h8MF31Wh5qdGn8gE8SgIMtWTCoo8hQE58XqMjQM&#10;5vn9EmRdyf8v1L9QSwMEFAAAAAgAh07iQEjPWI6EAwAAHgsAAA4AAABkcnMvZTJvRG9jLnhtbK1W&#10;zY7TMBC+I/EOVo5IbH6atE217R6oygUB0i7ScnQdp4mU2JHtbbt37tw5Il4CreBpWMRjMHbirLcI&#10;0kpcGqf+5sv8z5xf7OsKbamQJWdzLzwLPEQZ4VnJNnPv3dXq+dRDUmGW4YozOvduqfQuFk+fnO+a&#10;GY14wauMCgQkTM52zdwrlGpmvi9JQWssz3hDGVzmXNRYwavY+JnAO2CvKz8KgrG/4yJrBCdUSvh3&#10;2V56HaM4hpDneUnokpObmjLVsgpaYQUmyaJspLcw2uY5JepNnkuqUDX3wFJlfuEjcF7rX39xjmcb&#10;gZuiJJ0K+BgVDmyqccngoz3VEiuMbkT5B1VdEsElz9UZ4bXfGmI8AlaEwYFvLgvcUGMLuFo2vdPl&#10;/6Mlr7dvBSqzuTeKxh5iuIaQ/7i7+/nh4/2XT7++f73/9hnpK3DUrpEzwF82b0X3JuGord7notZP&#10;sAft5940ScMk8dAt5FccTcMwaf1M9woRuE/iIAhiCAEBxCSNx6PURMJ/YCI3Ur2k3LDi7Sup2kBl&#10;cDJuzjpVCWdMlopeA1teVxC7Zz4KgyBBOzRNgrgL8CH8vQuPUYHCKAn/Br4OHW5NOsDtwoMh7sjl&#10;jtNggNuFp8EkHKIfOfTxeNAtLjwNxoOeiV36ZDykvQs3Hh9SH5Koj+oQuYs9ihzyvSePhxLGBafh&#10;dNAzE4c8DJIh5V14Go7TIcdAk+51PyLdXfgj1aHkNraocGHrjOxZV2hwQlhPhsC0t4ZLXeBu1UEJ&#10;21eoKihToAQpXaUDwlAnrnB4kjAUgiscnSQMae4Kj04ShiR2hU3XONrmtiv2DjON8WhhyEH3y6Yp&#10;Hy0MGeYKT06yGfLHFZ66wq0GXb4ImLh61lZm1ioPwawVZtautQyeNVjpNLNHtNPjAvo0KmBYmCas&#10;r2q+pVfcgJROOJ3iRgXr7QdAxVxgywW62lS01/bZGL4pdFrDp3toZ4xF2GeL1E2zQ47txy3CPjsk&#10;9D+D7GcJeMZC7LOFHouLu09Dv/mnkrrBtEpC6xhAHjjSKkYqLmlbvTpEpoz7WOkQOwOZ8VVZVSac&#10;FdMRjPREh3GOYR/MYQ+DY93ATiHZxkO42sCiSZQwHUTyqsy0uA6uFJv1i0qgLYaUWa1gK7BhewRr&#10;hFRLLIsWZ656I0FRvZe0m4g+rXl2axYU8z+sTcaUbsXTe5n7bqQf1trF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PYFAABbQ29udGVudF9UeXBl&#10;c10ueG1sUEsBAhQACgAAAAAAh07iQAAAAAAAAAAAAAAAAAYAAAAAAAAAAAAQAAAA2AQAAF9yZWxz&#10;L1BLAQIUABQAAAAIAIdO4kCKFGY80QAAAJQBAAALAAAAAAAAAAEAIAAAAPwEAABfcmVscy8ucmVs&#10;c1BLAQIUAAoAAAAAAIdO4kAAAAAAAAAAAAAAAAAEAAAAAAAAAAAAEAAAAAAAAABkcnMvUEsBAhQA&#10;FAAAAAgAh07iQAFuz1fZAAAACgEAAA8AAAAAAAAAAQAgAAAAIgAAAGRycy9kb3ducmV2LnhtbFBL&#10;AQIUABQAAAAIAIdO4kBIz1iOhAMAAB4LAAAOAAAAAAAAAAEAIAAAACgBAABkcnMvZTJvRG9jLnht&#10;bFBLBQYAAAAABgAGAFkBAAAeBwAAAAA=&#10;" path="m1005,4l8504,0,8490,9071,4605,9064,4560,12514,0,12514,45,9184,1050,9169,1005,4xe">
                <v:path o:connectlocs="638175,2540;5400040,0;5391150,5760085;2924175,5755640;2895600,7946390;0,7946390;28575,5831840;666750,5822315;638175,2540" o:connectangles="0,0,0,0,0,0,0,0,0"/>
                <v:fill on="f" focussize="0,0"/>
                <v:stroke weight="2pt" color="#FF0000 [3204]" joinstyle="round"/>
                <v:imagedata o:title=""/>
                <o:lock v:ext="edit" aspectratio="f"/>
              </v:shape>
            </w:pict>
          </mc:Fallback>
        </mc:AlternateContent>
      </w:r>
      <w:bookmarkEnd w:id="127"/>
    </w:p>
    <w:p>
      <w:pPr>
        <w:pStyle w:val="3"/>
        <w:numPr>
          <w:ilvl w:val="0"/>
          <w:numId w:val="0"/>
        </w:numPr>
        <w:bidi w:val="0"/>
        <w:ind w:leftChars="0"/>
        <w:jc w:val="both"/>
        <w:rPr>
          <w:rFonts w:hint="eastAsia"/>
          <w:highlight w:val="none"/>
          <w:lang w:eastAsia="zh-CN"/>
        </w:rPr>
      </w:pPr>
      <w:bookmarkStart w:id="128" w:name="_Toc15190"/>
      <w:r>
        <w:rPr>
          <w:rFonts w:hint="default"/>
          <w:highlight w:val="none"/>
        </w:rPr>
        <w:t>附图</w:t>
      </w:r>
      <w:r>
        <w:rPr>
          <w:rFonts w:hint="eastAsia"/>
          <w:highlight w:val="none"/>
          <w:lang w:val="en-US" w:eastAsia="zh-CN"/>
        </w:rPr>
        <w:t>3</w:t>
      </w:r>
      <w:r>
        <w:rPr>
          <w:rFonts w:hint="default"/>
          <w:highlight w:val="none"/>
        </w:rPr>
        <w:t>：</w:t>
      </w:r>
      <w:r>
        <w:rPr>
          <w:rFonts w:hint="eastAsia"/>
          <w:highlight w:val="none"/>
          <w:lang w:val="en-US" w:eastAsia="zh-CN"/>
        </w:rPr>
        <w:t>监测点位</w:t>
      </w:r>
      <w:r>
        <w:rPr>
          <w:rFonts w:hint="default"/>
          <w:highlight w:val="none"/>
        </w:rPr>
        <w:t>图</w:t>
      </w:r>
      <w:bookmarkEnd w:id="128"/>
    </w:p>
    <w:p>
      <w:pPr>
        <w:pStyle w:val="14"/>
        <w:rPr>
          <w:rFonts w:hint="default"/>
          <w:lang w:eastAsia="zh-CN"/>
        </w:rPr>
      </w:pPr>
      <w:r>
        <w:rPr>
          <w:sz w:val="18"/>
        </w:rPr>
        <mc:AlternateContent>
          <mc:Choice Requires="wps">
            <w:drawing>
              <wp:anchor distT="0" distB="0" distL="114300" distR="114300" simplePos="0" relativeHeight="251732992" behindDoc="0" locked="0" layoutInCell="1" allowOverlap="1">
                <wp:simplePos x="0" y="0"/>
                <wp:positionH relativeFrom="column">
                  <wp:posOffset>241300</wp:posOffset>
                </wp:positionH>
                <wp:positionV relativeFrom="paragraph">
                  <wp:posOffset>4705350</wp:posOffset>
                </wp:positionV>
                <wp:extent cx="152400" cy="152400"/>
                <wp:effectExtent l="12700" t="12700" r="25400" b="25400"/>
                <wp:wrapNone/>
                <wp:docPr id="33" name="椭圆 33"/>
                <wp:cNvGraphicFramePr/>
                <a:graphic xmlns:a="http://schemas.openxmlformats.org/drawingml/2006/main">
                  <a:graphicData uri="http://schemas.microsoft.com/office/word/2010/wordprocessingShape">
                    <wps:wsp>
                      <wps:cNvSpPr/>
                      <wps:spPr>
                        <a:xfrm>
                          <a:off x="1122045" y="5974080"/>
                          <a:ext cx="152400" cy="152400"/>
                        </a:xfrm>
                        <a:prstGeom prst="ellipse">
                          <a:avLst/>
                        </a:prstGeom>
                        <a:solidFill>
                          <a:srgbClr val="5AFD7D"/>
                        </a:solidFill>
                        <a:ln>
                          <a:solidFill>
                            <a:srgbClr val="5BFD7E"/>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9pt;margin-top:370.5pt;height:12pt;width:12pt;z-index:251732992;v-text-anchor:middle;mso-width-relative:page;mso-height-relative:page;" fillcolor="#5AFD7D" filled="t" stroked="t" coordsize="21600,21600" o:gfxdata="UEsDBAoAAAAAAIdO4kAAAAAAAAAAAAAAAAAEAAAAZHJzL1BLAwQUAAAACACHTuJAtfTSQdYAAAAJ&#10;AQAADwAAAGRycy9kb3ducmV2LnhtbE2Py07DMBBF90j8gzVI7KidUNIqjVNVSHwAKSpi58ZTJ208&#10;jmL3wd8zrGA1r6s751brmx/EBafYB9KQzRQIpDbYnpyGj+3b0xJETIasGQKhhm+MsK7v7ypT2nCl&#10;d7w0yQk2oVgaDV1KYyllbDv0Js7CiMS3Q5i8STxOTtrJXNncDzJXqpDe9MQfOjPia4ftqTl7DV/H&#10;ncNFOMzzo80+t37jGt9vtH58yNQKRMJb+hPDLz6jQ81M+3AmG8Wg4XnJUZKGxTzjhgVFznXPi+JF&#10;gawr+T9B/QNQSwMEFAAAAAgAh07iQN72KmpyAgAA7QQAAA4AAABkcnMvZTJvRG9jLnhtbK1US27b&#10;MBDdF+gdCO4byYrdJIblwI3rokDQBEiLrmmKsgTwV5K2nB6gp8iy2x6rPUcfKeXbLLLohprhjN7M&#10;vJnh7HSvJNkJ51ujSzo6yCkRmpuq1ZuSfvm8enNMiQ9MV0waLUp6LTw9nb9+NevsVBSmMbISjgBE&#10;+2lnS9qEYKdZ5nkjFPMHxgoNY22cYgGq22SVYx3QlcyKPH+bdcZV1hkuvMftsjfSAdG9BNDUdcvF&#10;0vCtEjr0qE5IFlCSb1rr6TxlW9eCh4u69iIQWVJUGtKJIJDX8czmMzbdOGablg8psJek8KQmxVqN&#10;oHdQSxYY2br2HyjVcme8qcMBNyrrC0mMoIpR/oSbq4ZZkWoB1d7eke7/Hyz/tLt0pK1KenhIiWYK&#10;Hf/z89fvmx8EF2Cns34Kpyt76QbNQ4yl7mun4hdFkD0maVQU+XhCyXVJJydH4/x4YFfsA+HRYVKM&#10;c/DO4TDIQMzugazz4YMwikShpEJKtDLWz6Zsd+5D733rFa+9kW21aqVMitusz6QjO4ZeTxar5dEy&#10;FoAAj9ykJl1Ji0mfC8ME15gcpKUsWPB6QwmTG6wGDy7FfvS3fxTkHYK8fy5ITHLJfNMnkxAGN6mR&#10;UiS1pzFKa1NdownO9NPpLV+1+P+c+XDJHMYRpGFhwwWOWhpkbwaJksa478/dR39MCayUdBhvVPZt&#10;y5ygRH7UmJ+T0Xgc9yEp48lRAcU9tKwfWvRWnRmwOsLTYHkSo3+Qt2LtjPqKvV7EqDAxzRG753BQ&#10;zkK/dngZuFgskht2wLJwrq8sj+Cxi9ostsHUber2PTsDadiC1NFhY+OaPdST1/0rNf8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tfTSQdYAAAAJAQAADwAAAAAAAAABACAAAAAiAAAAZHJzL2Rvd25y&#10;ZXYueG1sUEsBAhQAFAAAAAgAh07iQN72KmpyAgAA7QQAAA4AAAAAAAAAAQAgAAAAJQEAAGRycy9l&#10;Mm9Eb2MueG1sUEsFBgAAAAAGAAYAWQEAAAkGAAAAAA==&#10;">
                <v:fill on="t" focussize="0,0"/>
                <v:stroke weight="2pt" color="#5BFD7E [2404]" joinstyle="round"/>
                <v:imagedata o:title=""/>
                <o:lock v:ext="edit" aspectratio="f"/>
              </v:shape>
            </w:pict>
          </mc:Fallback>
        </mc:AlternateContent>
      </w:r>
      <w:r>
        <w:rPr>
          <w:sz w:val="18"/>
        </w:rPr>
        <mc:AlternateContent>
          <mc:Choice Requires="wpg">
            <w:drawing>
              <wp:anchor distT="0" distB="0" distL="114300" distR="114300" simplePos="0" relativeHeight="251682816" behindDoc="0" locked="0" layoutInCell="1" allowOverlap="1">
                <wp:simplePos x="0" y="0"/>
                <wp:positionH relativeFrom="column">
                  <wp:posOffset>36830</wp:posOffset>
                </wp:positionH>
                <wp:positionV relativeFrom="paragraph">
                  <wp:posOffset>4029710</wp:posOffset>
                </wp:positionV>
                <wp:extent cx="1563370" cy="1022985"/>
                <wp:effectExtent l="5080" t="4445" r="12700" b="20320"/>
                <wp:wrapNone/>
                <wp:docPr id="78" name="组合 78"/>
                <wp:cNvGraphicFramePr/>
                <a:graphic xmlns:a="http://schemas.openxmlformats.org/drawingml/2006/main">
                  <a:graphicData uri="http://schemas.microsoft.com/office/word/2010/wordprocessingGroup">
                    <wpg:wgp>
                      <wpg:cNvGrpSpPr/>
                      <wpg:grpSpPr>
                        <a:xfrm rot="0">
                          <a:off x="920750" y="4798695"/>
                          <a:ext cx="1563370" cy="1022680"/>
                          <a:chOff x="8765" y="824401"/>
                          <a:chExt cx="2091" cy="1229"/>
                        </a:xfrm>
                      </wpg:grpSpPr>
                      <wps:wsp>
                        <wps:cNvPr id="79" name="文本框 135"/>
                        <wps:cNvSpPr txBox="1"/>
                        <wps:spPr>
                          <a:xfrm>
                            <a:off x="8765" y="824401"/>
                            <a:ext cx="2091" cy="1229"/>
                          </a:xfrm>
                          <a:prstGeom prst="rect">
                            <a:avLst/>
                          </a:prstGeom>
                          <a:solidFill>
                            <a:schemeClr val="bg1">
                              <a:alpha val="74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360" w:lineRule="auto"/>
                                <w:rPr>
                                  <w:rFonts w:hint="default"/>
                                  <w:b/>
                                  <w:bCs/>
                                  <w:sz w:val="28"/>
                                  <w:szCs w:val="28"/>
                                  <w:lang w:val="en-US" w:eastAsia="zh-CN"/>
                                </w:rPr>
                              </w:pPr>
                              <w:r>
                                <w:rPr>
                                  <w:rFonts w:hint="default"/>
                                  <w:b/>
                                  <w:bCs/>
                                  <w:sz w:val="28"/>
                                  <w:szCs w:val="28"/>
                                  <w:lang w:val="en-US" w:eastAsia="zh-CN"/>
                                </w:rPr>
                                <w:t>图例</w:t>
                              </w:r>
                            </w:p>
                            <w:p>
                              <w:pPr>
                                <w:pStyle w:val="4"/>
                                <w:keepNext w:val="0"/>
                                <w:keepLines w:val="0"/>
                                <w:pageBreakBefore w:val="0"/>
                                <w:widowControl w:val="0"/>
                                <w:kinsoku/>
                                <w:wordWrap/>
                                <w:overflowPunct/>
                                <w:topLinePunct w:val="0"/>
                                <w:autoSpaceDE/>
                                <w:autoSpaceDN/>
                                <w:bidi w:val="0"/>
                                <w:adjustRightInd/>
                                <w:snapToGrid/>
                                <w:spacing w:line="360" w:lineRule="auto"/>
                                <w:ind w:left="0" w:leftChars="0" w:firstLine="638" w:firstLineChars="304"/>
                                <w:jc w:val="both"/>
                                <w:textAlignment w:val="auto"/>
                                <w:rPr>
                                  <w:rFonts w:hint="default"/>
                                  <w:b w:val="0"/>
                                  <w:bCs w:val="0"/>
                                  <w:sz w:val="21"/>
                                  <w:szCs w:val="21"/>
                                  <w:lang w:val="en-US" w:eastAsia="zh-CN"/>
                                </w:rPr>
                              </w:pPr>
                              <w:r>
                                <w:rPr>
                                  <w:rFonts w:hint="default"/>
                                  <w:b w:val="0"/>
                                  <w:bCs w:val="0"/>
                                  <w:sz w:val="21"/>
                                  <w:szCs w:val="21"/>
                                  <w:lang w:val="en-US" w:eastAsia="zh-CN"/>
                                </w:rPr>
                                <w:t>项目位置</w:t>
                              </w:r>
                            </w:p>
                            <w:p>
                              <w:pPr>
                                <w:ind w:left="0" w:leftChars="0" w:firstLine="638" w:firstLineChars="304"/>
                                <w:rPr>
                                  <w:rFonts w:hint="default"/>
                                  <w:lang w:val="en-US" w:eastAsia="zh-CN"/>
                                </w:rPr>
                              </w:pPr>
                              <w:r>
                                <w:rPr>
                                  <w:rFonts w:hint="eastAsia"/>
                                  <w:b w:val="0"/>
                                  <w:bCs w:val="0"/>
                                  <w:sz w:val="21"/>
                                  <w:szCs w:val="21"/>
                                  <w:lang w:val="en-US" w:eastAsia="zh-CN"/>
                                </w:rPr>
                                <w:t>土壤地下水点位</w:t>
                              </w:r>
                            </w:p>
                            <w:p>
                              <w:pPr>
                                <w:pStyle w:val="2"/>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4" name="矩形 138"/>
                        <wps:cNvSpPr/>
                        <wps:spPr>
                          <a:xfrm>
                            <a:off x="8887" y="824859"/>
                            <a:ext cx="442" cy="20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9pt;margin-top:317.3pt;height:80.55pt;width:123.1pt;z-index:251682816;mso-width-relative:page;mso-height-relative:page;" coordorigin="8765,824401" coordsize="2091,1229" o:gfxdata="UEsDBAoAAAAAAIdO4kAAAAAAAAAAAAAAAAAEAAAAZHJzL1BLAwQUAAAACACHTuJAIvdAItoAAAAJ&#10;AQAADwAAAGRycy9kb3ducmV2LnhtbE2PQUvDQBSE74L/YXmCN7tJatIa81KkqKci2ArF2zb7moRm&#10;d0N2m7T/3udJj8MMM98Uq4vpxEiDb51FiGcRCLKV062tEb52bw9LED4oq1XnLCFcycOqvL0pVK7d&#10;ZD9p3IZacIn1uUJoQuhzKX3VkFF+5nqy7B3dYFRgOdRSD2rictPJJIoyaVRreaFRPa0bqk7bs0F4&#10;n9T0Mo9fx83puL5+79KP/SYmxPu7OHoGEegS/sLwi8/oUDLTwZ2t9qJDSBk8IGTzxwwE+0ma8LcD&#10;wuIpXYAsC/n/QfkDUEsDBBQAAAAIAIdO4kBXv2fKbwMAAAAJAAAOAAAAZHJzL2Uyb0RvYy54bWzd&#10;Vstu3DYU3RfoPxDc16OR5w3LgWvXRgGjMeAGXXMo6oFSJEtyrHHXRdtlV1kFKNpdgf5B0M+J8xs5&#10;pKTJxDbS9LXpLAQ+rs6999xzr+boybaR5EZYV2uV0fFBQolQXOe1KjP67MvzTxaUOM9UzqRWIqO3&#10;wtEnxx9/dNSalUh1pWUuLAGIcqvWZLTy3qxGI8cr0TB3oI1QuCy0bZjH1paj3LIW6I0cpUkyG7Xa&#10;5sZqLpzD6Vl3SXtE+yGAuihqLs403zRC+Q7VCsk8UnJVbRw9jtEWheD+aVE44YnMKDL18QknWK/D&#10;c3R8xFalZaaqeR8C+5AQ7uXUsFrB6Q7qjHlGNrZ+ANXU3GqnC3/AdTPqEomMIItxco+bC6s3JuZS&#10;rtrS7EhHoe6x/rdh+Rc3V5bUeUbnqLtiDSr++uV3r376keAA7LSmXMHowpprc2X7g7LbhYS3hW2I&#10;1ZHYsEdKZJvRZZrMpyD5NqOT+XIxW047qsXWE4778XR2eDiHAYfFOEnT2aIvBq9QsQCxmM+mEWCR&#10;TibJuHufV5/1CGmyHPevp+ky3I66aLAIQe9ibA2E6t6y5/4Ze9cVMyIWxQViBvaWA3t3z3+4e/H7&#10;3S/fk/FhTDr4h2Ggj/jtpzpkH8IN5w6HA4t77D2a+kDdexJnK2OdvxC6IWGRUYsGiLpkN5fOdxwN&#10;JsGf07LOz2sp48aW61NpyQ1Ds5zHX/euNBXrTueTJIl1AteuM4+8v4MjFWkzOjtE/R/4CM53PtaS&#10;8a/7yu0hAFuqWMWBoECV3663PWtrnd+CzF51xBl+XgP3kjl/xSz6F7rChPNP8SikRjC6X1FSafvt&#10;Y+fBHsLALSUt5kFG3TcbZgUl8nMFySzHECEGSNxMpvMUG7t/s96/UZvmVINFKBTRxWWw93JYFlY3&#10;X2EQngSvuGKKw3dG/bA89d2UwiDl4uQkGmFkGOYv1bXhATqQq/TJxuuijrUNNHXc9OxB9p3O/nP9&#10;LyaD/l///NurP36F+PvxsRP/n0h+sZgP3b6Yxn5mq0Hyk0natTqG5Dud/pcFr3RQO0IJGgsyTaeQ&#10;NMBDxQt8QrBsTI7qqxKlkCW+kdzbh0Lu1T80C9pi1xf7PRX0fsZc1dlFkfcJPCLx/7GuA4e9yP89&#10;Zcc5jw9jHEH9Rzx8eff3sRPe/nE5f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iBQAAW0NvbnRlbnRfVHlwZXNdLnhtbFBLAQIUAAoAAAAAAIdO&#10;4kAAAAAAAAAAAAAAAAAGAAAAAAAAAAAAEAAAAMQEAABfcmVscy9QSwECFAAUAAAACACHTuJAihRm&#10;PNEAAACUAQAACwAAAAAAAAABACAAAADoBAAAX3JlbHMvLnJlbHNQSwECFAAKAAAAAACHTuJAAAAA&#10;AAAAAAAAAAAABAAAAAAAAAAAABAAAAAAAAAAZHJzL1BLAQIUABQAAAAIAIdO4kAi90Ai2gAAAAkB&#10;AAAPAAAAAAAAAAEAIAAAACIAAABkcnMvZG93bnJldi54bWxQSwECFAAUAAAACACHTuJAV79nym8D&#10;AAAACQAADgAAAAAAAAABACAAAAApAQAAZHJzL2Uyb0RvYy54bWxQSwUGAAAAAAYABgBZAQAACgcA&#10;AAAA&#10;">
                <o:lock v:ext="edit" aspectratio="f"/>
                <v:shape id="文本框 135" o:spid="_x0000_s1026" o:spt="202" type="#_x0000_t202" style="position:absolute;left:8765;top:824401;height:1229;width:2091;" fillcolor="#FFFFFF [3212]" filled="t" stroked="t" coordsize="21600,21600" o:gfxdata="UEsDBAoAAAAAAIdO4kAAAAAAAAAAAAAAAAAEAAAAZHJzL1BLAwQUAAAACACHTuJAGSbJQL4AAADb&#10;AAAADwAAAGRycy9kb3ducmV2LnhtbEWPT2sCMRTE7wW/Q3iF3mrWHlrdGj3UKu1J/IPs8bF5TRY3&#10;L+kmXe23N4LgcZiZ3zDT+dm1oqcuNp4VjIYFCOLa64aNgv1u+TwGEROyxtYzKfinCPPZ4GGKpfYn&#10;3lC/TUZkCMcSFdiUQillrC05jEMfiLP34zuHKcvOSN3hKcNdK1+K4lU6bDgvWAz0Yak+bv+cgvDb&#10;18v14vsz2MOxMrFdVZVZKfX0OCreQSQ6p3v41v7SCt4mcP2Sf4CcX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SbJQL4A&#10;AADbAAAADwAAAAAAAAABACAAAAAiAAAAZHJzL2Rvd25yZXYueG1sUEsBAhQAFAAAAAgAh07iQDMv&#10;BZ47AAAAOQAAABAAAAAAAAAAAQAgAAAADQEAAGRycy9zaGFwZXhtbC54bWxQSwUGAAAAAAYABgBb&#10;AQAAtwMAAAAA&#10;">
                  <v:fill on="t" opacity="48496f" focussize="0,0"/>
                  <v:stroke weight="0.5pt" color="#000000 [3204]" joinstyle="round"/>
                  <v:imagedata o:title=""/>
                  <o:lock v:ext="edit" aspectratio="f"/>
                  <v:textbox>
                    <w:txbxContent>
                      <w:p>
                        <w:pPr>
                          <w:spacing w:line="360" w:lineRule="auto"/>
                          <w:rPr>
                            <w:rFonts w:hint="default"/>
                            <w:b/>
                            <w:bCs/>
                            <w:sz w:val="28"/>
                            <w:szCs w:val="28"/>
                            <w:lang w:val="en-US" w:eastAsia="zh-CN"/>
                          </w:rPr>
                        </w:pPr>
                        <w:r>
                          <w:rPr>
                            <w:rFonts w:hint="default"/>
                            <w:b/>
                            <w:bCs/>
                            <w:sz w:val="28"/>
                            <w:szCs w:val="28"/>
                            <w:lang w:val="en-US" w:eastAsia="zh-CN"/>
                          </w:rPr>
                          <w:t>图例</w:t>
                        </w:r>
                      </w:p>
                      <w:p>
                        <w:pPr>
                          <w:pStyle w:val="4"/>
                          <w:keepNext w:val="0"/>
                          <w:keepLines w:val="0"/>
                          <w:pageBreakBefore w:val="0"/>
                          <w:widowControl w:val="0"/>
                          <w:kinsoku/>
                          <w:wordWrap/>
                          <w:overflowPunct/>
                          <w:topLinePunct w:val="0"/>
                          <w:autoSpaceDE/>
                          <w:autoSpaceDN/>
                          <w:bidi w:val="0"/>
                          <w:adjustRightInd/>
                          <w:snapToGrid/>
                          <w:spacing w:line="360" w:lineRule="auto"/>
                          <w:ind w:left="0" w:leftChars="0" w:firstLine="638" w:firstLineChars="304"/>
                          <w:jc w:val="both"/>
                          <w:textAlignment w:val="auto"/>
                          <w:rPr>
                            <w:rFonts w:hint="default"/>
                            <w:b w:val="0"/>
                            <w:bCs w:val="0"/>
                            <w:sz w:val="21"/>
                            <w:szCs w:val="21"/>
                            <w:lang w:val="en-US" w:eastAsia="zh-CN"/>
                          </w:rPr>
                        </w:pPr>
                        <w:r>
                          <w:rPr>
                            <w:rFonts w:hint="default"/>
                            <w:b w:val="0"/>
                            <w:bCs w:val="0"/>
                            <w:sz w:val="21"/>
                            <w:szCs w:val="21"/>
                            <w:lang w:val="en-US" w:eastAsia="zh-CN"/>
                          </w:rPr>
                          <w:t>项目位置</w:t>
                        </w:r>
                      </w:p>
                      <w:p>
                        <w:pPr>
                          <w:ind w:left="0" w:leftChars="0" w:firstLine="638" w:firstLineChars="304"/>
                          <w:rPr>
                            <w:rFonts w:hint="default"/>
                            <w:lang w:val="en-US" w:eastAsia="zh-CN"/>
                          </w:rPr>
                        </w:pPr>
                        <w:r>
                          <w:rPr>
                            <w:rFonts w:hint="eastAsia"/>
                            <w:b w:val="0"/>
                            <w:bCs w:val="0"/>
                            <w:sz w:val="21"/>
                            <w:szCs w:val="21"/>
                            <w:lang w:val="en-US" w:eastAsia="zh-CN"/>
                          </w:rPr>
                          <w:t>土壤地下水点位</w:t>
                        </w:r>
                      </w:p>
                      <w:p>
                        <w:pPr>
                          <w:pStyle w:val="2"/>
                          <w:rPr>
                            <w:rFonts w:hint="default"/>
                            <w:lang w:val="en-US" w:eastAsia="zh-CN"/>
                          </w:rPr>
                        </w:pPr>
                      </w:p>
                    </w:txbxContent>
                  </v:textbox>
                </v:shape>
                <v:rect id="矩形 138" o:spid="_x0000_s1026" o:spt="1" style="position:absolute;left:8887;top:824859;height:201;width:442;v-text-anchor:middle;" filled="f" stroked="t" coordsize="21600,21600" o:gfxdata="UEsDBAoAAAAAAIdO4kAAAAAAAAAAAAAAAAAEAAAAZHJzL1BLAwQUAAAACACHTuJAmKm4ebwAAADb&#10;AAAADwAAAGRycy9kb3ducmV2LnhtbEWPQYvCMBSE74L/ITzBi2jqKlKqUVBYEQ+C7l68PZtnW2xe&#10;ShKt++83guBxmJlvmMXqaWrxIOcrywrGowQEcW51xYWC35/vYQrCB2SNtWVS8EceVstuZ4GZti0f&#10;6XEKhYgQ9hkqKENoMil9XpJBP7INcfSu1hkMUbpCaodthJtafiXJTBqsOC6U2NCmpPx2uhsFl+3Z&#10;bdL1ZBvug1lE34o9HVql+r1xMgcR6Bk+4Xd7pxWkU3h9iT9AL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ipuHm8AAAA&#10;2wAAAA8AAAAAAAAAAQAgAAAAIgAAAGRycy9kb3ducmV2LnhtbFBLAQIUABQAAAAIAIdO4kAzLwWe&#10;OwAAADkAAAAQAAAAAAAAAAEAIAAAAAsBAABkcnMvc2hhcGV4bWwueG1sUEsFBgAAAAAGAAYAWwEA&#10;ALUDAAAAAA==&#10;">
                  <v:fill on="f" focussize="0,0"/>
                  <v:stroke weight="2pt" color="#FF0000 [3204]" joinstyle="round"/>
                  <v:imagedata o:title=""/>
                  <o:lock v:ext="edit" aspectratio="f"/>
                </v:rect>
              </v:group>
            </w:pict>
          </mc:Fallback>
        </mc:AlternateContent>
      </w:r>
      <w:r>
        <w:rPr>
          <w:rFonts w:hint="default" w:ascii="Times New Roman" w:hAnsi="Times New Roman" w:cs="Times New Roman"/>
          <w:color w:val="C00000"/>
        </w:rPr>
        <w:drawing>
          <wp:anchor distT="0" distB="0" distL="114300" distR="114300" simplePos="0" relativeHeight="251694080" behindDoc="0" locked="0" layoutInCell="1" allowOverlap="1">
            <wp:simplePos x="0" y="0"/>
            <wp:positionH relativeFrom="column">
              <wp:posOffset>5543550</wp:posOffset>
            </wp:positionH>
            <wp:positionV relativeFrom="paragraph">
              <wp:posOffset>116840</wp:posOffset>
            </wp:positionV>
            <wp:extent cx="1435100" cy="1113155"/>
            <wp:effectExtent l="0" t="0" r="12700" b="10795"/>
            <wp:wrapNone/>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36">
                      <a:clrChange>
                        <a:clrFrom>
                          <a:srgbClr val="FFFFFF">
                            <a:alpha val="100000"/>
                          </a:srgbClr>
                        </a:clrFrom>
                        <a:clrTo>
                          <a:srgbClr val="FFFFFF">
                            <a:alpha val="100000"/>
                            <a:alpha val="0"/>
                          </a:srgbClr>
                        </a:clrTo>
                      </a:clrChange>
                    </a:blip>
                    <a:stretch>
                      <a:fillRect/>
                    </a:stretch>
                  </pic:blipFill>
                  <pic:spPr>
                    <a:xfrm>
                      <a:off x="0" y="0"/>
                      <a:ext cx="1435100" cy="1113155"/>
                    </a:xfrm>
                    <a:prstGeom prst="rect">
                      <a:avLst/>
                    </a:prstGeom>
                    <a:solidFill>
                      <a:schemeClr val="bg1">
                        <a:lumMod val="95000"/>
                        <a:alpha val="70000"/>
                      </a:schemeClr>
                    </a:solidFill>
                    <a:ln>
                      <a:noFill/>
                    </a:ln>
                  </pic:spPr>
                </pic:pic>
              </a:graphicData>
            </a:graphic>
          </wp:anchor>
        </w:drawing>
      </w:r>
      <w:r>
        <w:drawing>
          <wp:inline distT="0" distB="0" distL="114300" distR="114300">
            <wp:extent cx="7041515" cy="5139055"/>
            <wp:effectExtent l="0" t="0" r="6985" b="4445"/>
            <wp:docPr id="1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
                    <pic:cNvPicPr>
                      <a:picLocks noChangeAspect="1"/>
                    </pic:cNvPicPr>
                  </pic:nvPicPr>
                  <pic:blipFill>
                    <a:blip r:embed="rId37"/>
                    <a:stretch>
                      <a:fillRect/>
                    </a:stretch>
                  </pic:blipFill>
                  <pic:spPr>
                    <a:xfrm>
                      <a:off x="0" y="0"/>
                      <a:ext cx="7041515" cy="5139055"/>
                    </a:xfrm>
                    <a:prstGeom prst="rect">
                      <a:avLst/>
                    </a:prstGeom>
                    <a:noFill/>
                    <a:ln>
                      <a:noFill/>
                    </a:ln>
                  </pic:spPr>
                </pic:pic>
              </a:graphicData>
            </a:graphic>
          </wp:inline>
        </w:drawing>
      </w:r>
    </w:p>
    <w:p>
      <w:pPr>
        <w:rPr>
          <w:rFonts w:hint="default"/>
          <w:lang w:eastAsia="zh-CN"/>
        </w:rPr>
      </w:pPr>
      <w:r>
        <w:rPr>
          <w:rFonts w:hint="default"/>
          <w:lang w:eastAsia="zh-CN"/>
        </w:rPr>
        <w:br w:type="page"/>
      </w:r>
    </w:p>
    <w:p>
      <w:pPr>
        <w:pStyle w:val="3"/>
        <w:keepNext/>
        <w:keepLines w:val="0"/>
        <w:pageBreakBefore w:val="0"/>
        <w:widowControl w:val="0"/>
        <w:numPr>
          <w:ilvl w:val="0"/>
          <w:numId w:val="0"/>
        </w:numPr>
        <w:kinsoku/>
        <w:wordWrap/>
        <w:overflowPunct w:val="0"/>
        <w:topLinePunct w:val="0"/>
        <w:autoSpaceDE/>
        <w:autoSpaceDN/>
        <w:bidi w:val="0"/>
        <w:adjustRightInd/>
        <w:snapToGrid w:val="0"/>
        <w:spacing w:line="260" w:lineRule="auto"/>
        <w:ind w:leftChars="0"/>
        <w:jc w:val="both"/>
        <w:textAlignment w:val="auto"/>
        <w:rPr>
          <w:rFonts w:hint="eastAsia"/>
          <w:highlight w:val="none"/>
          <w:lang w:val="en-US" w:eastAsia="zh-CN"/>
        </w:rPr>
      </w:pPr>
      <w:bookmarkStart w:id="129" w:name="_Toc31488"/>
      <w:r>
        <w:rPr>
          <w:sz w:val="30"/>
          <w:highlight w:val="none"/>
        </w:rPr>
        <mc:AlternateContent>
          <mc:Choice Requires="wps">
            <w:drawing>
              <wp:anchor distT="0" distB="0" distL="114300" distR="114300" simplePos="0" relativeHeight="251711488" behindDoc="0" locked="0" layoutInCell="1" allowOverlap="1">
                <wp:simplePos x="0" y="0"/>
                <wp:positionH relativeFrom="column">
                  <wp:posOffset>19050</wp:posOffset>
                </wp:positionH>
                <wp:positionV relativeFrom="paragraph">
                  <wp:posOffset>360045</wp:posOffset>
                </wp:positionV>
                <wp:extent cx="3486150" cy="1524000"/>
                <wp:effectExtent l="12700" t="12700" r="25400" b="25400"/>
                <wp:wrapNone/>
                <wp:docPr id="162" name="任意多边形 162"/>
                <wp:cNvGraphicFramePr/>
                <a:graphic xmlns:a="http://schemas.openxmlformats.org/drawingml/2006/main">
                  <a:graphicData uri="http://schemas.microsoft.com/office/word/2010/wordprocessingShape">
                    <wps:wsp>
                      <wps:cNvSpPr/>
                      <wps:spPr>
                        <a:xfrm>
                          <a:off x="918845" y="1259840"/>
                          <a:ext cx="3486150" cy="1524000"/>
                        </a:xfrm>
                        <a:custGeom>
                          <a:avLst/>
                          <a:gdLst>
                            <a:gd name="connisteX0" fmla="*/ 57150 w 3486150"/>
                            <a:gd name="connsiteY0" fmla="*/ 1524000 h 1524000"/>
                            <a:gd name="connisteX1" fmla="*/ 3486150 w 3486150"/>
                            <a:gd name="connsiteY1" fmla="*/ 9525 h 1524000"/>
                            <a:gd name="connisteX2" fmla="*/ 0 w 3486150"/>
                            <a:gd name="connsiteY2" fmla="*/ 0 h 1524000"/>
                            <a:gd name="connisteX3" fmla="*/ 0 w 3486150"/>
                            <a:gd name="connsiteY3" fmla="*/ 1524000 h 1524000"/>
                            <a:gd name="connisteX4" fmla="*/ 104775 w 3486150"/>
                            <a:gd name="connsiteY4" fmla="*/ 1476375 h 15240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486150" h="1524000">
                              <a:moveTo>
                                <a:pt x="57150" y="1524000"/>
                              </a:moveTo>
                              <a:lnTo>
                                <a:pt x="3486150" y="9525"/>
                              </a:lnTo>
                              <a:lnTo>
                                <a:pt x="0" y="0"/>
                              </a:lnTo>
                              <a:lnTo>
                                <a:pt x="0" y="1524000"/>
                              </a:lnTo>
                              <a:lnTo>
                                <a:pt x="104775" y="1476375"/>
                              </a:lnTo>
                            </a:path>
                          </a:pathLst>
                        </a:custGeom>
                        <a:noFill/>
                        <a:ln>
                          <a:solidFill>
                            <a:srgbClr val="D11BD8"/>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5pt;margin-top:28.35pt;height:120pt;width:274.5pt;z-index:251711488;mso-width-relative:page;mso-height-relative:page;" filled="f" stroked="t" coordsize="3486150,1524000" o:gfxdata="UEsDBAoAAAAAAIdO4kAAAAAAAAAAAAAAAAAEAAAAZHJzL1BLAwQUAAAACACHTuJADn54HdYAAAAI&#10;AQAADwAAAGRycy9kb3ducmV2LnhtbE2PzU7DMBCE70i8g7VI3KjTlBQIcXpA5YKEBC3ct/E2CbXX&#10;Uez+8fQsJzjuzOjbmWpx8k4daIx9YAPTSQaKuAm259bAx/r55h5UTMgWXWAycKYIi/ryosLShiO/&#10;02GVWiUQjiUa6FIaSq1j05HHOAkDsXjbMHpMco6ttiMeBe6dzrNsrj32LB86HOipo2a32nuhnOnL&#10;+eRft+u32eftS7P8XuY7Y66vptkjqESn9BeG3/pSHWrptAl7tlE5AzNZkgwU8ztQYhdFLsLGQP4g&#10;iq4r/X9A/QNQSwMEFAAAAAgAh07iQPfDE+oMAwAAPggAAA4AAABkcnMvZTJvRG9jLnhtbK1VTW/T&#10;MBi+I/EfLB+RWJI2abtq7SSoxgXBpA0Jjq7jNJEc27K9prtz584R8SfQBL+GIX4Gr52kdbdDO4lL&#10;bMfv834874fPzjc1R2umTSXFDCcnMUZMUJlXYjXDH64vXk4wMpaInHAp2AzfMoPP58+fnTVqygay&#10;lDxnGoESYaaNmuHSWjWNIkNLVhNzIhUTcFlIXRMLR72Kck0a0F7zaBDHo6iROldaUmYM/F20l7jT&#10;qI9RKIuiomwh6U3NhG21asaJhZBMWSmD597bomDUvi8KwyziMwyRWv8FI7Bfum80PyPTlSaqrGjn&#10;AjnGhQcx1aQSYHSrakEsQTe6eqSqrqiWRhb2hMo6agPxjEAUSfyAm6uSKOZjAaqN2pJu/p9a+m59&#10;qVGVQyWMBhgJUkPKf9/d/fn85f7717+/ftz//IbcFRDVKDMF+St1qbuTga2LelPo2q0QD9rM8Gky&#10;maQZRregdZCdTtKOZ7axiML9MJ2MkgxSQJ1ENkjj2EtEO030xtg3THqtZP3W2DZROew8zXnnKpVC&#10;VMayj6CtqDnk7kWEsjFoRw3q7XTYAGIqyz6FkM4LVKLAH0jnIztJYKfTf9hSCDrNBtlhM5CLbThH&#10;hLIvfjCI4dO0h+JHE5UGNpI4HY+zwzztYdLxaAigvWCgQlZ9DZCyLwu6EV1dwA4RN8hi341KGleP&#10;YZFAxbljVwBQGaASUK6oDoAhiSE4cS1xNBgSFIJ9Px0NBv5D8PBJloHTEJyG4NaDjjsNw9KNSe7H&#10;pMUIxqT2Y3LpMGSqiHWU91vUBJ1c7hrZ3ddyza6ll7QuA74jvSNBe4H1nRwXoXzfuc511zCd071Q&#10;vyqvHPoYxPoJ0t/1ayizb7yX6NdWsq3V1te2BPeMg9OOB5/6LSGOx2BgCXlRce4548LRNMhgxMG4&#10;I/BeFvBOwbZWMHONWGFE+AoeYmq1L1kjeZU7uCPP6NXyNddoTSAviyR5tZh0zuyJKW3sgpiylfNX&#10;W5/BUTe320ntdkuZ3/oB7v/Ds+JD6Z5A926FZ4/ePfvz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HsFAABbQ29udGVudF9UeXBlc10ueG1sUEsB&#10;AhQACgAAAAAAh07iQAAAAAAAAAAAAAAAAAYAAAAAAAAAAAAQAAAAXQQAAF9yZWxzL1BLAQIUABQA&#10;AAAIAIdO4kCKFGY80QAAAJQBAAALAAAAAAAAAAEAIAAAAIEEAABfcmVscy8ucmVsc1BLAQIUAAoA&#10;AAAAAIdO4kAAAAAAAAAAAAAAAAAEAAAAAAAAAAAAEAAAAAAAAABkcnMvUEsBAhQAFAAAAAgAh07i&#10;QA5+eB3WAAAACAEAAA8AAAAAAAAAAQAgAAAAIgAAAGRycy9kb3ducmV2LnhtbFBLAQIUABQAAAAI&#10;AIdO4kD3wxPqDAMAAD4IAAAOAAAAAAAAAAEAIAAAACUBAABkcnMvZTJvRG9jLnhtbFBLBQYAAAAA&#10;BgAGAFkBAACjBgAAAAA=&#10;" path="m57150,1524000l3486150,9525,0,0,0,1524000,104775,1476375e">
                <v:path o:connectlocs="57150,1524000;3486150,9525;0,0;0,1524000;104775,1476375" o:connectangles="0,0,0,0,0"/>
                <v:fill on="f" focussize="0,0"/>
                <v:stroke weight="2pt" color="#D11BD8 [2404]" joinstyle="round"/>
                <v:imagedata o:title=""/>
                <o:lock v:ext="edit" aspectratio="f"/>
              </v:shape>
            </w:pict>
          </mc:Fallback>
        </mc:AlternateContent>
      </w:r>
      <w:r>
        <w:rPr>
          <w:rFonts w:hint="default"/>
          <w:highlight w:val="none"/>
        </w:rPr>
        <w:t>附图</w:t>
      </w:r>
      <w:r>
        <w:rPr>
          <w:rFonts w:hint="eastAsia"/>
          <w:highlight w:val="none"/>
          <w:lang w:val="en-US" w:eastAsia="zh-CN"/>
        </w:rPr>
        <w:t>4</w:t>
      </w:r>
      <w:r>
        <w:rPr>
          <w:rFonts w:hint="default"/>
          <w:highlight w:val="none"/>
        </w:rPr>
        <w:t>：</w:t>
      </w:r>
      <w:r>
        <w:rPr>
          <w:rFonts w:hint="eastAsia"/>
          <w:highlight w:val="none"/>
          <w:lang w:val="en-US" w:eastAsia="zh-CN"/>
        </w:rPr>
        <w:t>厂外周边关系图</w:t>
      </w:r>
      <w:bookmarkEnd w:id="129"/>
    </w:p>
    <w:p>
      <w:pPr>
        <w:pStyle w:val="28"/>
        <w:ind w:firstLine="0" w:firstLineChars="0"/>
        <w:sectPr>
          <w:footerReference r:id="rId9" w:type="default"/>
          <w:pgSz w:w="16838" w:h="11905" w:orient="landscape"/>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33" w:charSpace="0"/>
        </w:sectPr>
      </w:pPr>
      <w:r>
        <w:rPr>
          <w:sz w:val="18"/>
        </w:rPr>
        <mc:AlternateContent>
          <mc:Choice Requires="wps">
            <w:drawing>
              <wp:anchor distT="0" distB="0" distL="114300" distR="114300" simplePos="0" relativeHeight="251731968" behindDoc="0" locked="0" layoutInCell="1" allowOverlap="1">
                <wp:simplePos x="0" y="0"/>
                <wp:positionH relativeFrom="column">
                  <wp:posOffset>5449570</wp:posOffset>
                </wp:positionH>
                <wp:positionV relativeFrom="paragraph">
                  <wp:posOffset>2834640</wp:posOffset>
                </wp:positionV>
                <wp:extent cx="660400" cy="567055"/>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660400" cy="5670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宋体" w:hAnsi="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污水处理设施</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429.1pt;margin-top:223.2pt;height:44.65pt;width:52pt;z-index:251731968;mso-width-relative:page;mso-height-relative:page;" filled="f" stroked="f" coordsize="21600,21600" o:gfxdata="UEsDBAoAAAAAAIdO4kAAAAAAAAAAAAAAAAAEAAAAZHJzL1BLAwQUAAAACACHTuJAjZnkYdwAAAAL&#10;AQAADwAAAGRycy9kb3ducmV2LnhtbE2PTU+EMBCG7yb+h2ZMvLllERCRYWNINiZGD7vuxdtAZ4FI&#10;W6TdD/311pMeZ+bJO89brs56FEee3WANwnIRgWDTWjWYDmH3tr7JQThPRtFoDSN8sYNVdXlRUqHs&#10;yWz4uPWdCCHGFYTQez8VUrq2Z01uYSc24ba3syYfxrmTaqZTCNejjKMok5oGEz70NHHdc/uxPWiE&#10;53r9Spsm1vn3WD+97B+nz917inh9tYweQHg++z8YfvWDOlTBqbEHo5wYEfI0jwOKkCRZAiIQ91kc&#10;Ng1CepvegaxK+b9D9QNQSwMEFAAAAAgAh07iQE8UxUBBAgAAcwQAAA4AAABkcnMvZTJvRG9jLnht&#10;bK1UzW4TMRC+I/EOlu90N2mSQtRNFRoVIVW0UkGcHa83a8l/2E53ywPAG3Diwp3n6nPw2ZukVeHQ&#10;A5fNeGb8zXzfjHN61mtFboUP0pqKjo5KSoThtpZmU9FPHy9evaYkRGZqpqwRFb0TgZ4tXr447dxc&#10;jG1rVS08AYgJ885VtI3RzYsi8FZoFo6sEwbBxnrNIo5+U9SedUDXqhiX5azorK+dt1yEAO9qCNId&#10;on8OoG0aycXK8q0WJg6oXigWQSm00gW6yN02jeDxqmmCiERVFExj/qII7HX6FotTNt945lrJdy2w&#10;57TwhJNm0qDoAWrFIiNbL/+C0pJ7G2wTj7jVxUAkKwIWo/KJNjctcyJzgdTBHUQP/w+Wf7i99kTW&#10;FT0eUWKYxsTvf3y///n7/tc3Ah8E6lyYI+/GITP2b22Ptdn7A5yJd994nX7BiCAOee8O8oo+Eg7n&#10;bFZOSkQ4QtPZSTmdJpTi4bLzIb4TVpNkVNRjellUdnsZ4pC6T0m1jL2QSuUJKkM6FDielvnCIQJw&#10;ZVAjURhaTVbs1/2O19rWd6Dl7bAZwfELieKXLMRr5rEK6BePJV7h0yiLInZnUdJa//Vf/pSPCSFK&#10;SYfVqmj4smVeUKLeG8zuzWgyAWzMh8n0ZIyDfxxZP46YrT632F6MB91lM+VHtTcbb/VnvKllqooQ&#10;Mxy1Kxr35nkcFh5vkovlMidtnZebdriATXQsXpobx1OZQdrlNtpGZtWTZINOOyWxi3luu3eTlv3x&#10;OWc9/Fcs/g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NmeRh3AAAAAsBAAAPAAAAAAAAAAEAIAAA&#10;ACIAAABkcnMvZG93bnJldi54bWxQSwECFAAUAAAACACHTuJATxTFQEECAABzBAAADgAAAAAAAAAB&#10;ACAAAAArAQAAZHJzL2Uyb0RvYy54bWxQSwUGAAAAAAYABgBZAQAA3gUAAAAA&#10;">
                <v:fill on="f" focussize="0,0"/>
                <v:stroke on="f" weight="0.5pt"/>
                <v:imagedata o:title=""/>
                <o:lock v:ext="edit" aspectratio="f"/>
                <v:textbox>
                  <w:txbxContent>
                    <w:p>
                      <w:pPr>
                        <w:rPr>
                          <w:rFonts w:hint="default" w:ascii="宋体" w:hAnsi="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污水处理设施</w:t>
                      </w:r>
                    </w:p>
                  </w:txbxContent>
                </v:textbox>
              </v:shape>
            </w:pict>
          </mc:Fallback>
        </mc:AlternateContent>
      </w:r>
      <w:r>
        <w:rPr>
          <w:sz w:val="24"/>
        </w:rPr>
        <mc:AlternateContent>
          <mc:Choice Requires="wps">
            <w:drawing>
              <wp:anchor distT="0" distB="0" distL="114300" distR="114300" simplePos="0" relativeHeight="251729920" behindDoc="0" locked="0" layoutInCell="1" allowOverlap="1">
                <wp:simplePos x="0" y="0"/>
                <wp:positionH relativeFrom="column">
                  <wp:posOffset>4679950</wp:posOffset>
                </wp:positionH>
                <wp:positionV relativeFrom="paragraph">
                  <wp:posOffset>2886075</wp:posOffset>
                </wp:positionV>
                <wp:extent cx="457835" cy="219075"/>
                <wp:effectExtent l="22860" t="142240" r="33655" b="153035"/>
                <wp:wrapNone/>
                <wp:docPr id="27" name="矩形 27"/>
                <wp:cNvGraphicFramePr/>
                <a:graphic xmlns:a="http://schemas.openxmlformats.org/drawingml/2006/main">
                  <a:graphicData uri="http://schemas.microsoft.com/office/word/2010/wordprocessingShape">
                    <wps:wsp>
                      <wps:cNvSpPr/>
                      <wps:spPr>
                        <a:xfrm rot="18900000">
                          <a:off x="0" y="0"/>
                          <a:ext cx="457835" cy="219075"/>
                        </a:xfrm>
                        <a:prstGeom prst="rect">
                          <a:avLst/>
                        </a:prstGeom>
                        <a:noFill/>
                        <a:ln>
                          <a:solidFill>
                            <a:srgbClr val="D11BD8"/>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8.5pt;margin-top:227.25pt;height:17.25pt;width:36.05pt;rotation:-2949120f;z-index:251729920;v-text-anchor:middle;mso-width-relative:page;mso-height-relative:page;" filled="f" stroked="t" coordsize="21600,21600" o:gfxdata="UEsDBAoAAAAAAIdO4kAAAAAAAAAAAAAAAAAEAAAAZHJzL1BLAwQUAAAACACHTuJAcU8qadcAAAAL&#10;AQAADwAAAGRycy9kb3ducmV2LnhtbE2PwU7DMBBE70j8g7VI3KgdaGga4lSiEh9A4AO28TaJGq+D&#10;7aQtX485wXF2RrNvqt3FjmIhHwbHGrKVAkHcOjNwp+Hz4+2hABEissHRMWm4UoBdfXtTYWncmd9p&#10;aWInUgmHEjX0MU6llKHtyWJYuYk4eUfnLcYkfSeNx3Mqt6N8VOpZWhw4fehxon1P7amZrYZGvlpf&#10;HOdTd/Wcf8sF9yr/0vr+LlMvICJd4l8YfvETOtSJ6eBmNkGMGjZPm7Qlaljn6xxEShRqm4E4pEux&#10;VSDrSv7fUP8AUEsDBBQAAAAIAIdO4kCuc0ScaAIAAMQEAAAOAAAAZHJzL2Uyb0RvYy54bWytVM1u&#10;EzEQviPxDpbvdLMhoWnUTRUaFSFVNFJBnB2vnV3Jf9hONuVlkLj1IXgcxGvw2bv9oXDogRxWM57x&#10;N/N9nsnp2UErshc+tNZUtDwaUSIMt3VrthX99PHi1YySEJmpmbJGVPRGBHq2ePnitHNzMbaNVbXw&#10;BCAmzDtX0SZGNy+KwBuhWTiyThgEpfWaRbh+W9SedUDXqhiPRm+KzvraectFCDhd9UE6IPrnAFop&#10;Wy5Wlu+0MLFH9UKxCEqhaV2gi9ytlILHKymDiERVFExj/qII7E36FotTNt965pqWDy2w57TwhJNm&#10;rUHRe6gVi4zsfPsXlG65t8HKeMStLnoiWRGwKEdPtLlumBOZC6QO7l708P9g+Yf92pO2ruj4mBLD&#10;NF7817fbnz++ExxAnc6FOZKu3doPXoCZqB6k18RbSFrOTkbplxUAJ3LIAt/cCywOkXAcTqbHs9dT&#10;SjhC4/JkdDxNJYoeK2E6H+I7YTVJRkU93i+Dsv1liH3qXUpKN/aiVQrnbK4M6QA6naANwhkGU2Ig&#10;YGoHcsFsKWFqi4nn0WfIYFVbp+vpdvDbzbnyZM8wJ6uyfLuaDZ39kZZqr1ho+rwcGtKUAY+kVa9O&#10;sja2voG2WSH0FBy/aHH/koW4Zh5ThkPsYbzCRyqL7u1gUdJY//Vf5ykfj48oJR2mFsy+7JgXlKj3&#10;BmNxUk4mgI3ZgdpjOP5xZPM4Ynb63IJwmbvLZsqP6s6U3urPWNdlqooQMxy1ew0H5zz224SF52K5&#10;zGkYbcfipbl2PIH3L7XcRSvb/IgP6gyiYbjzGAyLmLbnsZ+zHv58F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cU8qadcAAAALAQAADwAAAAAAAAABACAAAAAiAAAAZHJzL2Rvd25yZXYueG1sUEsB&#10;AhQAFAAAAAgAh07iQK5zRJxoAgAAxAQAAA4AAAAAAAAAAQAgAAAAJgEAAGRycy9lMm9Eb2MueG1s&#10;UEsFBgAAAAAGAAYAWQEAAAAGAAAAAA==&#10;">
                <v:fill on="f" focussize="0,0"/>
                <v:stroke weight="2pt" color="#D11BD8 [2404]" joinstyle="round"/>
                <v:imagedata o:title=""/>
                <o:lock v:ext="edit" aspectratio="f"/>
              </v:rect>
            </w:pict>
          </mc:Fallback>
        </mc:AlternateContent>
      </w:r>
      <w:r>
        <w:rPr>
          <w:sz w:val="18"/>
        </w:rPr>
        <mc:AlternateContent>
          <mc:Choice Requires="wps">
            <w:drawing>
              <wp:anchor distT="0" distB="0" distL="114300" distR="114300" simplePos="0" relativeHeight="251730944" behindDoc="0" locked="0" layoutInCell="1" allowOverlap="1">
                <wp:simplePos x="0" y="0"/>
                <wp:positionH relativeFrom="column">
                  <wp:posOffset>4970145</wp:posOffset>
                </wp:positionH>
                <wp:positionV relativeFrom="paragraph">
                  <wp:posOffset>2983865</wp:posOffset>
                </wp:positionV>
                <wp:extent cx="479425" cy="134620"/>
                <wp:effectExtent l="0" t="27940" r="15875" b="27940"/>
                <wp:wrapNone/>
                <wp:docPr id="26" name="直接箭头连接符 26"/>
                <wp:cNvGraphicFramePr/>
                <a:graphic xmlns:a="http://schemas.openxmlformats.org/drawingml/2006/main">
                  <a:graphicData uri="http://schemas.microsoft.com/office/word/2010/wordprocessingShape">
                    <wps:wsp>
                      <wps:cNvCnPr>
                        <a:stCxn id="31" idx="1"/>
                      </wps:cNvCnPr>
                      <wps:spPr>
                        <a:xfrm flipH="1" flipV="1">
                          <a:off x="5848985" y="4252595"/>
                          <a:ext cx="479425" cy="134620"/>
                        </a:xfrm>
                        <a:prstGeom prst="straightConnector1">
                          <a:avLst/>
                        </a:prstGeom>
                        <a:ln>
                          <a:solidFill>
                            <a:srgbClr val="FFC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91.35pt;margin-top:234.95pt;height:10.6pt;width:37.75pt;z-index:251730944;mso-width-relative:page;mso-height-relative:page;" filled="f" stroked="t" coordsize="21600,21600" o:gfxdata="UEsDBAoAAAAAAIdO4kAAAAAAAAAAAAAAAAAEAAAAZHJzL1BLAwQUAAAACACHTuJAk4e5zdoAAAAL&#10;AQAADwAAAGRycy9kb3ducmV2LnhtbE2PwU7DMAyG70i8Q2QkLoglrWBLS9MJJgHSbqwcOGaNaQuN&#10;UzVZ27094QRH259+f3+xXWzPJhx950hBshLAkGpnOmoUvFfPtxKYD5qM7h2hgjN62JaXF4XOjZvp&#10;DadDaFgMIZ9rBW0IQ865r1u02q/cgBRvn260OsRxbLgZ9RzDbc9TIdbc6o7ih1YPuGux/j6crIIb&#10;/HjZV+fH6muZ5ZPYDRJfJ6nU9VUiHoAFXMIfDL/6UR3K6HR0JzKe9Qo2Mt1EVMHdOsuARULeyxTY&#10;MW6yJAFeFvx/h/IHUEsDBBQAAAAIAIdO4kDVQZZGKQIAABUEAAAOAAAAZHJzL2Uyb0RvYy54bWyt&#10;U82O0zAQviPxDpbvNGm2KW3UdA8thQOCSvzcXcdJLDm2NfY27UvwAkicgBNw2jtPA8tjMHbKLrtc&#10;9sAlGdsz38z3+fPi/NApshfgpNElHY9SSoTmppK6Kemb15tHM0qcZ7piymhR0qNw9Hz58MGit4XI&#10;TGtUJYAgiHZFb0vaem+LJHG8FR1zI2OFxsPaQMc8LqFJKmA9oncqydJ0mvQGKguGC+dwdz0c0hMi&#10;3AfQ1LXkYm34RSe0H1BBKOaRkmuldXQZp61rwf3LunbCE1VSZOrjF5tgvAvfZLlgRQPMtpKfRmD3&#10;GeEOp45JjU2vodbMM3IB8h+oTnIwztR+xE2XDESiIshinN7R5lXLrIhcUGpnr0V3/w+Wv9hvgciq&#10;pNmUEs06vPGr95c/3326+vb1x8fLX98/hPjLZ4LnKFZvXYE1K72FQNf51UHH8rMxxf8BHRXSklt5&#10;YeHsUHGooSO1kvZZSI3R2xAFNJSDIEI+m8zms5ySY0knWZ7l83y4J3HwhGPC5PEc9ynhmDA+m0yz&#10;eI8JKwJ4ALLg/FNhOhKCkjoPTDatXxmt0REGhnZs/9z5MOxNQSjWZiOVisZQmvSoTD5J0S+codtr&#10;dBmGnUXFnG4oYarBZ8Q9RAbOKFmF8igONLuVArJnaL7NZpUiytDuVlqYcc1cO+TFo4GuZ1I90RXx&#10;R4u3wgBMf6pX+iTxoGrQd2eq4xb+SI9uibxOzg52/Hsdq29e8/I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k4e5zdoAAAALAQAADwAAAAAAAAABACAAAAAiAAAAZHJzL2Rvd25yZXYueG1sUEsBAhQA&#10;FAAAAAgAh07iQNVBlkYpAgAAFQQAAA4AAAAAAAAAAQAgAAAAKQEAAGRycy9lMm9Eb2MueG1sUEsF&#10;BgAAAAAGAAYAWQEAAMQFAAAAAA==&#10;">
                <v:fill on="f" focussize="0,0"/>
                <v:stroke weight="2pt" color="#FFC000 [3204]" joinstyle="round" endarrow="open"/>
                <v:imagedata o:title=""/>
                <o:lock v:ext="edit" aspectratio="f"/>
              </v:shape>
            </w:pict>
          </mc:Fallback>
        </mc:AlternateContent>
      </w:r>
      <w:r>
        <w:rPr>
          <w:sz w:val="18"/>
        </w:rPr>
        <mc:AlternateContent>
          <mc:Choice Requires="wps">
            <w:drawing>
              <wp:anchor distT="0" distB="0" distL="114300" distR="114300" simplePos="0" relativeHeight="251728896" behindDoc="0" locked="0" layoutInCell="1" allowOverlap="1">
                <wp:simplePos x="0" y="0"/>
                <wp:positionH relativeFrom="column">
                  <wp:posOffset>4150360</wp:posOffset>
                </wp:positionH>
                <wp:positionV relativeFrom="paragraph">
                  <wp:posOffset>3696970</wp:posOffset>
                </wp:positionV>
                <wp:extent cx="1323340" cy="259715"/>
                <wp:effectExtent l="0" t="0" r="0" b="0"/>
                <wp:wrapNone/>
                <wp:docPr id="190" name="文本框 190"/>
                <wp:cNvGraphicFramePr/>
                <a:graphic xmlns:a="http://schemas.openxmlformats.org/drawingml/2006/main">
                  <a:graphicData uri="http://schemas.microsoft.com/office/word/2010/wordprocessingShape">
                    <wps:wsp>
                      <wps:cNvSpPr txBox="1"/>
                      <wps:spPr>
                        <a:xfrm>
                          <a:off x="0" y="0"/>
                          <a:ext cx="132334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闽侯县华源工艺品</w:t>
                            </w:r>
                            <w:r>
                              <w:rPr>
                                <w:rFonts w:hint="eastAsia" w:ascii="宋体" w:hAnsi="宋体" w:eastAsia="宋体" w:cs="宋体"/>
                                <w:b/>
                                <w:bCs/>
                                <w:color w:val="000000" w:themeColor="text1"/>
                                <w:sz w:val="24"/>
                                <w:szCs w:val="24"/>
                                <w:lang w:val="en-US" w:eastAsia="zh-CN"/>
                                <w14:textFill>
                                  <w14:solidFill>
                                    <w14:schemeClr w14:val="tx1"/>
                                  </w14:solidFill>
                                </w14:textFill>
                              </w:rPr>
                              <w:t>有限公司</w:t>
                            </w:r>
                          </w:p>
                        </w:txbxContent>
                      </wps:txbx>
                      <wps:bodyPr rot="0" spcFirstLastPara="0" vertOverflow="overflow" horzOverflow="overflow" vert="horz" wrap="square" lIns="91440" tIns="45720" rIns="91440" bIns="4572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326.8pt;margin-top:291.1pt;height:20.45pt;width:104.2pt;z-index:251728896;mso-width-relative:page;mso-height-relative:page;" filled="f" stroked="f" coordsize="21600,21600" o:gfxdata="UEsDBAoAAAAAAIdO4kAAAAAAAAAAAAAAAAAEAAAAZHJzL1BLAwQUAAAACACHTuJAcs6ikdYAAAAL&#10;AQAADwAAAGRycy9kb3ducmV2LnhtbE2Py26DMBBF95X6D9ZE6qZqbBwFIYrJIhLrKKQf4OAp0PiB&#10;sAnp33e6apeje3Tn3OrwcJbdcY5j8AqyrQCGvgtm9L2Cj0vzVgCLSXujbfCo4BsjHOrnp0qXJqz+&#10;jPc29YxKfCy1giGlqeQ8dgM6HbdhQk/ZZ5idTnTOPTezXqncWS6FyLnTo6cPg57wOGB3axenIMj1&#10;1Z7brDme1q9GnBa8tBGVetlk4h1Ywkf6g+FXn9ShJqdrWLyJzCrI97ucUAX7QkpgRBS5pHVXiuQu&#10;A15X/P+G+gdQSwMEFAAAAAgAh07iQDW8ioVDAgAAdgQAAA4AAABkcnMvZTJvRG9jLnhtbK1US27b&#10;MBDdF+gdCO4b+ZvUhuXAjZGiQNAEcIuuaYqyBPBXko6UHqC9QVbddN9z+Rx9pGzHSLvIohtqyBm+&#10;4Xszo9llqyS5F87XRue0f9ajRGhuilpvcvr50/Wbt5T4wHTBpNEipw/C08v561ezxk7FwFRGFsIR&#10;gGg/bWxOqxDsNMs8r4Ri/sxYoeEsjVMsYOs2WeFYA3Qls0Gvd541xhXWGS68x+myc9I9onsJoCnL&#10;moul4VsldOhQnZAsgJKvauvpPL22LAUPt2XpRSAyp2Aa0ooksNdxzeYzNt04Zqua75/AXvKEZ5wU&#10;qzWSHqGWLDCydfVfUKrmznhThjNuVNYRSYqARb/3TJtVxaxIXCC1t0fR/f+D5R/v7xypC3TCBJpo&#10;plDy3eOP3c/fu1/fSTyERI31U0SuLGJD+860CD+cexxG5m3pVPyCE4EfYA9HgUUbCI+XhoPhcAQX&#10;h28wnlz0xxEme7ptnQ/vhVEkGjl1KGDSld3f+NCFHkJiMm2uaylTEaUmTU7Ph+NeunD0AFxq5Igc&#10;urdGK7Trdk9sbYoH8HKmaw5v+XWN5DfMhzvm0A14L+Yl3GIppUESs7coqYz79q/zGI8iwUtJg+7K&#10;qf+6ZU5QIj9olG/SH0UZQtqMxhcDbNypZ33q0Vt1ZdDAfUym5cmM8UEezNIZ9QVjtYhZ4WKaI3dO&#10;w8G8Cl3PYyy5WCxS0Na6elN1F9CMloUbvbI8ponServYBsibVI+SdTrtlUQ7prrtRyf2++k+RT39&#10;Lu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LOopHWAAAACwEAAA8AAAAAAAAAAQAgAAAAIgAA&#10;AGRycy9kb3ducmV2LnhtbFBLAQIUABQAAAAIAIdO4kA1vIqFQwIAAHYEAAAOAAAAAAAAAAEAIAAA&#10;ACUBAABkcnMvZTJvRG9jLnhtbFBLBQYAAAAABgAGAFkBAADaBQAAAAA=&#10;">
                <v:fill on="f" focussize="0,0"/>
                <v:stroke on="f" weight="0.5pt"/>
                <v:imagedata o:title=""/>
                <o:lock v:ext="edit" aspectratio="f"/>
                <v:textbox style="mso-fit-shape-to-text:t;">
                  <w:txbxContent>
                    <w:p>
                      <w:pPr>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闽侯县华源工艺品</w:t>
                      </w:r>
                      <w:r>
                        <w:rPr>
                          <w:rFonts w:hint="eastAsia" w:ascii="宋体" w:hAnsi="宋体" w:eastAsia="宋体" w:cs="宋体"/>
                          <w:b/>
                          <w:bCs/>
                          <w:color w:val="000000" w:themeColor="text1"/>
                          <w:sz w:val="24"/>
                          <w:szCs w:val="24"/>
                          <w:lang w:val="en-US" w:eastAsia="zh-CN"/>
                          <w14:textFill>
                            <w14:solidFill>
                              <w14:schemeClr w14:val="tx1"/>
                            </w14:solidFill>
                          </w14:textFill>
                        </w:rPr>
                        <w:t>有限公司</w:t>
                      </w:r>
                    </w:p>
                  </w:txbxContent>
                </v:textbox>
              </v:shape>
            </w:pict>
          </mc:Fallback>
        </mc:AlternateContent>
      </w:r>
      <w:r>
        <w:rPr>
          <w:sz w:val="18"/>
        </w:rPr>
        <mc:AlternateContent>
          <mc:Choice Requires="wps">
            <w:drawing>
              <wp:anchor distT="0" distB="0" distL="114300" distR="114300" simplePos="0" relativeHeight="251727872" behindDoc="0" locked="0" layoutInCell="1" allowOverlap="1">
                <wp:simplePos x="0" y="0"/>
                <wp:positionH relativeFrom="column">
                  <wp:posOffset>1731010</wp:posOffset>
                </wp:positionH>
                <wp:positionV relativeFrom="paragraph">
                  <wp:posOffset>3560445</wp:posOffset>
                </wp:positionV>
                <wp:extent cx="956945" cy="567055"/>
                <wp:effectExtent l="0" t="0" r="0" b="0"/>
                <wp:wrapNone/>
                <wp:docPr id="189" name="文本框 189"/>
                <wp:cNvGraphicFramePr/>
                <a:graphic xmlns:a="http://schemas.openxmlformats.org/drawingml/2006/main">
                  <a:graphicData uri="http://schemas.microsoft.com/office/word/2010/wordprocessingShape">
                    <wps:wsp>
                      <wps:cNvSpPr txBox="1"/>
                      <wps:spPr>
                        <a:xfrm>
                          <a:off x="0" y="0"/>
                          <a:ext cx="956945" cy="5670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宋体" w:hAnsi="宋体" w:cs="宋体"/>
                                <w:b/>
                                <w:bCs/>
                                <w:color w:val="000000" w:themeColor="text1"/>
                                <w:sz w:val="24"/>
                                <w:szCs w:val="24"/>
                                <w:lang w:val="en-US" w:eastAsia="zh-CN"/>
                                <w14:textFill>
                                  <w14:solidFill>
                                    <w14:schemeClr w14:val="tx1"/>
                                  </w14:solidFill>
                                </w14:textFill>
                              </w:rPr>
                            </w:pPr>
                            <w:r>
                              <w:rPr>
                                <w:rFonts w:hint="default" w:ascii="宋体" w:hAnsi="宋体" w:cs="宋体"/>
                                <w:b/>
                                <w:bCs/>
                                <w:color w:val="000000" w:themeColor="text1"/>
                                <w:sz w:val="24"/>
                                <w:szCs w:val="24"/>
                                <w:lang w:val="en-US" w:eastAsia="zh-CN"/>
                                <w14:textFill>
                                  <w14:solidFill>
                                    <w14:schemeClr w14:val="tx1"/>
                                  </w14:solidFill>
                                </w14:textFill>
                              </w:rPr>
                              <w:t>泮洋村用武江别墅区</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36.3pt;margin-top:280.35pt;height:44.65pt;width:75.35pt;z-index:251727872;mso-width-relative:page;mso-height-relative:page;" filled="f" stroked="f" coordsize="21600,21600" o:gfxdata="UEsDBAoAAAAAAIdO4kAAAAAAAAAAAAAAAAAEAAAAZHJzL1BLAwQUAAAACACHTuJATLBO+dwAAAAL&#10;AQAADwAAAGRycy9kb3ducmV2LnhtbE2Py07DMBBF90j8gzVI7Khdl6RVyKRCkSokBIuWbtg5sZtE&#10;2OMQuw/4eswKlqN7dO+Zcn1xlp3MFAZPCPOZAGao9XqgDmH/trlbAQtRkVbWk0H4MgHW1fVVqQrt&#10;z7Q1p13sWCqhUCiEPsax4Dy0vXEqzPxoKGUHPzkV0zl1XE/qnMqd5VKInDs1UFro1Wjq3rQfu6ND&#10;eK43r2rbSLf6tvXTy+Fx/Ny/Z4i3N3PxACyaS/yD4Vc/qUOVnBp/JB2YRZBLmScUIcvFElgi7uVi&#10;AaxByDMhgFcl//9D9QNQSwMEFAAAAAgAh07iQNu84w1EAgAAdQQAAA4AAABkcnMvZTJvRG9jLnht&#10;bK1UwW4TMRC9I/EPlu9kk5BNmyibKjQKQqpopYI4O15v1pLtMbaT3fAB8Ac9ceHOd/U7GHuTNCoc&#10;euDiHc+MZ/zePO/sqtWK7ITzEkxBB70+JcJwKKXZFPTzp9WbS0p8YKZkCowo6F54ejV//WrW2KkY&#10;Qg2qFI5gEeOnjS1oHYKdZpnntdDM98AKg8EKnGYBt26TlY41WF2rbNjvj7MGXGkdcOE9epddkB4q&#10;upcUhKqSXCyBb7UwoavqhGIBIflaWk/n6bZVJXi4rSovAlEFRaQhrdgE7XVcs/mMTTeO2VrywxXY&#10;S67wDJNm0mDTU6klC4xsnfyrlJbcgYcq9DjorAOSGEEUg/4zbu5rZkXCglR7eyLd/7+y/OPuzhFZ&#10;ohIuJ5QYpnHkjw8/Hn/+fvz1nUQnUtRYP8XMe4u5oX0HLaYf/R6dEXlbOR2/iIlgHAnenwgWbSAc&#10;nZN8PBnllHAM5eOLfp7HKtnTYet8eC9Ak2gU1OH8Eq1sd+NDl3pMib0MrKRSaYbKkKag47d5Px04&#10;RbC4MtgjQuiuGq3QrtsDrjWUe4TloNOGt3wlsfkN8+GOORQDIsHnEm5xqRRgEzhYlNTgvv3LH/Nx&#10;RhilpEFxFdR/3TInKFEfDE5vMhiNohrTZpRfDHHjziPr84jZ6mtA/Q7wYVqezJgf1NGsHOgv+KoW&#10;sSuGmOHYu6DhaF6HTvL4KrlYLFLS1jq5qbsDqEXLwo25tzy26ahdbANUMrEeKet4OjCJakxzO7yc&#10;KPfzfcp6+lvM/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MsE753AAAAAsBAAAPAAAAAAAAAAEA&#10;IAAAACIAAABkcnMvZG93bnJldi54bWxQSwECFAAUAAAACACHTuJA27zjDUQCAAB1BAAADgAAAAAA&#10;AAABACAAAAArAQAAZHJzL2Uyb0RvYy54bWxQSwUGAAAAAAYABgBZAQAA4QUAAAAA&#10;">
                <v:fill on="f" focussize="0,0"/>
                <v:stroke on="f" weight="0.5pt"/>
                <v:imagedata o:title=""/>
                <o:lock v:ext="edit" aspectratio="f"/>
                <v:textbox>
                  <w:txbxContent>
                    <w:p>
                      <w:pPr>
                        <w:rPr>
                          <w:rFonts w:hint="default" w:ascii="宋体" w:hAnsi="宋体" w:cs="宋体"/>
                          <w:b/>
                          <w:bCs/>
                          <w:color w:val="000000" w:themeColor="text1"/>
                          <w:sz w:val="24"/>
                          <w:szCs w:val="24"/>
                          <w:lang w:val="en-US" w:eastAsia="zh-CN"/>
                          <w14:textFill>
                            <w14:solidFill>
                              <w14:schemeClr w14:val="tx1"/>
                            </w14:solidFill>
                          </w14:textFill>
                        </w:rPr>
                      </w:pPr>
                      <w:r>
                        <w:rPr>
                          <w:rFonts w:hint="default" w:ascii="宋体" w:hAnsi="宋体" w:cs="宋体"/>
                          <w:b/>
                          <w:bCs/>
                          <w:color w:val="000000" w:themeColor="text1"/>
                          <w:sz w:val="24"/>
                          <w:szCs w:val="24"/>
                          <w:lang w:val="en-US" w:eastAsia="zh-CN"/>
                          <w14:textFill>
                            <w14:solidFill>
                              <w14:schemeClr w14:val="tx1"/>
                            </w14:solidFill>
                          </w14:textFill>
                        </w:rPr>
                        <w:t>泮洋村用武江别墅区</w:t>
                      </w:r>
                    </w:p>
                  </w:txbxContent>
                </v:textbox>
              </v:shape>
            </w:pict>
          </mc:Fallback>
        </mc:AlternateContent>
      </w:r>
      <w:r>
        <w:rPr>
          <w:sz w:val="18"/>
        </w:rPr>
        <mc:AlternateContent>
          <mc:Choice Requires="wps">
            <w:drawing>
              <wp:anchor distT="0" distB="0" distL="114300" distR="114300" simplePos="0" relativeHeight="251672576" behindDoc="0" locked="0" layoutInCell="1" allowOverlap="1">
                <wp:simplePos x="0" y="0"/>
                <wp:positionH relativeFrom="column">
                  <wp:posOffset>635635</wp:posOffset>
                </wp:positionH>
                <wp:positionV relativeFrom="paragraph">
                  <wp:posOffset>344170</wp:posOffset>
                </wp:positionV>
                <wp:extent cx="800100" cy="259715"/>
                <wp:effectExtent l="0" t="0" r="0" b="0"/>
                <wp:wrapNone/>
                <wp:docPr id="22" name="文本框 22"/>
                <wp:cNvGraphicFramePr/>
                <a:graphic xmlns:a="http://schemas.openxmlformats.org/drawingml/2006/main">
                  <a:graphicData uri="http://schemas.microsoft.com/office/word/2010/wordprocessingShape">
                    <wps:wsp>
                      <wps:cNvSpPr txBox="1"/>
                      <wps:spPr>
                        <a:xfrm>
                          <a:off x="1761490" y="3122930"/>
                          <a:ext cx="80010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宋体" w:hAnsi="宋体" w:eastAsia="宋体" w:cs="宋体"/>
                                <w:b w:val="0"/>
                                <w:bCs w:val="0"/>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宋体" w:hAnsi="宋体" w:cs="宋体"/>
                                <w:b w:val="0"/>
                                <w:bCs w:val="0"/>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泮洋村</w:t>
                            </w:r>
                            <w:r>
                              <w:rPr>
                                <w:rFonts w:hint="eastAsia" w:ascii="宋体" w:hAnsi="宋体" w:eastAsia="宋体" w:cs="宋体"/>
                                <w:b w:val="0"/>
                                <w:bCs w:val="0"/>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居民点</w:t>
                            </w:r>
                          </w:p>
                        </w:txbxContent>
                      </wps:txbx>
                      <wps:bodyPr rot="0" spcFirstLastPara="0" vertOverflow="overflow" horzOverflow="overflow" vert="horz" wrap="square" lIns="91440" tIns="45720" rIns="91440" bIns="4572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50.05pt;margin-top:27.1pt;height:20.45pt;width:63pt;z-index:251672576;mso-width-relative:page;mso-height-relative:page;" filled="f" stroked="f" coordsize="21600,21600" o:gfxdata="UEsDBAoAAAAAAIdO4kAAAAAAAAAAAAAAAAAEAAAAZHJzL1BLAwQUAAAACACHTuJA0jryetQAAAAJ&#10;AQAADwAAAGRycy9kb3ducmV2LnhtbE2Py07DMBBF90j8gzVIbBD1Q7RqQ5wuKmVdNeUD3HhIUvyI&#10;Yqcpf8+wguWdObpzptzfvWM3nNIQgwa5EsAwtNEOodPwca5ft8BSNsEaFwNq+MYE++rxoTSFjUs4&#10;4a3JHaOSkAqjoc95LDhPbY/epFUcMdDuM07eZIpTx+1kFir3jishNtybIdCF3ox46LH9amavIarl&#10;xZ0aWR+Oy7UWxxnPTUKtn5+keAeW8Z7/YPjVJ3WoyOkS52ATc5SFkIRqWL8pYAQotaHBRcNuLYFX&#10;Jf//QfUDUEsDBBQAAAAIAIdO4kC68MqnTgIAAH8EAAAOAAAAZHJzL2Uyb0RvYy54bWytVEtu2zAQ&#10;3RfoHQjuG1mKncRG5MBNkKJA0ARIi65pirIE8FeSjpQeoL1BV91033P5HH2k5CRIu8iiG3rIGb2Z&#10;92bGp2e9kuROON8aXdL8YEKJ0NxUrd6U9NPHyzcnlPjAdMWk0aKk98LTs+XrV6edXYjCNEZWwhGA&#10;aL/obEmbEOwiyzxvhGL+wFih4ayNUyzg6jZZ5VgHdCWzYjI5yjrjKusMF97j9WJw0hHRvQTQ1HXL&#10;xYXhWyV0GFCdkCyAkm9a6+kyVVvXgofruvYiEFlSMA3pRBLY63hmy1O22Dhmm5aPJbCXlPCMk2Kt&#10;RtIHqAsWGNm69i8o1XJnvKnDATcqG4gkRcAinzzT5rZhViQukNrbB9H9/4PlH+5uHGmrkhYFJZop&#10;dHz34/vu5+/dr28EbxCos36BuFuLyNC/NT3GZv/u8Rh597VT8ReMSPQfH+XTOUS+L+lhXhTzw1Fq&#10;0QfCEXAyAV34OQKK2fw4n0XE7BHIOh/eCaNINErq0MkkMLu78mEI3YfEvNpctlKmbkpNupIeHc4m&#10;6YMHD8ClRo5IZyg7WqFf9yPHtanuQdGZYUq85Zctkl8xH26Yw1igXixOuMZRS4MkZrQoaYz7+q/3&#10;GI9uwUtJhzErqf+yZU5QIt9r9HGeT6eADekynR0XuLinnvVTj96qc4NJzrGiliczxge5N2tn1Gfs&#10;1ypmhYtpjtwlDXvzPAzDj/3kYrVKQVvr2k0zfICptCxc6VvLY5oorberbYC8SfUo2aDTqCTmMvVt&#10;3KE4+E/vKerxf2P5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I68nrUAAAACQEAAA8AAAAAAAAA&#10;AQAgAAAAIgAAAGRycy9kb3ducmV2LnhtbFBLAQIUABQAAAAIAIdO4kC68MqnTgIAAH8EAAAOAAAA&#10;AAAAAAEAIAAAACMBAABkcnMvZTJvRG9jLnhtbFBLBQYAAAAABgAGAFkBAADjBQAAAAA=&#10;">
                <v:fill on="f" focussize="0,0"/>
                <v:stroke on="f" weight="0.5pt"/>
                <v:imagedata o:title=""/>
                <o:lock v:ext="edit" aspectratio="f"/>
                <v:textbox style="mso-fit-shape-to-text:t;">
                  <w:txbxContent>
                    <w:p>
                      <w:pPr>
                        <w:rPr>
                          <w:rFonts w:hint="default" w:ascii="宋体" w:hAnsi="宋体" w:eastAsia="宋体" w:cs="宋体"/>
                          <w:b w:val="0"/>
                          <w:bCs w:val="0"/>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宋体" w:hAnsi="宋体" w:cs="宋体"/>
                          <w:b w:val="0"/>
                          <w:bCs w:val="0"/>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泮洋村</w:t>
                      </w:r>
                      <w:r>
                        <w:rPr>
                          <w:rFonts w:hint="eastAsia" w:ascii="宋体" w:hAnsi="宋体" w:eastAsia="宋体" w:cs="宋体"/>
                          <w:b w:val="0"/>
                          <w:bCs w:val="0"/>
                          <w:color w:val="000000" w:themeColor="text1"/>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居民点</w:t>
                      </w:r>
                    </w:p>
                  </w:txbxContent>
                </v:textbox>
              </v:shape>
            </w:pict>
          </mc:Fallback>
        </mc:AlternateContent>
      </w:r>
      <w:r>
        <w:rPr>
          <w:rFonts w:hint="default" w:ascii="Times New Roman" w:hAnsi="Times New Roman" w:cs="Times New Roman"/>
          <w:color w:val="C00000"/>
        </w:rPr>
        <w:drawing>
          <wp:anchor distT="0" distB="0" distL="114300" distR="114300" simplePos="0" relativeHeight="251689984" behindDoc="0" locked="0" layoutInCell="1" allowOverlap="1">
            <wp:simplePos x="0" y="0"/>
            <wp:positionH relativeFrom="column">
              <wp:posOffset>5458460</wp:posOffset>
            </wp:positionH>
            <wp:positionV relativeFrom="paragraph">
              <wp:posOffset>46990</wp:posOffset>
            </wp:positionV>
            <wp:extent cx="1047115" cy="812800"/>
            <wp:effectExtent l="0" t="0" r="635" b="635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6">
                      <a:clrChange>
                        <a:clrFrom>
                          <a:srgbClr val="FFFFFF">
                            <a:alpha val="100000"/>
                          </a:srgbClr>
                        </a:clrFrom>
                        <a:clrTo>
                          <a:srgbClr val="FFFFFF">
                            <a:alpha val="100000"/>
                            <a:alpha val="0"/>
                          </a:srgbClr>
                        </a:clrTo>
                      </a:clrChange>
                    </a:blip>
                    <a:stretch>
                      <a:fillRect/>
                    </a:stretch>
                  </pic:blipFill>
                  <pic:spPr>
                    <a:xfrm>
                      <a:off x="0" y="0"/>
                      <a:ext cx="1047115" cy="812800"/>
                    </a:xfrm>
                    <a:prstGeom prst="rect">
                      <a:avLst/>
                    </a:prstGeom>
                    <a:solidFill>
                      <a:schemeClr val="bg1">
                        <a:lumMod val="95000"/>
                        <a:alpha val="70000"/>
                      </a:schemeClr>
                    </a:solidFill>
                    <a:ln>
                      <a:noFill/>
                    </a:ln>
                  </pic:spPr>
                </pic:pic>
              </a:graphicData>
            </a:graphic>
          </wp:anchor>
        </w:drawing>
      </w:r>
      <w:r>
        <w:rPr>
          <w:sz w:val="18"/>
        </w:rPr>
        <mc:AlternateContent>
          <mc:Choice Requires="wps">
            <w:drawing>
              <wp:anchor distT="0" distB="0" distL="114300" distR="114300" simplePos="0" relativeHeight="251723776" behindDoc="0" locked="0" layoutInCell="1" allowOverlap="1">
                <wp:simplePos x="0" y="0"/>
                <wp:positionH relativeFrom="column">
                  <wp:posOffset>2624455</wp:posOffset>
                </wp:positionH>
                <wp:positionV relativeFrom="paragraph">
                  <wp:posOffset>990600</wp:posOffset>
                </wp:positionV>
                <wp:extent cx="1133475" cy="49149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133475" cy="4914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宋体" w:hAnsi="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福建通隆食品</w:t>
                            </w:r>
                          </w:p>
                          <w:p>
                            <w:pPr>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有限公司</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06.65pt;margin-top:78pt;height:38.7pt;width:89.25pt;z-index:251723776;mso-width-relative:page;mso-height-relative:page;" filled="f" stroked="f" coordsize="21600,21600" o:gfxdata="UEsDBAoAAAAAAIdO4kAAAAAAAAAAAAAAAAAEAAAAZHJzL1BLAwQUAAAACACHTuJAA6LUKNsAAAAL&#10;AQAADwAAAGRycy9kb3ducmV2LnhtbE2Py07DMBBF90j8gzVI7KjzaKo2jVOhSBUSgkVLN+wm8TSJ&#10;iO0Quw/4eoYVLEf36s45xeZqBnGmyffOKohnEQiyjdO9bRUc3rYPSxA+oNU4OEsKvsjDpry9KTDX&#10;7mJ3dN6HVvCI9Tkq6EIYcyl905FBP3MjWc6ObjIY+JxaqSe88LgZZBJFC2mwt/yhw5GqjpqP/cko&#10;eK62r7irE7P8Hqqnl+Pj+Hl4z5S6v4ujNYhA1/BXhl98RoeSmWp3stqLQcE8TlOucpAtWIob2Spm&#10;mVpBkqZzkGUh/zuUP1BLAwQUAAAACACHTuJA2grAHUECAAB0BAAADgAAAGRycy9lMm9Eb2MueG1s&#10;rVTLbhMxFN0j8Q+W93SSNn1FmVShVRFSRCsFxNrxeDKW/MJ2OhM+AP6AFRv2fFe+g2NPklaFRRds&#10;PNe+z3PuvTO56rQiD8IHaU1Jh0cDSoThtpJmVdJPH2/fXFASIjMVU9aIkm5EoFfT168mrRuLY9tY&#10;VQlPEMSEcetK2sToxkUReCM0C0fWCQNlbb1mEVe/KirPWkTXqjgeDM6K1vrKectFCHi96ZV0F9G/&#10;JKCta8nFjeVrLUzso3qhWASk0EgX6DRXW9eCx7u6DiISVVIgjflEEsjLdBbTCRuvPHON5LsS2EtK&#10;eIZJM2mQ9BDqhkVG1l7+FUpL7m2wdTziVhc9kMwIUAwHz7hZNMyJjAVUB3cgPfy/sPzDw70nsirp&#10;xSklhml0fPvj+/bn7+2vbwRvIKh1YQy7hYNl7N7aDmOzfw94TLi72uv0BSICPejdHOgVXSQ8OQ1P&#10;TkbnSMOhG10OR5eZ/+LR2/kQ3wmrSRJK6tG+zCp7mIeISmC6N0nJjL2VSuUWKkPakp6dnA6yw0ED&#10;D2XgmDD0tSYpdstuB2xpqw1weduPRnD8ViL5nIV4zzxmAVCwLfEOR60sktidRElj/dd/vSd7tAha&#10;SlrMVknDlzXzghL13qB5gD5Kw5gvo9PzY1z8U83yqcas9bXF+A6xl45nMdlHtRdrb/VnLNUsZYWK&#10;GY7cJY178Tr2E4+l5GI2y0Zr5+Wq6R0wio7FuVk4ntL01M7W0dYys54o63naMYlhzM3YLU6a9qf3&#10;bPX4s5j+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AOi1CjbAAAACwEAAA8AAAAAAAAAAQAgAAAA&#10;IgAAAGRycy9kb3ducmV2LnhtbFBLAQIUABQAAAAIAIdO4kDaCsAdQQIAAHQEAAAOAAAAAAAAAAEA&#10;IAAAACoBAABkcnMvZTJvRG9jLnhtbFBLBQYAAAAABgAGAFkBAADdBQAAAAA=&#10;">
                <v:fill on="f" focussize="0,0"/>
                <v:stroke on="f" weight="0.5pt"/>
                <v:imagedata o:title=""/>
                <o:lock v:ext="edit" aspectratio="f"/>
                <v:textbox>
                  <w:txbxContent>
                    <w:p>
                      <w:pPr>
                        <w:rPr>
                          <w:rFonts w:hint="eastAsia" w:ascii="宋体" w:hAnsi="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福建通隆食品</w:t>
                      </w:r>
                    </w:p>
                    <w:p>
                      <w:pPr>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有限公司</w:t>
                      </w:r>
                    </w:p>
                  </w:txbxContent>
                </v:textbox>
              </v:shape>
            </w:pict>
          </mc:Fallback>
        </mc:AlternateContent>
      </w:r>
      <w:r>
        <w:rPr>
          <w:sz w:val="18"/>
        </w:rPr>
        <mc:AlternateContent>
          <mc:Choice Requires="wps">
            <w:drawing>
              <wp:anchor distT="0" distB="0" distL="114300" distR="114300" simplePos="0" relativeHeight="251722752" behindDoc="0" locked="0" layoutInCell="1" allowOverlap="1">
                <wp:simplePos x="0" y="0"/>
                <wp:positionH relativeFrom="column">
                  <wp:posOffset>2801620</wp:posOffset>
                </wp:positionH>
                <wp:positionV relativeFrom="paragraph">
                  <wp:posOffset>995045</wp:posOffset>
                </wp:positionV>
                <wp:extent cx="683895" cy="516255"/>
                <wp:effectExtent l="12700" t="12700" r="27305" b="23495"/>
                <wp:wrapNone/>
                <wp:docPr id="177" name="任意多边形 177"/>
                <wp:cNvGraphicFramePr/>
                <a:graphic xmlns:a="http://schemas.openxmlformats.org/drawingml/2006/main">
                  <a:graphicData uri="http://schemas.microsoft.com/office/word/2010/wordprocessingShape">
                    <wps:wsp>
                      <wps:cNvSpPr/>
                      <wps:spPr>
                        <a:xfrm>
                          <a:off x="3701415" y="2263775"/>
                          <a:ext cx="683895" cy="516255"/>
                        </a:xfrm>
                        <a:custGeom>
                          <a:avLst/>
                          <a:gdLst>
                            <a:gd name="connisteX0" fmla="*/ 412750 w 706755"/>
                            <a:gd name="connsiteY0" fmla="*/ 40005 h 516255"/>
                            <a:gd name="connisteX1" fmla="*/ 666750 w 706755"/>
                            <a:gd name="connsiteY1" fmla="*/ 0 h 516255"/>
                            <a:gd name="connisteX2" fmla="*/ 706755 w 706755"/>
                            <a:gd name="connsiteY2" fmla="*/ 421005 h 516255"/>
                            <a:gd name="connisteX3" fmla="*/ 31750 w 706755"/>
                            <a:gd name="connsiteY3" fmla="*/ 516255 h 516255"/>
                            <a:gd name="connisteX4" fmla="*/ 0 w 706755"/>
                            <a:gd name="connsiteY4" fmla="*/ 309880 h 516255"/>
                            <a:gd name="connisteX5" fmla="*/ 444500 w 706755"/>
                            <a:gd name="connsiteY5" fmla="*/ 246380 h 516255"/>
                            <a:gd name="connisteX6" fmla="*/ 412750 w 706755"/>
                            <a:gd name="connsiteY6" fmla="*/ 40005 h 51625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706755" h="516255">
                              <a:moveTo>
                                <a:pt x="412750" y="40005"/>
                              </a:moveTo>
                              <a:lnTo>
                                <a:pt x="666750" y="0"/>
                              </a:lnTo>
                              <a:lnTo>
                                <a:pt x="706755" y="421005"/>
                              </a:lnTo>
                              <a:lnTo>
                                <a:pt x="31750" y="516255"/>
                              </a:lnTo>
                              <a:lnTo>
                                <a:pt x="0" y="309880"/>
                              </a:lnTo>
                              <a:lnTo>
                                <a:pt x="444500" y="246380"/>
                              </a:lnTo>
                              <a:lnTo>
                                <a:pt x="412750" y="40005"/>
                              </a:lnTo>
                              <a:close/>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20.6pt;margin-top:78.35pt;height:40.65pt;width:53.85pt;z-index:251722752;mso-width-relative:page;mso-height-relative:page;" filled="f" stroked="t" coordsize="706755,516255" o:gfxdata="UEsDBAoAAAAAAIdO4kAAAAAAAAAAAAAAAAAEAAAAZHJzL1BLAwQUAAAACACHTuJAh/8HgdcAAAAL&#10;AQAADwAAAGRycy9kb3ducmV2LnhtbE2PMU/DMBCFdyT+g3VIbPScNG3TEKdDUTcWCkPHa2ziiNiO&#10;Yrcp/55jgvH0Pr33Xb27uUFczRT74BVkCwnC+Dbo3ncKPt4PTyWImMhrGoI3Cr5NhF1zf1dTpcPs&#10;38z1mDrBJT5WpMCmNFaIsbXGUVyE0XjOPsPkKPE5dagnmrncDZhLuUZHvecFS6PZW9N+HS9OASLu&#10;l69zmsYDpdJmL6fN1p2UenzI5DOIZG7pD4ZffVaHhp3O4eJ1FIOCoshyRjlYrTcgmFgV5RbEWUG+&#10;LCVgU+P/H5ofUEsDBBQAAAAIAIdO4kDidWO7XQMAAN8JAAAOAAAAZHJzL2Uyb0RvYy54bWytVk9v&#10;0zAUvyPxHSwfkVj+Nu2qpUhQjQuCSRsSHF3HaSIldmR7bXfnzp0j4kugCT4NQ3wMnu2k9TaxdhKX&#10;xInf7/f++j2fvNi0DVoxqWrBcxwdhRgxTkVR82WO31+cPp9gpDThBWkEZzm+Ygq/mD19crLupiwW&#10;lWgKJhGQcDVddzmutO6mQaBoxVqijkTHOGyWQrZEw6dcBoUka2BvmyAOwyxYC1l0UlCmFPydu03c&#10;M8pDCEVZ1pTNBb1sGdeOVbKGaHBJVXWn8MxaW5aM6ndlqZhGTY7BU22foATWC/MMZidkupSkq2ra&#10;m0AOMeGOTy2pOSjdUs2JJuhS1veo2ppKoUSpj6hoA+eIjQh4EYV3YnNekY5ZXyDUqtsGXf0/Wvp2&#10;dSZRXUAljMcYcdJCyn9dX//+9Pnm25c/P7/f/PiKzBYEat2pKcifd2ey/1KwNF5vStmaN/iDNjlO&#10;xmGURiOMrnIcx1kyHo9coNlGIwoC2SSZHMM+BYFRlMUjux/siOil0q+ZsKRk9UZpl6cCVjbKRW8p&#10;FZzXSrMPkM+ybSB1zwKURvF4FKI1GofZ2FFDYnyIqjX7eAsShuEIVWhnzB2EVRJ5SrIMuPcr8SHh&#10;XgWxp8AZv9cLH5LG0SFuJJ6WJDrECx/hQrTXldRTsj9MvnQSHk8m+2MF5bPLeJqOwv1afEicZskB&#10;WjJfy2F1dQtyr66gyJdDGZNqqGy64X1pwwoR04pD2086ocyJ8usczoz57GsYDgZQAsqciz1gKEYf&#10;HJlDeTAYCs0Hx48CQwH54ORRYCgOH5w+Cuy60DZgQ6M5LGCQSl9z5mt2geuzJmHQmBHT2BGjMYIR&#10;I+2IWRgMmXZEm2QPS7TOcd+dULXtgWa3FSt2IaycNpl3zczakZpi6k3YiTXcF3dtyYrb4QZWDgLD&#10;u7O8g3bwz7WNnniQGt5O2rYJy7rrkP+khsYKrO4YP8ia2mNrpd1xfFjaHj8r7UdiMJQ2QjFX0CbY&#10;trK3UTfJ8kYKF6d109jENNzkIh4BJcwjAheaEi4SsGw7GIqKLzEizRJuSlRLeyKVaOrCwE2OlFwu&#10;XjUSrYi5X4Qvw9Mh6rfEOqn0nKjKydmtratgqBmsbpSa1UIUV3bC2v8w960r/R3FXCz8b4ve3ctm&#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N&#10;BQAAW0NvbnRlbnRfVHlwZXNdLnhtbFBLAQIUAAoAAAAAAIdO4kAAAAAAAAAAAAAAAAAGAAAAAAAA&#10;AAAAEAAAAK8EAABfcmVscy9QSwECFAAUAAAACACHTuJAihRmPNEAAACUAQAACwAAAAAAAAABACAA&#10;AADTBAAAX3JlbHMvLnJlbHNQSwECFAAKAAAAAACHTuJAAAAAAAAAAAAAAAAABAAAAAAAAAAAABAA&#10;AAAAAAAAZHJzL1BLAQIUABQAAAAIAIdO4kCH/weB1wAAAAsBAAAPAAAAAAAAAAEAIAAAACIAAABk&#10;cnMvZG93bnJldi54bWxQSwECFAAUAAAACACHTuJA4nVju10DAADfCQAADgAAAAAAAAABACAAAAAm&#10;AQAAZHJzL2Uyb0RvYy54bWxQSwUGAAAAAAYABgBZAQAA9QYAAAAA&#10;" path="m412750,40005l666750,0,706755,421005,31750,516255,0,309880,444500,246380,412750,40005xe">
                <v:path o:connectlocs="399399,40005;645183,0;683895,421005;30723,516255;0,309880;430122,246380;399399,40005" o:connectangles="0,0,0,0,0,0,0"/>
                <v:fill on="f" focussize="0,0"/>
                <v:stroke weight="2pt" color="#00B0F0 [2404]" joinstyle="round"/>
                <v:imagedata o:title=""/>
                <o:lock v:ext="edit" aspectratio="f"/>
              </v:shape>
            </w:pict>
          </mc:Fallback>
        </mc:AlternateContent>
      </w:r>
      <w:r>
        <w:rPr>
          <w:sz w:val="18"/>
        </w:rPr>
        <mc:AlternateContent>
          <mc:Choice Requires="wps">
            <w:drawing>
              <wp:anchor distT="0" distB="0" distL="114300" distR="114300" simplePos="0" relativeHeight="251721728" behindDoc="0" locked="0" layoutInCell="1" allowOverlap="1">
                <wp:simplePos x="0" y="0"/>
                <wp:positionH relativeFrom="column">
                  <wp:posOffset>3500120</wp:posOffset>
                </wp:positionH>
                <wp:positionV relativeFrom="paragraph">
                  <wp:posOffset>638175</wp:posOffset>
                </wp:positionV>
                <wp:extent cx="1706880" cy="777875"/>
                <wp:effectExtent l="12700" t="12700" r="13970" b="28575"/>
                <wp:wrapNone/>
                <wp:docPr id="174" name="任意多边形 174"/>
                <wp:cNvGraphicFramePr/>
                <a:graphic xmlns:a="http://schemas.openxmlformats.org/drawingml/2006/main">
                  <a:graphicData uri="http://schemas.microsoft.com/office/word/2010/wordprocessingShape">
                    <wps:wsp>
                      <wps:cNvSpPr/>
                      <wps:spPr>
                        <a:xfrm>
                          <a:off x="4399915" y="1906905"/>
                          <a:ext cx="1706880" cy="777875"/>
                        </a:xfrm>
                        <a:custGeom>
                          <a:avLst/>
                          <a:gdLst>
                            <a:gd name="connisteX0" fmla="*/ 0 w 1706880"/>
                            <a:gd name="connsiteY0" fmla="*/ 245745 h 777875"/>
                            <a:gd name="connisteX1" fmla="*/ 1619250 w 1706880"/>
                            <a:gd name="connsiteY1" fmla="*/ 0 h 777875"/>
                            <a:gd name="connisteX2" fmla="*/ 1706880 w 1706880"/>
                            <a:gd name="connsiteY2" fmla="*/ 508000 h 777875"/>
                            <a:gd name="connisteX3" fmla="*/ 47625 w 1706880"/>
                            <a:gd name="connsiteY3" fmla="*/ 777875 h 777875"/>
                            <a:gd name="connisteX4" fmla="*/ 0 w 1706880"/>
                            <a:gd name="connsiteY4" fmla="*/ 245745 h 7778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706880" h="777875">
                              <a:moveTo>
                                <a:pt x="0" y="245745"/>
                              </a:moveTo>
                              <a:lnTo>
                                <a:pt x="1619250" y="0"/>
                              </a:lnTo>
                              <a:lnTo>
                                <a:pt x="1706880" y="508000"/>
                              </a:lnTo>
                              <a:lnTo>
                                <a:pt x="47625" y="777875"/>
                              </a:lnTo>
                              <a:lnTo>
                                <a:pt x="0" y="245745"/>
                              </a:lnTo>
                              <a:close/>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75.6pt;margin-top:50.25pt;height:61.25pt;width:134.4pt;z-index:251721728;mso-width-relative:page;mso-height-relative:page;" filled="f" stroked="t" coordsize="1706880,777875" o:gfxdata="UEsDBAoAAAAAAIdO4kAAAAAAAAAAAAAAAAAEAAAAZHJzL1BLAwQUAAAACACHTuJAQiQMhNYAAAAL&#10;AQAADwAAAGRycy9kb3ducmV2LnhtbE2PwU7DMBBE70j9B2srcaN2ggIlxKnUSpUQnFrg7sZL4hKv&#10;o9hpy9+znOhxNU8zb6vVxffihGN0gTRkCwUCqQnWUavh4317twQRkyFr+kCo4QcjrOrZTWVKG860&#10;w9M+tYJLKJZGQ5fSUEoZmw69iYswIHH2FUZvEp9jK+1ozlzue5kr9SC9ccQLnRlw02HzvZ+8BjnR&#10;LsnHz5bQbY7u+Bre1k8vWt/OM/UMIuEl/cPwp8/qULPTIUxko+g1FEWWM8qBUgUIJpY8COKgIc/v&#10;Fci6ktc/1L9QSwMEFAAAAAgAh07iQKgjlrUUAwAAQggAAA4AAABkcnMvZTJvRG9jLnhtbK1VT2/T&#10;MBS/I/EdrByRWJysadpq7SSoxgXBpA0Jjq7jNJES27K9trtz584R8SXQBJ+GIT4Gz3bSmm2oncQl&#10;tuP3fu+93/vjk9NN26AVU7oWfBolRzhCjFNR1Hw5jd5dnj0fRUgbwgvSCM6m0TXT0ens6ZOTtZyw&#10;VFSiKZhCAML1ZC2nUWWMnMSxphVriT4SknG4LIVqiYGjWsaFImtAb5s4xXgYr4UqpBKUaQ1/5/4y&#10;6hDVIYCiLGvK5oJetYwbj6pYQwyEpKta6mjmvC1LRs3bstTMoGYaQaTGfcEI7Bf2G89OyGSpiKxq&#10;2rlADnHhTkwtqTkY3ULNiSHoStX3oNqaKqFFaY6oaGMfiGMEokjwHW4uKiKZiwWo1nJLuv5/sPTN&#10;6lyhuoBKyAcR4qSFlP+8ufn18dPt18+/f3y7/f4F2Ssgai31BOQv5LnqThq2NupNqVq7QjxoM40G&#10;x+PxOMkidA2wYzwc48wTzTYGURBIcjwcjSAHFCTyPB/lTiDeIdErbV4x4VDJ6rU2PlEF7BzNRecq&#10;FZzX2rD3AFa2DeTuWYwwWoPP3kSnF4jr2rAPoXg6yPJBhiq08wQSec9CElhIhsk4zQ6wEyrhvSbS&#10;0IQPYH8ooVKGRxjvt3Mc2BnkwzTbbyVU8TztjQbq6TEpCcUfSAkUx7JPP6n6iqAb3pUE7BCxMwy7&#10;RpRC21IM6wNqzR67/ENhACRo2XraowxZDJUTW80HK0N+QuX0UcpAe6h8/ChlYDRUdk3cu+3XjjsF&#10;c9JOyMZNSBMhmJDKTciFb1xJjKXcUmW3aB30cLVtYXvdihW7FE7Q2ARAo4EPPp+d8zuRhoeiXVM5&#10;BTeZwcdeol+lA+2b20L7ku+ge7F+9eKuxB3srsP/if2Awz0abYRmPvWWBVcDW2YsocHQ4uKsbhoQ&#10;tjFYvtJsgAGbEngzS3irYNtKmLuaLyNEmiU8xtQoV7taNHVh1a22VsvFy0ahFbFPGH6Bz3pu/hKT&#10;Sps50ZWXc1dbTsBRO7v9tLa7hSiu3RB3/+FpcaF0z6B9u8Kz0949/bM/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gwUAAFtDb250ZW50X1R5cGVz&#10;XS54bWxQSwECFAAKAAAAAACHTuJAAAAAAAAAAAAAAAAABgAAAAAAAAAAABAAAABlBAAAX3JlbHMv&#10;UEsBAhQAFAAAAAgAh07iQIoUZjzRAAAAlAEAAAsAAAAAAAAAAQAgAAAAiQQAAF9yZWxzLy5yZWxz&#10;UEsBAhQACgAAAAAAh07iQAAAAAAAAAAAAAAAAAQAAAAAAAAAAAAQAAAAAAAAAGRycy9QSwECFAAU&#10;AAAACACHTuJAQiQMhNYAAAALAQAADwAAAAAAAAABACAAAAAiAAAAZHJzL2Rvd25yZXYueG1sUEsB&#10;AhQAFAAAAAgAh07iQKgjlrUUAwAAQggAAA4AAAAAAAAAAQAgAAAAJQEAAGRycy9lMm9Eb2MueG1s&#10;UEsFBgAAAAAGAAYAWQEAAKsGAAAAAA==&#10;" path="m0,245745l1619250,0,1706880,508000,47625,777875,0,245745xe">
                <v:path o:connectlocs="0,245745;1619250,0;1706880,508000;47625,777875;0,245745" o:connectangles="0,0,0,0,0"/>
                <v:fill on="f" focussize="0,0"/>
                <v:stroke weight="2pt" color="#00B0F0 [2404]" joinstyle="round"/>
                <v:imagedata o:title=""/>
                <o:lock v:ext="edit" aspectratio="f"/>
              </v:shape>
            </w:pict>
          </mc:Fallback>
        </mc:AlternateContent>
      </w:r>
      <w:r>
        <w:rPr>
          <w:sz w:val="18"/>
        </w:rPr>
        <mc:AlternateContent>
          <mc:Choice Requires="wpg">
            <w:drawing>
              <wp:anchor distT="0" distB="0" distL="114300" distR="114300" simplePos="0" relativeHeight="251720704" behindDoc="0" locked="0" layoutInCell="1" allowOverlap="1">
                <wp:simplePos x="0" y="0"/>
                <wp:positionH relativeFrom="column">
                  <wp:posOffset>3152140</wp:posOffset>
                </wp:positionH>
                <wp:positionV relativeFrom="paragraph">
                  <wp:posOffset>2044700</wp:posOffset>
                </wp:positionV>
                <wp:extent cx="2072005" cy="384810"/>
                <wp:effectExtent l="0" t="0" r="4445" b="68580"/>
                <wp:wrapNone/>
                <wp:docPr id="25" name="组合 25"/>
                <wp:cNvGraphicFramePr/>
                <a:graphic xmlns:a="http://schemas.openxmlformats.org/drawingml/2006/main">
                  <a:graphicData uri="http://schemas.microsoft.com/office/word/2010/wordprocessingGroup">
                    <wpg:wgp>
                      <wpg:cNvGrpSpPr/>
                      <wpg:grpSpPr>
                        <a:xfrm>
                          <a:off x="0" y="0"/>
                          <a:ext cx="2072005" cy="384808"/>
                          <a:chOff x="10916" y="843197"/>
                          <a:chExt cx="1606" cy="21974"/>
                        </a:xfrm>
                      </wpg:grpSpPr>
                      <wps:wsp>
                        <wps:cNvPr id="29" name="直接箭头连接符 75"/>
                        <wps:cNvCnPr/>
                        <wps:spPr>
                          <a:xfrm>
                            <a:off x="10916" y="858290"/>
                            <a:ext cx="1606" cy="6881"/>
                          </a:xfrm>
                          <a:prstGeom prst="straightConnector1">
                            <a:avLst/>
                          </a:prstGeom>
                          <a:ln w="22225">
                            <a:solidFill>
                              <a:srgbClr val="FFFF00"/>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30" name="文本框 77"/>
                        <wps:cNvSpPr txBox="1"/>
                        <wps:spPr>
                          <a:xfrm>
                            <a:off x="11537" y="843197"/>
                            <a:ext cx="784" cy="20669"/>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b/>
                                  <w:bCs/>
                                  <w:color w:val="auto"/>
                                  <w:sz w:val="24"/>
                                  <w:szCs w:val="24"/>
                                  <w:lang w:val="en-US" w:eastAsia="zh-CN"/>
                                </w:rPr>
                              </w:pPr>
                              <w:r>
                                <w:rPr>
                                  <w:rFonts w:hint="eastAsia"/>
                                  <w:b/>
                                  <w:bCs/>
                                  <w:color w:val="auto"/>
                                  <w:sz w:val="24"/>
                                  <w:szCs w:val="24"/>
                                  <w:lang w:val="en-US" w:eastAsia="zh-CN"/>
                                </w:rPr>
                                <w:t>233m</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wpg:wgp>
                  </a:graphicData>
                </a:graphic>
              </wp:anchor>
            </w:drawing>
          </mc:Choice>
          <mc:Fallback>
            <w:pict>
              <v:group id="_x0000_s1026" o:spid="_x0000_s1026" o:spt="203" style="position:absolute;left:0pt;margin-left:248.2pt;margin-top:161pt;height:30.3pt;width:163.15pt;z-index:251720704;mso-width-relative:page;mso-height-relative:page;" coordorigin="10916,843197" coordsize="1606,21974" o:gfxdata="UEsDBAoAAAAAAIdO4kAAAAAAAAAAAAAAAAAEAAAAZHJzL1BLAwQUAAAACACHTuJAK1fll9sAAAAL&#10;AQAADwAAAGRycy9kb3ducmV2LnhtbE2PwU7DMAyG70i8Q2QkbixtNkpXmk5oAk4TEhsS2i1rvbZa&#10;41RN1m5vjznB0fan39+fry62EyMOvnWkIZ5FIJBKV7VUa/javT2kIHwwVJnOEWq4oodVcXuTm6xy&#10;E33iuA214BDymdHQhNBnUvqyQWv8zPVIfDu6wZrA41DLajATh9tOqihKpDUt8YfG9LhusDxtz1bD&#10;+2Sml3n8Om5Ox/V1v3v8+N7EqPX9XRw9gwh4CX8w/OqzOhTsdHBnqrzoNCyWyYJRDXOluBQTqVJP&#10;IA68SVUCssjl/w7FD1BLAwQUAAAACACHTuJABX7jD4kDAAACCAAADgAAAGRycy9lMm9Eb2MueG1s&#10;vVVLbxQ5EL4j8R8s30l3z7OnlQkKExIhRSRSFu3Z43Y/JLfttT3pCWcEnBAnLqCVVlr2xO6JGwd+&#10;DYGfQdnueRAilgVp+9Bd7bKrXF99VbV7e9lwdM60qaWY4mQnxogJKvNalFP84JfDWylGxhKREy4F&#10;m+ILZvDtvZs3dluVsZ6sJM+ZRmBEmKxVU1xZq7IoMrRiDTE7UjEBykLqhlj41WWUa9KC9YZHvTge&#10;Ra3UudKSMmNg9SAocWdRf49BWRQ1ZQeSLhombLCqGScWQjJVrQze87ctCkbtSVEYZhGfYojU+jc4&#10;AXnu3tHeLslKTVRV0+4K5HuucCWmhtQCnK5NHRBL0ELXX5lqaqqlkYXdobKJQiAeEYgiia9gc6Tl&#10;QvlYyqwt1Rp0SNQV1H/YLL1/fqpRnU9xb4iRIA1k/OO7Rx+eP0WwAOi0qsxg05FWZ+pUdwtl+HMB&#10;LwvduC+EgpYe14s1rmxpEYXFXjyGzIN9Crp+OkjjNABPK8iOO5bEk2SEEajTQT+ZjFfqu52FZBSD&#10;2h3vgXbg1NHKd+SuuL5Rq4CWZoOV+TmsziqimE+BcTCssJqssXr59vLZ64///P3hz7ef3v/u5Dd/&#10;oXEHnT8zEx1uJjMA4TWgbUU/THuTjpUr9Daxj9I0+SJ0kilt7BGTDXLCFBurSV1WdiaFAO5LnXhW&#10;kvNjYwNmqwPuGkIe1pzDOsm4QC2AC49LE4G6LqCeQGwUcMOIEiPCS2gY1Gpv0khe5+64O210OZ9x&#10;jc4JlNkhPLGPAVL0xTbn+4CYKuzzqpDoipH8rsiRvVDAP6K1bIPCkppfowDDXAAFXLIDpk6ay/zC&#10;Q+3XgQSOvf8DG/rQTELlXL54cvnqzeUfj9HYU9i5B9a4ykF2eUc6prvANvdekXhdQEky7I+/qoQV&#10;F8bpoCuDeDSafJsLGgjwn7I/6g/jf8lt7J9glauKhEyukx1o4GtzK/HXZ8su58sOipA4pGVoz0bR&#10;wxqockyMPSUa+jEADBPLnsCr4BKIKjsJo0rqh9etu/1Q+qDFqIX+DiT+bUE0w4jfE9AUJslg4AaC&#10;/xkMoUFhpLc1822NWDQzCdxOYDYq6kW33/KVWGjZ/AqDbd95BRURFHxPMZRQEGc2TB0YjJTt7/tN&#10;C6VdsXoZxoEi9licKerchPLcX1hZ1L5yNwTveO/57XsfjAYPeTfG3OzZ/vf7N6N77z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9BQAAW0NvbnRl&#10;bnRfVHlwZXNdLnhtbFBLAQIUAAoAAAAAAIdO4kAAAAAAAAAAAAAAAAAGAAAAAAAAAAAAEAAAAN8E&#10;AABfcmVscy9QSwECFAAUAAAACACHTuJAihRmPNEAAACUAQAACwAAAAAAAAABACAAAAADBQAAX3Jl&#10;bHMvLnJlbHNQSwECFAAKAAAAAACHTuJAAAAAAAAAAAAAAAAABAAAAAAAAAAAABAAAAAAAAAAZHJz&#10;L1BLAQIUABQAAAAIAIdO4kArV+WX2wAAAAsBAAAPAAAAAAAAAAEAIAAAACIAAABkcnMvZG93bnJl&#10;di54bWxQSwECFAAUAAAACACHTuJABX7jD4kDAAACCAAADgAAAAAAAAABACAAAAAqAQAAZHJzL2Uy&#10;b0RvYy54bWxQSwUGAAAAAAYABgBZAQAAJQcAAAAA&#10;">
                <o:lock v:ext="edit" aspectratio="f"/>
                <v:shape id="直接箭头连接符 75" o:spid="_x0000_s1026" o:spt="32" type="#_x0000_t32" style="position:absolute;left:10916;top:858290;height:6881;width:1606;" filled="f" stroked="t" coordsize="21600,21600" o:gfxdata="UEsDBAoAAAAAAIdO4kAAAAAAAAAAAAAAAAAEAAAAZHJzL1BLAwQUAAAACACHTuJARNQYVr4AAADb&#10;AAAADwAAAGRycy9kb3ducmV2LnhtbEWPQWvCQBSE7wX/w/IKvZS60YJozEZEKJRepCpib4/sMwnN&#10;vg3Z19X+e7dQ8DjMzDdMsbq6TkUaQuvZwGScgSKuvG25NnDYv73MQQVBtth5JgO/FGBVjh4KzK2/&#10;8CfFndQqQTjkaKAR6XOtQ9WQwzD2PXHyzn5wKEkOtbYDXhLcdXqaZTPtsOW00GBPm4aq792PM7Cu&#10;PzCupdOHrdufjs8SF1+v0Zinx0m2BCV0lXv4v/1uDUwX8Pcl/QBd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NQYVr4A&#10;AADbAAAADwAAAAAAAAABACAAAAAiAAAAZHJzL2Rvd25yZXYueG1sUEsBAhQAFAAAAAgAh07iQDMv&#10;BZ47AAAAOQAAABAAAAAAAAAAAQAgAAAADQEAAGRycy9zaGFwZXhtbC54bWxQSwUGAAAAAAYABgBb&#10;AQAAtwMAAAAA&#10;">
                  <v:fill on="f" focussize="0,0"/>
                  <v:stroke weight="1.75pt" color="#FFFF00 [3204]" joinstyle="round" startarrow="open" endarrow="open"/>
                  <v:imagedata o:title=""/>
                  <o:lock v:ext="edit" aspectratio="f"/>
                </v:shape>
                <v:shape id="文本框 77" o:spid="_x0000_s1026" o:spt="202" type="#_x0000_t202" style="position:absolute;left:11537;top:843197;height:20669;width:784;" filled="f" stroked="t" coordsize="21600,21600" o:gfxdata="UEsDBAoAAAAAAIdO4kAAAAAAAAAAAAAAAAAEAAAAZHJzL1BLAwQUAAAACACHTuJA2iCearsAAADb&#10;AAAADwAAAGRycy9kb3ducmV2LnhtbEVPTYvCMBC9C/6HMIIXWVMVZKlGQUGRXfag6+p1bMa22ExK&#10;ErXurzcHwePjfU/njanEjZwvLSsY9BMQxJnVJecK9r+rj08QPiBrrCyTggd5mM/arSmm2t55S7dd&#10;yEUMYZ+igiKEOpXSZwUZ9H1bE0fubJ3BEKHLpXZ4j+GmksMkGUuDJceGAmtaFpRddlejYN37Pv6d&#10;Dj9fe/e/vCzOtV812ivV7QySCYhATXiLX+6NVjCK6+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iCearsAAADb&#10;AAAADwAAAAAAAAABACAAAAAiAAAAZHJzL2Rvd25yZXYueG1sUEsBAhQAFAAAAAgAh07iQDMvBZ47&#10;AAAAOQAAABAAAAAAAAAAAQAgAAAACgEAAGRycy9zaGFwZXhtbC54bWxQSwUGAAAAAAYABgBbAQAA&#10;tAMAAAAA&#10;">
                  <v:fill on="f" focussize="0,0"/>
                  <v:stroke weight="0.5pt" color="#000000 [3204]" opacity="0f" joinstyle="round"/>
                  <v:imagedata o:title=""/>
                  <o:lock v:ext="edit" aspectratio="f"/>
                  <v:textbox>
                    <w:txbxContent>
                      <w:p>
                        <w:pPr>
                          <w:jc w:val="center"/>
                          <w:rPr>
                            <w:rFonts w:hint="default" w:eastAsia="宋体"/>
                            <w:b/>
                            <w:bCs/>
                            <w:color w:val="auto"/>
                            <w:sz w:val="24"/>
                            <w:szCs w:val="24"/>
                            <w:lang w:val="en-US" w:eastAsia="zh-CN"/>
                          </w:rPr>
                        </w:pPr>
                        <w:r>
                          <w:rPr>
                            <w:rFonts w:hint="eastAsia"/>
                            <w:b/>
                            <w:bCs/>
                            <w:color w:val="auto"/>
                            <w:sz w:val="24"/>
                            <w:szCs w:val="24"/>
                            <w:lang w:val="en-US" w:eastAsia="zh-CN"/>
                          </w:rPr>
                          <w:t>233m</w:t>
                        </w:r>
                      </w:p>
                    </w:txbxContent>
                  </v:textbox>
                </v:shape>
              </v:group>
            </w:pict>
          </mc:Fallback>
        </mc:AlternateContent>
      </w:r>
      <w:r>
        <w:rPr>
          <w:sz w:val="18"/>
        </w:rPr>
        <mc:AlternateContent>
          <mc:Choice Requires="wps">
            <w:drawing>
              <wp:anchor distT="0" distB="0" distL="114300" distR="114300" simplePos="0" relativeHeight="251718656" behindDoc="0" locked="0" layoutInCell="1" allowOverlap="1">
                <wp:simplePos x="0" y="0"/>
                <wp:positionH relativeFrom="column">
                  <wp:posOffset>2228850</wp:posOffset>
                </wp:positionH>
                <wp:positionV relativeFrom="paragraph">
                  <wp:posOffset>2096135</wp:posOffset>
                </wp:positionV>
                <wp:extent cx="828675" cy="714375"/>
                <wp:effectExtent l="12700" t="12700" r="15875" b="15875"/>
                <wp:wrapNone/>
                <wp:docPr id="173" name="任意多边形 173"/>
                <wp:cNvGraphicFramePr/>
                <a:graphic xmlns:a="http://schemas.openxmlformats.org/drawingml/2006/main">
                  <a:graphicData uri="http://schemas.microsoft.com/office/word/2010/wordprocessingShape">
                    <wps:wsp>
                      <wps:cNvSpPr/>
                      <wps:spPr>
                        <a:xfrm>
                          <a:off x="3128645" y="3364865"/>
                          <a:ext cx="828675" cy="714375"/>
                        </a:xfrm>
                        <a:custGeom>
                          <a:avLst/>
                          <a:gdLst>
                            <a:gd name="connisteX0" fmla="*/ 571500 w 828675"/>
                            <a:gd name="connsiteY0" fmla="*/ 219075 h 714375"/>
                            <a:gd name="connisteX1" fmla="*/ 723900 w 828675"/>
                            <a:gd name="connsiteY1" fmla="*/ 57150 h 714375"/>
                            <a:gd name="connisteX2" fmla="*/ 600075 w 828675"/>
                            <a:gd name="connsiteY2" fmla="*/ 0 h 714375"/>
                            <a:gd name="connisteX3" fmla="*/ 438150 w 828675"/>
                            <a:gd name="connsiteY3" fmla="*/ 123825 h 714375"/>
                            <a:gd name="connisteX4" fmla="*/ 676275 w 828675"/>
                            <a:gd name="connsiteY4" fmla="*/ 333375 h 714375"/>
                            <a:gd name="connisteX5" fmla="*/ 581025 w 828675"/>
                            <a:gd name="connsiteY5" fmla="*/ 428625 h 714375"/>
                            <a:gd name="connisteX6" fmla="*/ 171450 w 828675"/>
                            <a:gd name="connsiteY6" fmla="*/ 85725 h 714375"/>
                            <a:gd name="connisteX7" fmla="*/ 0 w 828675"/>
                            <a:gd name="connsiteY7" fmla="*/ 266700 h 714375"/>
                            <a:gd name="connisteX8" fmla="*/ 552450 w 828675"/>
                            <a:gd name="connsiteY8" fmla="*/ 714375 h 714375"/>
                            <a:gd name="connisteX9" fmla="*/ 828675 w 828675"/>
                            <a:gd name="connsiteY9" fmla="*/ 438150 h 714375"/>
                            <a:gd name="connisteX10" fmla="*/ 685800 w 828675"/>
                            <a:gd name="connsiteY10" fmla="*/ 342900 h 714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828675" h="714375">
                              <a:moveTo>
                                <a:pt x="571500" y="219075"/>
                              </a:moveTo>
                              <a:lnTo>
                                <a:pt x="723900" y="57150"/>
                              </a:lnTo>
                              <a:lnTo>
                                <a:pt x="600075" y="0"/>
                              </a:lnTo>
                              <a:lnTo>
                                <a:pt x="438150" y="123825"/>
                              </a:lnTo>
                              <a:lnTo>
                                <a:pt x="676275" y="333375"/>
                              </a:lnTo>
                              <a:lnTo>
                                <a:pt x="581025" y="428625"/>
                              </a:lnTo>
                              <a:lnTo>
                                <a:pt x="171450" y="85725"/>
                              </a:lnTo>
                              <a:lnTo>
                                <a:pt x="0" y="266700"/>
                              </a:lnTo>
                              <a:lnTo>
                                <a:pt x="552450" y="714375"/>
                              </a:lnTo>
                              <a:lnTo>
                                <a:pt x="828675" y="438150"/>
                              </a:lnTo>
                              <a:lnTo>
                                <a:pt x="685800" y="342900"/>
                              </a:lnTo>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5.5pt;margin-top:165.05pt;height:56.25pt;width:65.25pt;z-index:251718656;mso-width-relative:page;mso-height-relative:page;" filled="f" stroked="t" coordsize="828675,714375" o:gfxdata="UEsDBAoAAAAAAIdO4kAAAAAAAAAAAAAAAAAEAAAAZHJzL1BLAwQUAAAACACHTuJAHLT519sAAAAL&#10;AQAADwAAAGRycy9kb3ducmV2LnhtbE2PS0/DMBCE70j8B2uRuFHbfakKcXooQkJC4tEWzk5s4tB4&#10;HWI3Tf892xPcZrSj2W/y9ehbNtg+NgEVyIkAZrEKpsFawX73eLcCFpNGo9uAVsHZRlgX11e5zkw4&#10;4bsdtqlmVIIx0wpcSl3Geayc9TpOQmeRbl+h9zqR7Wtuen2ict/yqRBL7nWD9MHpzm6crQ7bo1cw&#10;vj29fHzuNm542PNvfD08/7iyVOr2Rop7YMmO6S8MF3xCh4KYynBEE1mrYLaQtCWRmAkJjBLzlVwA&#10;K0nMp0vgRc7/byh+AVBLAwQUAAAACACHTuJAo1tISewDAAAfDQAADgAAAGRycy9lMm9Eb2MueG1s&#10;rVdNj+M0GL4j8R+sHJGYfH9MNZ2VYDRcEKy0iwRHj+M0kRI7sj1t586dO0fEn0Ar+DUs4mfw+nXS&#10;enelJpXooXHq93m/v3r36jj0ZM+V7qTYBvFNFBAumKw7sdsGP7x9/LIKiDZU1LSXgm+DF66DV/ef&#10;f3Z3GDc8ka3sa64IMBF6cxi3QWvMuAlDzVo+UH0jRy7gspFqoAZe1S6sFT0A96EPkygqwoNU9agk&#10;41rDrw/uMpg4qjUMZdN0jD9I9jxwYRxXxXtqwCTddqMO7lHbpuHMfN80mhvSbwOw1OA3CIHzk/0O&#10;7+/oZqfo2HZsUoGuUeEjmwbaCRB6YvVADSXPqvuE1dAxJbVszA2TQ+gMQY+AFXH0kW/etHTkaAu4&#10;Wo8np+v/jy37bv9aka6GTCjTgAg6QMj/fvfun59/ef/7r//+9cf7P38j9gocdRj1BujfjK/V9Kbh&#10;aK0+NmqwT7CHHLdBGidVkeUBeYFzWmRVkTtH86MhDAgquC/hngFBGWcpnIFjeGbEnrX5hktkSvff&#10;auPiVMMJvVxPmjIpRKcN/xHi2Qw9hO6LkORlnEcROZBJzIT1ILoz/CcfksS3UZmTlpy1gVh+IiX2&#10;pJRJertCig9BxRaFJJ6QIoqsXkum+JBoUQDE+eSrLK3AWYsCfEicpFWy7KvMk1KURbLCDB+SwmdF&#10;RCCJTrbkVRyBYkvO8iEZJOIKWwpPSgwpssJjPqTKyxVCSk/IckR86qQoSkjFpeyFxn72VZ6sscKH&#10;uNJYlHLrSXEFuBgRHzIl5JItsV+9RZVXa0rRx6RZYsvXlwP9Zzd3GNrOTYcdxdR14ESonZIRtvpR&#10;atvs/BYE7cy+Tu3FtTRA2Za1AIY24YPjqR+uA0P5++DkKjCUtg/GTg+eWCcZKtYHZ1dJdgPi5LB5&#10;BqyTDPXlSy6ukgzF44PLq8BQEz64ugoMqe6Db68C26T30fDu5ZgL2pSrCjYfu/P0uPOYgMDOo3Dn&#10;ebIYuhmpsSk+H8nhPJXb01C2t4Pc87cS6YzNdzddURE3NScdznS98OndnER6hE7kM9H8HJG5m3dI&#10;PNs2E8xPR+jaBBK6eXSZLc4fpHZz5SK1myNI7ebDRWo3D5Aa+/xFYhdA168vEubYn5HreSWBCM9e&#10;mJ/OG/M+BckxOcblxUw1PycnY7t03sAu+IEmIMTmBq5jpySxueWtZEI+dn2PedQLmzpJnkVgG6Pw&#10;h6CBRRyOwwhLpRa7gNB+B/80mFHYNrXsu9rCbUpptXv6uldkT+1+Hn0VPc5h/4BsVNo8UN06Orw6&#10;6QyK2sXUraL29CTrF9xQ8XfYm9GUace3i7n/jujz/5r7/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gBgAAW0NvbnRlbnRfVHlwZXNdLnhtbFBL&#10;AQIUAAoAAAAAAIdO4kAAAAAAAAAAAAAAAAAGAAAAAAAAAAAAEAAAAEIFAABfcmVscy9QSwECFAAU&#10;AAAACACHTuJAihRmPNEAAACUAQAACwAAAAAAAAABACAAAABmBQAAX3JlbHMvLnJlbHNQSwECFAAK&#10;AAAAAACHTuJAAAAAAAAAAAAAAAAABAAAAAAAAAAAABAAAAAAAAAAZHJzL1BLAQIUABQAAAAIAIdO&#10;4kActPnX2wAAAAsBAAAPAAAAAAAAAAEAIAAAACIAAABkcnMvZG93bnJldi54bWxQSwECFAAUAAAA&#10;CACHTuJAo1tISewDAAAfDQAADgAAAAAAAAABACAAAAAqAQAAZHJzL2Uyb0RvYy54bWxQSwUGAAAA&#10;AAYABgBZAQAAiAcAAAAA&#10;" path="m571500,219075l723900,57150,600075,0,438150,123825,676275,333375,581025,428625,171450,85725,0,266700,552450,714375,828675,438150,685800,342900e">
                <v:path o:connectlocs="571500,219075;723900,57150;600075,0;438150,123825;676275,333375;581025,428625;171450,85725;0,266700;552450,714375;828675,438150;685800,342900" o:connectangles="0,0,0,0,0,0,0,0,0,0,0"/>
                <v:fill on="f" focussize="0,0"/>
                <v:stroke weight="2pt" color="#00B0F0 [2404]" joinstyle="round"/>
                <v:imagedata o:title=""/>
                <o:lock v:ext="edit" aspectratio="f"/>
              </v:shape>
            </w:pict>
          </mc:Fallback>
        </mc:AlternateContent>
      </w:r>
      <w:r>
        <w:rPr>
          <w:sz w:val="18"/>
        </w:rPr>
        <mc:AlternateContent>
          <mc:Choice Requires="wps">
            <w:drawing>
              <wp:anchor distT="0" distB="0" distL="114300" distR="114300" simplePos="0" relativeHeight="251716608" behindDoc="0" locked="0" layoutInCell="1" allowOverlap="1">
                <wp:simplePos x="0" y="0"/>
                <wp:positionH relativeFrom="column">
                  <wp:posOffset>2571750</wp:posOffset>
                </wp:positionH>
                <wp:positionV relativeFrom="paragraph">
                  <wp:posOffset>2705735</wp:posOffset>
                </wp:positionV>
                <wp:extent cx="1152525" cy="1057275"/>
                <wp:effectExtent l="12700" t="12700" r="15875" b="15875"/>
                <wp:wrapNone/>
                <wp:docPr id="170" name="任意多边形 170"/>
                <wp:cNvGraphicFramePr/>
                <a:graphic xmlns:a="http://schemas.openxmlformats.org/drawingml/2006/main">
                  <a:graphicData uri="http://schemas.microsoft.com/office/word/2010/wordprocessingShape">
                    <wps:wsp>
                      <wps:cNvSpPr/>
                      <wps:spPr>
                        <a:xfrm>
                          <a:off x="3471545" y="3974465"/>
                          <a:ext cx="1152525" cy="1057275"/>
                        </a:xfrm>
                        <a:custGeom>
                          <a:avLst/>
                          <a:gdLst>
                            <a:gd name="connisteX0" fmla="*/ 0 w 1152525"/>
                            <a:gd name="connsiteY0" fmla="*/ 447675 h 1057275"/>
                            <a:gd name="connisteX1" fmla="*/ 647700 w 1152525"/>
                            <a:gd name="connsiteY1" fmla="*/ 1057275 h 1057275"/>
                            <a:gd name="connisteX2" fmla="*/ 1152525 w 1152525"/>
                            <a:gd name="connsiteY2" fmla="*/ 600075 h 1057275"/>
                            <a:gd name="connisteX3" fmla="*/ 457200 w 1152525"/>
                            <a:gd name="connsiteY3" fmla="*/ 0 h 1057275"/>
                            <a:gd name="connisteX4" fmla="*/ 0 w 1152525"/>
                            <a:gd name="connsiteY4" fmla="*/ 447675 h 10572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152525" h="1057275">
                              <a:moveTo>
                                <a:pt x="0" y="447675"/>
                              </a:moveTo>
                              <a:lnTo>
                                <a:pt x="647700" y="1057275"/>
                              </a:lnTo>
                              <a:lnTo>
                                <a:pt x="1152525" y="600075"/>
                              </a:lnTo>
                              <a:lnTo>
                                <a:pt x="457200" y="0"/>
                              </a:lnTo>
                              <a:lnTo>
                                <a:pt x="0" y="447675"/>
                              </a:lnTo>
                              <a:close/>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02.5pt;margin-top:213.05pt;height:83.25pt;width:90.75pt;z-index:251716608;mso-width-relative:page;mso-height-relative:page;" filled="f" stroked="t" coordsize="1152525,1057275" o:gfxdata="UEsDBAoAAAAAAIdO4kAAAAAAAAAAAAAAAAAEAAAAZHJzL1BLAwQUAAAACACHTuJAoUMKqtsAAAAL&#10;AQAADwAAAGRycy9kb3ducmV2LnhtbE2PzU7DMBCE70i8g7VI3KidqIlKiFMhoBISEi0tB45ubOKo&#10;/onibZu+PcsJbjPa0ew39XLyjp3MmPoYJGQzAcyENuo+dBI+d6u7BbCEKmjlYjASLibBsrm+qlWl&#10;4zl8mNMWO0YlIVVKgkUcKs5Ta41XaRYHE+j2HUevkOzYcT2qM5V7x3MhSu5VH+iDVYN5sqY9bI9e&#10;Ar7j5XV6O3zN7Wp4di+7x/UmbqS8vcnEAzA0E/6F4Ref0KEhpn08Bp2YkzAXBW1BEnmZAaNEsSgL&#10;YHsS93kJvKn5/w3ND1BLAwQUAAAACACHTuJAwHrzjw8DAABLCAAADgAAAGRycy9lMm9Eb2MueG1s&#10;rVbBbhMxEL0j8Q+Wj0h0vekmC1GSShCVC4JKLRIcHa83u5LXtmw3Se/cuXNE/ASq4Gso4jMYe3cT&#10;0xYllVCkrDee92bmzXicycmmEWjFja2VnOL0iGDEJVNFLZdT/O7i9OkzjKyjsqBCST7FV9zik9nj&#10;R5O1HvOBqpQouEFAIu14rae4ck6Pk8SyijfUHinNJWyWyjTUwatZJoWha2BvRDIgZJSslSm0UYxb&#10;C7/O203cMZpDCFVZ1ozPFbtsuHQtq+GCOkjJVrW2eBaiLUvO3NuytNwhMcWQqQvf4ATWC/+dzCZ0&#10;vDRUVzXrQqCHhHArp4bWEpxuqebUUXRp6jtUTc2Msqp0R0w1SZtIUASySMktbc4rqnnIBaS2eiu6&#10;/X+07M3qzKC6gE7IQRNJGyj5z+vrXx8/3Xz9/PvHt5vvX5DfAqHW2o7B/lyfme7NwtJnvSlN45+Q&#10;D9pM8XGWp8NsiNEVrJ/nWTYatkLzjUMMDNJ0OIAPRgwsUjLMB3mwSHZU7NK6V1wFWrp6bV1bqQJW&#10;Qeeii5UpKWvr+HuIvmwEFO9Jgghao95Hh4vMbe34h9g8y/JRPkQVikKBUt5xkUYuRlmekwP8xJiO&#10;fr+jQeSoy2N/RjFoRAg5JKPjyFEGZTgkoxhD9ueSRS4O0Cs2v68u0CLLvglo1fcF28iuMWCFqB9l&#10;JJxHrazvyLhLoOX8a9cF0B5ACSjfVXvAUMsYnPqmPhgM5YnBgweBQfMYfPwgMEgag7MY3IbfaWdg&#10;XPpBKcKgdBjBoDRhUC48ho41dV7yfonW0VGudifZ7zdqxS9UsHS+AnDeIIi2ol0AOxMhY9P2aAX7&#10;6EBCpL1Z/9SBuT/onr/t+46/N+ufrXnb5oE9TLV/8t4Tcc/EhLK8Lb6XJHTBVhsvaTS8pDqthQjy&#10;CekVGwwzAtyMwuVZwqUFy0bDALZyiREVS7iVmTOhe60SdeHhXkdrlouXwqAV9XcZeUFO+/j/MtPG&#10;ujm1VWsXtrZ6QKB+iLdj268WqrgK0zz8DndMSKW7D/0lFr8H9O4/wOw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gwUAAFtDb250ZW50X1R5cGVz&#10;XS54bWxQSwECFAAKAAAAAACHTuJAAAAAAAAAAAAAAAAABgAAAAAAAAAAABAAAABlBAAAX3JlbHMv&#10;UEsBAhQAFAAAAAgAh07iQIoUZjzRAAAAlAEAAAsAAAAAAAAAAQAgAAAAiQQAAF9yZWxzLy5yZWxz&#10;UEsBAhQACgAAAAAAh07iQAAAAAAAAAAAAAAAAAQAAAAAAAAAAAAQAAAAAAAAAGRycy9QSwECFAAU&#10;AAAACACHTuJAoUMKqtsAAAALAQAADwAAAAAAAAABACAAAAAiAAAAZHJzL2Rvd25yZXYueG1sUEsB&#10;AhQAFAAAAAgAh07iQMB6848PAwAASwgAAA4AAAAAAAAAAQAgAAAAKgEAAGRycy9lMm9Eb2MueG1s&#10;UEsFBgAAAAAGAAYAWQEAAKsGAAAAAA==&#10;" path="m0,447675l647700,1057275,1152525,600075,457200,0,0,447675xe">
                <v:path o:connectlocs="0,447675;647700,1057275;1152525,600075;457200,0;0,447675" o:connectangles="0,0,0,0,0"/>
                <v:fill on="f" focussize="0,0"/>
                <v:stroke weight="2pt" color="#00B0F0 [2404]" joinstyle="round"/>
                <v:imagedata o:title=""/>
                <o:lock v:ext="edit" aspectratio="f"/>
              </v:shape>
            </w:pict>
          </mc:Fallback>
        </mc:AlternateContent>
      </w:r>
      <w:r>
        <w:rPr>
          <w:sz w:val="18"/>
        </w:rPr>
        <mc:AlternateContent>
          <mc:Choice Requires="wps">
            <w:drawing>
              <wp:anchor distT="0" distB="0" distL="114300" distR="114300" simplePos="0" relativeHeight="251710464" behindDoc="0" locked="0" layoutInCell="1" allowOverlap="1">
                <wp:simplePos x="0" y="0"/>
                <wp:positionH relativeFrom="column">
                  <wp:posOffset>2990850</wp:posOffset>
                </wp:positionH>
                <wp:positionV relativeFrom="paragraph">
                  <wp:posOffset>1972310</wp:posOffset>
                </wp:positionV>
                <wp:extent cx="1762125" cy="1457325"/>
                <wp:effectExtent l="12700" t="12700" r="15875" b="15875"/>
                <wp:wrapNone/>
                <wp:docPr id="168" name="任意多边形 168"/>
                <wp:cNvGraphicFramePr/>
                <a:graphic xmlns:a="http://schemas.openxmlformats.org/drawingml/2006/main">
                  <a:graphicData uri="http://schemas.microsoft.com/office/word/2010/wordprocessingShape">
                    <wps:wsp>
                      <wps:cNvSpPr/>
                      <wps:spPr>
                        <a:xfrm>
                          <a:off x="3890645" y="3241040"/>
                          <a:ext cx="1762125" cy="1457325"/>
                        </a:xfrm>
                        <a:custGeom>
                          <a:avLst/>
                          <a:gdLst>
                            <a:gd name="connisteX0" fmla="*/ 1762125 w 1762125"/>
                            <a:gd name="connsiteY0" fmla="*/ 866775 h 1457325"/>
                            <a:gd name="connisteX1" fmla="*/ 819150 w 1762125"/>
                            <a:gd name="connsiteY1" fmla="*/ 38100 h 1457325"/>
                            <a:gd name="connisteX2" fmla="*/ 85725 w 1762125"/>
                            <a:gd name="connsiteY2" fmla="*/ 0 h 1457325"/>
                            <a:gd name="connisteX3" fmla="*/ 0 w 1762125"/>
                            <a:gd name="connsiteY3" fmla="*/ 85725 h 1457325"/>
                            <a:gd name="connisteX4" fmla="*/ 295275 w 1762125"/>
                            <a:gd name="connsiteY4" fmla="*/ 304800 h 1457325"/>
                            <a:gd name="connisteX5" fmla="*/ 581025 w 1762125"/>
                            <a:gd name="connsiteY5" fmla="*/ 38100 h 1457325"/>
                            <a:gd name="connisteX6" fmla="*/ 790575 w 1762125"/>
                            <a:gd name="connsiteY6" fmla="*/ 28575 h 1457325"/>
                            <a:gd name="connisteX7" fmla="*/ 200025 w 1762125"/>
                            <a:gd name="connsiteY7" fmla="*/ 590550 h 1457325"/>
                            <a:gd name="connisteX8" fmla="*/ 1162050 w 1762125"/>
                            <a:gd name="connsiteY8" fmla="*/ 1457325 h 1457325"/>
                            <a:gd name="connisteX9" fmla="*/ 1762125 w 1762125"/>
                            <a:gd name="connsiteY9" fmla="*/ 866775 h 14573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1762125" h="1457325">
                              <a:moveTo>
                                <a:pt x="1762125" y="866775"/>
                              </a:moveTo>
                              <a:lnTo>
                                <a:pt x="819150" y="38100"/>
                              </a:lnTo>
                              <a:lnTo>
                                <a:pt x="85725" y="0"/>
                              </a:lnTo>
                              <a:lnTo>
                                <a:pt x="0" y="85725"/>
                              </a:lnTo>
                              <a:lnTo>
                                <a:pt x="295275" y="304800"/>
                              </a:lnTo>
                              <a:lnTo>
                                <a:pt x="581025" y="38100"/>
                              </a:lnTo>
                              <a:lnTo>
                                <a:pt x="790575" y="28575"/>
                              </a:lnTo>
                              <a:lnTo>
                                <a:pt x="200025" y="590550"/>
                              </a:lnTo>
                              <a:lnTo>
                                <a:pt x="1162050" y="1457325"/>
                              </a:lnTo>
                              <a:lnTo>
                                <a:pt x="1762125" y="866775"/>
                              </a:lnTo>
                              <a:close/>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5.5pt;margin-top:155.3pt;height:114.75pt;width:138.75pt;z-index:251710464;mso-width-relative:page;mso-height-relative:page;" filled="f" stroked="t" coordsize="1762125,1457325" o:gfxdata="UEsDBAoAAAAAAIdO4kAAAAAAAAAAAAAAAAAEAAAAZHJzL1BLAwQUAAAACACHTuJASwshWNkAAAAL&#10;AQAADwAAAGRycy9kb3ducmV2LnhtbE2PMU/DMBSEdyT+g/WQWCpquyRNFeJ0QGLpVFokVjd+JIH4&#10;ObWdpvx7zATj6U5331Xbqx3YBX3oHSmQSwEMqXGmp1bB2/HlYQMsRE1GD45QwTcG2Na3N5UujZvp&#10;FS+H2LJUQqHUCroYx5Lz0HRodVi6ESl5H85bHZP0LTdez6ncDnwlxJpb3VNa6PSIzx02X4fJKjgX&#10;54Xfi2n/Lia3yj9xN/PFTqn7OymegEW8xr8w/OIndKgT08lNZAIbFGSFTF+igkcp1sBSosg2ObCT&#10;gjwTEnhd8f8f6h9QSwMEFAAAAAgAh07iQHLApK+5AwAAbgwAAA4AAABkcnMvZTJvRG9jLnhtbK1X&#10;y27UMBTdI/EPVpZINI+ZZB7qFAmqskFQCZBg6TrOJFJiR7Y7M92zZ88S8RMIwdcA4jO4tpPpbYEm&#10;I7GZOPE99+3jO8ePdk1NNlzpSopVEB9FAeGCybwS61Xw+tXZw3lAtKEip7UUfBVccR08Orl/73jb&#10;LnkiS1nnXBFQIvRy266C0ph2GYaalbyh+ki2XMBmIVVDDbyqdZgrugXtTR0mUZSFW6nyVknGtYav&#10;p34z6DSqMQplUVSMn0p22XBhvFbFa2ogJF1WrQ5OnLdFwZl5URSaG1KvAojUuF8wAusL+xueHNPl&#10;WtG2rFjnAh3jwq2YGloJMLpXdUoNJZeq+kNVUzEltSzMEZNN6ANxGYEo4uhWbl6WtOUuFki1bvdJ&#10;1/9PLXu+OVekyqETMii8oA2U/PuXLz/fvf/x6cOvb59/fP1I7BYkatvqJci/bM9V96ZhaaPeFaqx&#10;T4iH7FbBZL6IsmkakCtYJ9M4mnaJ5jtDGAjEsyyJExBgIBFP09kEXkBneK2KXWrzlEunlm6eaeMr&#10;lcPK5TnvfGVSiEob/gYqWjQ1FO9BSDr9ZNuvujpjkK4Mf4tB8yybzVJSEuQQFBRjnKEYGZrHiziN&#10;hu1gzGQeR9GwmQSbSWdJOmwFQ0ZYmCALI2LA4nPn0GCqpshCskgTSO9gSTBmEk3nY3IFnbSvfQrp&#10;HZMsjBlZkgyZmS2idEw4GJNA2kY02AyZAcYcFQ3GpOAaNOVgdeC877MWx1kSjenkGyB/coctLbAl&#10;f/aHGwGD/nY2gSzWPR3QsmcIthMdRcCKUHupRY6ZW6ktN2G+APKxrx0TeP4BlOWXATCcZwyOO/Ia&#10;B4ZjisHJQWA4hRg8OQgMZwuDpweBPZ/vE9YT9riY4Rhgy9lBlqG5MXh2EBgaFoPdTQatM85t6EEM&#10;XmDLXknXbAomDTtj1G7GMAGBGUO5GePCYuiypcb2aL8kW3QLlteXoN1v5Ia/kk7S2Jbd35bgij8I&#10;nRvXgrXAAH8rOdcds3XivVD/bJ12R+VO1l3SEFW/3z+9HFyV1r4l/jv1eZ73xh193ynt2Xqkq55z&#10;nbCj0js1e+Z0wp4Q75Tu+M+Jo/v/n9n4Z036pLFaau4pxZbezTb7HrCtg+YbIc+qunZtUgvbGUk6&#10;jSDfjMJ8XcBcC8umhRlNi3VAaL2GwZ0Z5WhNy7rKLdz2i1briye1Ihtqx93ocXTW1/SGWKu0OaW6&#10;9HJua58ccNTOeX6ys6sLmV+5gc99hzHUhdKNzHbOxe8Off034eQ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wYAAFtDb250ZW50X1R5cGVzXS54&#10;bWxQSwECFAAKAAAAAACHTuJAAAAAAAAAAAAAAAAABgAAAAAAAAAAABAAAAANBQAAX3JlbHMvUEsB&#10;AhQAFAAAAAgAh07iQIoUZjzRAAAAlAEAAAsAAAAAAAAAAQAgAAAAMQUAAF9yZWxzLy5yZWxzUEsB&#10;AhQACgAAAAAAh07iQAAAAAAAAAAAAAAAAAQAAAAAAAAAAAAQAAAAAAAAAGRycy9QSwECFAAUAAAA&#10;CACHTuJASwshWNkAAAALAQAADwAAAAAAAAABACAAAAAiAAAAZHJzL2Rvd25yZXYueG1sUEsBAhQA&#10;FAAAAAgAh07iQHLApK+5AwAAbgwAAA4AAAAAAAAAAQAgAAAAKAEAAGRycy9lMm9Eb2MueG1sUEsF&#10;BgAAAAAGAAYAWQEAAFMHAAAAAA==&#10;" path="m1762125,866775l819150,38100,85725,0,0,85725,295275,304800,581025,38100,790575,28575,200025,590550,1162050,1457325,1762125,866775xe">
                <v:path o:connectlocs="1762125,866775;819150,38100;85725,0;0,85725;295275,304800;581025,38100;790575,28575;200025,590550;1162050,1457325;1762125,866775" o:connectangles="0,0,0,0,0,0,0,0,0,0"/>
                <v:fill on="f" focussize="0,0"/>
                <v:stroke weight="2pt" color="#00B0F0 [2404]" joinstyle="round"/>
                <v:imagedata o:title=""/>
                <o:lock v:ext="edit" aspectratio="f"/>
              </v:shape>
            </w:pict>
          </mc:Fallback>
        </mc:AlternateContent>
      </w:r>
      <w:r>
        <w:rPr>
          <w:sz w:val="18"/>
        </w:rPr>
        <mc:AlternateContent>
          <mc:Choice Requires="wpg">
            <w:drawing>
              <wp:anchor distT="0" distB="0" distL="114300" distR="114300" simplePos="0" relativeHeight="251714560" behindDoc="0" locked="0" layoutInCell="1" allowOverlap="1">
                <wp:simplePos x="0" y="0"/>
                <wp:positionH relativeFrom="column">
                  <wp:posOffset>56515</wp:posOffset>
                </wp:positionH>
                <wp:positionV relativeFrom="paragraph">
                  <wp:posOffset>3649345</wp:posOffset>
                </wp:positionV>
                <wp:extent cx="1539240" cy="1183640"/>
                <wp:effectExtent l="4445" t="4445" r="18415" b="12065"/>
                <wp:wrapNone/>
                <wp:docPr id="235" name="组合 235"/>
                <wp:cNvGraphicFramePr/>
                <a:graphic xmlns:a="http://schemas.openxmlformats.org/drawingml/2006/main">
                  <a:graphicData uri="http://schemas.microsoft.com/office/word/2010/wordprocessingGroup">
                    <wpg:wgp>
                      <wpg:cNvGrpSpPr/>
                      <wpg:grpSpPr>
                        <a:xfrm>
                          <a:off x="0" y="0"/>
                          <a:ext cx="1539240" cy="1183640"/>
                          <a:chOff x="4848" y="993437"/>
                          <a:chExt cx="2424" cy="1864"/>
                        </a:xfrm>
                      </wpg:grpSpPr>
                      <wps:wsp>
                        <wps:cNvPr id="61" name="文本框 61"/>
                        <wps:cNvSpPr txBox="1"/>
                        <wps:spPr>
                          <a:xfrm>
                            <a:off x="4848" y="993437"/>
                            <a:ext cx="2424" cy="1864"/>
                          </a:xfrm>
                          <a:prstGeom prst="rect">
                            <a:avLst/>
                          </a:prstGeom>
                          <a:solidFill>
                            <a:schemeClr val="lt1">
                              <a:alpha val="5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30"/>
                                  <w:szCs w:val="30"/>
                                  <w:lang w:val="en-US" w:eastAsia="zh-CN"/>
                                </w:rPr>
                              </w:pPr>
                              <w:r>
                                <w:rPr>
                                  <w:rFonts w:hint="eastAsia"/>
                                  <w:b/>
                                  <w:bCs/>
                                  <w:sz w:val="30"/>
                                  <w:szCs w:val="30"/>
                                  <w:lang w:val="en-US" w:eastAsia="zh-CN"/>
                                </w:rPr>
                                <w:t>图例</w:t>
                              </w:r>
                            </w:p>
                            <w:p>
                              <w:pPr>
                                <w:pStyle w:val="2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eastAsia"/>
                                  <w:b w:val="0"/>
                                  <w:bCs w:val="0"/>
                                  <w:lang w:val="en-US" w:eastAsia="zh-CN"/>
                                </w:rPr>
                              </w:pPr>
                              <w:r>
                                <w:rPr>
                                  <w:rFonts w:hint="eastAsia"/>
                                  <w:b w:val="0"/>
                                  <w:bCs w:val="0"/>
                                  <w:lang w:val="en-US" w:eastAsia="zh-CN"/>
                                </w:rPr>
                                <w:t>项目厂界</w:t>
                              </w:r>
                            </w:p>
                            <w:p>
                              <w:pPr>
                                <w:pStyle w:val="2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eastAsia"/>
                                  <w:b w:val="0"/>
                                  <w:bCs w:val="0"/>
                                  <w:lang w:val="en-US" w:eastAsia="zh-CN"/>
                                </w:rPr>
                              </w:pPr>
                              <w:r>
                                <w:rPr>
                                  <w:rFonts w:hint="eastAsia"/>
                                  <w:b w:val="0"/>
                                  <w:bCs w:val="0"/>
                                  <w:lang w:val="en-US" w:eastAsia="zh-CN"/>
                                </w:rPr>
                                <w:t>周边项目</w:t>
                              </w:r>
                            </w:p>
                            <w:p>
                              <w:pPr>
                                <w:pStyle w:val="2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default"/>
                                  <w:b w:val="0"/>
                                  <w:bCs w:val="0"/>
                                  <w:lang w:val="en-US" w:eastAsia="zh-CN"/>
                                </w:rPr>
                              </w:pPr>
                              <w:r>
                                <w:rPr>
                                  <w:rFonts w:hint="eastAsia"/>
                                  <w:b w:val="0"/>
                                  <w:bCs w:val="0"/>
                                  <w:lang w:val="en-US" w:eastAsia="zh-CN"/>
                                </w:rPr>
                                <w:t>居住区</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wpg:grpSp>
                        <wpg:cNvPr id="83" name="组合 83"/>
                        <wpg:cNvGrpSpPr/>
                        <wpg:grpSpPr>
                          <a:xfrm>
                            <a:off x="5025" y="994080"/>
                            <a:ext cx="585" cy="915"/>
                            <a:chOff x="5011" y="947684"/>
                            <a:chExt cx="585" cy="915"/>
                          </a:xfrm>
                        </wpg:grpSpPr>
                        <wps:wsp>
                          <wps:cNvPr id="63" name="直接连接符 63"/>
                          <wps:cNvCnPr/>
                          <wps:spPr>
                            <a:xfrm>
                              <a:off x="5026" y="947684"/>
                              <a:ext cx="55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4" name="直接连接符 64"/>
                          <wps:cNvCnPr/>
                          <wps:spPr>
                            <a:xfrm>
                              <a:off x="5041" y="948119"/>
                              <a:ext cx="555" cy="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70" name="直接连接符 70"/>
                          <wps:cNvCnPr/>
                          <wps:spPr>
                            <a:xfrm>
                              <a:off x="5011" y="948599"/>
                              <a:ext cx="555" cy="0"/>
                            </a:xfrm>
                            <a:prstGeom prst="line">
                              <a:avLst/>
                            </a:prstGeom>
                            <a:ln w="28575">
                              <a:solidFill>
                                <a:srgbClr val="D11BD8"/>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_x0000_s1026" o:spid="_x0000_s1026" o:spt="203" style="position:absolute;left:0pt;margin-left:4.45pt;margin-top:287.35pt;height:93.2pt;width:121.2pt;z-index:251714560;mso-width-relative:page;mso-height-relative:page;" coordorigin="4848,993437" coordsize="2424,1864" o:gfxdata="UEsDBAoAAAAAAIdO4kAAAAAAAAAAAAAAAAAEAAAAZHJzL1BLAwQUAAAACACHTuJA9pekxNoAAAAJ&#10;AQAADwAAAGRycy9kb3ducmV2LnhtbE2PQWvCQBSE74X+h+UVequb1cZomhcp0vYkQrVQvD2TZxLM&#10;7obsmui/7/bUHocZZr7JVlfdioF711iDoCYRCDaFLRtTIXzt358WIJwnU1JrDSPc2MEqv7/LKC3t&#10;aD552PlKhBLjUkKove9SKV1RsyY3sR2b4J1sr8kH2Vey7GkM5bqV0yiaS02NCQs1dbyuuTjvLhrh&#10;Y6Txdabehs35tL4d9vH2e6MY8fFBRS8gPF/9Xxh+8QM65IHpaC+mdKJFWCxDECFOnhMQwZ/Gagbi&#10;iJDMlQKZZ/L/g/wHUEsDBBQAAAAIAIdO4kAF+uhgAAQAAKAMAAAOAAAAZHJzL2Uyb0RvYy54bWzV&#10;V01vKzUU3SPxHyzvaWaSmWQy6vSpbUiFVPEqFcTacTwfYsY2ttOkrJ+AFWLFBoTEAlZvyY4Fv4Y+&#10;fgbXHjtp04DKNy+LqX2vfe17zr1npsfPNl2LbpjSjeAFjo8ijBinYtnwqsDvvzd/K8NIG8KXpBWc&#10;FfiWafzs5M03jtcyZ0NRi3bJFIIgXOdrWeDaGJkPBprWrCP6SEjGwVkK1REDU1UNloqsIXrXDoZR&#10;NB6shVpKJSjTGqyz3ol9RPWUgKIsG8pmgq46xk0fVbGWGEhJ143U+MTdtiwZNc/LUjOD2gJDpsY9&#10;4RAYL+xzcHJM8koRWTfUX4E85Qp7OXWk4XDoNtSMGIJWqnkUqmuoElqU5oiKbtAn4hCBLOJoD5sL&#10;JVbS5VLl60puQQei9lD/02HpuzdXCjXLAg9HKUacdED5qx9f/PzFZ8haAJ+1rHJYdqHktbxS3lD1&#10;M5vyplSd/QvJoI1D9naLLNsYRMEYp6PpMAHQKfjiOBuNYeKwpzUQZPclWQKVB+7pdJSMJsH7to8w&#10;TIaJ356NE+sdhKMH9obbC60l1KXegaX/GljXNZHMcaAtCh6scRywuvvy07uvX959+wkCmwPHrbNQ&#10;IbM5Ezb5YNdgPIDYwcwDcr+TN8ml0uaCiQ7ZQYEVlLurQnJzqU0PUVhiz9WibZbzpm3dRFWL81ah&#10;GwKtMXe/fm8ra9Jb0wh+HmrdL3ewP4jTcrQu8HiURm77A589fHvGoiX0wxBtdxOgseUQ1vLWA2RH&#10;ZrPYeDQXYnkLYCrRN6+WdN5A3EuizRVR0K1QVqBn5jk8ylbAZYQfYVQL9fEhu10PdQFejNbQ/QXW&#10;H62IYhi173ComGmc2Go1bpKkkyFM1H3P4r6Hr7pzAShCUcDt3NCuN20Ylkp0H4DsndpTwUU4hbML&#10;bMLw3PSaBLJJ2empW7SSqqnqfgOIhSTmkl9Lao+x/HFxujKibBzPFrIeJ48kdEDfua4v/lnlyEah&#10;GbxwgMFx94d0I42GIECu/5Mo8+oQuiDNwGe1Yxo7TSL5VjfSKAbcrSuZjDOnDNYbdGN/53+qGjug&#10;vvrh7vPvfvnpG3i+evk9GnvEnHaccy+zoSGC0G01FrAaP8p5i1XqsQqtGwQ6SIFXi7bhVthI/htq&#10;wYWVCiDSNqjt8WGWTmxo2y4lvG1h2MkltA6voI7bCj4nqFGPVcBLR1Ca+6Kyk4FezGZE1/06pyNe&#10;LQ7oQ1/sVuK83ttq/zeEH15C/iW5T6ErPXsJeE08hcIklG0Wx1ObKclfDwqj6Cyah+JyPIV3iq2w&#10;/z2FExDgwxSCx+nWkyncKk+WTl8rCmdxfDbLfHv9rRTuPsZcb7oPVxg9+DK+P3erdv9YnPwK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wYAAFtD&#10;b250ZW50X1R5cGVzXS54bWxQSwECFAAKAAAAAACHTuJAAAAAAAAAAAAAAAAABgAAAAAAAAAAABAA&#10;AABVBQAAX3JlbHMvUEsBAhQAFAAAAAgAh07iQIoUZjzRAAAAlAEAAAsAAAAAAAAAAQAgAAAAeQUA&#10;AF9yZWxzLy5yZWxzUEsBAhQACgAAAAAAh07iQAAAAAAAAAAAAAAAAAQAAAAAAAAAAAAQAAAAAAAA&#10;AGRycy9QSwECFAAUAAAACACHTuJA9pekxNoAAAAJAQAADwAAAAAAAAABACAAAAAiAAAAZHJzL2Rv&#10;d25yZXYueG1sUEsBAhQAFAAAAAgAh07iQAX66GAABAAAoAwAAA4AAAAAAAAAAQAgAAAAKQEAAGRy&#10;cy9lMm9Eb2MueG1sUEsFBgAAAAAGAAYAWQEAAJsHAAAAAA==&#10;">
                <o:lock v:ext="edit" aspectratio="f"/>
                <v:shape id="_x0000_s1026" o:spid="_x0000_s1026" o:spt="202" type="#_x0000_t202" style="position:absolute;left:4848;top:993437;height:1864;width:2424;" fillcolor="#FFFFFF [3201]" filled="t" stroked="t" coordsize="21600,21600" o:gfxdata="UEsDBAoAAAAAAIdO4kAAAAAAAAAAAAAAAAAEAAAAZHJzL1BLAwQUAAAACACHTuJADNQZ9rsAAADb&#10;AAAADwAAAGRycy9kb3ducmV2LnhtbEWPQYvCMBSE78L+h/AWvNm0Hop0jYJCobC40OreH82zLTYv&#10;pcm2+u83guBxmJlvmO3+bnox0eg6ywqSKAZBXFvdcaPgcs5XGxDOI2vsLZOCBznY7z4WW8y0nbmk&#10;qfKNCBB2GSpovR8yKV3dkkEX2YE4eFc7GvRBjo3UI84Bbnq5juNUGuw4LLQ40LGl+lb9GQWnS5VP&#10;h5+CTV58r12ZzmX3Oyu1/EziLxCe7v4dfrULrSBN4Pkl/AC5+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NQZ9rsAAADb&#10;AAAADwAAAAAAAAABACAAAAAiAAAAZHJzL2Rvd25yZXYueG1sUEsBAhQAFAAAAAgAh07iQDMvBZ47&#10;AAAAOQAAABAAAAAAAAAAAQAgAAAACgEAAGRycy9zaGFwZXhtbC54bWxQSwUGAAAAAAYABgBbAQAA&#10;tAMAAAAA&#10;">
                  <v:fill on="t" opacity="32768f" focussize="0,0"/>
                  <v:stroke weight="0.5pt" color="#000000 [3204]" joinstyle="round"/>
                  <v:imagedata o:title=""/>
                  <o:lock v:ext="edit" aspectratio="f"/>
                  <v:textbox>
                    <w:txbxContent>
                      <w:p>
                        <w:pPr>
                          <w:rPr>
                            <w:rFonts w:hint="eastAsia"/>
                            <w:b/>
                            <w:bCs/>
                            <w:sz w:val="30"/>
                            <w:szCs w:val="30"/>
                            <w:lang w:val="en-US" w:eastAsia="zh-CN"/>
                          </w:rPr>
                        </w:pPr>
                        <w:r>
                          <w:rPr>
                            <w:rFonts w:hint="eastAsia"/>
                            <w:b/>
                            <w:bCs/>
                            <w:sz w:val="30"/>
                            <w:szCs w:val="30"/>
                            <w:lang w:val="en-US" w:eastAsia="zh-CN"/>
                          </w:rPr>
                          <w:t>图例</w:t>
                        </w:r>
                      </w:p>
                      <w:p>
                        <w:pPr>
                          <w:pStyle w:val="2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eastAsia"/>
                            <w:b w:val="0"/>
                            <w:bCs w:val="0"/>
                            <w:lang w:val="en-US" w:eastAsia="zh-CN"/>
                          </w:rPr>
                        </w:pPr>
                        <w:r>
                          <w:rPr>
                            <w:rFonts w:hint="eastAsia"/>
                            <w:b w:val="0"/>
                            <w:bCs w:val="0"/>
                            <w:lang w:val="en-US" w:eastAsia="zh-CN"/>
                          </w:rPr>
                          <w:t>项目厂界</w:t>
                        </w:r>
                      </w:p>
                      <w:p>
                        <w:pPr>
                          <w:pStyle w:val="2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eastAsia"/>
                            <w:b w:val="0"/>
                            <w:bCs w:val="0"/>
                            <w:lang w:val="en-US" w:eastAsia="zh-CN"/>
                          </w:rPr>
                        </w:pPr>
                        <w:r>
                          <w:rPr>
                            <w:rFonts w:hint="eastAsia"/>
                            <w:b w:val="0"/>
                            <w:bCs w:val="0"/>
                            <w:lang w:val="en-US" w:eastAsia="zh-CN"/>
                          </w:rPr>
                          <w:t>周边项目</w:t>
                        </w:r>
                      </w:p>
                      <w:p>
                        <w:pPr>
                          <w:pStyle w:val="28"/>
                          <w:keepNext w:val="0"/>
                          <w:keepLines w:val="0"/>
                          <w:pageBreakBefore w:val="0"/>
                          <w:widowControl w:val="0"/>
                          <w:kinsoku/>
                          <w:wordWrap/>
                          <w:overflowPunct/>
                          <w:topLinePunct w:val="0"/>
                          <w:autoSpaceDE/>
                          <w:autoSpaceDN/>
                          <w:bidi w:val="0"/>
                          <w:adjustRightInd/>
                          <w:snapToGrid/>
                          <w:ind w:left="420" w:firstLine="340" w:firstLineChars="0"/>
                          <w:textAlignment w:val="auto"/>
                          <w:rPr>
                            <w:rFonts w:hint="default"/>
                            <w:b w:val="0"/>
                            <w:bCs w:val="0"/>
                            <w:lang w:val="en-US" w:eastAsia="zh-CN"/>
                          </w:rPr>
                        </w:pPr>
                        <w:r>
                          <w:rPr>
                            <w:rFonts w:hint="eastAsia"/>
                            <w:b w:val="0"/>
                            <w:bCs w:val="0"/>
                            <w:lang w:val="en-US" w:eastAsia="zh-CN"/>
                          </w:rPr>
                          <w:t>居住区</w:t>
                        </w:r>
                      </w:p>
                    </w:txbxContent>
                  </v:textbox>
                </v:shape>
                <v:group id="_x0000_s1026" o:spid="_x0000_s1026" o:spt="203" style="position:absolute;left:5025;top:994080;height:915;width:585;" coordorigin="5011,947684" coordsize="585,915" o:gfxdata="UEsDBAoAAAAAAIdO4kAAAAAAAAAAAAAAAAAEAAAAZHJzL1BLAwQUAAAACACHTuJA6taa5b0AAADb&#10;AAAADwAAAGRycy9kb3ducmV2LnhtbEWPQYvCMBSE7wv+h/AEb2taZReppiKi4kEWVgXx9miebWnz&#10;UprY6r/fLAgeh5n5hlksH6YWHbWutKwgHkcgiDOrS84VnE/bzxkI55E11pZJwZMcLNPBxwITbXv+&#10;pe7ocxEg7BJUUHjfJFK6rCCDbmwb4uDdbGvQB9nmUrfYB7ip5SSKvqXBksNCgQ2tC8qq490o2PXY&#10;r6bxpjtUt/Xzevr6uRxiUmo0jKM5CE8P/w6/2nutYDaF/y/hB8j0D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6taa5b0AAADbAAAADwAAAAAAAAABACAAAAAiAAAAZHJzL2Rvd25yZXYueG1s&#10;UEsBAhQAFAAAAAgAh07iQDMvBZ47AAAAOQAAABUAAAAAAAAAAQAgAAAADAEAAGRycy9ncm91cHNo&#10;YXBleG1sLnhtbFBLBQYAAAAABgAGAGABAADJAwAAAAA=&#10;">
                  <o:lock v:ext="edit" aspectratio="f"/>
                  <v:line id="_x0000_s1026" o:spid="_x0000_s1026" o:spt="20" style="position:absolute;left:5026;top:947684;height:0;width:555;" filled="f" stroked="t" coordsize="21600,21600" o:gfxdata="UEsDBAoAAAAAAIdO4kAAAAAAAAAAAAAAAAAEAAAAZHJzL1BLAwQUAAAACACHTuJAlwW+BL4AAADb&#10;AAAADwAAAGRycy9kb3ducmV2LnhtbEWPzWrDMBCE74G+g9hCbomcFIxxooS2NNBDoNRJm+tibSwT&#10;a2UsxT9vXxUKPQ4z8w2z3Y+2ET11vnasYLVMQBCXTtdcKTifDosMhA/IGhvHpGAiD/vdw2yLuXYD&#10;f1JfhEpECPscFZgQ2lxKXxqy6JeuJY7e1XUWQ5RdJXWHQ4TbRq6TJJUWa44LBlt6NVTeirtVMH5n&#10;z+ZyDC9v7uvD3MZLYfv1pNT8cZVsQAQaw3/4r/2uFaRP8Psl/gC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wW+BL4A&#10;AADbAAAADwAAAAAAAAABACAAAAAiAAAAZHJzL2Rvd25yZXYueG1sUEsBAhQAFAAAAAgAh07iQDMv&#10;BZ47AAAAOQAAABAAAAAAAAAAAQAgAAAADQEAAGRycy9zaGFwZXhtbC54bWxQSwUGAAAAAAYABgBb&#10;AQAAtwMAAAAA&#10;">
                    <v:fill on="f" focussize="0,0"/>
                    <v:stroke weight="2.25pt" color="#FF0000 [3204]" joinstyle="round"/>
                    <v:imagedata o:title=""/>
                    <o:lock v:ext="edit" aspectratio="f"/>
                  </v:line>
                  <v:line id="_x0000_s1026" o:spid="_x0000_s1026" o:spt="20" style="position:absolute;left:5041;top:948119;height:0;width:555;" filled="f" stroked="t" coordsize="21600,21600" o:gfxdata="UEsDBAoAAAAAAIdO4kAAAAAAAAAAAAAAAAAEAAAAZHJzL1BLAwQUAAAACACHTuJApqq4qb4AAADb&#10;AAAADwAAAGRycy9kb3ducmV2LnhtbEWPQWvCQBSE7wX/w/IEb3VXkbSmriKKkEIJVO2ht0f2NQlm&#10;34bsmqT/vlso9DjMzDfMZjfaRvTU+dqxhsVcgSAunKm51HC9nB6fQfiAbLBxTBq+ycNuO3nYYGrc&#10;wO/Un0MpIoR9ihqqENpUSl9UZNHPXUscvS/XWQxRdqU0HQ4Rbhu5VCqRFmuOCxW2dKiouJ3vVsP9&#10;dUxqt1ef6zZ/o8w8XT7y8qj1bLpQLyACjeE//NfOjIZkBb9f4g+Q2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qq4qb4A&#10;AADbAAAADwAAAAAAAAABACAAAAAiAAAAZHJzL2Rvd25yZXYueG1sUEsBAhQAFAAAAAgAh07iQDMv&#10;BZ47AAAAOQAAABAAAAAAAAAAAQAgAAAADQEAAGRycy9zaGFwZXhtbC54bWxQSwUGAAAAAAYABgBb&#10;AQAAtwMAAAAA&#10;">
                    <v:fill on="f" focussize="0,0"/>
                    <v:stroke weight="2.25pt" color="#00B0F0 [3204]" joinstyle="round"/>
                    <v:imagedata o:title=""/>
                    <o:lock v:ext="edit" aspectratio="f"/>
                  </v:line>
                  <v:line id="_x0000_s1026" o:spid="_x0000_s1026" o:spt="20" style="position:absolute;left:5011;top:948599;height:0;width:555;" filled="f" stroked="t" coordsize="21600,21600" o:gfxdata="UEsDBAoAAAAAAIdO4kAAAAAAAAAAAAAAAAAEAAAAZHJzL1BLAwQUAAAACACHTuJAC/3Hn7UAAADb&#10;AAAADwAAAGRycy9kb3ducmV2LnhtbEVPuwrCMBTdBf8hXMFNUx18VKOIIKibtQ5ul+baFJub0sTX&#10;35tBcDyc93L9trV4UusrxwpGwwQEceF0xaWC/LwbzED4gKyxdkwKPuRhvep2lphq9+ITPbNQihjC&#10;PkUFJoQmldIXhiz6oWuII3dzrcUQYVtK3eIrhttajpNkIi1WHBsMNrQ1VNyzh1VwyKeY4SWYotR+&#10;U803h+PldFWq3xslCxCB3uEv/rn3WsE0ro9f4g+Qqy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C/3Hn7UAAADbAAAADwAA&#10;AAAAAAABACAAAAAiAAAAZHJzL2Rvd25yZXYueG1sUEsBAhQAFAAAAAgAh07iQDMvBZ47AAAAOQAA&#10;ABAAAAAAAAAAAQAgAAAABAEAAGRycy9zaGFwZXhtbC54bWxQSwUGAAAAAAYABgBbAQAArgMAAAAA&#10;">
                    <v:fill on="f" focussize="0,0"/>
                    <v:stroke weight="2.25pt" color="#D11BD8 [3204]" joinstyle="round"/>
                    <v:imagedata o:title=""/>
                    <o:lock v:ext="edit" aspectratio="f"/>
                  </v:line>
                </v:group>
              </v:group>
            </w:pict>
          </mc:Fallback>
        </mc:AlternateContent>
      </w:r>
      <w:r>
        <w:rPr>
          <w:sz w:val="24"/>
        </w:rPr>
        <mc:AlternateContent>
          <mc:Choice Requires="wps">
            <w:drawing>
              <wp:anchor distT="0" distB="0" distL="114300" distR="114300" simplePos="0" relativeHeight="251713536" behindDoc="0" locked="0" layoutInCell="1" allowOverlap="1">
                <wp:simplePos x="0" y="0"/>
                <wp:positionH relativeFrom="column">
                  <wp:posOffset>428625</wp:posOffset>
                </wp:positionH>
                <wp:positionV relativeFrom="paragraph">
                  <wp:posOffset>2658110</wp:posOffset>
                </wp:positionV>
                <wp:extent cx="2752725" cy="2028825"/>
                <wp:effectExtent l="12700" t="12700" r="15875" b="15875"/>
                <wp:wrapNone/>
                <wp:docPr id="167" name="任意多边形 167"/>
                <wp:cNvGraphicFramePr/>
                <a:graphic xmlns:a="http://schemas.openxmlformats.org/drawingml/2006/main">
                  <a:graphicData uri="http://schemas.microsoft.com/office/word/2010/wordprocessingShape">
                    <wps:wsp>
                      <wps:cNvSpPr/>
                      <wps:spPr>
                        <a:xfrm>
                          <a:off x="1328420" y="3926840"/>
                          <a:ext cx="2752725" cy="2028825"/>
                        </a:xfrm>
                        <a:custGeom>
                          <a:avLst/>
                          <a:gdLst>
                            <a:gd name="connisteX0" fmla="*/ 2752725 w 2752725"/>
                            <a:gd name="connsiteY0" fmla="*/ 1152525 h 2028825"/>
                            <a:gd name="connisteX1" fmla="*/ 1419225 w 2752725"/>
                            <a:gd name="connsiteY1" fmla="*/ 0 h 2028825"/>
                            <a:gd name="connisteX2" fmla="*/ 962025 w 2752725"/>
                            <a:gd name="connsiteY2" fmla="*/ 161925 h 2028825"/>
                            <a:gd name="connisteX3" fmla="*/ 0 w 2752725"/>
                            <a:gd name="connsiteY3" fmla="*/ 1724025 h 2028825"/>
                            <a:gd name="connisteX4" fmla="*/ 1762125 w 2752725"/>
                            <a:gd name="connsiteY4" fmla="*/ 2028825 h 2028825"/>
                            <a:gd name="connisteX5" fmla="*/ 2724150 w 2752725"/>
                            <a:gd name="connsiteY5" fmla="*/ 1114425 h 20288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2752725" h="2028825">
                              <a:moveTo>
                                <a:pt x="2752725" y="1152525"/>
                              </a:moveTo>
                              <a:lnTo>
                                <a:pt x="1419225" y="0"/>
                              </a:lnTo>
                              <a:lnTo>
                                <a:pt x="962025" y="161925"/>
                              </a:lnTo>
                              <a:lnTo>
                                <a:pt x="0" y="1724025"/>
                              </a:lnTo>
                              <a:lnTo>
                                <a:pt x="1762125" y="2028825"/>
                              </a:lnTo>
                              <a:lnTo>
                                <a:pt x="2724150" y="1114425"/>
                              </a:lnTo>
                            </a:path>
                          </a:pathLst>
                        </a:custGeom>
                        <a:noFill/>
                        <a:ln>
                          <a:solidFill>
                            <a:srgbClr val="D11BD8"/>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3.75pt;margin-top:209.3pt;height:159.75pt;width:216.75pt;z-index:251713536;mso-width-relative:page;mso-height-relative:page;" filled="f" stroked="t" coordsize="2752725,2028825" o:gfxdata="UEsDBAoAAAAAAIdO4kAAAAAAAAAAAAAAAAAEAAAAZHJzL1BLAwQUAAAACACHTuJAfxuNtNsAAAAK&#10;AQAADwAAAGRycy9kb3ducmV2LnhtbE2PW0vEMBCF3wX/QxjBNzeJ2gu16SKCiiDKrouwb9lmti3b&#10;TGqSvfjvjU/6OMzHOd+p5yc7sgP6MDhSIGcCGFLrzECdgtXH41UJLERNRo+OUME3Bpg352e1row7&#10;0gIPy9ixFEKh0gr6GKeK89D2aHWYuQkp/bbOWx3T6TtuvD6mcDvyayFybvVAqaHXEz702O6We6vA&#10;P2/pvs/evhbr16fV+86vQ/H5otTlhRR3wCKe4h8Mv/pJHZrktHF7MoGNCvIiS6SCW1nmwBKQCZnG&#10;bRQUN6UE3tT8/4TmB1BLAwQUAAAACACHTuJAYTICMkADAAAqCQAADgAAAGRycy9lMm9Eb2MueG1s&#10;rVbdbtMwFL5H4h2sXCKxxF76s2rtJKjgBsGkDQkuXcdpIiW2ZXttd88991wiXgJN8DQM8RgcO07r&#10;DUE7CVVK7Pp85/98zunZpm3QimtTSzFN8FGWIC6YLGqxnCZvL188HSfIWCoK2kjBp8k1N8nZ7PGj&#10;07WacCIr2RRcI1AizGStpkllrZqkqWEVb6k5kooLOCylbqmFrV6mhaZr0N42KcmyYbqWulBaMm4M&#10;/DvvDpOgUR+iUJZlzfhcsquWC9tp1byhFkIyVa1MMvPeliVn9k1ZGm5RM00gUuufYATWC/dMZ6d0&#10;stRUVTULLtBDXLgXU0trAUa3qubUUnSl6z9UtTXT0sjSHjHZpl0gPiMQBc7u5eaioor7WCDVRm2T&#10;bv6fWvZ6da5RXUAnDEcJErSFkv+4ufn54ePtl0+/vn+9/fYZuSNI1FqZCchfqHMddgaWLupNqVv3&#10;hnjQBlQdk3FOIMXX0+T4hAzHeUg031jEQICMBmREBgliIEEyMh7DBnSmO1XsytiXXHq1dPXK2K5S&#10;Bax8novgK5NC1Mbyd2CubBso3pMUBf1o3a9CnWOQqS1/H4MwHhD4oQpFHkFFY5C3hCNLOMcnBEB7&#10;LcWgbL8NEtk4GYJDB5iIMXgIfh0Qy3FkJ9sfRSyORyR3fu3NVx7ZwKMhwYcEE4NCPfZbgo6KeoDk&#10;eHBATDEIY5zn92OCrlz2fUervhXZRoRehBWijj0zTwFKGjcEcWNCl7ttaLmu0QHlGnkPGNomBuMw&#10;JYeBoSFiMHkQGEodg48fBIbqxeD8QWAoSAzumcHHDLWAd0i8Bnp3xN54YrcJAmLXntgXziCdKGpd&#10;vfolWkfUU+2Yx523csUvpZe0rnxbigJXAjOEIHaSjYgRgQq8857vwNdeon8rr7sbaC/YzWnQ3Ev1&#10;706649Ewbf+UDMPlFUcc9lc/gIPdiHSOdJ1/Rz8AXQY9L29T6SoQcbOQL+qm8dluhE/wIM9AJaPw&#10;bVDCnQzLVsH9YsQyQbRZwkcHs9pPipFNXTi4S7vRy8XzRqMVhYrOMX42Hwdn7ogpbeycmqqT80db&#10;n8FRd0d1t5JbLWRx7S8r/z9coT6UcN27Ozree/TuE2f2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QFAABbQ29udGVudF9UeXBlc10ueG1sUEsB&#10;AhQACgAAAAAAh07iQAAAAAAAAAAAAAAAAAYAAAAAAAAAAAAQAAAAlgQAAF9yZWxzL1BLAQIUABQA&#10;AAAIAIdO4kCKFGY80QAAAJQBAAALAAAAAAAAAAEAIAAAALoEAABfcmVscy8ucmVsc1BLAQIUAAoA&#10;AAAAAIdO4kAAAAAAAAAAAAAAAAAEAAAAAAAAAAAAEAAAAAAAAABkcnMvUEsBAhQAFAAAAAgAh07i&#10;QH8bjbTbAAAACgEAAA8AAAAAAAAAAQAgAAAAIgAAAGRycy9kb3ducmV2LnhtbFBLAQIUABQAAAAI&#10;AIdO4kBhMgIyQAMAACoJAAAOAAAAAAAAAAEAIAAAACoBAABkcnMvZTJvRG9jLnhtbFBLBQYAAAAA&#10;BgAGAFkBAADcBgAAAAA=&#10;" path="m2752725,1152525l1419225,0,962025,161925,0,1724025,1762125,2028825,2724150,1114425e">
                <v:path o:connectlocs="2752725,1152525;1419225,0;962025,161925;0,1724025;1762125,2028825;2724150,1114425" o:connectangles="0,0,0,0,0,0"/>
                <v:fill on="f" focussize="0,0"/>
                <v:stroke weight="2pt" color="#D11BD8 [2404]" joinstyle="round"/>
                <v:imagedata o:title=""/>
                <o:lock v:ext="edit" aspectratio="f"/>
              </v:shape>
            </w:pict>
          </mc:Fallback>
        </mc:AlternateContent>
      </w:r>
      <w:r>
        <w:rPr>
          <w:sz w:val="24"/>
        </w:rPr>
        <mc:AlternateContent>
          <mc:Choice Requires="wps">
            <w:drawing>
              <wp:anchor distT="0" distB="0" distL="114300" distR="114300" simplePos="0" relativeHeight="251712512" behindDoc="0" locked="0" layoutInCell="1" allowOverlap="1">
                <wp:simplePos x="0" y="0"/>
                <wp:positionH relativeFrom="column">
                  <wp:posOffset>5257165</wp:posOffset>
                </wp:positionH>
                <wp:positionV relativeFrom="paragraph">
                  <wp:posOffset>2268220</wp:posOffset>
                </wp:positionV>
                <wp:extent cx="457835" cy="219075"/>
                <wp:effectExtent l="12700" t="12700" r="24765" b="15875"/>
                <wp:wrapNone/>
                <wp:docPr id="163" name="矩形 163"/>
                <wp:cNvGraphicFramePr/>
                <a:graphic xmlns:a="http://schemas.openxmlformats.org/drawingml/2006/main">
                  <a:graphicData uri="http://schemas.microsoft.com/office/word/2010/wordprocessingShape">
                    <wps:wsp>
                      <wps:cNvSpPr/>
                      <wps:spPr>
                        <a:xfrm>
                          <a:off x="6109970" y="3508375"/>
                          <a:ext cx="457835" cy="219075"/>
                        </a:xfrm>
                        <a:prstGeom prst="rect">
                          <a:avLst/>
                        </a:prstGeom>
                        <a:noFill/>
                        <a:ln>
                          <a:solidFill>
                            <a:srgbClr val="D11BD8"/>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3.95pt;margin-top:178.6pt;height:17.25pt;width:36.05pt;z-index:251712512;v-text-anchor:middle;mso-width-relative:page;mso-height-relative:page;" filled="f" stroked="t" coordsize="21600,21600" o:gfxdata="UEsDBAoAAAAAAIdO4kAAAAAAAAAAAAAAAAAEAAAAZHJzL1BLAwQUAAAACACHTuJAOy5ipNsAAAAL&#10;AQAADwAAAGRycy9kb3ducmV2LnhtbE2Py07DMBBF90j8gzVI7KidIEgT4lQIqaroirao3bqxSSLs&#10;cbDdF1/PsILlzBzdObeenZ1lRxPi4FFCNhHADLZeD9hJeN/M76bAYlKolfVoJFxMhFlzfVWrSvsT&#10;rsxxnTpGIRgrJaFPaaw4j21vnIoTPxqk24cPTiUaQ8d1UCcKd5bnQjxypwakD70azUtv2s/1wUl4&#10;Dt+Lxba92OL17WuTL+e7YbVEKW9vMvEELJlz+oPhV5/UoSGnvT+gjsxKmOZFSaiE+4ciB0ZEKQS1&#10;29OmzArgTc3/d2h+AFBLAwQUAAAACACHTuJA4qek+20CAADDBAAADgAAAGRycy9lMm9Eb2MueG1s&#10;rVRLbtswEN0X6B0I7htJ/iS2ETlwY6QoEDQB0qJrmqIsAfyVpC2nlynQXQ7R4xS9Rh8p5dO0iyy6&#10;oWc4T29mHmd8enZQkuyF863RJS2OckqE5qZq9baknz5evJlR4gPTFZNGi5LeCk/Plq9fnXZ2IUam&#10;MbISjoBE+0VnS9qEYBdZ5nkjFPNHxgqNYG2cYgGu22aVYx3YlcxGeX6cdcZV1hkuvMftug/SgdG9&#10;hNDUdcvF2vCdEjr0rE5IFtCSb1rr6TJVW9eCh6u69iIQWVJ0GtKJJLA38cyWp2yxdcw2LR9KYC8p&#10;4VlPirUaSR+o1iwwsnPtX1Sq5c54U4cjblTWN5IUQRdF/kybm4ZZkXqB1N4+iO7/Hy3/sL92pK0w&#10;CcdjSjRTePJf3+5+/vhO4g306axfAHZjr93geZix2UPtVPxFG+RQ0uMin89PoOxtScfTfDY+mfb6&#10;ikMgHIDJ9GQ2nlLCARgV87yPZ49E1vnwThhFolFSh+dLqrL9pQ9IDug9JObV5qKVMj2h1KQD6XSS&#10;Iz9nmMsa8wBTWfTm9ZYSJrcYeB5covRGtlX8PBJ5t92cS0f2DGOyLoq361msHOn+gMXca+abHpdC&#10;A0xqoKNQvTTR2pjqFtI608+ct/yixfeXzIdr5jBkKBRrGK5w1NKgejNYlDTGff3XfcTj7RGlpMPQ&#10;orMvO+YEJfK9xlTMi8kEtCE5UHsExz2NbJ5G9E6dGzRcYOEtT2bEB3lv1s6oz9jWVcyKENMcuXsN&#10;B+c89MuEfeditUowTLZl4VLfWB7J+5da7YKp2/SIj+oMomG2k9jDHsbleeon1ON/z/I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Oy5ipNsAAAALAQAADwAAAAAAAAABACAAAAAiAAAAZHJzL2Rvd25y&#10;ZXYueG1sUEsBAhQAFAAAAAgAh07iQOKnpPttAgAAwwQAAA4AAAAAAAAAAQAgAAAAKgEAAGRycy9l&#10;Mm9Eb2MueG1sUEsFBgAAAAAGAAYAWQEAAAkGAAAAAA==&#10;">
                <v:fill on="f" focussize="0,0"/>
                <v:stroke weight="2pt" color="#D11BD8 [2404]" joinstyle="round"/>
                <v:imagedata o:title=""/>
                <o:lock v:ext="edit" aspectratio="f"/>
              </v:rect>
            </w:pict>
          </mc:Fallback>
        </mc:AlternateContent>
      </w:r>
      <w:r>
        <w:rPr>
          <w:sz w:val="18"/>
        </w:rPr>
        <mc:AlternateContent>
          <mc:Choice Requires="wps">
            <w:drawing>
              <wp:anchor distT="0" distB="0" distL="114300" distR="114300" simplePos="0" relativeHeight="251688960" behindDoc="0" locked="0" layoutInCell="1" allowOverlap="1">
                <wp:simplePos x="0" y="0"/>
                <wp:positionH relativeFrom="column">
                  <wp:posOffset>812165</wp:posOffset>
                </wp:positionH>
                <wp:positionV relativeFrom="paragraph">
                  <wp:posOffset>1376045</wp:posOffset>
                </wp:positionV>
                <wp:extent cx="1217930" cy="1224915"/>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217930" cy="12249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宋体" w:hAnsi="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福州市邦保洁</w:t>
                            </w:r>
                          </w:p>
                          <w:p>
                            <w:pPr>
                              <w:rPr>
                                <w:rFonts w:hint="eastAsia" w:ascii="宋体" w:hAnsi="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洗涤公司（1楼）</w:t>
                            </w:r>
                          </w:p>
                          <w:p>
                            <w:pPr>
                              <w:pStyle w:val="2"/>
                              <w:rPr>
                                <w:rFonts w:hint="eastAsia" w:ascii="宋体" w:hAnsi="宋体" w:eastAsia="宋体" w:cs="宋体"/>
                                <w:b/>
                                <w:bCs/>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lang w:val="en-US" w:eastAsia="zh-CN" w:bidi="ar-SA"/>
                                <w14:textFill>
                                  <w14:solidFill>
                                    <w14:schemeClr w14:val="tx1"/>
                                  </w14:solidFill>
                                </w14:textFill>
                              </w:rPr>
                              <w:t>闽侯县群英包装材料有限公司</w:t>
                            </w:r>
                            <w:r>
                              <w:rPr>
                                <w:rFonts w:hint="eastAsia" w:ascii="宋体" w:hAnsi="宋体" w:cs="宋体"/>
                                <w:b/>
                                <w:bCs/>
                                <w:color w:val="000000" w:themeColor="text1"/>
                                <w:kern w:val="2"/>
                                <w:sz w:val="24"/>
                                <w:szCs w:val="24"/>
                                <w:lang w:val="en-US" w:eastAsia="zh-CN" w:bidi="ar-SA"/>
                                <w14:textFill>
                                  <w14:solidFill>
                                    <w14:schemeClr w14:val="tx1"/>
                                  </w14:solidFill>
                                </w14:textFill>
                              </w:rPr>
                              <w:t>（2楼）</w:t>
                            </w:r>
                          </w:p>
                          <w:p>
                            <w:pPr>
                              <w:pStyle w:val="2"/>
                              <w:rPr>
                                <w:rFonts w:hint="default" w:ascii="宋体" w:hAnsi="宋体" w:eastAsia="宋体" w:cs="宋体"/>
                                <w:b/>
                                <w:bCs/>
                                <w:color w:val="000000" w:themeColor="text1"/>
                                <w:kern w:val="2"/>
                                <w:sz w:val="24"/>
                                <w:szCs w:val="24"/>
                                <w:lang w:val="en-US" w:eastAsia="zh-CN" w:bidi="ar-SA"/>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63.95pt;margin-top:108.35pt;height:96.45pt;width:95.9pt;z-index:251688960;mso-width-relative:page;mso-height-relative:page;" filled="f" stroked="f" coordsize="21600,21600" o:gfxdata="UEsDBAoAAAAAAIdO4kAAAAAAAAAAAAAAAAAEAAAAZHJzL1BLAwQUAAAACACHTuJA8v/MFNwAAAAL&#10;AQAADwAAAGRycy9kb3ducmV2LnhtbE2Py07DMBBF90j8gzVI7KidAGkT4lQoUoVUwaKlG3ZO7CYR&#10;9jjE7oN+PcMKdnM1R3fOlMuzs+xopjB4lJDMBDCDrdcDdhJ276u7BbAQFWplPRoJ3ybAsrq+KlWh&#10;/Qk35riNHaMSDIWS0Mc4FpyHtjdOhZkfDdJu7yenIsWp43pSJyp3lqdCZNypAelCr0ZT96b93B6c&#10;hHW9elObJnWLi61fXvfP49fu41HK25tEPAGL5hz/YPjVJ3WoyKnxB9SBWcrpPCdUQppkc2BE3Cc5&#10;DY2EB5FnwKuS//+h+gFQSwMEFAAAAAgAh07iQMy1jGtEAgAAdwQAAA4AAABkcnMvZTJvRG9jLnht&#10;bK1UwW4TMRC9I/EPlu90s2nSkiibKjQKQqpopYA4O15v1pLtMba3u+UD4A964sKd78p3MPYmaVQ4&#10;9MDFO/aM3/i9mdnZVacVuRfOSzAFzc8GlAjDoZRmW9DPn1Zv3lLiAzMlU2BEQR+Ep1fz169mrZ2K&#10;IdSgSuEIghg/bW1B6xDsNMs8r4Vm/gysMOiswGkWcOu2WelYi+haZcPB4CJrwZXWARfe4+myd9I9&#10;onsJIFSV5GIJvNHChB7VCcUCUvK1tJ7O02urSvBwW1VeBKIKikxDWjEJ2pu4ZvMZm24ds7Xk+yew&#10;lzzhGSfNpMGkR6glC4w0Tv4FpSV34KEKZxx01hNJiiCLfPBMm3XNrEhcUGpvj6L7/wfLP97fOSJL&#10;7IR8RIlhGku+e/yx+/l79+s7iYcoUWv9FCPXFmND9w46DD+cezyMzLvK6fhFTgT9KPDDUWDRBcLj&#10;pWF+OTlHF0dfPhyOJvk44mRP163z4b0ATaJRUIcVTMKy+xsf+tBDSMxmYCWVSlVUhrQFvTgfD9KF&#10;owfBlcEckUT/2GiFbtPtmW2gfEBiDvru8JavJCa/YT7cMYftgA/GgQm3uFQKMAnsLUpqcN/+dR7j&#10;sUropaTF9iqo/9owJyhRHwzWb5KPRggb0mY0vhzixp16Nqce0+hrwA7OcTQtT2aMD+pgVg70F5yr&#10;RcyKLmY45i5oOJjXoW96nEsuFosU1Fgnt3V/AbvRsnBj1pbHNL20iyZAJZPqUbJep72S2I+pbvvZ&#10;iQ1/uk9RT/+L+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y/8wU3AAAAAsBAAAPAAAAAAAAAAEA&#10;IAAAACIAAABkcnMvZG93bnJldi54bWxQSwECFAAUAAAACACHTuJAzLWMa0QCAAB3BAAADgAAAAAA&#10;AAABACAAAAArAQAAZHJzL2Uyb0RvYy54bWxQSwUGAAAAAAYABgBZAQAA4QUAAAAA&#10;">
                <v:fill on="f" focussize="0,0"/>
                <v:stroke on="f" weight="0.5pt"/>
                <v:imagedata o:title=""/>
                <o:lock v:ext="edit" aspectratio="f"/>
                <v:textbox>
                  <w:txbxContent>
                    <w:p>
                      <w:pPr>
                        <w:rPr>
                          <w:rFonts w:hint="eastAsia" w:ascii="宋体" w:hAnsi="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福州市邦保洁</w:t>
                      </w:r>
                    </w:p>
                    <w:p>
                      <w:pPr>
                        <w:rPr>
                          <w:rFonts w:hint="eastAsia" w:ascii="宋体" w:hAnsi="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洗涤公司（1楼）</w:t>
                      </w:r>
                    </w:p>
                    <w:p>
                      <w:pPr>
                        <w:pStyle w:val="2"/>
                        <w:rPr>
                          <w:rFonts w:hint="eastAsia" w:ascii="宋体" w:hAnsi="宋体" w:eastAsia="宋体" w:cs="宋体"/>
                          <w:b/>
                          <w:bCs/>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lang w:val="en-US" w:eastAsia="zh-CN" w:bidi="ar-SA"/>
                          <w14:textFill>
                            <w14:solidFill>
                              <w14:schemeClr w14:val="tx1"/>
                            </w14:solidFill>
                          </w14:textFill>
                        </w:rPr>
                        <w:t>闽侯县群英包装材料有限公司</w:t>
                      </w:r>
                      <w:r>
                        <w:rPr>
                          <w:rFonts w:hint="eastAsia" w:ascii="宋体" w:hAnsi="宋体" w:cs="宋体"/>
                          <w:b/>
                          <w:bCs/>
                          <w:color w:val="000000" w:themeColor="text1"/>
                          <w:kern w:val="2"/>
                          <w:sz w:val="24"/>
                          <w:szCs w:val="24"/>
                          <w:lang w:val="en-US" w:eastAsia="zh-CN" w:bidi="ar-SA"/>
                          <w14:textFill>
                            <w14:solidFill>
                              <w14:schemeClr w14:val="tx1"/>
                            </w14:solidFill>
                          </w14:textFill>
                        </w:rPr>
                        <w:t>（2楼）</w:t>
                      </w:r>
                    </w:p>
                    <w:p>
                      <w:pPr>
                        <w:pStyle w:val="2"/>
                        <w:rPr>
                          <w:rFonts w:hint="default" w:ascii="宋体" w:hAnsi="宋体" w:eastAsia="宋体" w:cs="宋体"/>
                          <w:b/>
                          <w:bCs/>
                          <w:color w:val="000000" w:themeColor="text1"/>
                          <w:kern w:val="2"/>
                          <w:sz w:val="24"/>
                          <w:szCs w:val="24"/>
                          <w:lang w:val="en-US" w:eastAsia="zh-CN" w:bidi="ar-SA"/>
                          <w14:textFill>
                            <w14:solidFill>
                              <w14:schemeClr w14:val="tx1"/>
                            </w14:solidFill>
                          </w14:textFill>
                        </w:rPr>
                      </w:pPr>
                    </w:p>
                  </w:txbxContent>
                </v:textbox>
              </v:shape>
            </w:pict>
          </mc:Fallback>
        </mc:AlternateContent>
      </w:r>
      <w:r>
        <w:rPr>
          <w:sz w:val="18"/>
        </w:rPr>
        <mc:AlternateContent>
          <mc:Choice Requires="wpg">
            <w:drawing>
              <wp:anchor distT="0" distB="0" distL="114300" distR="114300" simplePos="0" relativeHeight="251719680" behindDoc="0" locked="0" layoutInCell="1" allowOverlap="1">
                <wp:simplePos x="0" y="0"/>
                <wp:positionH relativeFrom="column">
                  <wp:posOffset>2084070</wp:posOffset>
                </wp:positionH>
                <wp:positionV relativeFrom="paragraph">
                  <wp:posOffset>2534920</wp:posOffset>
                </wp:positionV>
                <wp:extent cx="964565" cy="609600"/>
                <wp:effectExtent l="0" t="0" r="1905" b="0"/>
                <wp:wrapNone/>
                <wp:docPr id="11" name="组合 11"/>
                <wp:cNvGraphicFramePr/>
                <a:graphic xmlns:a="http://schemas.openxmlformats.org/drawingml/2006/main">
                  <a:graphicData uri="http://schemas.microsoft.com/office/word/2010/wordprocessingGroup">
                    <wpg:wgp>
                      <wpg:cNvGrpSpPr/>
                      <wpg:grpSpPr>
                        <a:xfrm>
                          <a:off x="0" y="0"/>
                          <a:ext cx="964400" cy="609600"/>
                          <a:chOff x="11407" y="850927"/>
                          <a:chExt cx="1935" cy="11649"/>
                        </a:xfrm>
                      </wpg:grpSpPr>
                      <wps:wsp>
                        <wps:cNvPr id="75" name="直接箭头连接符 75"/>
                        <wps:cNvCnPr/>
                        <wps:spPr>
                          <a:xfrm flipH="1">
                            <a:off x="12000" y="850927"/>
                            <a:ext cx="1342" cy="11649"/>
                          </a:xfrm>
                          <a:prstGeom prst="straightConnector1">
                            <a:avLst/>
                          </a:prstGeom>
                          <a:ln w="22225">
                            <a:solidFill>
                              <a:srgbClr val="FFFF00"/>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77" name="文本框 77"/>
                        <wps:cNvSpPr txBox="1"/>
                        <wps:spPr>
                          <a:xfrm>
                            <a:off x="11407" y="855089"/>
                            <a:ext cx="1245" cy="5278"/>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b/>
                                  <w:bCs/>
                                  <w:color w:val="auto"/>
                                  <w:sz w:val="24"/>
                                  <w:szCs w:val="24"/>
                                  <w:lang w:val="en-US" w:eastAsia="zh-CN"/>
                                </w:rPr>
                              </w:pPr>
                              <w:r>
                                <w:rPr>
                                  <w:rFonts w:hint="eastAsia"/>
                                  <w:b/>
                                  <w:bCs/>
                                  <w:color w:val="auto"/>
                                  <w:sz w:val="24"/>
                                  <w:szCs w:val="24"/>
                                  <w:lang w:val="en-US" w:eastAsia="zh-CN"/>
                                </w:rPr>
                                <w:t>60m</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wpg:wgp>
                  </a:graphicData>
                </a:graphic>
              </wp:anchor>
            </w:drawing>
          </mc:Choice>
          <mc:Fallback>
            <w:pict>
              <v:group id="_x0000_s1026" o:spid="_x0000_s1026" o:spt="203" style="position:absolute;left:0pt;margin-left:164.1pt;margin-top:199.6pt;height:48pt;width:75.95pt;z-index:251719680;mso-width-relative:page;mso-height-relative:page;" coordorigin="11407,850927" coordsize="1935,11649" o:gfxdata="UEsDBAoAAAAAAIdO4kAAAAAAAAAAAAAAAAAEAAAAZHJzL1BLAwQUAAAACACHTuJAAfj5oNoAAAAL&#10;AQAADwAAAGRycy9kb3ducmV2LnhtbE2PwWrDMAyG74O9g1Fht9V2uo4kjVNG2XYqg7aDsZsbq0lo&#10;bIfYTdq3n3babp/Qz69PxfpqOzbiEFrvFMi5AIau8qZ1tYLPw9tjCixE7YzuvEMFNwywLu/vCp0b&#10;P7kdjvtYMypxIdcKmhj7nPNQNWh1mPseHe1OfrA60jjU3Ax6onLb8USIZ2516+hCo3vcNFid9xer&#10;4H3S08tCvo7b82lz+z4sP762EpV6mEmxAhbxGv/C8KtP6lCS09FfnAmsU7BI0oSiBFlGQImnVEhg&#10;R4JsmQAvC/7/h/IHUEsDBBQAAAAIAIdO4kDStH4OmQMAAAwIAAAOAAAAZHJzL2Uyb0RvYy54bWy9&#10;VU1vJDUQvSPxHyzfSXdP5iMzymQVJpuAFLGRwoqzp9v9IbltY3vSE84IOKE97QWEhAScdjntbQ/7&#10;azbLz+DZ7pkM2SAikJhDT9lll6tevao6fLRuBbnixjZKzmm2l1LCZa6KRlZz+vTz048OKLGOyYIJ&#10;JfmcXnNLHx19+MFhp2d8oGolCm4IjEg76/Sc1s7pWZLYvOYts3tKcwllqUzLHJamSgrDOlhvRTJI&#10;03HSKVNoo3JuLXZPopL2Fs1DDKqybHJ+ovJVy6WLVg0XzCEkWzfa0qPgbVny3D0pS8sdEXOKSF34&#10;4hHIS/9Njg7ZrDJM103eu8Ae4sKdmFrWSDy6NXXCHCMr07xnqm1yo6wq3V6u2iQGEhBBFFl6B5sz&#10;o1Y6xFLNukpvQUei7qD+r83mn11dGNIUYEJGiWQtMv7u9ddvn31HsAF0Ol3NcOjM6Et9YfqNKq58&#10;wOvStP4foZB1wPV6iytfO5JjczoeDlMgnkM1TqdjyAH3vEZy/K0sG6YTSqA+GKXTwWSjftwbyKb7&#10;o3g9y8bDqVcnm6cT7+HWoU6DlfYWKvvfoLqsmeYhA9aj0EM1gTM9VD+8uvn+13e/v3z7y6s/3vzk&#10;5Re/EegDUOHOQvaw2ZkFghvMSCka/QlCD7Tp0ctQIMDpDg4bGLP94eDvUGAzbaw746olXphT6wxr&#10;qtotlJSoAmXiQ+zq3LoI3+aC90iq00aIkBQhSTenA/w85AwVXqKyILYaLLGyooSJCq0jdyb4bpVo&#10;Cn/dG7KmWi6EIVcMBXeKX8w1svWXY/7tE2breC6oYs5rzorHsiDuWoOJzBjVRYVjjbhHAcNCgg0+&#10;7xFeLy1VcR1QD/vgg+fx/0EMkDgS4+b5tzc/vrj5+RsyCWz2z4NAvoaIW3+sPOk3JNmlxU4p7RbF&#10;KD0IrGezLRkGw74kRoPJgTe1rYj3uGBAgJCqh2Z/vD9K/yG3IKrnqveXCV2zmMlQ2D7ZkQbBqZ3E&#10;358tt16u+3qJiSNGxUZtdX7agCrnzLoLZtCZUR2YXe4JPqVQIKrqJUpqZb66b9+fRxeAlpIOnR4k&#10;/nLFDKdEfCrRH6YZuhNGQ1gMR5MBFmZXs9zVyFW7UOA2uiW8C6I/78RGLI1qv8CIO/avQsVkjrfn&#10;FCUUxYWL8wcjMufHx+HQShtfrEHGYNDMnctLnW/ag1THK6fKJlTuLcF73gd+hzaIIREg7wean0K7&#10;63D+dogf/Q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MBgAAW0NvbnRlbnRfVHlwZXNdLnhtbFBLAQIUAAoAAAAAAIdO4kAAAAAAAAAAAAAAAAAG&#10;AAAAAAAAAAAAEAAAAO4EAABfcmVscy9QSwECFAAUAAAACACHTuJAihRmPNEAAACUAQAACwAAAAAA&#10;AAABACAAAAASBQAAX3JlbHMvLnJlbHNQSwECFAAKAAAAAACHTuJAAAAAAAAAAAAAAAAABAAAAAAA&#10;AAAAABAAAAAAAAAAZHJzL1BLAQIUABQAAAAIAIdO4kAB+Pmg2gAAAAsBAAAPAAAAAAAAAAEAIAAA&#10;ACIAAABkcnMvZG93bnJldi54bWxQSwECFAAUAAAACACHTuJA0rR+DpkDAAAMCAAADgAAAAAAAAAB&#10;ACAAAAApAQAAZHJzL2Uyb0RvYy54bWxQSwUGAAAAAAYABgBZAQAANAcAAAAA&#10;">
                <o:lock v:ext="edit" aspectratio="f"/>
                <v:shape id="_x0000_s1026" o:spid="_x0000_s1026" o:spt="32" type="#_x0000_t32" style="position:absolute;left:12000;top:850927;flip:x;height:11649;width:1342;" filled="f" stroked="t" coordsize="21600,21600" o:gfxdata="UEsDBAoAAAAAAIdO4kAAAAAAAAAAAAAAAAAEAAAAZHJzL1BLAwQUAAAACACHTuJAZFPJAb0AAADb&#10;AAAADwAAAGRycy9kb3ducmV2LnhtbEWPT4vCMBDF78J+hzALe9NUF22pRg8LooIX/yyLt6EZ27LN&#10;pCSx6rc3guDx8eb93rzZ4mYa0ZHztWUFw0ECgriwuuZSwfGw7GcgfEDW2FgmBXfysJh/9GaYa3vl&#10;HXX7UIoIYZ+jgiqENpfSFxUZ9APbEkfvbJ3BEKUrpXZ4jXDTyFGSTKTBmmNDhS39VFT87y8mvqFP&#10;4/N9vey+XbY1q5RWv9nmT6mvz2EyBRHoFt7Hr/RaK0jH8NwSAS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U8kBvQAA&#10;ANsAAAAPAAAAAAAAAAEAIAAAACIAAABkcnMvZG93bnJldi54bWxQSwECFAAUAAAACACHTuJAMy8F&#10;njsAAAA5AAAAEAAAAAAAAAABACAAAAAMAQAAZHJzL3NoYXBleG1sLnhtbFBLBQYAAAAABgAGAFsB&#10;AAC2AwAAAAA=&#10;">
                  <v:fill on="f" focussize="0,0"/>
                  <v:stroke weight="1.75pt" color="#FFFF00 [3204]" joinstyle="round" startarrow="open" endarrow="open"/>
                  <v:imagedata o:title=""/>
                  <o:lock v:ext="edit" aspectratio="f"/>
                </v:shape>
                <v:shape id="_x0000_s1026" o:spid="_x0000_s1026" o:spt="202" type="#_x0000_t202" style="position:absolute;left:11407;top:855089;height:5278;width:1245;" filled="f" stroked="t" coordsize="21600,21600" o:gfxdata="UEsDBAoAAAAAAIdO4kAAAAAAAAAAAAAAAAAEAAAAZHJzL1BLAwQUAAAACACHTuJAw6O/3r4AAADb&#10;AAAADwAAAGRycy9kb3ducmV2LnhtbEWPQWsCMRSE74L/ITzBS6lZe1DZGgUFpbR4qFq9vm6eu4ub&#10;lyWJuvrrjSB4HGbmG2Y8bUwlzuR8aVlBv5eAIM6sLjlXsN0s3kcgfEDWWFkmBVfyMJ20W2NMtb3w&#10;L53XIRcRwj5FBUUIdSqlzwoy6Hu2Jo7ewTqDIUqXS+3wEuGmkh9JMpAGS44LBdY0Lyg7rk9GwfLt&#10;Z//3v1t9b91tfpwdar9otFeq2+knnyACNeEVfra/tILhEB5f4g+Qk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6O/3r4A&#10;AADbAAAADwAAAAAAAAABACAAAAAiAAAAZHJzL2Rvd25yZXYueG1sUEsBAhQAFAAAAAgAh07iQDMv&#10;BZ47AAAAOQAAABAAAAAAAAAAAQAgAAAADQEAAGRycy9zaGFwZXhtbC54bWxQSwUGAAAAAAYABgBb&#10;AQAAtwMAAAAA&#10;">
                  <v:fill on="f" focussize="0,0"/>
                  <v:stroke weight="0.5pt" color="#000000 [3204]" opacity="0f" joinstyle="round"/>
                  <v:imagedata o:title=""/>
                  <o:lock v:ext="edit" aspectratio="f"/>
                  <v:textbox>
                    <w:txbxContent>
                      <w:p>
                        <w:pPr>
                          <w:jc w:val="center"/>
                          <w:rPr>
                            <w:rFonts w:hint="default" w:eastAsia="宋体"/>
                            <w:b/>
                            <w:bCs/>
                            <w:color w:val="auto"/>
                            <w:sz w:val="24"/>
                            <w:szCs w:val="24"/>
                            <w:lang w:val="en-US" w:eastAsia="zh-CN"/>
                          </w:rPr>
                        </w:pPr>
                        <w:r>
                          <w:rPr>
                            <w:rFonts w:hint="eastAsia"/>
                            <w:b/>
                            <w:bCs/>
                            <w:color w:val="auto"/>
                            <w:sz w:val="24"/>
                            <w:szCs w:val="24"/>
                            <w:lang w:val="en-US" w:eastAsia="zh-CN"/>
                          </w:rPr>
                          <w:t>60m</w:t>
                        </w:r>
                      </w:p>
                    </w:txbxContent>
                  </v:textbox>
                </v:shape>
              </v:group>
            </w:pict>
          </mc:Fallback>
        </mc:AlternateContent>
      </w:r>
      <w:r>
        <w:rPr>
          <w:sz w:val="18"/>
        </w:rPr>
        <mc:AlternateContent>
          <mc:Choice Requires="wpg">
            <w:drawing>
              <wp:anchor distT="0" distB="0" distL="114300" distR="114300" simplePos="0" relativeHeight="251671552" behindDoc="0" locked="0" layoutInCell="1" allowOverlap="1">
                <wp:simplePos x="0" y="0"/>
                <wp:positionH relativeFrom="column">
                  <wp:posOffset>1819275</wp:posOffset>
                </wp:positionH>
                <wp:positionV relativeFrom="paragraph">
                  <wp:posOffset>648970</wp:posOffset>
                </wp:positionV>
                <wp:extent cx="1196975" cy="1506855"/>
                <wp:effectExtent l="0" t="0" r="18415" b="17145"/>
                <wp:wrapNone/>
                <wp:docPr id="17" name="组合 17"/>
                <wp:cNvGraphicFramePr/>
                <a:graphic xmlns:a="http://schemas.openxmlformats.org/drawingml/2006/main">
                  <a:graphicData uri="http://schemas.microsoft.com/office/word/2010/wordprocessingGroup">
                    <wpg:wgp>
                      <wpg:cNvGrpSpPr/>
                      <wpg:grpSpPr>
                        <a:xfrm flipV="1">
                          <a:off x="0" y="0"/>
                          <a:ext cx="1197027" cy="1506860"/>
                          <a:chOff x="12125" y="854840"/>
                          <a:chExt cx="361" cy="25119"/>
                        </a:xfrm>
                      </wpg:grpSpPr>
                      <wps:wsp>
                        <wps:cNvPr id="18" name="直接箭头连接符 75"/>
                        <wps:cNvCnPr/>
                        <wps:spPr>
                          <a:xfrm flipV="1">
                            <a:off x="12211" y="854840"/>
                            <a:ext cx="275" cy="25119"/>
                          </a:xfrm>
                          <a:prstGeom prst="straightConnector1">
                            <a:avLst/>
                          </a:prstGeom>
                          <a:ln w="22225">
                            <a:solidFill>
                              <a:srgbClr val="FFFF00"/>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9" name="文本框 77"/>
                        <wps:cNvSpPr txBox="1"/>
                        <wps:spPr>
                          <a:xfrm rot="10800000">
                            <a:off x="12125" y="867754"/>
                            <a:ext cx="180" cy="4192"/>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b/>
                                  <w:bCs/>
                                  <w:color w:val="auto"/>
                                  <w:sz w:val="24"/>
                                  <w:szCs w:val="24"/>
                                  <w:lang w:val="en-US" w:eastAsia="zh-CN"/>
                                </w:rPr>
                              </w:pPr>
                              <w:r>
                                <w:rPr>
                                  <w:rFonts w:hint="eastAsia"/>
                                  <w:b/>
                                  <w:bCs/>
                                  <w:color w:val="auto"/>
                                  <w:sz w:val="24"/>
                                  <w:szCs w:val="24"/>
                                  <w:lang w:val="en-US" w:eastAsia="zh-CN"/>
                                </w:rPr>
                                <w:t>212m</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wpg:wgp>
                  </a:graphicData>
                </a:graphic>
              </wp:anchor>
            </w:drawing>
          </mc:Choice>
          <mc:Fallback>
            <w:pict>
              <v:group id="_x0000_s1026" o:spid="_x0000_s1026" o:spt="203" style="position:absolute;left:0pt;flip:y;margin-left:143.25pt;margin-top:51.1pt;height:118.65pt;width:94.25pt;z-index:251671552;mso-width-relative:page;mso-height-relative:page;" coordorigin="12125,854840" coordsize="361,25119" o:gfxdata="UEsDBAoAAAAAAIdO4kAAAAAAAAAAAAAAAAAEAAAAZHJzL1BLAwQUAAAACACHTuJAifgF99oAAAAL&#10;AQAADwAAAGRycy9kb3ducmV2LnhtbE2Py07DMBBF90j8gzVI7KjdNCklxKkQEgihbggPdenGQ2IR&#10;j6PYffD3DCtYju7RnXOr9ckP4oBTdIE0zGcKBFIbrKNOw9vrw9UKREyGrBkCoYZvjLCuz88qU9pw&#10;pBc8NKkTXEKxNBr6lMZSytj26E2chRGJs88weZP4nDppJ3Pkcj/ITKml9MYRf+jNiPc9tl/N3mt4&#10;v3M55h/b541qEZ+s3D42Ltf68mKubkEkPKU/GH71WR1qdtqFPdkoBg3ZalkwyoHKMhBM5NcFr9tp&#10;WCxuCpB1Jf9vqH8AUEsDBBQAAAAIAIdO4kCmH4qrmwMAACQIAAAOAAAAZHJzL2Uyb0RvYy54bWy9&#10;VctuJDUU3SPxD5b3pLtq+pVSOqPQmURIERMpwKzdVa6H5LKN7U51WCNghVixASEhAauZWc1uFnzN&#10;ZPgMju3qTuchFIFELUrXvvZ9nHuu78HTdSvIJTe2UXJOk70hJVzmqmhkNaeff3by0YwS65gsmFCS&#10;z+kVt/Tp4YcfHHQ646mqlSi4ITAibdbpOa2d09lgYPOat8zuKc0llKUyLXNYmmpQGNbBeisG6XA4&#10;GXTKFNqonFuL3eOopL1F8xiDqiybnB+rfNVy6aJVwwVzSMnWjbb0MERbljx3z8vSckfEnCJTF/5w&#10;Annp/4PDA5ZVhum6yfsQ2GNCuJNTyxoJp1tTx8wxsjLNPVNtkxtlVen2ctUOYiIBEWSRDO9gc2rU&#10;Sodcqqyr9BZ0FOoO6v/abP7p5bkhTQEmTCmRrEXF37/9+t0P3xFsAJ1OVxkOnRp9oc9Nv1HFlU94&#10;XZqWlKLRX8BEgABJkXVA+GqLMF87kmMzSfanwxSecuiS8XAym/Q1yGsUyt9L0iQdUwL9bDyajbbq&#10;Z72JJ5MkXk/HsOZDHMQoIPhgt7F1GgS1N6jZ/4baRc00D8WwHpANauiWHrWf3lx///v716/e/fbm&#10;rz9/8fLLP8h0HEEMdxayR9BmFmD+I3xJmiZI9A4MGxxT2A0Y3geBZdpYd8pVS7wwp9YZ1lS1Wygp&#10;0Q/KxDKxyzPrInqbCz4gqU4aIbDPMiFJN6cpPu+ModdL9BjEVoMvVlaUMFHhEcmdCZW3SjSFv+5v&#10;W1MtF8KQS4bWO8E3DKVEsW4d876Pma3juaDyiLGs5qx4JgvirjQ4yYxRXVQ41ogHFDAsZODABl1P&#10;gKUqrgLo4Eagg2f0/8GL/Q0vrn/89vrnl9e/fkOmfUMFLvhuIm79sfKU33DkFiuMQvGS4Wzov93O&#10;2umQyXQ6HkVYNtRIZnjbfHuNkv3Uq7btcY8ZBnQIhh/LhcmTcYzkVglvVTpEGw8xoWsW67otfSRF&#10;CGrHxsO1c+vlGvHflJEESJCe1flJA+KcMevOmcGLjU3MNPccv1Io0Fb1EiW1Ml89tO/P40mAlpIO&#10;EwCU/nLFDKdEfCLxWOwnI7w+xIXFaDxNsTC7muWuRq7ahQLT0bOILoj+vBMbsTSqfYHRd+S9QsVk&#10;Dt9zioaK4sLFuYTRmfOjo3BopY1v3SBjYGjmzuSFzr2b2KxHK6fKJvTxDU59F+DxC1IYHgHyftD5&#10;6bS7Dqduhvvh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4GAABbQ29udGVudF9UeXBlc10ueG1sUEsBAhQACgAAAAAAh07iQAAAAAAAAAAAAAAA&#10;AAYAAAAAAAAAAAAQAAAA8AQAAF9yZWxzL1BLAQIUABQAAAAIAIdO4kCKFGY80QAAAJQBAAALAAAA&#10;AAAAAAEAIAAAABQFAABfcmVscy8ucmVsc1BLAQIUAAoAAAAAAIdO4kAAAAAAAAAAAAAAAAAEAAAA&#10;AAAAAAAAEAAAAAAAAABkcnMvUEsBAhQAFAAAAAgAh07iQIn4BffaAAAACwEAAA8AAAAAAAAAAQAg&#10;AAAAIgAAAGRycy9kb3ducmV2LnhtbFBLAQIUABQAAAAIAIdO4kCmH4qrmwMAACQIAAAOAAAAAAAA&#10;AAEAIAAAACkBAABkcnMvZTJvRG9jLnhtbFBLBQYAAAAABgAGAFkBAAA2BwAAAAA=&#10;">
                <o:lock v:ext="edit" aspectratio="f"/>
                <v:shape id="直接箭头连接符 75" o:spid="_x0000_s1026" o:spt="32" type="#_x0000_t32" style="position:absolute;left:12211;top:854840;flip:y;height:25119;width:275;" filled="f" stroked="t" coordsize="21600,21600" o:gfxdata="UEsDBAoAAAAAAIdO4kAAAAAAAAAAAAAAAAAEAAAAZHJzL1BLAwQUAAAACACHTuJAV42DP70AAADb&#10;AAAADwAAAGRycy9kb3ducmV2LnhtbEWPT2vCQBDF7wW/wzKF3upGSzWkrh4E0UIv/kN6G7JjEpqd&#10;Dbtr1G/fOQje5jHv9+bNbHFzreopxMazgdEwA0VcettwZeCwX73noGJCtth6JgN3irCYD15mWFh/&#10;5S31u1QpCeFYoIE6pa7QOpY1OYxD3xHL7uyDwyQyVNoGvEq4a/U4yybaYcNyocaOljWVf7uLkxr2&#10;9/N836z6j5D/uPWU1sf8+2TM2+so+wKV6Jae5ge9scJJWflFBtD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jYM/vQAA&#10;ANsAAAAPAAAAAAAAAAEAIAAAACIAAABkcnMvZG93bnJldi54bWxQSwECFAAUAAAACACHTuJAMy8F&#10;njsAAAA5AAAAEAAAAAAAAAABACAAAAAMAQAAZHJzL3NoYXBleG1sLnhtbFBLBQYAAAAABgAGAFsB&#10;AAC2AwAAAAA=&#10;">
                  <v:fill on="f" focussize="0,0"/>
                  <v:stroke weight="1.75pt" color="#FFFF00 [3204]" joinstyle="round" startarrow="open" endarrow="open"/>
                  <v:imagedata o:title=""/>
                  <o:lock v:ext="edit" aspectratio="f"/>
                </v:shape>
                <v:shape id="文本框 77" o:spid="_x0000_s1026" o:spt="202" type="#_x0000_t202" style="position:absolute;left:12125;top:867754;height:4192;width:180;rotation:11796480f;" filled="f" stroked="t" coordsize="21600,21600" o:gfxdata="UEsDBAoAAAAAAIdO4kAAAAAAAAAAAAAAAAAEAAAAZHJzL1BLAwQUAAAACACHTuJAUN+Fr7gAAADb&#10;AAAADwAAAGRycy9kb3ducmV2LnhtbEVPS4vCMBC+L/gfwgje1tQKotXooSDmqN16H5qxLTaT2sTX&#10;vzcLC3ubj+85m93LduJBg28dK5hNExDElTMt1wrKn/33EoQPyAY7x6TgTR5229HXBjPjnnyiRxFq&#10;EUPYZ6igCaHPpPRVQxb91PXEkbu4wWKIcKilGfAZw20n0yRZSIstx4YGe8obqq7F3So43/Lj8qYX&#10;+l6mJev0UNRznSs1Gc+SNYhAr/Av/nNrE+ev4PeXeIDcf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UN+Fr7gAAADbAAAA&#10;DwAAAAAAAAABACAAAAAiAAAAZHJzL2Rvd25yZXYueG1sUEsBAhQAFAAAAAgAh07iQDMvBZ47AAAA&#10;OQAAABAAAAAAAAAAAQAgAAAABwEAAGRycy9zaGFwZXhtbC54bWxQSwUGAAAAAAYABgBbAQAAsQMA&#10;AAAA&#10;">
                  <v:fill on="f" focussize="0,0"/>
                  <v:stroke weight="0.5pt" color="#000000 [3204]" opacity="0f" joinstyle="round"/>
                  <v:imagedata o:title=""/>
                  <o:lock v:ext="edit" aspectratio="f"/>
                  <v:textbox>
                    <w:txbxContent>
                      <w:p>
                        <w:pPr>
                          <w:jc w:val="center"/>
                          <w:rPr>
                            <w:rFonts w:hint="default" w:eastAsia="宋体"/>
                            <w:b/>
                            <w:bCs/>
                            <w:color w:val="auto"/>
                            <w:sz w:val="24"/>
                            <w:szCs w:val="24"/>
                            <w:lang w:val="en-US" w:eastAsia="zh-CN"/>
                          </w:rPr>
                        </w:pPr>
                        <w:r>
                          <w:rPr>
                            <w:rFonts w:hint="eastAsia"/>
                            <w:b/>
                            <w:bCs/>
                            <w:color w:val="auto"/>
                            <w:sz w:val="24"/>
                            <w:szCs w:val="24"/>
                            <w:lang w:val="en-US" w:eastAsia="zh-CN"/>
                          </w:rPr>
                          <w:t>212m</w:t>
                        </w:r>
                      </w:p>
                    </w:txbxContent>
                  </v:textbox>
                </v:shape>
              </v:group>
            </w:pict>
          </mc:Fallback>
        </mc:AlternateContent>
      </w:r>
      <w:r>
        <w:rPr>
          <w:sz w:val="18"/>
        </w:rPr>
        <mc:AlternateContent>
          <mc:Choice Requires="wps">
            <w:drawing>
              <wp:anchor distT="0" distB="0" distL="114300" distR="114300" simplePos="0" relativeHeight="251691008" behindDoc="0" locked="0" layoutInCell="1" allowOverlap="1">
                <wp:simplePos x="0" y="0"/>
                <wp:positionH relativeFrom="column">
                  <wp:posOffset>3712845</wp:posOffset>
                </wp:positionH>
                <wp:positionV relativeFrom="paragraph">
                  <wp:posOffset>748030</wp:posOffset>
                </wp:positionV>
                <wp:extent cx="1258570" cy="51562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258570" cy="515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宋体" w:hAnsi="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福州润禾鞋业有限公司</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92.35pt;margin-top:58.9pt;height:40.6pt;width:99.1pt;z-index:251691008;mso-width-relative:page;mso-height-relative:page;" filled="f" stroked="f" coordsize="21600,21600" o:gfxdata="UEsDBAoAAAAAAIdO4kAAAAAAAAAAAAAAAAAEAAAAZHJzL1BLAwQUAAAACACHTuJAL4vQPtsAAAAL&#10;AQAADwAAAGRycy9kb3ducmV2LnhtbE2PS0/DMBCE70j8B2uRuFE7ESUP4lQoUoWE4NDSCzcndpMI&#10;ex1i9wG/nuVUjjvzaXamWp2dZUczh9GjhGQhgBnsvB6xl7B7X9/lwEJUqJX1aCR8mwCr+vqqUqX2&#10;J9yY4zb2jEIwlErCEONUch66wTgVFn4ySN7ez05FOuee61mdKNxZngrxwJ0akT4MajLNYLrP7cFJ&#10;eGnWb2rTpi7/sc3z6/5p+tp9LKW8vUnEI7BozvECw199qg41dWr9AXVgVsIyv88IJSPJaAMRWZ4W&#10;wFpSikIAryv+f0P9C1BLAwQUAAAACACHTuJACdO5HEICAAB0BAAADgAAAGRycy9lMm9Eb2MueG1s&#10;rVTLbhMxFN0j8Q+W93SSNNOWqJMqNCpCqmilglg7Hk/Gkl/YTmfKB8AfdMWGPd/V7+DYk6RVYdEF&#10;G8+17/Oce++cnvVakVvhg7SmouODESXCcFtLs67o508Xb04oCZGZmilrREXvRKBn89evTjs3ExPb&#10;WlULTxDEhFnnKtrG6GZFEXgrNAsH1gkDZWO9ZhFXvy5qzzpE16qYjEZHRWd97bzlIgS8Lgcl3Ub0&#10;Lwlom0ZysbR8o4WJQ1QvFIuAFFrpAp3naptG8HjVNEFEoioKpDGfSAJ5lc5ifspma89cK/m2BPaS&#10;Ep5h0kwaJN2HWrLIyMbLv0Jpyb0NtokH3OpiAJIZAYrx6Bk3Ny1zImMB1cHtSQ//Lyz/eHvtiawr&#10;Wh5SYphGxx/ufzz8/P3w6zvBGwjqXJjB7sbBMvbvbI+x2b0HPCbcfeN1+gIRgR703u3pFX0kPDlN&#10;ypPyGCoOXTkujyaZ/+LR2/kQ3wurSRIq6tG+zCq7vQwRlcB0Z5KSGXshlcotVIZ0FT06LEfZYa+B&#10;hzJwTBiGWpMU+1W/Bbay9R1weTuMRnD8QiL5JQvxmnnMAurFtsQrHI2ySGK3EiWt9d/+9Z7s0SJo&#10;KekwWxUNXzfMC0rUB4PmvR1Ppwgb82VaHoMH4p9qVk81ZqPPLcZ3jL10PIvJPqqd2Hirv2CpFikr&#10;VMxw5K5o3InncZh4LCUXi0U22jgv1+3ggFF0LF6aG8dTmoHaxSbaRmbWE2UDT1smMYy5GdvFSdP+&#10;9J6tHn8W8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vi9A+2wAAAAsBAAAPAAAAAAAAAAEAIAAA&#10;ACIAAABkcnMvZG93bnJldi54bWxQSwECFAAUAAAACACHTuJACdO5HEICAAB0BAAADgAAAAAAAAAB&#10;ACAAAAAqAQAAZHJzL2Uyb0RvYy54bWxQSwUGAAAAAAYABgBZAQAA3gUAAAAA&#10;">
                <v:fill on="f" focussize="0,0"/>
                <v:stroke on="f" weight="0.5pt"/>
                <v:imagedata o:title=""/>
                <o:lock v:ext="edit" aspectratio="f"/>
                <v:textbox>
                  <w:txbxContent>
                    <w:p>
                      <w:pPr>
                        <w:rPr>
                          <w:rFonts w:hint="default" w:ascii="宋体" w:hAnsi="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福州润禾鞋业有限公司</w:t>
                      </w:r>
                    </w:p>
                  </w:txbxContent>
                </v:textbox>
              </v:shape>
            </w:pict>
          </mc:Fallback>
        </mc:AlternateContent>
      </w:r>
      <w:r>
        <w:rPr>
          <w:sz w:val="18"/>
        </w:rPr>
        <mc:AlternateContent>
          <mc:Choice Requires="wps">
            <w:drawing>
              <wp:anchor distT="0" distB="0" distL="114300" distR="114300" simplePos="0" relativeHeight="251717632" behindDoc="0" locked="0" layoutInCell="1" allowOverlap="1">
                <wp:simplePos x="0" y="0"/>
                <wp:positionH relativeFrom="column">
                  <wp:posOffset>2693035</wp:posOffset>
                </wp:positionH>
                <wp:positionV relativeFrom="paragraph">
                  <wp:posOffset>3007995</wp:posOffset>
                </wp:positionV>
                <wp:extent cx="956945" cy="567055"/>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956945" cy="5670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福州怡兴纸业有限公司</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12.05pt;margin-top:236.85pt;height:44.65pt;width:75.35pt;z-index:251717632;mso-width-relative:page;mso-height-relative:page;" filled="f" stroked="f" coordsize="21600,21600" o:gfxdata="UEsDBAoAAAAAAIdO4kAAAAAAAAAAAAAAAAAEAAAAZHJzL1BLAwQUAAAACACHTuJAxGKZ0NwAAAAL&#10;AQAADwAAAGRycy9kb3ducmV2LnhtbE2PS0/DMBCE70j8B2uRuFE7adpUIU6FIlVICA4tvXBz4m0S&#10;4UeI3Qf8epZTuc1oP83OlOuLNeyEUxi8k5DMBDB0rdeD6yTs3zcPK2AhKqeV8Q4lfGOAdXV7U6pC&#10;+7Pb4mkXO0YhLhRKQh/jWHAe2h6tCjM/oqPbwU9WRbJTx/WkzhRuDU+FWHKrBkcfejVi3WP7uTta&#10;CS/15k1tm9Sufkz9/Hp4Gr/2Hwsp7+8S8Qgs4iVeYfirT9Whok6NPzodmJGQpVlCKIl8ngMjYpFn&#10;NKYhsZwL4FXJ/2+ofgFQSwMEFAAAAAgAh07iQEu2qXFDAgAAdQQAAA4AAABkcnMvZTJvRG9jLnht&#10;bK1UwY7TMBC9I/EPlu806dJ0abXpqmxVhFSxKxXE2XWcxpLtMbbbpHwA/AEnLtz5rv0Oxk7bXS0c&#10;9sDFGc+MZ/zePOfqutOK7IXzEkxJh4OcEmE4VNJsS/rp4/LVG0p8YKZiCowo6UF4ej17+eKqtVNx&#10;AQ2oSjiCRYyftrakTQh2mmWeN0IzPwArDAZrcJoF3LptVjnWYnWtsos8H2ctuMo64MJ79C76ID1W&#10;dM8pCHUtuVgA32lhQl/VCcUCQvKNtJ7O0m3rWvBwW9deBKJKikhDWrEJ2pu4ZrMrNt06ZhvJj1dg&#10;z7nCE0yaSYNNz6UWLDCyc/KvUlpyBx7qMOCgsx5IYgRRDPMn3KwbZkXCglR7eybd/7+y/MP+zhFZ&#10;oRLyESWGaRz5/Y/v9z9/3//6RqITKWqtn2Lm2mJu6N5Ch+knv0dnRN7VTscvYiIYR4IPZ4JFFwhH&#10;56QYT0YFJRxDxfgyL4pYJXs4bJ0P7wRoEo2SOpxfopXtVz70qaeU2MvAUiqVZqgMaUs6fl3k6cA5&#10;gsWVwR4RQn/VaIVu0x1xbaA6ICwHvTa85UuJzVfMhzvmUAyIBJ9LuMWlVoBN4GhR0oD7+i9/zMcZ&#10;YZSSFsVVUv9lx5ygRL03OL3JcDSKakybUXF5gRv3OLJ5HDE7fQOo3yE+TMuTGfODOpm1A/0ZX9U8&#10;dsUQMxx7lzSczJvQSx5fJRfzeUraWSe3TX8AtWhZWJm15bFNT+18F6CWifVIWc/TkUlUY5rb8eVE&#10;uT/ep6yHv8Xs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MRimdDcAAAACwEAAA8AAAAAAAAAAQAg&#10;AAAAIgAAAGRycy9kb3ducmV2LnhtbFBLAQIUABQAAAAIAIdO4kBLtqlxQwIAAHUEAAAOAAAAAAAA&#10;AAEAIAAAACsBAABkcnMvZTJvRG9jLnhtbFBLBQYAAAAABgAGAFkBAADgBQAAAAA=&#10;">
                <v:fill on="f" focussize="0,0"/>
                <v:stroke on="f" weight="0.5pt"/>
                <v:imagedata o:title=""/>
                <o:lock v:ext="edit" aspectratio="f"/>
                <v:textbox>
                  <w:txbxContent>
                    <w:p>
                      <w:pPr>
                        <w:rPr>
                          <w:rFonts w:hint="default"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福州怡兴纸业有限公司</w:t>
                      </w:r>
                    </w:p>
                  </w:txbxContent>
                </v:textbox>
              </v:shape>
            </w:pict>
          </mc:Fallback>
        </mc:AlternateContent>
      </w:r>
      <w:r>
        <w:rPr>
          <w:sz w:val="18"/>
        </w:rPr>
        <mc:AlternateContent>
          <mc:Choice Requires="wps">
            <w:drawing>
              <wp:anchor distT="0" distB="0" distL="114300" distR="114300" simplePos="0" relativeHeight="251715584" behindDoc="0" locked="0" layoutInCell="1" allowOverlap="1">
                <wp:simplePos x="0" y="0"/>
                <wp:positionH relativeFrom="column">
                  <wp:posOffset>3321685</wp:posOffset>
                </wp:positionH>
                <wp:positionV relativeFrom="paragraph">
                  <wp:posOffset>2430145</wp:posOffset>
                </wp:positionV>
                <wp:extent cx="1323340" cy="259715"/>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132334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福州鼎盛纸箱彩印包装</w:t>
                            </w:r>
                            <w:r>
                              <w:rPr>
                                <w:rFonts w:hint="eastAsia" w:ascii="宋体" w:hAnsi="宋体" w:eastAsia="宋体" w:cs="宋体"/>
                                <w:b/>
                                <w:bCs/>
                                <w:color w:val="000000" w:themeColor="text1"/>
                                <w:sz w:val="24"/>
                                <w:szCs w:val="24"/>
                                <w:lang w:val="en-US" w:eastAsia="zh-CN"/>
                                <w14:textFill>
                                  <w14:solidFill>
                                    <w14:schemeClr w14:val="tx1"/>
                                  </w14:solidFill>
                                </w14:textFill>
                              </w:rPr>
                              <w:t>有限公司</w:t>
                            </w:r>
                          </w:p>
                        </w:txbxContent>
                      </wps:txbx>
                      <wps:bodyPr rot="0" spcFirstLastPara="0" vertOverflow="overflow" horzOverflow="overflow" vert="horz" wrap="square" lIns="91440" tIns="45720" rIns="91440" bIns="4572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61.55pt;margin-top:191.35pt;height:20.45pt;width:104.2pt;z-index:251715584;mso-width-relative:page;mso-height-relative:page;" filled="f" stroked="f" coordsize="21600,21600" o:gfxdata="UEsDBAoAAAAAAIdO4kAAAAAAAAAAAAAAAAAEAAAAZHJzL1BLAwQUAAAACACHTuJAQ0iWINgAAAAL&#10;AQAADwAAAGRycy9kb3ducmV2LnhtbE2Py07DMBBF90j8gzVIbBC149CHQpwuKmVdNe0HuPGQBOxx&#10;FDtN+XvMCpaje3TvmXJ/d5bdcAqDJwXZSgBDar0ZqFNwOdevO2AhajLaekIF3xhgXz0+lLowfqET&#10;3prYsVRCodAK+hjHgvPQ9uh0WPkRKWUffnI6pnPquJn0ksqd5VKIDXd6oLTQ6xEPPbZfzewUeLm8&#10;2FOT1Yfj8lmL44znJqBSz0+ZeAcW8R7/YPjVT+pQJaern8kEZhWsZZ4lVEG+k1tgidjm2RrYVcGb&#10;zDfAq5L//6H6AVBLAwQUAAAACACHTuJANxNtOEECAAB2BAAADgAAAGRycy9lMm9Eb2MueG1srVTL&#10;bhMxFN0j8Q+W92TybGmUSRVaFSFVtFJArB2PJzOSX9hOZsoHwB90xYY935Xv4NiTpFFh0QUbz7Xv&#10;85x778wuWyXJVjhfG53TQa9PidDcFLVe5/Tzp5s3bynxgemCSaNFTh+Ep5fz169mjZ2KoamMLIQj&#10;CKL9tLE5rUKw0yzzvBKK+Z6xQkNZGqdYwNWts8KxBtGVzIb9/lnWGFdYZ7jwHq/XnZLuI7qXBDRl&#10;WXNxbfhGCR26qE5IFgDJV7X1dJ6qLUvBw11ZehGIzCmQhnQiCeRVPLP5jE3Xjtmq5vsS2EtKeIZJ&#10;sVoj6THUNQuMbFz9VyhVc2e8KUOPG5V1QBIjQDHoP+NmWTErEhZQ7e2RdP//wvKP23tH6gKTMJhQ&#10;oplCy3ePP3Y/f+9+fSfxERQ11k9hubSwDe0708L88O7xGJG3pVPxC0wEehD8cCRYtIHw6DQajkZj&#10;qDh0w8nFeRc+e/K2zof3wigShZw6NDDxyra3PqASmB5MYjJtbmopUxOlJk1Oz0aTfnI4auAhNRwj&#10;hq7WKIV21e6BrUzxAFzOdMPhLb+pkfyW+XDPHKYB9WJfwh2OUhokMXuJksq4b/96j/ZoErSUNJiu&#10;nPqvG+YEJfKDRvsuBuNIQ0iX8eR8iIs71axONXqjrgwGeIDNtDyJ0T7Ig1g6o75grRYxK1RMc+TO&#10;aTiIV6GbeawlF4tFMtpYV6+rzgHDaFm41UvLY5pIrbeLTQC9ifVIWcfTnkmMY2rGfnXivJ/ek9XT&#10;72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NIliDYAAAACwEAAA8AAAAAAAAAAQAgAAAAIgAA&#10;AGRycy9kb3ducmV2LnhtbFBLAQIUABQAAAAIAIdO4kA3E204QQIAAHYEAAAOAAAAAAAAAAEAIAAA&#10;ACcBAABkcnMvZTJvRG9jLnhtbFBLBQYAAAAABgAGAFkBAADaBQAAAAA=&#10;">
                <v:fill on="f" focussize="0,0"/>
                <v:stroke on="f" weight="0.5pt"/>
                <v:imagedata o:title=""/>
                <o:lock v:ext="edit" aspectratio="f"/>
                <v:textbox style="mso-fit-shape-to-text:t;">
                  <w:txbxContent>
                    <w:p>
                      <w:pPr>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福州鼎盛纸箱彩印包装</w:t>
                      </w:r>
                      <w:r>
                        <w:rPr>
                          <w:rFonts w:hint="eastAsia" w:ascii="宋体" w:hAnsi="宋体" w:eastAsia="宋体" w:cs="宋体"/>
                          <w:b/>
                          <w:bCs/>
                          <w:color w:val="000000" w:themeColor="text1"/>
                          <w:sz w:val="24"/>
                          <w:szCs w:val="24"/>
                          <w:lang w:val="en-US" w:eastAsia="zh-CN"/>
                          <w14:textFill>
                            <w14:solidFill>
                              <w14:schemeClr w14:val="tx1"/>
                            </w14:solidFill>
                          </w14:textFill>
                        </w:rPr>
                        <w:t>有限公司</w:t>
                      </w:r>
                    </w:p>
                  </w:txbxContent>
                </v:textbox>
              </v:shape>
            </w:pict>
          </mc:Fallback>
        </mc:AlternateContent>
      </w:r>
      <w:r>
        <w:drawing>
          <wp:inline distT="0" distB="0" distL="114300" distR="114300">
            <wp:extent cx="6553200" cy="4857750"/>
            <wp:effectExtent l="0" t="0" r="0" b="0"/>
            <wp:docPr id="16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7"/>
                    <pic:cNvPicPr>
                      <a:picLocks noChangeAspect="1"/>
                    </pic:cNvPicPr>
                  </pic:nvPicPr>
                  <pic:blipFill>
                    <a:blip r:embed="rId38"/>
                    <a:stretch>
                      <a:fillRect/>
                    </a:stretch>
                  </pic:blipFill>
                  <pic:spPr>
                    <a:xfrm>
                      <a:off x="0" y="0"/>
                      <a:ext cx="6553200" cy="4857750"/>
                    </a:xfrm>
                    <a:prstGeom prst="rect">
                      <a:avLst/>
                    </a:prstGeom>
                    <a:noFill/>
                    <a:ln>
                      <a:noFill/>
                    </a:ln>
                  </pic:spPr>
                </pic:pic>
              </a:graphicData>
            </a:graphic>
          </wp:inline>
        </w:drawing>
      </w:r>
    </w:p>
    <w:p>
      <w:pPr>
        <w:pStyle w:val="3"/>
        <w:numPr>
          <w:ilvl w:val="0"/>
          <w:numId w:val="0"/>
        </w:numPr>
        <w:bidi w:val="0"/>
        <w:ind w:leftChars="0"/>
        <w:jc w:val="both"/>
        <w:rPr>
          <w:rFonts w:hint="default"/>
          <w:highlight w:val="none"/>
        </w:rPr>
        <w:sectPr>
          <w:footerReference r:id="rId10" w:type="default"/>
          <w:pgSz w:w="11906"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bookmarkStart w:id="130" w:name="_Toc5908"/>
      <w:r>
        <w:rPr>
          <w:sz w:val="30"/>
          <w:highlight w:val="none"/>
        </w:rPr>
        <mc:AlternateContent>
          <mc:Choice Requires="wpg">
            <w:drawing>
              <wp:anchor distT="0" distB="0" distL="114300" distR="114300" simplePos="0" relativeHeight="251683840" behindDoc="0" locked="0" layoutInCell="1" allowOverlap="1">
                <wp:simplePos x="0" y="0"/>
                <wp:positionH relativeFrom="column">
                  <wp:posOffset>940435</wp:posOffset>
                </wp:positionH>
                <wp:positionV relativeFrom="paragraph">
                  <wp:posOffset>1580515</wp:posOffset>
                </wp:positionV>
                <wp:extent cx="2152015" cy="2032635"/>
                <wp:effectExtent l="4445" t="4445" r="15240" b="20320"/>
                <wp:wrapNone/>
                <wp:docPr id="92" name="组合 92"/>
                <wp:cNvGraphicFramePr/>
                <a:graphic xmlns:a="http://schemas.openxmlformats.org/drawingml/2006/main">
                  <a:graphicData uri="http://schemas.microsoft.com/office/word/2010/wordprocessingGroup">
                    <wpg:wgp>
                      <wpg:cNvGrpSpPr/>
                      <wpg:grpSpPr>
                        <a:xfrm>
                          <a:off x="0" y="0"/>
                          <a:ext cx="2151980" cy="2032718"/>
                          <a:chOff x="11246" y="860421"/>
                          <a:chExt cx="3388" cy="3201"/>
                        </a:xfrm>
                      </wpg:grpSpPr>
                      <wpg:grpSp>
                        <wpg:cNvPr id="123" name="组合 123"/>
                        <wpg:cNvGrpSpPr/>
                        <wpg:grpSpPr>
                          <a:xfrm>
                            <a:off x="11246" y="860421"/>
                            <a:ext cx="3388" cy="3201"/>
                            <a:chOff x="5620" y="848234"/>
                            <a:chExt cx="3388" cy="3200"/>
                          </a:xfrm>
                        </wpg:grpSpPr>
                        <wpg:grpSp>
                          <wpg:cNvPr id="73" name="组合 73"/>
                          <wpg:cNvGrpSpPr/>
                          <wpg:grpSpPr>
                            <a:xfrm>
                              <a:off x="5620" y="848234"/>
                              <a:ext cx="3388" cy="3200"/>
                              <a:chOff x="1701" y="889380"/>
                              <a:chExt cx="3016" cy="2379"/>
                            </a:xfrm>
                          </wpg:grpSpPr>
                          <wps:wsp>
                            <wps:cNvPr id="74" name="文本框 24"/>
                            <wps:cNvSpPr txBox="1"/>
                            <wps:spPr>
                              <a:xfrm>
                                <a:off x="1701" y="889380"/>
                                <a:ext cx="3016" cy="2379"/>
                              </a:xfrm>
                              <a:prstGeom prst="rect">
                                <a:avLst/>
                              </a:prstGeom>
                              <a:solidFill>
                                <a:schemeClr val="bg1">
                                  <a:alpha val="56000"/>
                                </a:schemeClr>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spacing w:line="360" w:lineRule="auto"/>
                                    <w:rPr>
                                      <w:rFonts w:hint="eastAsia"/>
                                      <w:b/>
                                      <w:bCs/>
                                      <w:color w:val="auto"/>
                                      <w:sz w:val="28"/>
                                      <w:szCs w:val="28"/>
                                      <w:lang w:val="en-US" w:eastAsia="zh-CN"/>
                                    </w:rPr>
                                  </w:pPr>
                                  <w:r>
                                    <w:rPr>
                                      <w:rFonts w:hint="eastAsia"/>
                                      <w:b/>
                                      <w:bCs/>
                                      <w:color w:val="auto"/>
                                      <w:sz w:val="28"/>
                                      <w:szCs w:val="28"/>
                                      <w:lang w:val="en-US" w:eastAsia="zh-CN"/>
                                    </w:rPr>
                                    <w:t>图例</w:t>
                                  </w:r>
                                </w:p>
                                <w:p>
                                  <w:pPr>
                                    <w:pStyle w:val="28"/>
                                    <w:spacing w:line="360" w:lineRule="auto"/>
                                    <w:ind w:left="840" w:leftChars="0" w:firstLine="420" w:firstLineChars="0"/>
                                    <w:jc w:val="left"/>
                                    <w:rPr>
                                      <w:rFonts w:hint="default"/>
                                      <w:lang w:val="en-US" w:eastAsia="zh-CN"/>
                                    </w:rPr>
                                  </w:pPr>
                                  <w:r>
                                    <w:rPr>
                                      <w:rFonts w:hint="eastAsia"/>
                                      <w:lang w:val="en-US" w:eastAsia="zh-CN"/>
                                    </w:rPr>
                                    <w:t>项目红线</w:t>
                                  </w:r>
                                </w:p>
                                <w:p>
                                  <w:pPr>
                                    <w:pStyle w:val="28"/>
                                    <w:spacing w:line="360" w:lineRule="auto"/>
                                    <w:ind w:left="840" w:leftChars="0" w:firstLine="420" w:firstLineChars="0"/>
                                    <w:jc w:val="left"/>
                                    <w:rPr>
                                      <w:rFonts w:hint="default"/>
                                      <w:lang w:val="en-US" w:eastAsia="zh-CN"/>
                                    </w:rPr>
                                  </w:pPr>
                                  <w:r>
                                    <w:rPr>
                                      <w:rFonts w:hint="eastAsia"/>
                                      <w:lang w:val="en-US" w:eastAsia="zh-CN"/>
                                    </w:rPr>
                                    <w:t>废气收集管线</w:t>
                                  </w:r>
                                </w:p>
                                <w:p>
                                  <w:pPr>
                                    <w:pStyle w:val="28"/>
                                    <w:spacing w:line="360" w:lineRule="auto"/>
                                    <w:ind w:left="840" w:leftChars="0" w:firstLine="420" w:firstLineChars="0"/>
                                    <w:jc w:val="left"/>
                                    <w:rPr>
                                      <w:rFonts w:hint="eastAsia"/>
                                      <w:lang w:val="en-US" w:eastAsia="zh-CN"/>
                                    </w:rPr>
                                  </w:pPr>
                                  <w:r>
                                    <w:rPr>
                                      <w:rFonts w:hint="eastAsia"/>
                                      <w:lang w:val="en-US" w:eastAsia="zh-CN"/>
                                    </w:rPr>
                                    <w:t>重点防渗区</w:t>
                                  </w:r>
                                </w:p>
                                <w:p>
                                  <w:pPr>
                                    <w:pStyle w:val="28"/>
                                    <w:spacing w:line="360" w:lineRule="auto"/>
                                    <w:ind w:left="840" w:leftChars="0" w:firstLine="420" w:firstLineChars="0"/>
                                    <w:jc w:val="left"/>
                                    <w:rPr>
                                      <w:rFonts w:hint="default"/>
                                      <w:lang w:val="en-US" w:eastAsia="zh-CN"/>
                                    </w:rPr>
                                  </w:pPr>
                                  <w:r>
                                    <w:rPr>
                                      <w:rFonts w:hint="eastAsia"/>
                                      <w:lang w:val="en-US" w:eastAsia="zh-CN"/>
                                    </w:rPr>
                                    <w:t>简单防渗区</w:t>
                                  </w:r>
                                </w:p>
                                <w:p>
                                  <w:pPr>
                                    <w:pStyle w:val="28"/>
                                    <w:spacing w:line="360" w:lineRule="auto"/>
                                    <w:ind w:left="840" w:leftChars="0" w:firstLine="420" w:firstLineChars="0"/>
                                    <w:jc w:val="left"/>
                                    <w:rPr>
                                      <w:rFonts w:hint="default"/>
                                      <w:lang w:val="en-US" w:eastAsia="zh-CN"/>
                                    </w:rPr>
                                  </w:pPr>
                                  <w:r>
                                    <w:rPr>
                                      <w:rFonts w:hint="eastAsia"/>
                                      <w:lang w:val="en-US" w:eastAsia="zh-CN"/>
                                    </w:rPr>
                                    <w:t>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6" name="直接连接符 26"/>
                            <wps:cNvCnPr/>
                            <wps:spPr>
                              <a:xfrm>
                                <a:off x="2028" y="890290"/>
                                <a:ext cx="825" cy="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88" name="直接连接符 28"/>
                            <wps:cNvCnPr/>
                            <wps:spPr>
                              <a:xfrm>
                                <a:off x="1996" y="889953"/>
                                <a:ext cx="82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9" name="椭圆 27"/>
                            <wps:cNvSpPr/>
                            <wps:spPr>
                              <a:xfrm>
                                <a:off x="2265" y="891285"/>
                                <a:ext cx="166" cy="149"/>
                              </a:xfrm>
                              <a:prstGeom prst="ellipse">
                                <a:avLst/>
                              </a:prstGeom>
                              <a:solidFill>
                                <a:srgbClr val="FB3FF0"/>
                              </a:solidFill>
                              <a:ln>
                                <a:solidFill>
                                  <a:srgbClr val="FB3F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s:wsp>
                          <wps:cNvPr id="119" name="文本框 119"/>
                          <wps:cNvSpPr txBox="1"/>
                          <wps:spPr>
                            <a:xfrm>
                              <a:off x="5873" y="849747"/>
                              <a:ext cx="1024" cy="360"/>
                            </a:xfrm>
                            <a:prstGeom prst="rect">
                              <a:avLst/>
                            </a:prstGeom>
                            <a:solidFill>
                              <a:srgbClr val="FF0000">
                                <a:alpha val="60000"/>
                              </a:srgbClr>
                            </a:solidFill>
                            <a:ln w="19050">
                              <a:solidFill>
                                <a:srgbClr val="FFC000"/>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b/>
                                    <w:bCs/>
                                    <w:sz w:val="32"/>
                                    <w:szCs w:val="32"/>
                                    <w:lang w:val="en-US" w:eastAsia="zh-CN"/>
                                  </w:rPr>
                                </w:pPr>
                              </w:p>
                            </w:txbxContent>
                          </wps:txbx>
                          <wps:bodyPr rot="0" spcFirstLastPara="0" vertOverflow="overflow" horzOverflow="overflow" vert="horz" wrap="square" lIns="91440" tIns="45720" rIns="91440" bIns="45720" numCol="1" spcCol="0" rtlCol="0" fromWordArt="0" anchor="ctr" anchorCtr="0" forceAA="0" upright="0" compatLnSpc="1">
                            <a:noAutofit/>
                          </wps:bodyPr>
                        </wps:wsp>
                      </wpg:grpSp>
                      <wps:wsp>
                        <wps:cNvPr id="66" name="文本框 66"/>
                        <wps:cNvSpPr txBox="1"/>
                        <wps:spPr>
                          <a:xfrm>
                            <a:off x="11508" y="862427"/>
                            <a:ext cx="1024" cy="358"/>
                          </a:xfrm>
                          <a:prstGeom prst="rect">
                            <a:avLst/>
                          </a:prstGeom>
                          <a:solidFill>
                            <a:srgbClr val="00B0F0"/>
                          </a:solidFill>
                          <a:ln w="19050">
                            <a:solidFill>
                              <a:srgbClr val="FFC000"/>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b/>
                                  <w:bCs/>
                                  <w:sz w:val="32"/>
                                  <w:szCs w:val="32"/>
                                  <w:lang w:val="en-US" w:eastAsia="zh-CN"/>
                                </w:rPr>
                              </w:pPr>
                            </w:p>
                          </w:txbxContent>
                        </wps:txbx>
                        <wps:bodyPr rot="0" spcFirstLastPara="0" vertOverflow="overflow" horzOverflow="overflow" vert="horz" wrap="square" lIns="91440" tIns="45720" rIns="91440" bIns="45720" numCol="1" spcCol="0" rtlCol="0" fromWordArt="0" anchor="ctr" anchorCtr="0" forceAA="0" upright="0" compatLnSpc="1">
                          <a:noAutofit/>
                        </wps:bodyPr>
                      </wps:wsp>
                    </wpg:wgp>
                  </a:graphicData>
                </a:graphic>
              </wp:anchor>
            </w:drawing>
          </mc:Choice>
          <mc:Fallback>
            <w:pict>
              <v:group id="_x0000_s1026" o:spid="_x0000_s1026" o:spt="203" style="position:absolute;left:0pt;margin-left:74.05pt;margin-top:124.45pt;height:160.05pt;width:169.45pt;z-index:251683840;mso-width-relative:page;mso-height-relative:page;" coordorigin="11246,860421" coordsize="3388,3201" o:gfxdata="UEsDBAoAAAAAAIdO4kAAAAAAAAAAAAAAAAAEAAAAZHJzL1BLAwQUAAAACACHTuJAM8umddsAAAAL&#10;AQAADwAAAGRycy9kb3ducmV2LnhtbE2PwW7CMBBE75X6D9ZW6q3YpoGGNA6qUNsTQipUQtxMvCQR&#10;sR3FJoG/7/bUHkf7NPsmX15tywbsQ+OdAjkRwNCV3jSuUvC9+3hKgYWondGtd6jghgGWxf1drjPj&#10;R/eFwzZWjEpcyLSCOsYu4zyUNVodJr5DR7eT762OFPuKm16PVG5bPhVizq1uHH2odYerGsvz9mIV&#10;fI56fHuW78P6fFrdDrvZZr+WqNTjgxSvwCJe4x8Mv/qkDgU5Hf3FmcBaykkqCVUwTdIFMCKS9IXW&#10;HRXM5gsBvMj5/w3FD1BLAwQUAAAACACHTuJAISAfRukEAAAWFQAADgAAAGRycy9lMm9Eb2MueG1s&#10;7VhNb+tEFN0j8R8s72lsx3Zsq+lTm5IKqeJVKoj11PGXZHvMzKRJWSNghVix4QkJCVg9duxY8Gte&#10;Hz+De2fGzkeT1zaF8KHXRWrPjO/MnHvOnGsfPptXpXGdMF7QemjaB5ZpJHVMJ0WdDc2PPxq/F5gG&#10;F6SekJLWydC8Sbj57Ojddw5nTZQ4NKflJGEGBKl5NGuGZi5EE/V6PM6TivAD2iQ1dKaUVUTALct6&#10;E0ZmEL0qe45l+b0ZZZOG0TjhHFpPVaepI7KHBKRpWsTJKY2nVVILFZUlJRGwJZ4XDTeP5GrTNInF&#10;8zTliTDKoQk7FfIXJoHrK/ztHR2SKGOkyYtYL4E8ZAlre6pIUcOkXahTIogxZcWdUFURM8ppKg5i&#10;WvXURiQisAvbWsPmjNFpI/eSRbOs6UCHRK2hvnPY+MPrC2YUk6EZOqZRkwoy/vq3z19985UBDYDO&#10;rMkiGHTGmsvmgumGTN3hhucpq/A/bMWYS1xvOlyTuTBiaHRszw4DgDyGPsfqOwM7UMjHOaQHn7Nt&#10;x/VNA/oD33Idu+1+X4fo9wPgJT7fB6Cwt9fO3cMldivqbv5etGynvwYXtjwer837boG7u2sSdZB5&#10;vgOQImJu4PTdNyImif7PIjZYBwwaHo/Xxk1vhEtru4PLHgBvJFxB2AcywtwIZkcwywb+SYL2ByH2&#10;boULzj2+ECN/mhgvc9IkUuMcdabFOHBbdt1+++Xti5e3P3xhODLFs0aOQzEaYn5CUTsKRx5xaNyg&#10;yY077zDbvm8SNYyLs4RWBl4MTQbHqTzlyPU5FwqidgjOy2lZTMZFWcobll2NSmZcEzh6x/JPPVs2&#10;OVGtnm9ZLTO5Gi5hX4lT1sZsaPp9z5KPr/Tph1Q0iLUUbrEUyGNZQ1xETiGEV2J+NZf049EVndwA&#10;mowqd+BNPC5gv+eEiwvCwA5AZmCY4jn8pCWF1VB9ZRo5ZZ9tasfxQAzoNY0Z2MvQ5J9OCUtMo/yg&#10;BsqEtutCWCFvXG+AUmbLPVfLPfW0GlGAEQgMq5OXOF6U7WXKaPUJ+OoxzgpdpI5h7qEp2suRUKYH&#10;vhwnx8dyEDhQQ8R5fdnEGBqTVtPjqaBpIZOLMClsNHpAezSEffAftKjN6Ltfb7/+6Y/fv4ff1y9/&#10;Nhy/ZTuoZVRrS2oz23pC50eO5YBv4CEZWk6oVd9yP3A8JfmWhK2ZtaTWvC+LGiVKoi28rymSXh4o&#10;iq1O4A0wNOY9hboELqtmAhyoM0hImUHhFQt2L59PrHG7shXa4/JOCc8V72WXPrA2EF1lEMWqM7en&#10;FKJfb0mhNH9czYNSaIehrgyCMPSkaZDov5HC8XjzkaRO1n9/CsM2hbc//vLqBVjQYEl8XT24XXyO&#10;DyqQ4rNBEvjsInO2r/3Wdlft9o7tJGUJNf0bFbgijxVXGJ/0IQtaHivDtFQ9FzzoiVLdPskOUv1f&#10;GhEed9qV/jorWlT+ezrTbHuhiK4uw0ZdScB59pjCzAuwKJYVfDhwpbaW9GFBwafeePyWv1v86Sl1&#10;mTygpLct6jIsy9op76nL7NC6tzAbj0dL8d4WZliY3aOHacOKLFe13G5l2t61gce58vvFKwu07aYM&#10;2/YsXbf5jqtsZ6M0PFlLdK9qd7xjd2lY1rbySxnHW+aPdnol2Q/z4XOZfJXUn/bwe9zyvayGF58z&#10;j/4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XQcAAFtDb250ZW50X1R5cGVzXS54bWxQSwECFAAKAAAAAACHTuJAAAAAAAAAAAAAAAAABgAAAAAA&#10;AAAAABAAAAA/BgAAX3JlbHMvUEsBAhQAFAAAAAgAh07iQIoUZjzRAAAAlAEAAAsAAAAAAAAAAQAg&#10;AAAAYwYAAF9yZWxzLy5yZWxzUEsBAhQACgAAAAAAh07iQAAAAAAAAAAAAAAAAAQAAAAAAAAAAAAQ&#10;AAAAAAAAAGRycy9QSwECFAAUAAAACACHTuJAM8umddsAAAALAQAADwAAAAAAAAABACAAAAAiAAAA&#10;ZHJzL2Rvd25yZXYueG1sUEsBAhQAFAAAAAgAh07iQCEgH0bpBAAAFhUAAA4AAAAAAAAAAQAgAAAA&#10;KgEAAGRycy9lMm9Eb2MueG1sUEsFBgAAAAAGAAYAWQEAAIUIAAAAAA==&#10;">
                <o:lock v:ext="edit" aspectratio="f"/>
                <v:group id="_x0000_s1026" o:spid="_x0000_s1026" o:spt="203" style="position:absolute;left:11246;top:860421;height:3201;width:3388;" coordorigin="5620,848234" coordsize="3388,3200" o:gfxdata="UEsDBAoAAAAAAIdO4kAAAAAAAAAAAAAAAAAEAAAAZHJzL1BLAwQUAAAACACHTuJANv1fxr0AAADc&#10;AAAADwAAAGRycy9kb3ducmV2LnhtbEVPTWvCQBC9F/wPywi91U0iFomuIqEtPYRCVRBvQ3ZMgtnZ&#10;kN0m5t+7BcHbPN7nrLc304ieOldbVhDPIhDEhdU1lwqOh8+3JQjnkTU2lknBSA62m8nLGlNtB/6l&#10;fu9LEULYpaig8r5NpXRFRQbdzLbEgbvYzqAPsCul7nAI4aaRSRS9S4M1h4YKW8oqKq77P6Pga8Bh&#10;N48/+vx6ycbzYfFzymNS6nUaRysQnm7+KX64v3WYn8zh/5lwgdzc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v1fxr0AAADcAAAADwAAAAAAAAABACAAAAAiAAAAZHJzL2Rvd25yZXYueG1s&#10;UEsBAhQAFAAAAAgAh07iQDMvBZ47AAAAOQAAABUAAAAAAAAAAQAgAAAADAEAAGRycy9ncm91cHNo&#10;YXBleG1sLnhtbFBLBQYAAAAABgAGAGABAADJAwAAAAA=&#10;">
                  <o:lock v:ext="edit" aspectratio="f"/>
                  <v:group id="_x0000_s1026" o:spid="_x0000_s1026" o:spt="203" style="position:absolute;left:5620;top:848234;height:3200;width:3388;" coordorigin="1701,889380" coordsize="3016,2379" o:gfxdata="UEsDBAoAAAAAAIdO4kAAAAAAAAAAAAAAAAAEAAAAZHJzL1BLAwQUAAAACACHTuJA3wPqwr0AAADb&#10;AAAADwAAAGRycy9kb3ducmV2LnhtbEWPQYvCMBSE74L/ITzB25pW2V2pRhFR2YMsbBXE26N5tsXm&#10;pTSx1X9vhAWPw8x8w8yXd1OJlhpXWlYQjyIQxJnVJecKjoftxxSE88gaK8uk4EEOlot+b46Jth3/&#10;UZv6XAQIuwQVFN7XiZQuK8igG9maOHgX2xj0QTa51A12AW4qOY6iL2mw5LBQYE3rgrJrejMKdh12&#10;q0m8affXy/pxPnz+nvYxKTUcxNEMhKe7f4f/2z9awfcE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wPqwr0AAADbAAAADwAAAAAAAAABACAAAAAiAAAAZHJzL2Rvd25yZXYueG1s&#10;UEsBAhQAFAAAAAgAh07iQDMvBZ47AAAAOQAAABUAAAAAAAAAAQAgAAAADAEAAGRycy9ncm91cHNo&#10;YXBleG1sLnhtbFBLBQYAAAAABgAGAGABAADJAwAAAAA=&#10;">
                    <o:lock v:ext="edit" aspectratio="f"/>
                    <v:shape id="文本框 24" o:spid="_x0000_s1026" o:spt="202" type="#_x0000_t202" style="position:absolute;left:1701;top:889380;height:2379;width:3016;" fillcolor="#FFFFFF [3212]" filled="t" stroked="t" coordsize="21600,21600" o:gfxdata="UEsDBAoAAAAAAIdO4kAAAAAAAAAAAAAAAAAEAAAAZHJzL1BLAwQUAAAACACHTuJAt2/5z74AAADb&#10;AAAADwAAAGRycy9kb3ducmV2LnhtbEWPzW7CMBCE75V4B2uReisOtOUnYDhQUXHohcADrOIlMcTr&#10;YBsCffq6UqUeRzPzjWaxuttG3MgH41jBcJCBIC6dNlwpOOw3L1MQISJrbByTggcFWC17TwvMtet4&#10;R7ciViJBOOSooI6xzaUMZU0Ww8C1xMk7Om8xJukrqT12CW4bOcqysbRoOC3U2NK6pvJcXK2C7/fX&#10;02d7Oc3MRzErfLd9fG06o9Rzf5jNQUS6x//wX3urFUze4PdL+gF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2/5z74A&#10;AADbAAAADwAAAAAAAAABACAAAAAiAAAAZHJzL2Rvd25yZXYueG1sUEsBAhQAFAAAAAgAh07iQDMv&#10;BZ47AAAAOQAAABAAAAAAAAAAAQAgAAAADQEAAGRycy9zaGFwZXhtbC54bWxQSwUGAAAAAAYABgBb&#10;AQAAtwMAAAAA&#10;">
                      <v:fill on="t" opacity="36700f" focussize="0,0"/>
                      <v:stroke weight="0.5pt" color="#000000 [3213]" joinstyle="round"/>
                      <v:imagedata o:title=""/>
                      <o:lock v:ext="edit" aspectratio="f"/>
                      <v:textbox>
                        <w:txbxContent>
                          <w:p>
                            <w:pPr>
                              <w:spacing w:line="360" w:lineRule="auto"/>
                              <w:rPr>
                                <w:rFonts w:hint="eastAsia"/>
                                <w:b/>
                                <w:bCs/>
                                <w:color w:val="auto"/>
                                <w:sz w:val="28"/>
                                <w:szCs w:val="28"/>
                                <w:lang w:val="en-US" w:eastAsia="zh-CN"/>
                              </w:rPr>
                            </w:pPr>
                            <w:r>
                              <w:rPr>
                                <w:rFonts w:hint="eastAsia"/>
                                <w:b/>
                                <w:bCs/>
                                <w:color w:val="auto"/>
                                <w:sz w:val="28"/>
                                <w:szCs w:val="28"/>
                                <w:lang w:val="en-US" w:eastAsia="zh-CN"/>
                              </w:rPr>
                              <w:t>图例</w:t>
                            </w:r>
                          </w:p>
                          <w:p>
                            <w:pPr>
                              <w:pStyle w:val="28"/>
                              <w:spacing w:line="360" w:lineRule="auto"/>
                              <w:ind w:left="840" w:leftChars="0" w:firstLine="420" w:firstLineChars="0"/>
                              <w:jc w:val="left"/>
                              <w:rPr>
                                <w:rFonts w:hint="default"/>
                                <w:lang w:val="en-US" w:eastAsia="zh-CN"/>
                              </w:rPr>
                            </w:pPr>
                            <w:r>
                              <w:rPr>
                                <w:rFonts w:hint="eastAsia"/>
                                <w:lang w:val="en-US" w:eastAsia="zh-CN"/>
                              </w:rPr>
                              <w:t>项目红线</w:t>
                            </w:r>
                          </w:p>
                          <w:p>
                            <w:pPr>
                              <w:pStyle w:val="28"/>
                              <w:spacing w:line="360" w:lineRule="auto"/>
                              <w:ind w:left="840" w:leftChars="0" w:firstLine="420" w:firstLineChars="0"/>
                              <w:jc w:val="left"/>
                              <w:rPr>
                                <w:rFonts w:hint="default"/>
                                <w:lang w:val="en-US" w:eastAsia="zh-CN"/>
                              </w:rPr>
                            </w:pPr>
                            <w:r>
                              <w:rPr>
                                <w:rFonts w:hint="eastAsia"/>
                                <w:lang w:val="en-US" w:eastAsia="zh-CN"/>
                              </w:rPr>
                              <w:t>废气收集管线</w:t>
                            </w:r>
                          </w:p>
                          <w:p>
                            <w:pPr>
                              <w:pStyle w:val="28"/>
                              <w:spacing w:line="360" w:lineRule="auto"/>
                              <w:ind w:left="840" w:leftChars="0" w:firstLine="420" w:firstLineChars="0"/>
                              <w:jc w:val="left"/>
                              <w:rPr>
                                <w:rFonts w:hint="eastAsia"/>
                                <w:lang w:val="en-US" w:eastAsia="zh-CN"/>
                              </w:rPr>
                            </w:pPr>
                            <w:r>
                              <w:rPr>
                                <w:rFonts w:hint="eastAsia"/>
                                <w:lang w:val="en-US" w:eastAsia="zh-CN"/>
                              </w:rPr>
                              <w:t>重点防渗区</w:t>
                            </w:r>
                          </w:p>
                          <w:p>
                            <w:pPr>
                              <w:pStyle w:val="28"/>
                              <w:spacing w:line="360" w:lineRule="auto"/>
                              <w:ind w:left="840" w:leftChars="0" w:firstLine="420" w:firstLineChars="0"/>
                              <w:jc w:val="left"/>
                              <w:rPr>
                                <w:rFonts w:hint="default"/>
                                <w:lang w:val="en-US" w:eastAsia="zh-CN"/>
                              </w:rPr>
                            </w:pPr>
                            <w:r>
                              <w:rPr>
                                <w:rFonts w:hint="eastAsia"/>
                                <w:lang w:val="en-US" w:eastAsia="zh-CN"/>
                              </w:rPr>
                              <w:t>简单防渗区</w:t>
                            </w:r>
                          </w:p>
                          <w:p>
                            <w:pPr>
                              <w:pStyle w:val="28"/>
                              <w:spacing w:line="360" w:lineRule="auto"/>
                              <w:ind w:left="840" w:leftChars="0" w:firstLine="420" w:firstLineChars="0"/>
                              <w:jc w:val="left"/>
                              <w:rPr>
                                <w:rFonts w:hint="default"/>
                                <w:lang w:val="en-US" w:eastAsia="zh-CN"/>
                              </w:rPr>
                            </w:pPr>
                            <w:r>
                              <w:rPr>
                                <w:rFonts w:hint="eastAsia"/>
                                <w:lang w:val="en-US" w:eastAsia="zh-CN"/>
                              </w:rPr>
                              <w:t>排气筒</w:t>
                            </w:r>
                          </w:p>
                        </w:txbxContent>
                      </v:textbox>
                    </v:shape>
                    <v:line id="直接连接符 26" o:spid="_x0000_s1026" o:spt="20" style="position:absolute;left:2028;top:890290;height:0;width:825;" filled="f" stroked="t" coordsize="21600,21600" o:gfxdata="UEsDBAoAAAAAAIdO4kAAAAAAAAAAAAAAAAAEAAAAZHJzL1BLAwQUAAAACACHTuJAvO0VmL4AAADb&#10;AAAADwAAAGRycy9kb3ducmV2LnhtbEWPQWvCQBSE7wX/w/IEb3VXD0mbukpRhAglUK0Hb4/saxKa&#10;fRuyq4n/3i0Uehxm5htmtRltK27U+8axhsVcgSAunWm40vB12j+/gPAB2WDrmDTcycNmPXlaYWbc&#10;wJ90O4ZKRAj7DDXUIXSZlL6syaKfu444et+utxii7Ctpehwi3LZyqVQiLTYcF2rsaFtT+XO8Wg3X&#10;w5g07l1dXrvig3KTns5FtdN6Nl2oNxCBxvAf/mvnRkOawO+X+APk+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O0VmL4A&#10;AADbAAAADwAAAAAAAAABACAAAAAiAAAAZHJzL2Rvd25yZXYueG1sUEsBAhQAFAAAAAgAh07iQDMv&#10;BZ47AAAAOQAAABAAAAAAAAAAAQAgAAAADQEAAGRycy9zaGFwZXhtbC54bWxQSwUGAAAAAAYABgBb&#10;AQAAtwMAAAAA&#10;">
                      <v:fill on="f" focussize="0,0"/>
                      <v:stroke weight="2.25pt" color="#00B0F0 [3204]" joinstyle="round"/>
                      <v:imagedata o:title=""/>
                      <o:lock v:ext="edit" aspectratio="f"/>
                    </v:line>
                    <v:line id="直接连接符 28" o:spid="_x0000_s1026" o:spt="20" style="position:absolute;left:1996;top:889953;height:0;width:825;" filled="f" stroked="t" coordsize="21600,21600" o:gfxdata="UEsDBAoAAAAAAIdO4kAAAAAAAAAAAAAAAAAEAAAAZHJzL1BLAwQUAAAACACHTuJAKa3Kj7kAAADb&#10;AAAADwAAAGRycy9kb3ducmV2LnhtbEVPy4rCMBTdD/gP4QruxlQXUqpRVBxwIcjU1/bSXJtic1Oa&#10;TK1/bxYDLg/nvVj1thYdtb5yrGAyTkAQF05XXCo4n36+UxA+IGusHZOCF3lYLQdfC8y0e/IvdXko&#10;RQxhn6ECE0KTSekLQxb92DXEkbu71mKIsC2lbvEZw20tp0kykxYrjg0GG9oaKh75n1XQX9O1uR3C&#10;ZucuR/Pob7ntpi+lRsNJMgcRqA8f8b97rxWkcWz8En+AXL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mtyo+5AAAA2wAA&#10;AA8AAAAAAAAAAQAgAAAAIgAAAGRycy9kb3ducmV2LnhtbFBLAQIUABQAAAAIAIdO4kAzLwWeOwAA&#10;ADkAAAAQAAAAAAAAAAEAIAAAAAgBAABkcnMvc2hhcGV4bWwueG1sUEsFBgAAAAAGAAYAWwEAALID&#10;AAAAAA==&#10;">
                      <v:fill on="f" focussize="0,0"/>
                      <v:stroke weight="2.25pt" color="#FF0000 [3204]" joinstyle="round"/>
                      <v:imagedata o:title=""/>
                      <o:lock v:ext="edit" aspectratio="f"/>
                    </v:line>
                    <v:shape id="椭圆 27" o:spid="_x0000_s1026" o:spt="3" type="#_x0000_t3" style="position:absolute;left:2265;top:891285;height:149;width:166;v-text-anchor:middle;" fillcolor="#FB3FF0" filled="t" stroked="t" coordsize="21600,21600" o:gfxdata="UEsDBAoAAAAAAIdO4kAAAAAAAAAAAAAAAAAEAAAAZHJzL1BLAwQUAAAACACHTuJAqPaOyL8AAADb&#10;AAAADwAAAGRycy9kb3ducmV2LnhtbEWPQWvCQBSE74X+h+UVvJS6iQdro2sohWrAQ2nsweMj+8zG&#10;ZN+G7Fbjv3cLBY/DzHzDrPLRduJMg28cK0inCQjiyumGawU/+8+XBQgfkDV2jknBlTzk68eHFWba&#10;XfibzmWoRYSwz1CBCaHPpPSVIYt+6nri6B3dYDFEOdRSD3iJcNvJWZLMpcWG44LBnj4MVW35axW0&#10;79vd1jwXvXylwwaL8fQ1a/dKTZ7SZAki0Bju4f92oRUs3uDvS/wBcn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j2jsi/&#10;AAAA2wAAAA8AAAAAAAAAAQAgAAAAIgAAAGRycy9kb3ducmV2LnhtbFBLAQIUABQAAAAIAIdO4kAz&#10;LwWeOwAAADkAAAAQAAAAAAAAAAEAIAAAAA4BAABkcnMvc2hhcGV4bWwueG1sUEsFBgAAAAAGAAYA&#10;WwEAALgDAAAAAA==&#10;">
                      <v:fill on="t" focussize="0,0"/>
                      <v:stroke weight="2pt" color="#FB3FF0 [3204]" joinstyle="round"/>
                      <v:imagedata o:title=""/>
                      <o:lock v:ext="edit" aspectratio="f"/>
                    </v:shape>
                  </v:group>
                  <v:shape id="_x0000_s1026" o:spid="_x0000_s1026" o:spt="202" type="#_x0000_t202" style="position:absolute;left:5873;top:849747;height:360;width:1024;v-text-anchor:middle;" fillcolor="#FF0000" filled="t" stroked="t" coordsize="21600,21600" o:gfxdata="UEsDBAoAAAAAAIdO4kAAAAAAAAAAAAAAAAAEAAAAZHJzL1BLAwQUAAAACACHTuJAorl8HLoAAADc&#10;AAAADwAAAGRycy9kb3ducmV2LnhtbEVPS2sCMRC+C/6HMII3N1kPolujiDTosdpCr8NmurvtZrIk&#10;qY9/3whCb/PxPWe9vbleXCjEzrOGslAgiGtvO240fLyb2RJETMgWe8+k4U4RtpvxaI2V9Vc+0eWc&#10;GpFDOFaooU1pqKSMdUsOY+EH4sx9+eAwZRgaaQNec7jr5VyphXTYcW5ocaB9S/XP+ddpmKtdOi0/&#10;1cKYXTDf+9e31cE0Wk8npXoBkeiW/sVP99Hm+eUKHs/kC+Tm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uXwcugAAANwA&#10;AAAPAAAAAAAAAAEAIAAAACIAAABkcnMvZG93bnJldi54bWxQSwECFAAUAAAACACHTuJAMy8FnjsA&#10;AAA5AAAAEAAAAAAAAAABACAAAAAJAQAAZHJzL3NoYXBleG1sLnhtbFBLBQYAAAAABgAGAFsBAACz&#10;AwAAAAA=&#10;">
                    <v:fill on="t" opacity="39321f" focussize="0,0"/>
                    <v:stroke weight="1.5pt" color="#FFC000 [3204]" joinstyle="round"/>
                    <v:imagedata o:title=""/>
                    <o:lock v:ext="edit" aspectratio="f"/>
                    <v:textbox>
                      <w:txbxContent>
                        <w:p>
                          <w:pPr>
                            <w:jc w:val="center"/>
                            <w:rPr>
                              <w:rFonts w:hint="default"/>
                              <w:b/>
                              <w:bCs/>
                              <w:sz w:val="32"/>
                              <w:szCs w:val="32"/>
                              <w:lang w:val="en-US" w:eastAsia="zh-CN"/>
                            </w:rPr>
                          </w:pPr>
                        </w:p>
                      </w:txbxContent>
                    </v:textbox>
                  </v:shape>
                </v:group>
                <v:shape id="_x0000_s1026" o:spid="_x0000_s1026" o:spt="202" type="#_x0000_t202" style="position:absolute;left:11508;top:862427;height:358;width:1024;v-text-anchor:middle;" fillcolor="#00B0F0" filled="t" stroked="t" coordsize="21600,21600" o:gfxdata="UEsDBAoAAAAAAIdO4kAAAAAAAAAAAAAAAAAEAAAAZHJzL1BLAwQUAAAACACHTuJAENJSHLwAAADb&#10;AAAADwAAAGRycy9kb3ducmV2LnhtbEWPQYvCMBSE7wv+h/AEb2taD12tRkFB8KAH273s7dk822Lz&#10;Upto9d+bBcHjMDPfMIvVwzTiTp2rLSuIxxEI4sLqmksFv/n2ewrCeWSNjWVS8CQHq+Xga4Gptj0f&#10;6Z75UgQIuxQVVN63qZSuqMigG9uWOHhn2xn0QXal1B32AW4aOYmiRBqsOSxU2NKmouKS3YyCqbn2&#10;+59THc8O+xzzw19mTuunUqNhHM1BeHr4T/jd3mkFSQL/X8IPkM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DSUhy8AAAA&#10;2wAAAA8AAAAAAAAAAQAgAAAAIgAAAGRycy9kb3ducmV2LnhtbFBLAQIUABQAAAAIAIdO4kAzLwWe&#10;OwAAADkAAAAQAAAAAAAAAAEAIAAAAAsBAABkcnMvc2hhcGV4bWwueG1sUEsFBgAAAAAGAAYAWwEA&#10;ALUDAAAAAA==&#10;">
                  <v:fill on="t" focussize="0,0"/>
                  <v:stroke weight="1.5pt" color="#FFC000 [3204]" joinstyle="round"/>
                  <v:imagedata o:title=""/>
                  <o:lock v:ext="edit" aspectratio="f"/>
                  <v:textbox>
                    <w:txbxContent>
                      <w:p>
                        <w:pPr>
                          <w:jc w:val="center"/>
                          <w:rPr>
                            <w:rFonts w:hint="default"/>
                            <w:b/>
                            <w:bCs/>
                            <w:sz w:val="32"/>
                            <w:szCs w:val="32"/>
                            <w:lang w:val="en-US" w:eastAsia="zh-CN"/>
                          </w:rPr>
                        </w:pPr>
                      </w:p>
                    </w:txbxContent>
                  </v:textbox>
                </v:shape>
              </v:group>
            </w:pict>
          </mc:Fallback>
        </mc:AlternateContent>
      </w:r>
      <w:r>
        <w:rPr>
          <w:sz w:val="30"/>
          <w:highlight w:val="none"/>
        </w:rPr>
        <mc:AlternateContent>
          <mc:Choice Requires="wps">
            <w:drawing>
              <wp:anchor distT="0" distB="0" distL="114300" distR="114300" simplePos="0" relativeHeight="251679744" behindDoc="0" locked="0" layoutInCell="1" allowOverlap="1">
                <wp:simplePos x="0" y="0"/>
                <wp:positionH relativeFrom="column">
                  <wp:posOffset>3669030</wp:posOffset>
                </wp:positionH>
                <wp:positionV relativeFrom="paragraph">
                  <wp:posOffset>6266815</wp:posOffset>
                </wp:positionV>
                <wp:extent cx="710565" cy="562610"/>
                <wp:effectExtent l="0" t="0" r="0" b="0"/>
                <wp:wrapNone/>
                <wp:docPr id="122" name="文本框 122"/>
                <wp:cNvGraphicFramePr/>
                <a:graphic xmlns:a="http://schemas.openxmlformats.org/drawingml/2006/main">
                  <a:graphicData uri="http://schemas.microsoft.com/office/word/2010/wordprocessingShape">
                    <wps:wsp>
                      <wps:cNvSpPr txBox="1"/>
                      <wps:spPr>
                        <a:xfrm>
                          <a:off x="2960370" y="6503670"/>
                          <a:ext cx="710565" cy="5626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24"/>
                                <w:lang w:val="en-US" w:eastAsia="zh-CN"/>
                              </w:rPr>
                            </w:pPr>
                            <w:r>
                              <w:rPr>
                                <w:rFonts w:hint="eastAsia"/>
                                <w:b/>
                                <w:bCs/>
                                <w:sz w:val="24"/>
                                <w:szCs w:val="24"/>
                                <w:lang w:val="en-US" w:eastAsia="zh-CN"/>
                              </w:rPr>
                              <w:t>导流管</w:t>
                            </w:r>
                          </w:p>
                          <w:p>
                            <w:pPr>
                              <w:rPr>
                                <w:rFonts w:hint="default" w:eastAsia="宋体"/>
                                <w:b/>
                                <w:bCs/>
                                <w:sz w:val="24"/>
                                <w:szCs w:val="24"/>
                                <w:lang w:val="en-US" w:eastAsia="zh-CN"/>
                              </w:rPr>
                            </w:pPr>
                            <w:r>
                              <w:rPr>
                                <w:rFonts w:hint="eastAsia"/>
                                <w:b/>
                                <w:bCs/>
                                <w:sz w:val="24"/>
                                <w:szCs w:val="24"/>
                                <w:lang w:val="en-US" w:eastAsia="zh-CN"/>
                              </w:rPr>
                              <w:t>防渗区</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88.9pt;margin-top:493.45pt;height:44.3pt;width:55.95pt;z-index:251679744;mso-width-relative:page;mso-height-relative:page;" filled="f" stroked="f" coordsize="21600,21600" o:gfxdata="UEsDBAoAAAAAAIdO4kAAAAAAAAAAAAAAAAAEAAAAZHJzL1BLAwQUAAAACACHTuJAo6aBl9wAAAAM&#10;AQAADwAAAGRycy9kb3ducmV2LnhtbE2Py07DMBBF90j8gzVI7KjdSnkSp0KRKiQEi5Zu2E1iN4mw&#10;xyF2H/D1mBVdju7RvWeq9cUadtKzHx1JWC4EME2dUyP1Evbvm4ccmA9ICo0jLeFbe1jXtzcVlsqd&#10;aatPu9CzWEK+RAlDCFPJue8GbdEv3KQpZgc3WwzxnHuuZjzHcmv4SoiUWxwpLgw46WbQ3efuaCW8&#10;NJs33LYrm/+Y5vn18DR97T8SKe/vluIRWNCX8A/Dn35Uhzo6te5IyjMjIcmyqB4kFHlaAItEmhcZ&#10;sDaiIksS4HXFr5+ofwFQSwMEFAAAAAgAh07iQFWgFMlPAgAAgQQAAA4AAABkcnMvZTJvRG9jLnht&#10;bK1US27bMBDdF+gdCO4byXKsNEbkwE2QokDQBEiLrmmKsgTwV5KOlB6gvUFW3XTfc+UcfaTsxEi7&#10;yKIbajjzOMP3OKOT00FJciuc74yu6OQgp0RobupOryv6+dPFm7eU+MB0zaTRoqJ3wtPTxetXJ72d&#10;i8K0RtbCESTRft7birYh2HmWed4KxfyBsUIj2BinWMDWrbPasR7ZlcyKPC+z3rjaOsOF9/Cej0G6&#10;zehektA0TcfFueEbJXQYszohWQAl33bW00W6bdMIHq6axotAZEXBNKQVRWCv4potTth87ZhtO769&#10;AnvJFZ5xUqzTKPqY6pwFRjau+yuV6rgz3jThgBuVjUSSImAxyZ9pc9MyKxIXSO3to+j+/6XlH2+v&#10;HelqdEJRUKKZwpM/3P94+Pn74dd3Ep2QqLd+DuSNBTYM78wA+M7v4YzMh8ap+AUngnhxXObTI8h8&#10;V9Fylk9L2ElsMQTCATia5LNyRgkHYFYW5STFs6dE1vnwXhhFolFRh7dMErPbSx+QCtAdJNbV5qKT&#10;MpWQmvSoOp3l6cBjBCekxsFIZ7x2tMKwGrYcV6a+A0Vnxj7xll90KH7JfLhmDo0BPhidcIWlkQZF&#10;zNaipDXu27/8EY/3QpSSHo1WUf91w5ygRH7QeMnjyeFh7My0OZwdFdi4/chqP6I36syglycYUsuT&#10;GfFB7szGGfUFE7aMVRFimqN2RcPOPAtj+2NCuVguE2hjXbduxwPoS8vCpb6xPJYZpV1ugmm6pHqU&#10;bNRpqyQ6Mz3Gdopi6+/vE+rpz7H4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KOmgZfcAAAADAEA&#10;AA8AAAAAAAAAAQAgAAAAIgAAAGRycy9kb3ducmV2LnhtbFBLAQIUABQAAAAIAIdO4kBVoBTJTwIA&#10;AIEEAAAOAAAAAAAAAAEAIAAAACsBAABkcnMvZTJvRG9jLnhtbFBLBQYAAAAABgAGAFkBAADsBQAA&#10;AAA=&#10;">
                <v:fill on="f" focussize="0,0"/>
                <v:stroke on="f" weight="0.5pt"/>
                <v:imagedata o:title=""/>
                <o:lock v:ext="edit" aspectratio="f"/>
                <v:textbox>
                  <w:txbxContent>
                    <w:p>
                      <w:pPr>
                        <w:rPr>
                          <w:rFonts w:hint="eastAsia"/>
                          <w:b/>
                          <w:bCs/>
                          <w:sz w:val="24"/>
                          <w:szCs w:val="24"/>
                          <w:lang w:val="en-US" w:eastAsia="zh-CN"/>
                        </w:rPr>
                      </w:pPr>
                      <w:r>
                        <w:rPr>
                          <w:rFonts w:hint="eastAsia"/>
                          <w:b/>
                          <w:bCs/>
                          <w:sz w:val="24"/>
                          <w:szCs w:val="24"/>
                          <w:lang w:val="en-US" w:eastAsia="zh-CN"/>
                        </w:rPr>
                        <w:t>导流管</w:t>
                      </w:r>
                    </w:p>
                    <w:p>
                      <w:pPr>
                        <w:rPr>
                          <w:rFonts w:hint="default" w:eastAsia="宋体"/>
                          <w:b/>
                          <w:bCs/>
                          <w:sz w:val="24"/>
                          <w:szCs w:val="24"/>
                          <w:lang w:val="en-US" w:eastAsia="zh-CN"/>
                        </w:rPr>
                      </w:pPr>
                      <w:r>
                        <w:rPr>
                          <w:rFonts w:hint="eastAsia"/>
                          <w:b/>
                          <w:bCs/>
                          <w:sz w:val="24"/>
                          <w:szCs w:val="24"/>
                          <w:lang w:val="en-US" w:eastAsia="zh-CN"/>
                        </w:rPr>
                        <w:t>防渗区</w:t>
                      </w:r>
                    </w:p>
                  </w:txbxContent>
                </v:textbox>
              </v:shape>
            </w:pict>
          </mc:Fallback>
        </mc:AlternateContent>
      </w:r>
      <w:r>
        <w:rPr>
          <w:highlight w:val="none"/>
        </w:rPr>
        <mc:AlternateContent>
          <mc:Choice Requires="wps">
            <w:drawing>
              <wp:anchor distT="0" distB="0" distL="114300" distR="114300" simplePos="0" relativeHeight="251674624" behindDoc="0" locked="0" layoutInCell="1" allowOverlap="1">
                <wp:simplePos x="0" y="0"/>
                <wp:positionH relativeFrom="column">
                  <wp:posOffset>4617720</wp:posOffset>
                </wp:positionH>
                <wp:positionV relativeFrom="paragraph">
                  <wp:posOffset>6318885</wp:posOffset>
                </wp:positionV>
                <wp:extent cx="621665" cy="446405"/>
                <wp:effectExtent l="9525" t="9525" r="16510" b="20320"/>
                <wp:wrapNone/>
                <wp:docPr id="109" name="文本框 109"/>
                <wp:cNvGraphicFramePr/>
                <a:graphic xmlns:a="http://schemas.openxmlformats.org/drawingml/2006/main">
                  <a:graphicData uri="http://schemas.microsoft.com/office/word/2010/wordprocessingShape">
                    <wps:wsp>
                      <wps:cNvSpPr txBox="1"/>
                      <wps:spPr>
                        <a:xfrm>
                          <a:off x="0" y="0"/>
                          <a:ext cx="621665" cy="446405"/>
                        </a:xfrm>
                        <a:prstGeom prst="rect">
                          <a:avLst/>
                        </a:prstGeom>
                        <a:solidFill>
                          <a:srgbClr val="000000">
                            <a:alpha val="0"/>
                          </a:srgbClr>
                        </a:solid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b/>
                                <w:bCs/>
                                <w:sz w:val="21"/>
                                <w:szCs w:val="21"/>
                                <w:lang w:val="en-US" w:eastAsia="zh-CN"/>
                              </w:rPr>
                            </w:pPr>
                            <w:r>
                              <w:rPr>
                                <w:rFonts w:hint="eastAsia"/>
                                <w:b/>
                                <w:bCs/>
                                <w:sz w:val="21"/>
                                <w:szCs w:val="21"/>
                                <w:lang w:val="en-US" w:eastAsia="zh-CN"/>
                              </w:rPr>
                              <w:t>活性炭吸附</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363.6pt;margin-top:497.55pt;height:35.15pt;width:48.95pt;z-index:251674624;v-text-anchor:middle;mso-width-relative:page;mso-height-relative:page;" fillcolor="#000000" filled="t" stroked="t" coordsize="21600,21600" o:gfxdata="UEsDBAoAAAAAAIdO4kAAAAAAAAAAAAAAAAAEAAAAZHJzL1BLAwQUAAAACACHTuJAmnhdbdoAAAAM&#10;AQAADwAAAGRycy9kb3ducmV2LnhtbE2Py07DMBBF90j8gzVI7Kgfom0a4lQCFIkNCwoIlm5skoh4&#10;HMVuk/490xXdzWiO7pxbbGffs6MbYxdQg1wIYA7rYDtsNHy8V3cZsJgMWtMHdBpOLsK2vL4qTG7D&#10;hG/uuEsNoxCMudHQpjTknMe6dd7ERRgc0u0njN4kWseG29FMFO57roRYcW86pA+tGdxT6+rf3cFr&#10;qD4fX6eTGp+rkH1LOb+gkelL69sbKR6AJTenfxjO+qQOJTntwwFtZL2GtVorQjVsNksJjIhMnYc9&#10;oWK1vAdeFvyyRPkHUEsDBBQAAAAIAIdO4kDxL1G6agIAAOcEAAAOAAAAZHJzL2Uyb0RvYy54bWyt&#10;VM1uEzEQviPxDpbvdDdREmjUTRVaFSFVtFJBnB2vN2vJ6zFjJ7vlAeANOHHhznP1ORh7N2lSOPTA&#10;Hrzz83nG883YZ+ddY9hWoddgCz46yTlTVkKp7brgnz5evXrDmQ/ClsKAVQW/V56fL16+OGvdXI2h&#10;BlMqZBTE+nnrCl6H4OZZ5mWtGuFPwClLzgqwEYFUXGclipaiNyYb5/ksawFLhyCV92S97J18iIjP&#10;CQhVpaW6BLlplA19VFRGBCrJ19p5vkinrSolw01VeRWYKThVGtJKSUhexTVbnIn5GoWrtRyOIJ5z&#10;hCc1NUJbSroPdSmCYBvUf4VqtETwUIUTCU3WF5IYoSpG+RNu7mrhVKqFqPZuT7r/f2Hlh+0tMl3S&#10;JOSnnFnRUMsffnx/+Pn74dc3Fo1EUev8nJB3jrChewsdwXd2T8ZYeVdhE/9UEyM/EXy/J1h1gUky&#10;zsaj2WzKmSTXZDKb5NMYJXvc7NCHdwoaFoWCI/Uv0Sq21z700B0k5vJgdHmljUkKrlcXBtlWxF6n&#10;r99rXC0G65DO99CU+iiGsayl2k7zaZ72HjmHXUcJ+jMdwKgYYylwpKynJkqhW3UDjyso74lGhH4W&#10;vZNXmoq9Fj7cCqThI+boeoYbWioDdBwYJM5qwK//skc8zQR5OWtpmAvuv2wEKs7Me0vTcjqaTOL0&#10;J2UyfT0mBQ89q0OP3TQXQByO6CFwMokRH8xOrBCaz3SLlzEruYSVlLvgMuBOuQj9JaN3QKrlMsE2&#10;DvW67rfQ9DsRru2dkzFR7J+F5SZApVOfI2k9UwOXNP+pXcNdjRfsUE+ox/dp8Q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aeF1t2gAAAAwBAAAPAAAAAAAAAAEAIAAAACIAAABkcnMvZG93bnJldi54&#10;bWxQSwECFAAUAAAACACHTuJA8S9RumoCAADnBAAADgAAAAAAAAABACAAAAApAQAAZHJzL2Uyb0Rv&#10;Yy54bWxQSwUGAAAAAAYABgBZAQAABQYAAAAA&#10;">
                <v:fill on="t" opacity="0f" focussize="0,0"/>
                <v:stroke weight="1.5pt" color="#000000 [3213]" joinstyle="round"/>
                <v:imagedata o:title=""/>
                <o:lock v:ext="edit" aspectratio="f"/>
                <v:textbox>
                  <w:txbxContent>
                    <w:p>
                      <w:pPr>
                        <w:jc w:val="center"/>
                        <w:rPr>
                          <w:rFonts w:hint="default" w:eastAsia="宋体"/>
                          <w:b/>
                          <w:bCs/>
                          <w:sz w:val="21"/>
                          <w:szCs w:val="21"/>
                          <w:lang w:val="en-US" w:eastAsia="zh-CN"/>
                        </w:rPr>
                      </w:pPr>
                      <w:r>
                        <w:rPr>
                          <w:rFonts w:hint="eastAsia"/>
                          <w:b/>
                          <w:bCs/>
                          <w:sz w:val="21"/>
                          <w:szCs w:val="21"/>
                          <w:lang w:val="en-US" w:eastAsia="zh-CN"/>
                        </w:rPr>
                        <w:t>活性炭吸附</w:t>
                      </w:r>
                    </w:p>
                  </w:txbxContent>
                </v:textbox>
              </v:shape>
            </w:pict>
          </mc:Fallback>
        </mc:AlternateContent>
      </w:r>
      <w:r>
        <w:rPr>
          <w:highlight w:val="none"/>
        </w:rPr>
        <mc:AlternateContent>
          <mc:Choice Requires="wps">
            <w:drawing>
              <wp:anchor distT="0" distB="0" distL="114300" distR="114300" simplePos="0" relativeHeight="251696128" behindDoc="0" locked="0" layoutInCell="1" allowOverlap="1">
                <wp:simplePos x="0" y="0"/>
                <wp:positionH relativeFrom="column">
                  <wp:posOffset>5072380</wp:posOffset>
                </wp:positionH>
                <wp:positionV relativeFrom="paragraph">
                  <wp:posOffset>6339840</wp:posOffset>
                </wp:positionV>
                <wp:extent cx="104775" cy="95250"/>
                <wp:effectExtent l="12700" t="12700" r="15875" b="25400"/>
                <wp:wrapNone/>
                <wp:docPr id="110" name="椭圆 27"/>
                <wp:cNvGraphicFramePr/>
                <a:graphic xmlns:a="http://schemas.openxmlformats.org/drawingml/2006/main">
                  <a:graphicData uri="http://schemas.microsoft.com/office/word/2010/wordprocessingShape">
                    <wps:wsp>
                      <wps:cNvSpPr/>
                      <wps:spPr>
                        <a:xfrm>
                          <a:off x="0" y="0"/>
                          <a:ext cx="104775" cy="95250"/>
                        </a:xfrm>
                        <a:prstGeom prst="ellipse">
                          <a:avLst/>
                        </a:prstGeom>
                        <a:solidFill>
                          <a:srgbClr val="FB3FF0"/>
                        </a:solidFill>
                        <a:ln>
                          <a:solidFill>
                            <a:srgbClr val="FB3F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7" o:spid="_x0000_s1026" o:spt="3" type="#_x0000_t3" style="position:absolute;left:0pt;margin-left:399.4pt;margin-top:499.2pt;height:7.5pt;width:8.25pt;z-index:251696128;v-text-anchor:middle;mso-width-relative:page;mso-height-relative:page;" fillcolor="#FB3FF0" filled="t" stroked="t" coordsize="21600,21600" o:gfxdata="UEsDBAoAAAAAAIdO4kAAAAAAAAAAAAAAAAAEAAAAZHJzL1BLAwQUAAAACACHTuJA62Jiad0AAAAM&#10;AQAADwAAAGRycy9kb3ducmV2LnhtbE2PwU7DMBBE70j8g7VIXFBrpy1tEuJUCAlaiQOi5cDRjZc4&#10;JLaj2G3D33c5wXE1TzNvi/VoO3bCITTeSUimAhi6yuvG1RI+9s+TFFiIymnVeYcSfjDAury+KlSu&#10;/dm942kXa0YlLuRKgomxzzkPlUGrwtT36Cj78oNVkc6h5npQZyq3HZ8JseRWNY4WjOrxyWDV7o5W&#10;Qvu4ed2Yu23PV/j5orbj99us3Ut5e5OIB2ARx/gHw68+qUNJTgd/dDqwTsIqS0k9SsiydAGMiDS5&#10;nwM7ECqS+QJ4WfD/T5QXUEsDBBQAAAAIAIdO4kB5lcQZZQIAAOEEAAAOAAAAZHJzL2Uyb0RvYy54&#10;bWytVM1uEzEQviPxDpbvdJOQEBp1U4VGQUgVrVQQZ8drZ1fyH7aTTXkAnoJjrzwWPAefvdsmLRx6&#10;4GLPeMYz832e8dn5XiuyEz401pR0eDKgRBhuq8ZsSvr50+rVW0pCZKZiyhpR0lsR6Pn85Yuz1s3E&#10;yNZWVcITBDFh1rqS1jG6WVEEXgvNwol1wsAordcsQvWbovKsRXStitFg8KZora+ct1yEgNNlZ6R9&#10;RP+cgFbKhoul5VstTOyieqFYBKRQNy7Qea5WSsHjlZRBRKJKCqQxr0gCeZ3WYn7GZhvPXN3wvgT2&#10;nBKeYNKsMUj6EGrJIiNb3/wVSjfc22BlPOFWFx2QzAhQDAdPuLmpmRMZC6gO7oH08P/C8o+7a0+a&#10;Cp0wBCeGaTz577ufv358J6Npoqd1YQavG3ftey1ATFj30uu0AwXZZ0pvHygV+0g4DoeD8XQ6oYTD&#10;dDoZTTLjxeGu8yG+F1aTJJRUKIXnS5jZjO0uQ0RKeN97peNgVVOtGqWy4jfrC+XJjuF9V+9er1b3&#10;CR65KUPako4m4wEwcoaulegWiNoBeTAbSpjaYBx49Dn3o9vheUlSkUsW6q6YHCHxh/KVwZZ47JhL&#10;0tpWtyDe264jg+OrBvcvWYjXzKMFUSiGNF5hkcqiettLlNTWf/vXefJHZ8BKSYuWBrKvW+YFJeqD&#10;Qc+cDsdjhI1ZGU+mIyj+2LI+tpitvrBgdYjvwPEsJv+o7kXprf6CWV6krDAxw5G747BXLmI3avgN&#10;uFgsshv63rF4aW4cT8HTKxq72EYrm/zaB3Z60tD5mcV+StNoHevZ6/Azzf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62Jiad0AAAAMAQAADwAAAAAAAAABACAAAAAiAAAAZHJzL2Rvd25yZXYueG1s&#10;UEsBAhQAFAAAAAgAh07iQHmVxBllAgAA4QQAAA4AAAAAAAAAAQAgAAAALAEAAGRycy9lMm9Eb2Mu&#10;eG1sUEsFBgAAAAAGAAYAWQEAAAMGAAAAAA==&#10;">
                <v:fill on="t" focussize="0,0"/>
                <v:stroke weight="2pt" color="#FB3FF0 [3204]" joinstyle="round"/>
                <v:imagedata o:title=""/>
                <o:lock v:ext="edit" aspectratio="f"/>
              </v:shape>
            </w:pict>
          </mc:Fallback>
        </mc:AlternateContent>
      </w:r>
      <w:r>
        <w:rPr>
          <w:highlight w:val="none"/>
        </w:rPr>
        <mc:AlternateContent>
          <mc:Choice Requires="wps">
            <w:drawing>
              <wp:anchor distT="0" distB="0" distL="114300" distR="114300" simplePos="0" relativeHeight="251695104" behindDoc="0" locked="0" layoutInCell="1" allowOverlap="1">
                <wp:simplePos x="0" y="0"/>
                <wp:positionH relativeFrom="column">
                  <wp:posOffset>5111115</wp:posOffset>
                </wp:positionH>
                <wp:positionV relativeFrom="paragraph">
                  <wp:posOffset>6035040</wp:posOffset>
                </wp:positionV>
                <wp:extent cx="3810" cy="343535"/>
                <wp:effectExtent l="13970" t="0" r="20320" b="18415"/>
                <wp:wrapNone/>
                <wp:docPr id="111" name="直接连接符 26"/>
                <wp:cNvGraphicFramePr/>
                <a:graphic xmlns:a="http://schemas.openxmlformats.org/drawingml/2006/main">
                  <a:graphicData uri="http://schemas.microsoft.com/office/word/2010/wordprocessingShape">
                    <wps:wsp>
                      <wps:cNvCnPr/>
                      <wps:spPr>
                        <a:xfrm flipV="1">
                          <a:off x="0" y="0"/>
                          <a:ext cx="3810" cy="343535"/>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6" o:spid="_x0000_s1026" o:spt="20" style="position:absolute;left:0pt;flip:y;margin-left:402.45pt;margin-top:475.2pt;height:27.05pt;width:0.3pt;z-index:251695104;mso-width-relative:page;mso-height-relative:page;" filled="f" stroked="t" coordsize="21600,21600" o:gfxdata="UEsDBAoAAAAAAIdO4kAAAAAAAAAAAAAAAAAEAAAAZHJzL1BLAwQUAAAACACHTuJAO8NEEdkAAAAM&#10;AQAADwAAAGRycy9kb3ducmV2LnhtbE2PwU7DMBBE70j8g7VI3Kg3KKFpGqcSSByRoO2BoxubJGps&#10;R7brhnw9ywmOq3maeVvvZjOypH0YnBWQrRCYtq1Tg+0EHA+vDyWwEKVVcnRWC/jWAXbN7U0tK+Wu&#10;9kOnfewYldhQSQF9jFPFeWh7bWRYuUlbyr6cNzLS6TuuvLxSuRn5I+ITN3KwtNDLSb/0uj3vL0ZA&#10;is9pycz7nPBz8esyHd7W8yLE/V2GW2BRz/EPhl99UoeGnE7uYlVgo4AS8w2hAjYF5sCIKLEogJ0I&#10;RcwL4E3N/z/R/ABQSwMEFAAAAAgAh07iQKSDuTPoAQAAqgMAAA4AAABkcnMvZTJvRG9jLnhtbK1T&#10;vY4TMRDukXgHyz3Z3YQc0Sqbk7goNAgiAdc7XnvXkv/k8WWTl+AFkOigoqS/t+F4jBt7Q4CjuYLG&#10;Gs+MP8/3+fPy8mA02YsAytmGVpOSEmG5a5XtGvrh/ebZghKIzLZMOysaehRAL1dPnywHX4up651u&#10;RSAIYqEefEP7GH1dFMB7YRhMnBcWi9IFwyJuQ1e0gQ2IbnQxLcuLYnCh9cFxAYDZ9VikJ8TwGEAn&#10;peJi7fiNETaOqEFoFpES9MoDXeVppRQ8vpUSRCS6ocg05hUvwXiX1mK1ZHUXmO8VP43AHjPCA06G&#10;KYuXnqHWLDJyE9Q/UEbx4MDJOOHOFCORrAiyqMoH2rzrmReZC0oN/iw6/D9Y/ma/DUS16ISqosQy&#10;g09+9+n7j49fft5+xvXu21cyvUg6DR5qbL+y23Dagd+GRPoggyFSK3+NMFkGJEYOWeXjWWVxiIRj&#10;craoUH2Ohdnz2Xw2T9jFCJLAfID4SjhDUtBQrWySgNVs/xri2PqrJaWt2yitMc9qbcnQ0Oli/mKO&#10;+Ay9KdETGBqP/MB2lDDdoel5DBkSnFZtOp5OQ+h2VzqQPUtWKV+Wm+wOnOyvtnT3mkE/9uXSiYC2&#10;yCOJNMqSop1rj1mtnMcnzExPdkse+XOfT//+Yqt7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O8NE&#10;EdkAAAAMAQAADwAAAAAAAAABACAAAAAiAAAAZHJzL2Rvd25yZXYueG1sUEsBAhQAFAAAAAgAh07i&#10;QKSDuTPoAQAAqgMAAA4AAAAAAAAAAQAgAAAAKAEAAGRycy9lMm9Eb2MueG1sUEsFBgAAAAAGAAYA&#10;WQEAAIIFAAAAAA==&#10;">
                <v:fill on="f" focussize="0,0"/>
                <v:stroke weight="2.25pt" color="#00B0F0 [3204]" joinstyle="round"/>
                <v:imagedata o:title=""/>
                <o:lock v:ext="edit" aspectratio="f"/>
              </v:line>
            </w:pict>
          </mc:Fallback>
        </mc:AlternateContent>
      </w:r>
      <w:r>
        <w:rPr>
          <w:sz w:val="30"/>
          <w:highlight w:val="none"/>
        </w:rPr>
        <mc:AlternateContent>
          <mc:Choice Requires="wps">
            <w:drawing>
              <wp:anchor distT="0" distB="0" distL="114300" distR="114300" simplePos="0" relativeHeight="251678720" behindDoc="0" locked="0" layoutInCell="1" allowOverlap="1">
                <wp:simplePos x="0" y="0"/>
                <wp:positionH relativeFrom="column">
                  <wp:posOffset>3284855</wp:posOffset>
                </wp:positionH>
                <wp:positionV relativeFrom="paragraph">
                  <wp:posOffset>4561205</wp:posOffset>
                </wp:positionV>
                <wp:extent cx="2153920" cy="1577975"/>
                <wp:effectExtent l="9525" t="9525" r="27305" b="12700"/>
                <wp:wrapNone/>
                <wp:docPr id="71" name="文本框 71"/>
                <wp:cNvGraphicFramePr/>
                <a:graphic xmlns:a="http://schemas.openxmlformats.org/drawingml/2006/main">
                  <a:graphicData uri="http://schemas.microsoft.com/office/word/2010/wordprocessingShape">
                    <wps:wsp>
                      <wps:cNvSpPr txBox="1"/>
                      <wps:spPr>
                        <a:xfrm>
                          <a:off x="4124960" y="3645535"/>
                          <a:ext cx="2153920" cy="1577975"/>
                        </a:xfrm>
                        <a:prstGeom prst="rect">
                          <a:avLst/>
                        </a:prstGeom>
                        <a:solidFill>
                          <a:srgbClr val="FF0000">
                            <a:alpha val="60000"/>
                          </a:srgbClr>
                        </a:solidFill>
                        <a:ln w="19050">
                          <a:solidFill>
                            <a:srgbClr val="FFC000"/>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b/>
                                <w:bCs/>
                                <w:sz w:val="32"/>
                                <w:szCs w:val="32"/>
                                <w:lang w:val="en-US" w:eastAsia="zh-CN"/>
                              </w:rPr>
                            </w:pPr>
                            <w:r>
                              <w:rPr>
                                <w:rFonts w:hint="eastAsia"/>
                                <w:b/>
                                <w:bCs/>
                                <w:sz w:val="32"/>
                                <w:szCs w:val="32"/>
                                <w:lang w:val="en-US" w:eastAsia="zh-CN"/>
                              </w:rPr>
                              <w:t>储罐区</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258.65pt;margin-top:359.15pt;height:124.25pt;width:169.6pt;z-index:251678720;v-text-anchor:middle;mso-width-relative:page;mso-height-relative:page;" fillcolor="#FF0000" filled="t" stroked="t" coordsize="21600,21600" o:gfxdata="UEsDBAoAAAAAAIdO4kAAAAAAAAAAAAAAAAAEAAAAZHJzL1BLAwQUAAAACACHTuJAHErUgNkAAAAL&#10;AQAADwAAAGRycy9kb3ducmV2LnhtbE2Py07DMBBF90j8gzVI7KidorhuGqeqKiy2tCCxdWOTpMTj&#10;yHYf/D1mRXczmqM759brqxvJ2YY4eJRQzBgQi603A3YSPt7VkwASk0ajR49Wwo+NsG7u72pdGX/B&#10;nT3vU0dyCMZKS+hTmipKY9tbp+PMTxbz7csHp1NeQ0dN0Jcc7kY6Z4xTpwfMH3o92W1v2+/9yUmY&#10;s03aiU/GldoEddy+vC1fVSfl40PBVkCSvaZ/GP70szo02engT2giGSWUxeI5oxIWhchDJkTJSyAH&#10;CUvOBdCmprcdml9QSwMEFAAAAAgAh07iQKefYkV+AgAA9wQAAA4AAABkcnMvZTJvRG9jLnhtbK1U&#10;zW7bMAy+D9g7CLqvjtM4WYI6Q5Yiw4BiLdANOyuyHAuQJY1SYncPsL3BTrvsvufqc4ySnP5thx6W&#10;g0KR1EfyI+mzN32ryEGAk0aXND8ZUSI0N5XUu5J++rh59ZoS55mumDJalPRGOPpm+fLFWWcXYmwa&#10;oyoBBEG0W3S2pI33dpFljjeiZe7EWKHRWBtomccr7LIKWIforcrGo9E06wxUFgwXzqH2PBnpgAjP&#10;ATR1Lbk4N3zfCu0TKgjFPJbkGmkdXcZs61pwf1nXTniiSoqV+nhiEJS34cyWZ2yxA2YbyYcU2HNS&#10;eFJTy6TGoHdQ58wzsgf5F1QrORhnan/CTZulQiIjWEU+esLNdcOsiLUg1c7eke7+Hyz/cLgCIquS&#10;znJKNGux47c/vt/+/H376xtBHRLUWbdAv2uLnr5/a3ocm6PeoTLU3dfQhn+siKB9ko8n8ymSfFPS&#10;0+mkKE6LRLXoPeHoMM6L0/kYHTh65MVsNp9Fj+weyoLz74RpSRBKCtjLSDE7XDiPaaHr0SVEdkbJ&#10;aiOVihfYbdcKyIFh3zebEf7SW2UblrTTqEw4LrlHzEc4SpMO85uPivT+kXF4dQyyDkEGvPtcMEul&#10;ETiQmMgKku+3/cDs1lQ3SCyYNJvO8o3Egi+Y81cMcBiRJFxXf4lHrQymYwaJksbA13/pgz/OCFop&#10;6XC4S+q+7BkIStR7jdMzzycThPXxMilmoRHw0LJ9aNH7dm2QRxwQzC6Kwd+ro1iDaT/jVq9CVDQx&#10;zTF2SbmH42Xt09Lhd4GL1Sq67S3IXZOe4DZY5i/0teUhUOihNqu9N7WMvQ6kJaYGLnEfYruG3Q0L&#10;9/Aeve6/V8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HErUgNkAAAALAQAADwAAAAAAAAABACAA&#10;AAAiAAAAZHJzL2Rvd25yZXYueG1sUEsBAhQAFAAAAAgAh07iQKefYkV+AgAA9wQAAA4AAAAAAAAA&#10;AQAgAAAAKAEAAGRycy9lMm9Eb2MueG1sUEsFBgAAAAAGAAYAWQEAABgGAAAAAA==&#10;">
                <v:fill on="t" opacity="39321f" focussize="0,0"/>
                <v:stroke weight="1.5pt" color="#FFC000 [3204]" joinstyle="round"/>
                <v:imagedata o:title=""/>
                <o:lock v:ext="edit" aspectratio="f"/>
                <v:textbox>
                  <w:txbxContent>
                    <w:p>
                      <w:pPr>
                        <w:jc w:val="center"/>
                        <w:rPr>
                          <w:rFonts w:hint="default"/>
                          <w:b/>
                          <w:bCs/>
                          <w:sz w:val="32"/>
                          <w:szCs w:val="32"/>
                          <w:lang w:val="en-US" w:eastAsia="zh-CN"/>
                        </w:rPr>
                      </w:pPr>
                      <w:r>
                        <w:rPr>
                          <w:rFonts w:hint="eastAsia"/>
                          <w:b/>
                          <w:bCs/>
                          <w:sz w:val="32"/>
                          <w:szCs w:val="32"/>
                          <w:lang w:val="en-US" w:eastAsia="zh-CN"/>
                        </w:rPr>
                        <w:t>储罐区</w:t>
                      </w:r>
                    </w:p>
                  </w:txbxContent>
                </v:textbox>
              </v:shape>
            </w:pict>
          </mc:Fallback>
        </mc:AlternateContent>
      </w:r>
      <w:r>
        <w:rPr>
          <w:sz w:val="30"/>
          <w:highlight w:val="none"/>
        </w:rPr>
        <mc:AlternateContent>
          <mc:Choice Requires="wps">
            <w:drawing>
              <wp:anchor distT="0" distB="0" distL="114300" distR="114300" simplePos="0" relativeHeight="251685888" behindDoc="0" locked="0" layoutInCell="1" allowOverlap="1">
                <wp:simplePos x="0" y="0"/>
                <wp:positionH relativeFrom="column">
                  <wp:posOffset>611505</wp:posOffset>
                </wp:positionH>
                <wp:positionV relativeFrom="paragraph">
                  <wp:posOffset>5453380</wp:posOffset>
                </wp:positionV>
                <wp:extent cx="392430" cy="715010"/>
                <wp:effectExtent l="0" t="0" r="7620" b="8890"/>
                <wp:wrapNone/>
                <wp:docPr id="99" name="文本框 46"/>
                <wp:cNvGraphicFramePr/>
                <a:graphic xmlns:a="http://schemas.openxmlformats.org/drawingml/2006/main">
                  <a:graphicData uri="http://schemas.microsoft.com/office/word/2010/wordprocessingShape">
                    <wps:wsp>
                      <wps:cNvSpPr txBox="1"/>
                      <wps:spPr>
                        <a:xfrm>
                          <a:off x="0" y="0"/>
                          <a:ext cx="392430" cy="715010"/>
                        </a:xfrm>
                        <a:prstGeom prst="rect">
                          <a:avLst/>
                        </a:prstGeom>
                        <a:solidFill>
                          <a:schemeClr val="bg1">
                            <a:alpha val="74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b/>
                                <w:bCs/>
                                <w:color w:val="auto"/>
                                <w:sz w:val="28"/>
                                <w:szCs w:val="28"/>
                                <w:lang w:val="en-US" w:eastAsia="zh-CN"/>
                              </w:rPr>
                            </w:pPr>
                            <w:r>
                              <w:rPr>
                                <w:rFonts w:hint="eastAsia"/>
                                <w:b/>
                                <w:bCs/>
                                <w:color w:val="auto"/>
                                <w:sz w:val="28"/>
                                <w:szCs w:val="28"/>
                                <w:lang w:val="en-US" w:eastAsia="zh-CN"/>
                              </w:rPr>
                              <w:t>大门</w:t>
                            </w:r>
                          </w:p>
                        </w:txbxContent>
                      </wps:txbx>
                      <wps:bodyPr rot="0" spcFirstLastPara="0" vertOverflow="overflow" horzOverflow="overflow" vert="eaVert" wrap="square" lIns="91440" tIns="45720" rIns="91440" bIns="45720" numCol="1" spcCol="0" rtlCol="0" fromWordArt="0" anchor="t" anchorCtr="0" forceAA="0" upright="0" compatLnSpc="1">
                        <a:noAutofit/>
                      </wps:bodyPr>
                    </wps:wsp>
                  </a:graphicData>
                </a:graphic>
              </wp:anchor>
            </w:drawing>
          </mc:Choice>
          <mc:Fallback>
            <w:pict>
              <v:shape id="文本框 46" o:spid="_x0000_s1026" o:spt="202" type="#_x0000_t202" style="position:absolute;left:0pt;margin-left:48.15pt;margin-top:429.4pt;height:56.3pt;width:30.9pt;z-index:251685888;mso-width-relative:page;mso-height-relative:page;" fillcolor="#FFFFFF [3212]" filled="t" stroked="f" coordsize="21600,21600" o:gfxdata="UEsDBAoAAAAAAIdO4kAAAAAAAAAAAAAAAAAEAAAAZHJzL1BLAwQUAAAACACHTuJAdTncvNoAAAAK&#10;AQAADwAAAGRycy9kb3ducmV2LnhtbE2PMU/DMBCFdyT+g3VIbNQJbdMQ4lQIVOjQpS0MbG58JBHx&#10;ObLdtPx7rhOMp/fp3ffK5dn2YkQfOkcK0kkCAql2pqNGwft+dZeDCFGT0b0jVPCDAZbV9VWpC+NO&#10;tMVxFxvBJRQKraCNcSikDHWLVoeJG5A4+3Le6sinb6Tx+sTltpf3SZJJqzviD60e8LnF+nt3tAqe&#10;ZhuzD6/Dx/Zz4cdss35b+ZepUrc3afIIIuI5/sFw0Wd1qNjp4I5kgugVPGRTJhXk85wnXIB5noI4&#10;cLJIZyCrUv6fUP0CUEsDBBQAAAAIAIdO4kAxWADJZgIAAL8EAAAOAAAAZHJzL2Uyb0RvYy54bWyt&#10;VM1uEzEQviPxDpbvdDdp2pIomyq0CkKqaKXyc3a83qwl22NsJ7vlAegbcOLCnefqczC2kzQUDj2Q&#10;g3f+POPvm5lMz3utyEY4L8FUdHBUUiIMh1qaVUU/fli8ek2JD8zUTIERFb0Tnp7PXr6YdnYihtCC&#10;qoUjmMT4SWcr2oZgJ0XheSs080dghUFnA06zgKpbFbVjHWbXqhiW5WnRgautAy68R+tldtJtRvec&#10;hNA0kotL4GstTMhZnVAsICTfSuvpLL22aQQP103jRSCqoog0pBOLoLyMZzGbssnKMdtKvn0Ce84T&#10;nmDSTBosuk91yQIjayf/SqUld+ChCUccdJGBJEYQxaB8ws1ty6xIWJBqb/ek+/+Xlr/f3Dgi64qO&#10;x5QYprHjD9/vH378evj5jYxOI0Gd9ROMu7UYGfo30OPY7OwejRF33zgdv4iIoB/pvdvTK/pAOBqP&#10;x8PRMXo4us4GJ4g3ZikeL1vnw1sBmkShog67l0hlmysfcuguJNbyoGS9kEolxa2WF8qRDcNOL9Iv&#10;31W2Zdl6NirLXUmfw1P5P/IoQ7qKnh6flOm6gVgg11YGwyMZGXSUQr/stwwtob5DghzkGfOWLyTC&#10;uGI+3DCHQ4XIce3CNR6NAiwCW4mSFtzXf9ljfEUF+4RfSjoc04r6L2vmBCXqncE5GA9GI0wckjI6&#10;ORui4g49y0OPWesLQH4GuOKWJzHGB7UTGwf6M+7nPNZFFzMc31ZRrJ7Fi5CXB/ebi/k8Ba2tk6s2&#10;X8CptixcmVvLY5nYGQPzdYBGpg5G0jJTWy5xrlMTtjsYF+dQT1GP/zuz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HU53LzaAAAACgEAAA8AAAAAAAAAAQAgAAAAIgAAAGRycy9kb3ducmV2LnhtbFBL&#10;AQIUABQAAAAIAIdO4kAxWADJZgIAAL8EAAAOAAAAAAAAAAEAIAAAACkBAABkcnMvZTJvRG9jLnht&#10;bFBLBQYAAAAABgAGAFkBAAABBgAAAAA=&#10;">
                <v:fill on="t" opacity="48496f" focussize="0,0"/>
                <v:stroke on="f" weight="0.5pt"/>
                <v:imagedata o:title=""/>
                <o:lock v:ext="edit" aspectratio="f"/>
                <v:textbox style="layout-flow:vertical-ideographic;">
                  <w:txbxContent>
                    <w:p>
                      <w:pPr>
                        <w:jc w:val="center"/>
                        <w:rPr>
                          <w:rFonts w:hint="eastAsia"/>
                          <w:b/>
                          <w:bCs/>
                          <w:color w:val="auto"/>
                          <w:sz w:val="28"/>
                          <w:szCs w:val="28"/>
                          <w:lang w:val="en-US" w:eastAsia="zh-CN"/>
                        </w:rPr>
                      </w:pPr>
                      <w:r>
                        <w:rPr>
                          <w:rFonts w:hint="eastAsia"/>
                          <w:b/>
                          <w:bCs/>
                          <w:color w:val="auto"/>
                          <w:sz w:val="28"/>
                          <w:szCs w:val="28"/>
                          <w:lang w:val="en-US" w:eastAsia="zh-CN"/>
                        </w:rPr>
                        <w:t>大门</w:t>
                      </w:r>
                    </w:p>
                  </w:txbxContent>
                </v:textbox>
              </v:shape>
            </w:pict>
          </mc:Fallback>
        </mc:AlternateContent>
      </w:r>
      <w:r>
        <w:rPr>
          <w:sz w:val="30"/>
          <w:highlight w:val="none"/>
        </w:rPr>
        <mc:AlternateContent>
          <mc:Choice Requires="wps">
            <w:drawing>
              <wp:anchor distT="0" distB="0" distL="114300" distR="114300" simplePos="0" relativeHeight="251684864" behindDoc="0" locked="0" layoutInCell="1" allowOverlap="1">
                <wp:simplePos x="0" y="0"/>
                <wp:positionH relativeFrom="column">
                  <wp:posOffset>2915285</wp:posOffset>
                </wp:positionH>
                <wp:positionV relativeFrom="paragraph">
                  <wp:posOffset>6369685</wp:posOffset>
                </wp:positionV>
                <wp:extent cx="343535" cy="608330"/>
                <wp:effectExtent l="0" t="0" r="18415" b="1270"/>
                <wp:wrapNone/>
                <wp:docPr id="96" name="文本框 70"/>
                <wp:cNvGraphicFramePr/>
                <a:graphic xmlns:a="http://schemas.openxmlformats.org/drawingml/2006/main">
                  <a:graphicData uri="http://schemas.microsoft.com/office/word/2010/wordprocessingShape">
                    <wps:wsp>
                      <wps:cNvSpPr txBox="1"/>
                      <wps:spPr>
                        <a:xfrm>
                          <a:off x="0" y="0"/>
                          <a:ext cx="343535" cy="608330"/>
                        </a:xfrm>
                        <a:prstGeom prst="rect">
                          <a:avLst/>
                        </a:prstGeom>
                        <a:solidFill>
                          <a:schemeClr val="bg1">
                            <a:alpha val="74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b/>
                                <w:bCs/>
                                <w:color w:val="auto"/>
                                <w:sz w:val="28"/>
                                <w:szCs w:val="28"/>
                                <w:lang w:val="en-US" w:eastAsia="zh-CN"/>
                              </w:rPr>
                            </w:pPr>
                            <w:r>
                              <w:rPr>
                                <w:rFonts w:hint="eastAsia"/>
                                <w:b/>
                                <w:bCs/>
                                <w:color w:val="auto"/>
                                <w:sz w:val="28"/>
                                <w:szCs w:val="28"/>
                                <w:lang w:val="en-US" w:eastAsia="zh-CN"/>
                              </w:rPr>
                              <w:t>小门</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文本框 70" o:spid="_x0000_s1026" o:spt="202" type="#_x0000_t202" style="position:absolute;left:0pt;margin-left:229.55pt;margin-top:501.55pt;height:47.9pt;width:27.05pt;z-index:251684864;mso-width-relative:page;mso-height-relative:page;" fillcolor="#FFFFFF [3212]" filled="t" stroked="f" coordsize="21600,21600" o:gfxdata="UEsDBAoAAAAAAIdO4kAAAAAAAAAAAAAAAAAEAAAAZHJzL1BLAwQUAAAACACHTuJAQpePbNsAAAAN&#10;AQAADwAAAGRycy9kb3ducmV2LnhtbE2PwU7DMBBE70j8g7VI3KidlqImxKkEKhIHLi2RuLrxNo4a&#10;25HtpKVfz/ZEb7s7o9k35fpsezZhiJ13ErKZAIau8bpzrYT6++NpBSwm5bTqvUMJvxhhXd3flarQ&#10;/uS2OO1SyyjExUJJMCkNBeexMWhVnPkBHWkHH6xKtIaW66BOFG57PhfihVvVOfpg1IDvBpvjbrQS&#10;xq+LD3F7+Hlr6s/NtKnRXI6jlI8PmXgFlvCc/s1wxSd0qIhp70enI+slPC/zjKwkCLGgiSzLbDEH&#10;tr+e8lUOvCr5bYvqD1BLAwQUAAAACACHTuJAIGKrRGQCAAC9BAAADgAAAGRycy9lMm9Eb2MueG1s&#10;rVTNbhMxEL4j8Q6W73Q3TdKfqBsUWgUhVbRSQZwdrzdryfaYsZPd8gDwBpy4cOe5+hyMvUlbCoce&#10;yMGZP8/n+WZmz1731rCtwqDBVXx0UHKmnIRau3XFP35YvjrhLEThamHAqYrfqsBfz1++OOv8TB1C&#10;C6ZWyCiJC7POV7yN0c+KIshWWREOwCtHzgbQikgqrosaRUfZrSkOy/Ko6ABrjyBVCGS9GJx8lxGf&#10;kxCaRkt1AXJjlYtDVlRGRCoptNoHPs+vbRol41XTBBWZqThVGvNJICSv0lnMz8RsjcK3Wu6eIJ7z&#10;hCc1WaEdgd6nuhBRsA3qv1JZLRECNPFAgi2GQjIjVMWofMLNTSu8yrUQ1cHfkx7+X1r5fnuNTNcV&#10;Pz3izAlLHb/7/u3ux6+7n1/ZcSao82FGcTeeImP/Bnoam0Rcsgcyprr7Bm36p4oY+Yne23t6VR+Z&#10;JON4Mp6Op5xJch2VJ+Nxzl48XPYY4lsFliWh4kjdy6SK7WWIBEih+5CEFcDoeqmNyQquV+cG2VZQ&#10;p5f5N9w1vhWD9XhSlnvIMITnnH/kMY519LzxtMzXHSSAAds4Cn8oOkmxX/U7JlZQ3xJBCMOMBS+X&#10;msq4FCFeC6ShIk5o7eIVHY0BAoGdxFkL+OVf9hRPvSYvZx0NacXD541AxZl552gKTkeTSZrqrEym&#10;x4ek4GPP6rHHbew5EDsjWnAvs5jio9mLDYL9RNu5SKjkEk4SdsXjXjyPw+rQdku1WOSgjUe9bocL&#10;NNNexEt342WCSX1xsNhEaHTuX6Js4GnHJE11bsFuA9PaPNZz1MNXZ/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QpePbNsAAAANAQAADwAAAAAAAAABACAAAAAiAAAAZHJzL2Rvd25yZXYueG1sUEsB&#10;AhQAFAAAAAgAh07iQCBiq0RkAgAAvQQAAA4AAAAAAAAAAQAgAAAAKgEAAGRycy9lMm9Eb2MueG1s&#10;UEsFBgAAAAAGAAYAWQEAAAAGAAAAAA==&#10;">
                <v:fill on="t" opacity="48496f" focussize="0,0"/>
                <v:stroke on="f" weight="0.5pt"/>
                <v:imagedata o:title=""/>
                <o:lock v:ext="edit" aspectratio="f"/>
                <v:textbox>
                  <w:txbxContent>
                    <w:p>
                      <w:pPr>
                        <w:jc w:val="center"/>
                        <w:rPr>
                          <w:rFonts w:hint="eastAsia" w:eastAsia="宋体"/>
                          <w:b/>
                          <w:bCs/>
                          <w:color w:val="auto"/>
                          <w:sz w:val="28"/>
                          <w:szCs w:val="28"/>
                          <w:lang w:val="en-US" w:eastAsia="zh-CN"/>
                        </w:rPr>
                      </w:pPr>
                      <w:r>
                        <w:rPr>
                          <w:rFonts w:hint="eastAsia"/>
                          <w:b/>
                          <w:bCs/>
                          <w:color w:val="auto"/>
                          <w:sz w:val="28"/>
                          <w:szCs w:val="28"/>
                          <w:lang w:val="en-US" w:eastAsia="zh-CN"/>
                        </w:rPr>
                        <w:t>小门</w:t>
                      </w:r>
                    </w:p>
                  </w:txbxContent>
                </v:textbox>
              </v:shape>
            </w:pict>
          </mc:Fallback>
        </mc:AlternateContent>
      </w:r>
      <w:r>
        <w:rPr>
          <w:sz w:val="30"/>
          <w:highlight w:val="none"/>
        </w:rPr>
        <mc:AlternateContent>
          <mc:Choice Requires="wps">
            <w:drawing>
              <wp:anchor distT="0" distB="0" distL="114300" distR="114300" simplePos="0" relativeHeight="251677696" behindDoc="0" locked="0" layoutInCell="1" allowOverlap="1">
                <wp:simplePos x="0" y="0"/>
                <wp:positionH relativeFrom="column">
                  <wp:posOffset>4189095</wp:posOffset>
                </wp:positionH>
                <wp:positionV relativeFrom="paragraph">
                  <wp:posOffset>635635</wp:posOffset>
                </wp:positionV>
                <wp:extent cx="1279525" cy="414655"/>
                <wp:effectExtent l="9525" t="9525" r="25400" b="13970"/>
                <wp:wrapNone/>
                <wp:docPr id="68" name="文本框 68"/>
                <wp:cNvGraphicFramePr/>
                <a:graphic xmlns:a="http://schemas.openxmlformats.org/drawingml/2006/main">
                  <a:graphicData uri="http://schemas.microsoft.com/office/word/2010/wordprocessingShape">
                    <wps:wsp>
                      <wps:cNvSpPr txBox="1"/>
                      <wps:spPr>
                        <a:xfrm>
                          <a:off x="2625090" y="8778240"/>
                          <a:ext cx="1279525" cy="414655"/>
                        </a:xfrm>
                        <a:prstGeom prst="rect">
                          <a:avLst/>
                        </a:prstGeom>
                        <a:solidFill>
                          <a:srgbClr val="FF0000">
                            <a:alpha val="60000"/>
                          </a:srgbClr>
                        </a:solidFill>
                        <a:ln w="19050">
                          <a:solidFill>
                            <a:srgbClr val="FFC000"/>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32"/>
                                <w:szCs w:val="32"/>
                                <w:lang w:val="en-US" w:eastAsia="zh-CN"/>
                              </w:rPr>
                            </w:pPr>
                            <w:r>
                              <w:rPr>
                                <w:rFonts w:hint="eastAsia"/>
                                <w:b/>
                                <w:bCs/>
                                <w:sz w:val="32"/>
                                <w:szCs w:val="32"/>
                                <w:lang w:val="en-US" w:eastAsia="zh-CN"/>
                              </w:rPr>
                              <w:t>危废间</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329.85pt;margin-top:50.05pt;height:32.65pt;width:100.75pt;z-index:251677696;v-text-anchor:middle;mso-width-relative:page;mso-height-relative:page;" fillcolor="#FF0000" filled="t" stroked="t" coordsize="21600,21600" o:gfxdata="UEsDBAoAAAAAAIdO4kAAAAAAAAAAAAAAAAAEAAAAZHJzL1BLAwQUAAAACACHTuJAq5B9e9gAAAAL&#10;AQAADwAAAGRycy9kb3ducmV2LnhtbE2Py07DMBBF90j8gzVI7KidiJo0xKmqCostLUhs3XhIArEd&#10;2e6Dv2dYwXLmHt0506wvbmInjGkMXkGxEMDQd8GOvlfw9qrvKmApG2/NFDwq+MYE6/b6qjG1DWe/&#10;w9M+94xKfKqNgiHnueY8dQM6kxZhRk/ZR4jOZBpjz200Zyp3Ey+FkNyZ0dOFwcy4HbD72h+dglJs&#10;8q56F1LrTdSf26eX1bPulbq9KcQjsIyX/AfDrz6pQ0tOh3D0NrFJgVyuHgilQIgCGBGVLEpgB9rI&#10;5T3wtuH/f2h/AFBLAwQUAAAACACHTuJA6hQ1JnsCAAD2BAAADgAAAGRycy9lMm9Eb2MueG1srVTN&#10;bhMxEL4j8Q6W73Q3q2zSRN1UIVUQUkUrBcTZ8XqzlvyH7WS3PAC8AScu3HmuPgdje9O0hUMP5LCZ&#10;P3/j+WbGF5e9FOjArONaVXh0lmPEFNU1V7sKf/q4fnOOkfNE1URoxSp8xxy+XLx+ddGZOSt0q0XN&#10;LAIQ5eadqXDrvZlnmaMtk8SdacMUOBttJfGg2l1WW9IBuhRZkeeTrNO2NlZT5hxYr5ITD4j2JYC6&#10;aThlV5ruJVM+oVomiIeSXMuNw4t426Zh1N80jWMeiQpDpT5+IQnI2/DNFhdkvrPEtJwOVyAvucKz&#10;miThCpI+QF0RT9De8r+gJKdWO934M6pllgqJjEAVo/wZN5uWGBZrAaqdeSDd/T9Y+uFwaxGvKzyB&#10;visioeP3P77f//x9/+sbAhsQ1Bk3h7iNgUjfv9U9jM3R7sAY6u4bK8M/VITAX0yKMp8ByXcVPp9O&#10;z4vxQDXrPaIBoJjOyqLEiELEeDSelGWAzE5Ixjr/jmmJglBhC62MDJPDtfMp9BgSEjsteL3mQkTF&#10;7rYrYdGBQNvX6xx+6awwLUnWSTQmHJfCY/onOEKhDu46y8t0/olzOHVMsgpJBrzTXaAgoQA4cJi4&#10;CpLvtz2EBnGr6zvg1eo0ms7QNYeCr4nzt8TCLAKJsK3+Bj6N0HAdPUgYtdp+/Zc9xMOIgBejDma7&#10;wu7LnliGkXivYHhmozH0A/mojMtpAYp97Nk+9qi9XGngcQTvgqFRDPFeHMXGavkZlnoZsoKLKAq5&#10;K0y9PSorn3YOngXKlssYtjeW79p0BJbBEH+tNoaGRKGHSi/3Xjc89vrE1MAlrENs17C6Yd8e6zHq&#10;9Fwt/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rkH172AAAAAsBAAAPAAAAAAAAAAEAIAAAACIA&#10;AABkcnMvZG93bnJldi54bWxQSwECFAAUAAAACACHTuJA6hQ1JnsCAAD2BAAADgAAAAAAAAABACAA&#10;AAAnAQAAZHJzL2Uyb0RvYy54bWxQSwUGAAAAAAYABgBZAQAAFAYAAAAA&#10;">
                <v:fill on="t" opacity="39321f" focussize="0,0"/>
                <v:stroke weight="1.5pt" color="#FFC000 [3204]" joinstyle="round"/>
                <v:imagedata o:title=""/>
                <o:lock v:ext="edit" aspectratio="f"/>
                <v:textbox>
                  <w:txbxContent>
                    <w:p>
                      <w:pPr>
                        <w:jc w:val="center"/>
                        <w:rPr>
                          <w:rFonts w:hint="default" w:eastAsia="宋体"/>
                          <w:sz w:val="32"/>
                          <w:szCs w:val="32"/>
                          <w:lang w:val="en-US" w:eastAsia="zh-CN"/>
                        </w:rPr>
                      </w:pPr>
                      <w:r>
                        <w:rPr>
                          <w:rFonts w:hint="eastAsia"/>
                          <w:b/>
                          <w:bCs/>
                          <w:sz w:val="32"/>
                          <w:szCs w:val="32"/>
                          <w:lang w:val="en-US" w:eastAsia="zh-CN"/>
                        </w:rPr>
                        <w:t>危废间</w:t>
                      </w:r>
                    </w:p>
                  </w:txbxContent>
                </v:textbox>
              </v:shape>
            </w:pict>
          </mc:Fallback>
        </mc:AlternateContent>
      </w:r>
      <w:r>
        <w:rPr>
          <w:highlight w:val="none"/>
        </w:rPr>
        <mc:AlternateContent>
          <mc:Choice Requires="wps">
            <w:drawing>
              <wp:anchor distT="0" distB="0" distL="114300" distR="114300" simplePos="0" relativeHeight="251659264" behindDoc="0" locked="0" layoutInCell="1" allowOverlap="1">
                <wp:simplePos x="0" y="0"/>
                <wp:positionH relativeFrom="column">
                  <wp:posOffset>1560195</wp:posOffset>
                </wp:positionH>
                <wp:positionV relativeFrom="paragraph">
                  <wp:posOffset>7613650</wp:posOffset>
                </wp:positionV>
                <wp:extent cx="1398270" cy="751840"/>
                <wp:effectExtent l="9525" t="9525" r="20955" b="19685"/>
                <wp:wrapNone/>
                <wp:docPr id="144" name="文本框 144"/>
                <wp:cNvGraphicFramePr/>
                <a:graphic xmlns:a="http://schemas.openxmlformats.org/drawingml/2006/main">
                  <a:graphicData uri="http://schemas.microsoft.com/office/word/2010/wordprocessingShape">
                    <wps:wsp>
                      <wps:cNvSpPr txBox="1"/>
                      <wps:spPr>
                        <a:xfrm>
                          <a:off x="0" y="0"/>
                          <a:ext cx="1398270" cy="751840"/>
                        </a:xfrm>
                        <a:prstGeom prst="rect">
                          <a:avLst/>
                        </a:prstGeom>
                        <a:solidFill>
                          <a:srgbClr val="00B0F0"/>
                        </a:solidFill>
                        <a:ln w="19050">
                          <a:solidFill>
                            <a:srgbClr val="E89B0A"/>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44"/>
                                <w:szCs w:val="44"/>
                                <w:lang w:val="en-US" w:eastAsia="zh-CN"/>
                              </w:rPr>
                            </w:pPr>
                            <w:r>
                              <w:rPr>
                                <w:rFonts w:hint="eastAsia"/>
                                <w:sz w:val="44"/>
                                <w:szCs w:val="44"/>
                                <w:lang w:val="en-US" w:eastAsia="zh-CN"/>
                              </w:rPr>
                              <w:t>仓库</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122.85pt;margin-top:599.5pt;height:59.2pt;width:110.1pt;z-index:251659264;v-text-anchor:middle;mso-width-relative:page;mso-height-relative:page;" fillcolor="#00B0F0" filled="t" stroked="t" coordsize="21600,21600" o:gfxdata="UEsDBAoAAAAAAIdO4kAAAAAAAAAAAAAAAAAEAAAAZHJzL1BLAwQUAAAACACHTuJATGHWQt0AAAAN&#10;AQAADwAAAGRycy9kb3ducmV2LnhtbE2PwU7DMBBE70j8g7VI3KjjkiZNiFMJJCqhnlpaid7c2CSB&#10;eB3FThv4epYTHHfmaXamWE22Y2cz+NahBDGLgBmsnG6xlrB/fb5bAvNBoVadQyPhy3hYlddXhcq1&#10;u+DWnHehZhSCPlcSmhD6nHNfNcYqP3O9QfLe3WBVoHOouR7UhcJtx+dRlHCrWqQPjerNU2Oqz91o&#10;JRyS9mO5efwW63HC45tep8eXeiPl7Y2IHoAFM4U/GH7rU3UoqdPJjag96yTM40VKKBkiy2gVIXGy&#10;yICdSLoXaQy8LPj/FeUPUEsDBBQAAAAIAIdO4kBcl6L4ZQIAAMsEAAAOAAAAZHJzL2Uyb0RvYy54&#10;bWytVM1uEzEQviPxDpbvdDchpUnUTZW2BCFVtFJBnB2vN2vJaxvbyW55AHgDTly481x9Dj57kzQt&#10;HHrgspk/fzPzzUxOz7pGkY1wXhpd0MFRTonQ3JRSrwr66ePi1ZgSH5gumTJaFPROeHo2e/nitLVT&#10;MTS1UaVwBCDaT1tb0DoEO80yz2vRMH9krNBwVsY1LEB1q6x0rAV6o7Jhnr/JWuNK6wwX3sN62Tvp&#10;FtE9B9BUleTi0vB1I3ToUZ1QLKAlX0vr6SxVW1WCh+uq8iIQVVB0GtIXSSAv4zebnbLpyjFbS74t&#10;gT2nhCc9NUxqJN1DXbLAyNrJv6AayZ3xpgpH3DRZ30hiBF0M8ifc3NbMitQLqPZ2T7r/f7D8w+bG&#10;EVliE0YjSjRrMPL7H9/vf/6+//WNRCMoaq2fIvLWIjZ056ZD+M7uYYydd5Vr4i96IvCD4Ls9waIL&#10;hMdHryfj4QlcHL6T48F4lCaQPby2zod3wjQkCgV1GGDilW2ufEAlCN2FxGTeKFkupFJJcavlhXJk&#10;w+Kw8/N8sUN/FKY0aVHKJD/OE/Qjpz/EeDuenOfz2CjSHoRBUxrGSEvffpRCt+y2XC1NeQeqnOn3&#10;zVu+kOjnivlwwxwWDBTgBMM1PpUyKMdsJUpq477+yx7jMXd4KWmxsAX1X9bMCUrUe42NmGBWgA1J&#10;GR2fDKG4Q8/y0KPXzYUBTQMcu+VJjPFB7cTKmeYzLnUes8LFNEfugvLgdspF6A8Jt87FfJ7C1tbJ&#10;Vd0/wYZbFq70reUxURyRNvN1MJVMo4yk9UxtucSOJ6q39xiP6FBPUQ//QbM/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TGHWQt0AAAANAQAADwAAAAAAAAABACAAAAAiAAAAZHJzL2Rvd25yZXYueG1s&#10;UEsBAhQAFAAAAAgAh07iQFyXovhlAgAAywQAAA4AAAAAAAAAAQAgAAAALAEAAGRycy9lMm9Eb2Mu&#10;eG1sUEsFBgAAAAAGAAYAWQEAAAMGAAAAAA==&#10;">
                <v:fill on="t" focussize="0,0"/>
                <v:stroke weight="1.5pt" color="#E89B0A [3204]" joinstyle="round"/>
                <v:imagedata o:title=""/>
                <o:lock v:ext="edit" aspectratio="f"/>
                <v:textbox>
                  <w:txbxContent>
                    <w:p>
                      <w:pPr>
                        <w:jc w:val="center"/>
                        <w:rPr>
                          <w:rFonts w:hint="default" w:eastAsia="宋体"/>
                          <w:sz w:val="44"/>
                          <w:szCs w:val="44"/>
                          <w:lang w:val="en-US" w:eastAsia="zh-CN"/>
                        </w:rPr>
                      </w:pPr>
                      <w:r>
                        <w:rPr>
                          <w:rFonts w:hint="eastAsia"/>
                          <w:sz w:val="44"/>
                          <w:szCs w:val="44"/>
                          <w:lang w:val="en-US" w:eastAsia="zh-CN"/>
                        </w:rPr>
                        <w:t>仓库</w:t>
                      </w:r>
                    </w:p>
                  </w:txbxContent>
                </v:textbox>
              </v:shape>
            </w:pict>
          </mc:Fallback>
        </mc:AlternateContent>
      </w:r>
      <w:r>
        <w:rPr>
          <w:rFonts w:hint="eastAsia"/>
          <w:highlight w:val="none"/>
          <w:lang w:eastAsia="zh-CN"/>
        </w:rPr>
        <w:drawing>
          <wp:anchor distT="0" distB="0" distL="114300" distR="114300" simplePos="0" relativeHeight="251686912" behindDoc="0" locked="0" layoutInCell="1" allowOverlap="1">
            <wp:simplePos x="0" y="0"/>
            <wp:positionH relativeFrom="column">
              <wp:posOffset>903605</wp:posOffset>
            </wp:positionH>
            <wp:positionV relativeFrom="paragraph">
              <wp:posOffset>638175</wp:posOffset>
            </wp:positionV>
            <wp:extent cx="723900" cy="749300"/>
            <wp:effectExtent l="5080" t="0" r="13970" b="0"/>
            <wp:wrapNone/>
            <wp:docPr id="98" name="图片 98" descr="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指北针"/>
                    <pic:cNvPicPr>
                      <a:picLocks noChangeAspect="1"/>
                    </pic:cNvPicPr>
                  </pic:nvPicPr>
                  <pic:blipFill>
                    <a:blip r:embed="rId35"/>
                    <a:srcRect l="16546" t="-2253" r="8601"/>
                    <a:stretch>
                      <a:fillRect/>
                    </a:stretch>
                  </pic:blipFill>
                  <pic:spPr>
                    <a:xfrm rot="2400000">
                      <a:off x="0" y="0"/>
                      <a:ext cx="723900" cy="749300"/>
                    </a:xfrm>
                    <a:prstGeom prst="ellipse">
                      <a:avLst/>
                    </a:prstGeom>
                  </pic:spPr>
                </pic:pic>
              </a:graphicData>
            </a:graphic>
          </wp:anchor>
        </w:drawing>
      </w:r>
      <w:r>
        <w:rPr>
          <w:sz w:val="30"/>
          <w:highlight w:val="none"/>
        </w:rPr>
        <mc:AlternateContent>
          <mc:Choice Requires="wps">
            <w:drawing>
              <wp:anchor distT="0" distB="0" distL="114300" distR="114300" simplePos="0" relativeHeight="251676672" behindDoc="0" locked="0" layoutInCell="1" allowOverlap="1">
                <wp:simplePos x="0" y="0"/>
                <wp:positionH relativeFrom="column">
                  <wp:posOffset>253365</wp:posOffset>
                </wp:positionH>
                <wp:positionV relativeFrom="paragraph">
                  <wp:posOffset>6456680</wp:posOffset>
                </wp:positionV>
                <wp:extent cx="504825" cy="1944370"/>
                <wp:effectExtent l="9525" t="9525" r="19050" b="27305"/>
                <wp:wrapNone/>
                <wp:docPr id="67" name="文本框 67"/>
                <wp:cNvGraphicFramePr/>
                <a:graphic xmlns:a="http://schemas.openxmlformats.org/drawingml/2006/main">
                  <a:graphicData uri="http://schemas.microsoft.com/office/word/2010/wordprocessingShape">
                    <wps:wsp>
                      <wps:cNvSpPr txBox="1"/>
                      <wps:spPr>
                        <a:xfrm>
                          <a:off x="1126490" y="7332345"/>
                          <a:ext cx="504825" cy="1944370"/>
                        </a:xfrm>
                        <a:prstGeom prst="rect">
                          <a:avLst/>
                        </a:prstGeom>
                        <a:solidFill>
                          <a:srgbClr val="00B0F0"/>
                        </a:solidFill>
                        <a:ln w="19050">
                          <a:solidFill>
                            <a:srgbClr val="E89B0A"/>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sz w:val="32"/>
                                <w:szCs w:val="32"/>
                                <w:lang w:val="en-US" w:eastAsia="zh-CN"/>
                              </w:rPr>
                            </w:pPr>
                            <w:r>
                              <w:rPr>
                                <w:rFonts w:hint="eastAsia"/>
                                <w:sz w:val="32"/>
                                <w:szCs w:val="32"/>
                                <w:lang w:val="en-US" w:eastAsia="zh-CN"/>
                              </w:rPr>
                              <w:t>办公区</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19.95pt;margin-top:508.4pt;height:153.1pt;width:39.75pt;z-index:251676672;v-text-anchor:middle;mso-width-relative:page;mso-height-relative:page;" fillcolor="#00B0F0" filled="t" stroked="t" coordsize="21600,21600" o:gfxdata="UEsDBAoAAAAAAIdO4kAAAAAAAAAAAAAAAAAEAAAAZHJzL1BLAwQUAAAACACHTuJA728DPtwAAAAM&#10;AQAADwAAAGRycy9kb3ducmV2LnhtbE2PwU7DMBBE70j8g7VI3KjtBoUmjVMJJCqhnmhBojc3dpNA&#10;vI5ipw18PdsT3HZ3RrNvitXkOnayQ2g9KpAzAcxi5U2LtYK33fPdAliIGo3uPFoF3zbAqry+KnRu&#10;/Blf7Wkba0YhGHKtoImxzzkPVWOdDjPfWyTt6AenI61Dzc2gzxTuOj4XIuVOt0gfGt3bp8ZWX9vR&#10;KXhP28/F5vFHrscJ9x9m/bB/qTdK3d5IsQQW7RT/zHDBJ3QoiengRzSBdQqSLCMn3YVMqcPFIbN7&#10;YAcaknkigJcF/1+i/AVQSwMEFAAAAAgAh07iQBQhEjxzAgAA1QQAAA4AAABkcnMvZTJvRG9jLnht&#10;bK1UzW4TMRC+I/EOlu90N8mmaaJuqrQlCKmilQri7Hi9WUv+Y+xktzwAvAEnLtx5rj4HY2/SpoVD&#10;D1wcz8yXbzzfzOzpWacV2Qrw0pqSDo5ySoThtpJmXdJPH5dvTijxgZmKKWtESe+Ep2fz169OWzcT&#10;Q9tYVQkgSGL8rHUlbUJwsyzzvBGa+SPrhMFgbUGzgCasswpYi+xaZcM8P85aC5UDy4X36L3sg3TH&#10;CC8htHUtubi0fKOFCT0rCMUCluQb6Tydp9fWteDhuq69CESVFCsN6cQkeF/FM5ufstkamGsk3z2B&#10;veQJz2rSTBpM+kB1yQIjG5B/UWnJwXpbhyNuddYXkhTBKgb5M21uG+ZEqgWl9u5BdP//aPmH7Q0Q&#10;WZX0eEKJYRo7fv/j+/3P3/e/vhH0oUCt8zPE3TpEhu7cdjg2e79HZ6y7q0HHX6yIxPhgeFxMUeS7&#10;kk5Go+GoGPdSiy4QjoBxXpwMx5RwBAymRTGapF5kj0wOfHgnrCbxUlLAViaF2fbKB3wVQveQmNhb&#10;JaulVCoZsF5dKCBbFtuen+fLPfsTmDKkjenzcZ6onwT9Icfbk+l5voglYNoDGFrKoDNK1EsRb6Fb&#10;dTvdVra6Q9nA9pPnHV9KrOeK+XDDAEcNNcJlDNd41Mric+zuRklj4eu//BGPE4BRSloc3ZL6LxsG&#10;ghL13uBsTAdFEWc9GcV4MkQDDiOrw4jZ6AuLMg1w7R1P14gPan+twerPuLOLmBVDzHDMXVIeYG9c&#10;hH6lcOu5WCwSbONArpv+LzjrjoUrc+t4TBRbZOxiE2wtUyujaL1SOy1x2pPUu82M63RoJ9Tj12j+&#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9vAz7cAAAADAEAAA8AAAAAAAAAAQAgAAAAIgAAAGRy&#10;cy9kb3ducmV2LnhtbFBLAQIUABQAAAAIAIdO4kAUIRI8cwIAANUEAAAOAAAAAAAAAAEAIAAAACsB&#10;AABkcnMvZTJvRG9jLnhtbFBLBQYAAAAABgAGAFkBAAAQBgAAAAA=&#10;">
                <v:fill on="t" focussize="0,0"/>
                <v:stroke weight="1.5pt" color="#E89B0A [3204]" joinstyle="round"/>
                <v:imagedata o:title=""/>
                <o:lock v:ext="edit" aspectratio="f"/>
                <v:textbox>
                  <w:txbxContent>
                    <w:p>
                      <w:pPr>
                        <w:jc w:val="center"/>
                        <w:rPr>
                          <w:rFonts w:hint="default" w:eastAsia="宋体"/>
                          <w:sz w:val="32"/>
                          <w:szCs w:val="32"/>
                          <w:lang w:val="en-US" w:eastAsia="zh-CN"/>
                        </w:rPr>
                      </w:pPr>
                      <w:r>
                        <w:rPr>
                          <w:rFonts w:hint="eastAsia"/>
                          <w:sz w:val="32"/>
                          <w:szCs w:val="32"/>
                          <w:lang w:val="en-US" w:eastAsia="zh-CN"/>
                        </w:rPr>
                        <w:t>办公区</w:t>
                      </w:r>
                    </w:p>
                  </w:txbxContent>
                </v:textbox>
              </v:shape>
            </w:pict>
          </mc:Fallback>
        </mc:AlternateContent>
      </w:r>
      <w:r>
        <w:rPr>
          <w:highlight w:val="none"/>
        </w:rPr>
        <mc:AlternateContent>
          <mc:Choice Requires="wps">
            <w:drawing>
              <wp:anchor distT="0" distB="0" distL="114300" distR="114300" simplePos="0" relativeHeight="251687936" behindDoc="0" locked="0" layoutInCell="1" allowOverlap="1">
                <wp:simplePos x="0" y="0"/>
                <wp:positionH relativeFrom="column">
                  <wp:posOffset>4308475</wp:posOffset>
                </wp:positionH>
                <wp:positionV relativeFrom="paragraph">
                  <wp:posOffset>5966460</wp:posOffset>
                </wp:positionV>
                <wp:extent cx="76200" cy="949960"/>
                <wp:effectExtent l="9525" t="9525" r="9525" b="12065"/>
                <wp:wrapNone/>
                <wp:docPr id="101" name="文本框 101"/>
                <wp:cNvGraphicFramePr/>
                <a:graphic xmlns:a="http://schemas.openxmlformats.org/drawingml/2006/main">
                  <a:graphicData uri="http://schemas.microsoft.com/office/word/2010/wordprocessingShape">
                    <wps:wsp>
                      <wps:cNvSpPr txBox="1"/>
                      <wps:spPr>
                        <a:xfrm>
                          <a:off x="0" y="0"/>
                          <a:ext cx="76200" cy="949960"/>
                        </a:xfrm>
                        <a:prstGeom prst="rect">
                          <a:avLst/>
                        </a:prstGeom>
                        <a:solidFill>
                          <a:srgbClr val="FF0000">
                            <a:alpha val="60000"/>
                          </a:srgbClr>
                        </a:solidFill>
                        <a:ln w="19050">
                          <a:solidFill>
                            <a:srgbClr val="FFC000"/>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b/>
                                <w:bCs/>
                                <w:sz w:val="32"/>
                                <w:szCs w:val="32"/>
                                <w:lang w:val="en-US" w:eastAsia="zh-CN"/>
                              </w:rPr>
                            </w:pP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339.25pt;margin-top:469.8pt;height:74.8pt;width:6pt;z-index:251687936;v-text-anchor:middle;mso-width-relative:page;mso-height-relative:page;" fillcolor="#FF0000" filled="t" stroked="t" coordsize="21600,21600" o:gfxdata="UEsDBAoAAAAAAIdO4kAAAAAAAAAAAAAAAAAEAAAAZHJzL1BLAwQUAAAACACHTuJAZxt8FtgAAAAM&#10;AQAADwAAAGRycy9kb3ducmV2LnhtbE2Py07DMBBF90j8gzVI7KjdIEIc4lRVhcWWFiS2bjwkgdiO&#10;bPfB3zOs6HJmju6c26zObmJHjGkMXsFyIYCh74Idfa/g/U3fVcBSNt6aKXhU8IMJVu31VWNqG05+&#10;i8dd7hmF+FQbBUPOc8156gZ0Ji3CjJ5unyE6k2mMPbfRnCjcTbwQouTOjJ4+DGbGzYDd9+7gFBRi&#10;nbfVhyi1Xkf9tXl+lS+6V+r2ZimegGU8538Y/vRJHVpy2oeDt4lNCsrH6oFQBfJelsCIKKWgzZ5Q&#10;UckCeNvwyxLtL1BLAwQUAAAACACHTuJAF0rAzG8CAADqBAAADgAAAGRycy9lMm9Eb2MueG1srVRL&#10;btswEN0X6B0I7hvJgePURuTAdeCiQNAESIuuaYqyCFAkS9KW0gO0N+gqm+57Lp+jj5ScX7vIol7Q&#10;nA/fzLyZ0dl51yiyE85Lows6OsopEZqbUupNQT9/Wr15S4kPTJdMGS0Keis8PZ+/fnXW2pk4NrVR&#10;pXAEINrPWlvQOgQ7yzLPa9Ewf2Ss0DBWxjUsQHSbrHSsBXqjsuM8n2StcaV1hgvvob3ojXRAdC8B&#10;NFUlubgwfNsIHXpUJxQLKMnX0no6T9lWleDhqqq8CEQVFJWGdCII7ut4ZvMzNts4ZmvJhxTYS1J4&#10;VlPDpEbQe6gLFhjZOvkXVCO5M95U4YibJusLSYygilH+jJubmlmRagHV3t6T7v8fLP+4u3ZElpiE&#10;fESJZg1avv/5Y3/3e//rO4lKUNRaP4PnjYVv6N6ZDu4HvYcyVt5Vron/qInADoJv7wkWXSAcytMJ&#10;JoASDst0PJ1OEv/Zw1vrfHgvTEPipaAO7Uusst2lD8gDrgeXGMobJcuVVCoJbrNeKkd2DK1erXL8&#10;+rfK1qzXTpKyx/G9e8J8gqM0aVHeND/p3z8xDq8OQZYxyID3kAuyVBrAkbWenXgL3bobqFyb8hZM&#10;OtOPo7d8JVHwJfPhmjnMHzjChoYrHJUySMcMN0pq4779Sx/9MRawUtJingvqv26ZE5SoDxoDMx2N&#10;x4ANSRifnB5DcI8t68cWvW2WBjxiJJBdukb/oA7XypnmCxZ5EaPCxDRH7ILy4A7CMvR7hk8BF4tF&#10;cttaJzd1/wQLYFm41DeWx0Cxh9ostsFUMvU6ktYzNXCJFUjtGtY17thjOXk9fKLm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nG3wW2AAAAAwBAAAPAAAAAAAAAAEAIAAAACIAAABkcnMvZG93bnJl&#10;di54bWxQSwECFAAUAAAACACHTuJAF0rAzG8CAADqBAAADgAAAAAAAAABACAAAAAnAQAAZHJzL2Uy&#10;b0RvYy54bWxQSwUGAAAAAAYABgBZAQAACAYAAAAA&#10;">
                <v:fill on="t" opacity="39321f" focussize="0,0"/>
                <v:stroke weight="1.5pt" color="#FFC000 [3204]" joinstyle="round"/>
                <v:imagedata o:title=""/>
                <o:lock v:ext="edit" aspectratio="f"/>
                <v:textbox>
                  <w:txbxContent>
                    <w:p>
                      <w:pPr>
                        <w:jc w:val="center"/>
                        <w:rPr>
                          <w:rFonts w:hint="default"/>
                          <w:b/>
                          <w:bCs/>
                          <w:sz w:val="32"/>
                          <w:szCs w:val="32"/>
                          <w:lang w:val="en-US" w:eastAsia="zh-CN"/>
                        </w:rPr>
                      </w:pPr>
                    </w:p>
                  </w:txbxContent>
                </v:textbox>
              </v:shape>
            </w:pict>
          </mc:Fallback>
        </mc:AlternateContent>
      </w:r>
      <w:r>
        <w:rPr>
          <w:highlight w:val="none"/>
        </w:rPr>
        <mc:AlternateContent>
          <mc:Choice Requires="wps">
            <w:drawing>
              <wp:anchor distT="0" distB="0" distL="114300" distR="114300" simplePos="0" relativeHeight="251673600" behindDoc="0" locked="0" layoutInCell="1" allowOverlap="1">
                <wp:simplePos x="0" y="0"/>
                <wp:positionH relativeFrom="column">
                  <wp:posOffset>3227705</wp:posOffset>
                </wp:positionH>
                <wp:positionV relativeFrom="paragraph">
                  <wp:posOffset>6499860</wp:posOffset>
                </wp:positionV>
                <wp:extent cx="2265680" cy="1946910"/>
                <wp:effectExtent l="9525" t="9525" r="10795" b="24765"/>
                <wp:wrapNone/>
                <wp:docPr id="91" name="文本框 91"/>
                <wp:cNvGraphicFramePr/>
                <a:graphic xmlns:a="http://schemas.openxmlformats.org/drawingml/2006/main">
                  <a:graphicData uri="http://schemas.microsoft.com/office/word/2010/wordprocessingShape">
                    <wps:wsp>
                      <wps:cNvSpPr txBox="1"/>
                      <wps:spPr>
                        <a:xfrm>
                          <a:off x="0" y="0"/>
                          <a:ext cx="2265680" cy="1946910"/>
                        </a:xfrm>
                        <a:prstGeom prst="rect">
                          <a:avLst/>
                        </a:prstGeom>
                        <a:solidFill>
                          <a:srgbClr val="FF0000">
                            <a:alpha val="60000"/>
                          </a:srgbClr>
                        </a:solidFill>
                        <a:ln w="19050">
                          <a:solidFill>
                            <a:srgbClr val="FFC000"/>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b/>
                                <w:bCs/>
                                <w:sz w:val="32"/>
                                <w:szCs w:val="32"/>
                                <w:lang w:val="en-US" w:eastAsia="zh-CN"/>
                              </w:rPr>
                            </w:pPr>
                            <w:r>
                              <w:rPr>
                                <w:rFonts w:hint="eastAsia"/>
                                <w:b/>
                                <w:bCs/>
                                <w:sz w:val="32"/>
                                <w:szCs w:val="32"/>
                                <w:lang w:val="en-US" w:eastAsia="zh-CN"/>
                              </w:rPr>
                              <w:t>地下应急池</w:t>
                            </w:r>
                          </w:p>
                          <w:p>
                            <w:pPr>
                              <w:jc w:val="center"/>
                              <w:rPr>
                                <w:rFonts w:hint="default"/>
                                <w:b/>
                                <w:bCs/>
                                <w:sz w:val="32"/>
                                <w:szCs w:val="32"/>
                                <w:lang w:val="en-US" w:eastAsia="zh-CN"/>
                              </w:rPr>
                            </w:pPr>
                            <w:r>
                              <w:rPr>
                                <w:rFonts w:hint="eastAsia"/>
                                <w:b/>
                                <w:bCs/>
                                <w:sz w:val="32"/>
                                <w:szCs w:val="32"/>
                                <w:lang w:val="en-US" w:eastAsia="zh-CN"/>
                              </w:rPr>
                              <w:t>（原绿化地）</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254.15pt;margin-top:511.8pt;height:153.3pt;width:178.4pt;z-index:251673600;v-text-anchor:middle;mso-width-relative:page;mso-height-relative:page;" fillcolor="#FF0000" filled="t" stroked="t" coordsize="21600,21600" o:gfxdata="UEsDBAoAAAAAAIdO4kAAAAAAAAAAAAAAAAAEAAAAZHJzL1BLAwQUAAAACACHTuJACx0Sc9kAAAAN&#10;AQAADwAAAGRycy9kb3ducmV2LnhtbE2Py07DMBBF90j8gzVI7KidRI1CiFNVFRZb2iKxdWM3SYnH&#10;ke0++HuGFSxn7tGdM83q5iZ2sSGOHiVkCwHMYufNiL2Ej716qoDFpNHoyaOV8G0jrNr7u0bXxl9x&#10;ay+71DMqwVhrCUNKc8157AbrdFz42SJlRx+cTjSGnpugr1TuJp4LUXKnR6QLg57tZrDd1+7sJORi&#10;nbbVpyiVWgd12ry+P7+pXsrHh0y8AEv2lv5g+NUndWjJ6eDPaCKbJCxFVRBKgciLEhghVbnMgB1o&#10;VRQiB942/P8X7Q9QSwMEFAAAAAgAh07iQAmiXPxxAgAA6wQAAA4AAABkcnMvZTJvRG9jLnhtbK1U&#10;zW4TMRC+I/EOlu90kygNTdRNFVIFIVW0UkCcHa83a8lrG9vJbnkAeANOvXDnufocfPZu2rRw6IEc&#10;HM+Pv5n5ZmbPL9pakb1wXhqd0+HJgBKhuSmk3ub086fVmzNKfGC6YMpokdNb4enF/PWr88bOxMhU&#10;RhXCEYBoP2tsTqsQ7CzLPK9EzfyJsULDWBpXswDRbbPCsQbotcpGg8Eka4wrrDNceA/tZWekPaJ7&#10;CaApS8nFpeG7WujQoTqhWEBJvpLW03nKtiwFD9dl6UUgKqeoNKQTQXDfxDObn7PZ1jFbSd6nwF6S&#10;wrOaaiY1gj5AXbLAyM7Jv6BqyZ3xpgwn3NRZV0hiBFUMB8+4WVfMilQLqPb2gXT//2D5x/2NI7LI&#10;6XRIiWY1On7/88f93e/7X98JdCCosX4Gv7WFZ2jfmRZjc9B7KGPdbenq+I+KCOyg9/aBXtEGwqEc&#10;jSankzOYOGzD6XgyHaYGZI/PrfPhvTA1iZecOvQv0cr2Vz4gFbgeXGI0b5QsVlKpJLjtZqkc2TP0&#10;erUa4Ne9VbZinXaSlB2O79wT5hMcpUkT8xucdu+fGPtXhyDLGKTHe8wFWSoN4EhcR1C8hXbT9mxu&#10;THELMp3p5tFbvpIo+Ir5cMMcBhAkYUXDNY5SGaRj+hsllXHf/qWP/pgLWClpMNA59V93zAlK1AeN&#10;iZkOx2PAhiSMT9+OILhjy+bYonf10oBHDAWyS9foH9ThWjpTf8EmL2JUmJjmiJ1THtxBWIZu0fAt&#10;4GKxSG476+S26p5gAywLV3pteQwUe6jNYhdMKVOvI2kdUz2X2IHUrn5f45Idy8nr8Rs1/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LHRJz2QAAAA0BAAAPAAAAAAAAAAEAIAAAACIAAABkcnMvZG93&#10;bnJldi54bWxQSwECFAAUAAAACACHTuJACaJc/HECAADrBAAADgAAAAAAAAABACAAAAAoAQAAZHJz&#10;L2Uyb0RvYy54bWxQSwUGAAAAAAYABgBZAQAACwYAAAAA&#10;">
                <v:fill on="t" opacity="39321f" focussize="0,0"/>
                <v:stroke weight="1.5pt" color="#FFC000 [3204]" joinstyle="round"/>
                <v:imagedata o:title=""/>
                <o:lock v:ext="edit" aspectratio="f"/>
                <v:textbox>
                  <w:txbxContent>
                    <w:p>
                      <w:pPr>
                        <w:jc w:val="center"/>
                        <w:rPr>
                          <w:rFonts w:hint="eastAsia"/>
                          <w:b/>
                          <w:bCs/>
                          <w:sz w:val="32"/>
                          <w:szCs w:val="32"/>
                          <w:lang w:val="en-US" w:eastAsia="zh-CN"/>
                        </w:rPr>
                      </w:pPr>
                      <w:r>
                        <w:rPr>
                          <w:rFonts w:hint="eastAsia"/>
                          <w:b/>
                          <w:bCs/>
                          <w:sz w:val="32"/>
                          <w:szCs w:val="32"/>
                          <w:lang w:val="en-US" w:eastAsia="zh-CN"/>
                        </w:rPr>
                        <w:t>地下应急池</w:t>
                      </w:r>
                    </w:p>
                    <w:p>
                      <w:pPr>
                        <w:jc w:val="center"/>
                        <w:rPr>
                          <w:rFonts w:hint="default"/>
                          <w:b/>
                          <w:bCs/>
                          <w:sz w:val="32"/>
                          <w:szCs w:val="32"/>
                          <w:lang w:val="en-US" w:eastAsia="zh-CN"/>
                        </w:rPr>
                      </w:pPr>
                      <w:r>
                        <w:rPr>
                          <w:rFonts w:hint="eastAsia"/>
                          <w:b/>
                          <w:bCs/>
                          <w:sz w:val="32"/>
                          <w:szCs w:val="32"/>
                          <w:lang w:val="en-US" w:eastAsia="zh-CN"/>
                        </w:rPr>
                        <w:t>（原绿化地）</w:t>
                      </w:r>
                    </w:p>
                  </w:txbxContent>
                </v:textbox>
              </v:shape>
            </w:pict>
          </mc:Fallback>
        </mc:AlternateContent>
      </w:r>
      <w:r>
        <w:rPr>
          <w:sz w:val="30"/>
          <w:highlight w:val="none"/>
        </w:rPr>
        <mc:AlternateContent>
          <mc:Choice Requires="wps">
            <w:drawing>
              <wp:anchor distT="0" distB="0" distL="114300" distR="114300" simplePos="0" relativeHeight="251675648" behindDoc="0" locked="0" layoutInCell="1" allowOverlap="1">
                <wp:simplePos x="0" y="0"/>
                <wp:positionH relativeFrom="column">
                  <wp:posOffset>144145</wp:posOffset>
                </wp:positionH>
                <wp:positionV relativeFrom="paragraph">
                  <wp:posOffset>527685</wp:posOffset>
                </wp:positionV>
                <wp:extent cx="5400040" cy="7946390"/>
                <wp:effectExtent l="12700" t="12700" r="16510" b="22860"/>
                <wp:wrapNone/>
                <wp:docPr id="117" name="任意多边形 117"/>
                <wp:cNvGraphicFramePr/>
                <a:graphic xmlns:a="http://schemas.openxmlformats.org/drawingml/2006/main">
                  <a:graphicData uri="http://schemas.microsoft.com/office/word/2010/wordprocessingShape">
                    <wps:wsp>
                      <wps:cNvSpPr/>
                      <wps:spPr>
                        <a:xfrm>
                          <a:off x="859155" y="1428115"/>
                          <a:ext cx="5400040" cy="7946390"/>
                        </a:xfrm>
                        <a:custGeom>
                          <a:avLst/>
                          <a:gdLst>
                            <a:gd name="connsiteX0" fmla="*/ 1005 w 8504"/>
                            <a:gd name="connsiteY0" fmla="*/ 4 h 12514"/>
                            <a:gd name="connsiteX1" fmla="*/ 8504 w 8504"/>
                            <a:gd name="connsiteY1" fmla="*/ 0 h 12514"/>
                            <a:gd name="connsiteX2" fmla="*/ 8490 w 8504"/>
                            <a:gd name="connsiteY2" fmla="*/ 9071 h 12514"/>
                            <a:gd name="connsiteX3" fmla="*/ 4605 w 8504"/>
                            <a:gd name="connsiteY3" fmla="*/ 9064 h 12514"/>
                            <a:gd name="connsiteX4" fmla="*/ 4560 w 8504"/>
                            <a:gd name="connsiteY4" fmla="*/ 12514 h 12514"/>
                            <a:gd name="connsiteX5" fmla="*/ 0 w 8504"/>
                            <a:gd name="connsiteY5" fmla="*/ 12514 h 12514"/>
                            <a:gd name="connsiteX6" fmla="*/ 45 w 8504"/>
                            <a:gd name="connsiteY6" fmla="*/ 9184 h 12514"/>
                            <a:gd name="connsiteX7" fmla="*/ 1050 w 8504"/>
                            <a:gd name="connsiteY7" fmla="*/ 9169 h 12514"/>
                            <a:gd name="connsiteX8" fmla="*/ 1005 w 8504"/>
                            <a:gd name="connsiteY8" fmla="*/ 4 h 125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504" h="12514">
                              <a:moveTo>
                                <a:pt x="1005" y="4"/>
                              </a:moveTo>
                              <a:lnTo>
                                <a:pt x="8504" y="0"/>
                              </a:lnTo>
                              <a:lnTo>
                                <a:pt x="8490" y="9071"/>
                              </a:lnTo>
                              <a:lnTo>
                                <a:pt x="4605" y="9064"/>
                              </a:lnTo>
                              <a:lnTo>
                                <a:pt x="4560" y="12514"/>
                              </a:lnTo>
                              <a:lnTo>
                                <a:pt x="0" y="12514"/>
                              </a:lnTo>
                              <a:lnTo>
                                <a:pt x="45" y="9184"/>
                              </a:lnTo>
                              <a:lnTo>
                                <a:pt x="1050" y="9169"/>
                              </a:lnTo>
                              <a:lnTo>
                                <a:pt x="1005" y="4"/>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1.35pt;margin-top:41.55pt;height:625.7pt;width:425.2pt;z-index:251675648;mso-width-relative:page;mso-height-relative:page;" filled="f" stroked="t" coordsize="8504,12514" o:gfxdata="UEsDBAoAAAAAAIdO4kAAAAAAAAAAAAAAAAAEAAAAZHJzL1BLAwQUAAAACACHTuJAAW7PV9kAAAAK&#10;AQAADwAAAGRycy9kb3ducmV2LnhtbE2PTU/DMAyG70j8h8hI3Fj6wVhVmk5oEhIHODBg0m5pY9KK&#10;xqmarNv+Pd4JbrbeR68fV+uTG8SMU+g9KUgXCQik1puerILPj+e7AkSImowePKGCMwZY19dXlS6N&#10;P9I7zttoBZdQKLWCLsaxlDK0HTodFn5E4uzbT05HXicrzaSPXO4GmSXJg3S6J77Q6RE3HbY/24NT&#10;sJ9frM3xNT5tqPnaN7vz7m3ZK3V7kyaPICKe4h8MF31Wh5qdGn8gE8SgIMtWTCoo8hQE58XqMjQM&#10;5vn9EmRdyf8v1L9QSwMEFAAAAAgAh07iQLbXN9yDAwAAHgsAAA4AAABkcnMvZTJvRG9jLnhtbK1W&#10;z27TMBi/I/EOVo5ILEmXZE21dgeqckGAtCGNo+s4TaTEjmyv7e7cuXNEvASa4GkY4jH47MSdVwRu&#10;JS61U/++nz9//88vtm2D1lTImrNpEJ9EAaKM8KJmq2nw7mrxfBwgqTArcMMZnQa3VAYXs6dPzjfd&#10;hI54xZuCCgQkTE423TSolOomYShJRVssT3hHGRyWXLRYwadYhYXAG2Bvm3AURVm44aLoBCdUSvh3&#10;3h8GA6M4hJCXZU3onJObljLVswraYAVPklXdyWBmtC1LStSbspRUoWYawEuV+YVLYL/Uv+HsHE9W&#10;AndVTQYV8CEq7L2pxTWDS3dUc6wwuhH1H1RtTQSXvFQnhLdh/xBjEXhFHO3Z5rLCHTVvAVPLbmd0&#10;+f9oyev1W4HqAiIhPgsQwy24/Mfd3c8PH++/fPr1/ev9t89IH4GhNp2cAP6yeyuGLwlb/eptKVq9&#10;wnvQdhqM0zxO0wDdAmsyGsdx2tuZbhUicJ4mURQl4AICiLM8yU5z44nwgYncSPWScsOK16+k6h1V&#10;wM6YuRhUJZwxWSt6DWxl24DvnoUojqIUbdA4jZLBwfvw9y48QRWKR2n8N/B17HBrUg+3C4983COX&#10;O8kjD7cLz6Oz2Ed/6tAnmdcsLjyPMq9lEpc+zXzau3BjcZ/6EEQ7r/rIXexB5JlDnvgCxgXn8dhr&#10;GUimneZxlPqUd+F5nOU+w0CRdui9fnXhj1SHlFvZpMKVzTOyZUOiwQ5h3RkiU946LnWCu1kHKWw/&#10;IasgTYESpHSWeoQhT1zh+ChhSARXeHSUMIS5K3x6lDAEsStsqsbBb+6r4s5gpjAeLAwx6N6cHaU2&#10;RJgrbCr6wTdD/LjCY/fmnmSIFwEdV/faxvRaFSDotcL02qWWwZMOKx1mdos2ul1AnUYVNAtThPVR&#10;y9f0ihuQ0gGnK7pRwVr7AdAwF9hzga42FO2xXTvDN4ZKa/h0DR0eYxF27ZG6aA7IzF5uEXYdkFD/&#10;DHLXS8AyFmLXHnooLhmuhnrzTyV1gemVhNLhQe4Z0ipGGi5pn73aRSaNd77SLnYaMuOLummMOxum&#10;PTjSHR3aOYZ5sIQ5DLZtBzOFZKsA4WYFgyZRwlQQyZu60OLauVKsli8agdYYQmaxgKnAuu0RrBNS&#10;zbGsepw52j0SFNVzST+J6N2SF7dmQDH/w9hknjKMeHouc7+N9MNYO/s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9QUAAFtDb250ZW50X1R5cGVz&#10;XS54bWxQSwECFAAKAAAAAACHTuJAAAAAAAAAAAAAAAAABgAAAAAAAAAAABAAAADXBAAAX3JlbHMv&#10;UEsBAhQAFAAAAAgAh07iQIoUZjzRAAAAlAEAAAsAAAAAAAAAAQAgAAAA+wQAAF9yZWxzLy5yZWxz&#10;UEsBAhQACgAAAAAAh07iQAAAAAAAAAAAAAAAAAQAAAAAAAAAAAAQAAAAAAAAAGRycy9QSwECFAAU&#10;AAAACACHTuJAAW7PV9kAAAAKAQAADwAAAAAAAAABACAAAAAiAAAAZHJzL2Rvd25yZXYueG1sUEsB&#10;AhQAFAAAAAgAh07iQLbXN9yDAwAAHgsAAA4AAAAAAAAAAQAgAAAAKAEAAGRycy9lMm9Eb2MueG1s&#10;UEsFBgAAAAAGAAYAWQEAAB0HAAAAAA==&#10;" path="m1005,4l8504,0,8490,9071,4605,9064,4560,12514,0,12514,45,9184,1050,9169,1005,4xe">
                <v:path o:connectlocs="638175,2540;5400040,0;5391150,5760085;2924175,5755640;2895600,7946390;0,7946390;28575,5831840;666750,5822315;638175,2540" o:connectangles="0,0,0,0,0,0,0,0,0"/>
                <v:fill on="f" focussize="0,0"/>
                <v:stroke weight="2pt" color="#FF0000 [3204]" joinstyle="round"/>
                <v:imagedata o:title=""/>
                <o:lock v:ext="edit" aspectratio="f"/>
              </v:shape>
            </w:pict>
          </mc:Fallback>
        </mc:AlternateContent>
      </w:r>
      <w:r>
        <w:rPr>
          <w:rFonts w:hint="default"/>
          <w:highlight w:val="none"/>
        </w:rPr>
        <w:t>附图</w:t>
      </w:r>
      <w:r>
        <w:rPr>
          <w:rFonts w:hint="eastAsia"/>
          <w:highlight w:val="none"/>
          <w:lang w:val="en-US" w:eastAsia="zh-CN"/>
        </w:rPr>
        <w:t>5</w:t>
      </w:r>
      <w:r>
        <w:rPr>
          <w:rFonts w:hint="default"/>
          <w:highlight w:val="none"/>
        </w:rPr>
        <w:t>：</w:t>
      </w:r>
      <w:r>
        <w:rPr>
          <w:rFonts w:hint="eastAsia"/>
          <w:highlight w:val="none"/>
          <w:lang w:val="en-US" w:eastAsia="zh-CN"/>
        </w:rPr>
        <w:t>项目分区防渗</w:t>
      </w:r>
      <w:r>
        <w:rPr>
          <w:rFonts w:hint="default"/>
          <w:highlight w:val="none"/>
        </w:rPr>
        <w:t>图</w:t>
      </w:r>
      <w:bookmarkEnd w:id="130"/>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黑体" w:cs="Times New Roman"/>
          <w:b w:val="0"/>
          <w:bCs/>
          <w:color w:val="000000"/>
          <w:kern w:val="44"/>
          <w:sz w:val="30"/>
          <w:szCs w:val="30"/>
          <w:highlight w:val="none"/>
          <w:lang w:val="en-US" w:eastAsia="zh-CN" w:bidi="ar-SA"/>
        </w:rPr>
      </w:pPr>
      <w:bookmarkStart w:id="131" w:name="_Toc7058"/>
      <w:bookmarkStart w:id="132" w:name="_Toc11892"/>
      <w:bookmarkStart w:id="133" w:name="_Toc9007"/>
      <w:bookmarkStart w:id="134" w:name="_Toc1749"/>
      <w:bookmarkStart w:id="135" w:name="_Toc849"/>
      <w:bookmarkStart w:id="136" w:name="_Toc12655"/>
      <w:bookmarkStart w:id="137" w:name="_Toc27673"/>
      <w:bookmarkStart w:id="138" w:name="_Toc10949"/>
      <w:bookmarkStart w:id="139" w:name="_Toc20902"/>
      <w:bookmarkStart w:id="140" w:name="_Toc24647"/>
      <w:bookmarkStart w:id="141" w:name="_Toc29488"/>
      <w:bookmarkStart w:id="142" w:name="_Toc15213"/>
      <w:bookmarkStart w:id="143" w:name="_Toc23082"/>
      <w:bookmarkStart w:id="144" w:name="_Toc20657"/>
      <w:r>
        <w:rPr>
          <w:rFonts w:hint="default" w:ascii="Times New Roman" w:hAnsi="Times New Roman" w:eastAsia="黑体" w:cs="Times New Roman"/>
          <w:b w:val="0"/>
          <w:bCs/>
          <w:color w:val="000000"/>
          <w:kern w:val="44"/>
          <w:sz w:val="30"/>
          <w:szCs w:val="30"/>
          <w:highlight w:val="none"/>
          <w:lang w:val="en-US" w:eastAsia="zh-CN" w:bidi="ar-SA"/>
        </w:rPr>
        <w:t>附图</w:t>
      </w:r>
      <w:r>
        <w:rPr>
          <w:rFonts w:hint="eastAsia" w:eastAsia="黑体" w:cs="Times New Roman"/>
          <w:b w:val="0"/>
          <w:bCs/>
          <w:color w:val="000000"/>
          <w:kern w:val="44"/>
          <w:sz w:val="30"/>
          <w:szCs w:val="30"/>
          <w:highlight w:val="none"/>
          <w:lang w:val="en-US" w:eastAsia="zh-CN" w:bidi="ar-SA"/>
        </w:rPr>
        <w:t>6</w:t>
      </w:r>
      <w:r>
        <w:rPr>
          <w:rFonts w:hint="default" w:ascii="Times New Roman" w:hAnsi="Times New Roman" w:eastAsia="黑体" w:cs="Times New Roman"/>
          <w:b w:val="0"/>
          <w:bCs/>
          <w:color w:val="000000"/>
          <w:kern w:val="44"/>
          <w:sz w:val="30"/>
          <w:szCs w:val="30"/>
          <w:highlight w:val="none"/>
          <w:lang w:val="en-US" w:eastAsia="zh-CN" w:bidi="ar-SA"/>
        </w:rPr>
        <w:t>：</w:t>
      </w:r>
      <w:r>
        <w:rPr>
          <w:rFonts w:hint="eastAsia" w:eastAsia="黑体" w:cs="Times New Roman"/>
          <w:b w:val="0"/>
          <w:bCs/>
          <w:color w:val="000000"/>
          <w:kern w:val="44"/>
          <w:sz w:val="30"/>
          <w:szCs w:val="30"/>
          <w:highlight w:val="none"/>
          <w:lang w:val="en-US" w:eastAsia="zh-CN" w:bidi="ar-SA"/>
        </w:rPr>
        <w:t>青口控制性规划图</w:t>
      </w:r>
      <w:bookmarkEnd w:id="131"/>
    </w:p>
    <w:p>
      <w:pPr>
        <w:pStyle w:val="2"/>
        <w:rPr>
          <w:rFonts w:ascii="宋体" w:hAnsi="宋体" w:eastAsia="宋体" w:cs="宋体"/>
          <w:sz w:val="24"/>
          <w:szCs w:val="24"/>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33" w:charSpace="0"/>
        </w:sectPr>
      </w:pPr>
      <w:r>
        <w:rPr>
          <w:sz w:val="24"/>
        </w:rPr>
        <mc:AlternateContent>
          <mc:Choice Requires="wps">
            <w:drawing>
              <wp:anchor distT="0" distB="0" distL="114300" distR="114300" simplePos="0" relativeHeight="251725824" behindDoc="0" locked="0" layoutInCell="1" allowOverlap="1">
                <wp:simplePos x="0" y="0"/>
                <wp:positionH relativeFrom="column">
                  <wp:posOffset>3511550</wp:posOffset>
                </wp:positionH>
                <wp:positionV relativeFrom="paragraph">
                  <wp:posOffset>3167380</wp:posOffset>
                </wp:positionV>
                <wp:extent cx="97155" cy="97155"/>
                <wp:effectExtent l="4445" t="4445" r="12700" b="12700"/>
                <wp:wrapNone/>
                <wp:docPr id="185" name="五角星 185"/>
                <wp:cNvGraphicFramePr/>
                <a:graphic xmlns:a="http://schemas.openxmlformats.org/drawingml/2006/main">
                  <a:graphicData uri="http://schemas.microsoft.com/office/word/2010/wordprocessingShape">
                    <wps:wsp>
                      <wps:cNvSpPr/>
                      <wps:spPr>
                        <a:xfrm>
                          <a:off x="3716020" y="3510915"/>
                          <a:ext cx="97155" cy="97155"/>
                        </a:xfrm>
                        <a:prstGeom prst="star5">
                          <a:avLst/>
                        </a:prstGeom>
                        <a:solidFill>
                          <a:srgbClr val="FF0000"/>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76.5pt;margin-top:249.4pt;height:7.65pt;width:7.65pt;z-index:251725824;v-text-anchor:middle;mso-width-relative:page;mso-height-relative:page;" fillcolor="#FF0000" filled="t" stroked="t" coordsize="97155,97155" o:gfxdata="UEsDBAoAAAAAAIdO4kAAAAAAAAAAAAAAAAAEAAAAZHJzL1BLAwQUAAAACACHTuJAXZ8QEdsAAAAL&#10;AQAADwAAAGRycy9kb3ducmV2LnhtbE2PwU7DMAyG70i8Q2Qkbiwpa6dSmu6AtMMQgjEQZ6/J2orG&#10;qZpsK3t6zGncbPnX7+8rl5PrxdGOofOkIZkpEJZqbzpqNHx+rO5yECEiGew9WQ0/NsCyur4qsTD+&#10;RO/2uI2N4BIKBWpoYxwKKUPdWodh5gdLfNv70WHkdWykGfHE5a6X90otpMOO+EOLg31qbf29PTgN&#10;+Pqm1qu1O2+ep0j7r3O+qdMXrW9vEvUIItopXsLwh8/oUDHTzh/IBNFryLI5u0QN6UPODpzIFvkc&#10;xI6HJE1AVqX871D9AlBLAwQUAAAACACHTuJASo4sl3UCAADtBAAADgAAAGRycy9lMm9Eb2MueG1s&#10;rVTNbhMxEL4j8Q6W73R3S9O0UTdV1CgIqaKRCuLseL3ZlfyH7WRTHgNx4MaRd+B5EOIx+Ozdtmnp&#10;oQdycGZ2xt/MfDPjs/OdkmQrnG+NLmlxkFMiNDdVq9cl/fB+8eqEEh+Yrpg0WpT0Rnh6Pn354qyz&#10;E3FoGiMr4QhAtJ90tqRNCHaSZZ43QjF/YKzQMNbGKRagunVWOdYBXcnsMM+Ps864yjrDhff4Ou+N&#10;dEB0zwE0dd1yMTd8o4QOPaoTkgWU5JvWejpN2da14OGqrr0IRJYUlYZ0IgjkVTyz6RmbrB2zTcuH&#10;FNhzUnhUk2KtRtA7qDkLjGxc+w+Uarkz3tThgBuV9YUkRlBFkT/i5rphVqRaQLW3d6T7/wfL322X&#10;jrQVJuFkRIlmCi3/9fPrnx9ffn/7TuJHUNRZP4HntV26QfMQY7272qn4j0rIrqSvx8VxfghybyCP&#10;ivy0SPfZROwC4XA4HRcjxOGw9yLwsnsY63x4I4wiUSgp5tCNEq9se+lD73vrE8N6I9tq0UqZFLde&#10;XUhHtgzNXixy/GLygH/gJjXpkF0xjnkwTHCNyYGoLFjwek0Jk2usBg8uhX5w2e/HiBGejhFznDPf&#10;9LkkhCEVqZFR5LNnMEorU92gCc700+ktX7S4f8l8WDKHcQSfWNhwhaOWBsmbQaKkMe7zU9+jP6YE&#10;Vko6jDcq+7RhTlAi32rMz2lxdBT3ISlHo3Hsmdu3rPYteqMuDEgt8DRYnsToH+StWDujPmKvZzEq&#10;TExzxO45HJSL0K8dXgYuZrPkhh2wLFzqa8sjeGyiNrNNMHWbmn3PzkAatiA1dNjYuGb7evK6f6Wm&#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dnxAR2wAAAAsBAAAPAAAAAAAAAAEAIAAAACIAAABk&#10;cnMvZG93bnJldi54bWxQSwECFAAUAAAACACHTuJASo4sl3UCAADtBAAADgAAAAAAAAABACAAAAAq&#10;AQAAZHJzL2Uyb0RvYy54bWxQSwUGAAAAAAYABgBZAQAAEQYAAAAA&#10;" path="m0,37109l37110,37110,48577,0,60044,37110,97154,37109,67132,60044,78599,97154,48577,74219,18555,97154,30022,60044xe">
                <v:path o:connectlocs="48577,0;0,37109;18555,97154;78599,97154;97154,37109" o:connectangles="247,164,82,82,0"/>
                <v:fill on="t" focussize="0,0"/>
                <v:stroke weight="0.25pt" color="#000000 [3213]" joinstyle="round"/>
                <v:imagedata o:title=""/>
                <o:lock v:ext="edit" aspectratio="f"/>
              </v:shape>
            </w:pict>
          </mc:Fallback>
        </mc:AlternateContent>
      </w:r>
      <w:r>
        <w:rPr>
          <w:sz w:val="24"/>
        </w:rPr>
        <mc:AlternateContent>
          <mc:Choice Requires="wps">
            <w:drawing>
              <wp:anchor distT="0" distB="0" distL="114300" distR="114300" simplePos="0" relativeHeight="251724800" behindDoc="0" locked="0" layoutInCell="1" allowOverlap="1">
                <wp:simplePos x="0" y="0"/>
                <wp:positionH relativeFrom="column">
                  <wp:posOffset>962025</wp:posOffset>
                </wp:positionH>
                <wp:positionV relativeFrom="paragraph">
                  <wp:posOffset>1676400</wp:posOffset>
                </wp:positionV>
                <wp:extent cx="1949450" cy="1210310"/>
                <wp:effectExtent l="9525" t="9525" r="41275" b="399415"/>
                <wp:wrapNone/>
                <wp:docPr id="183" name="矩形标注 183"/>
                <wp:cNvGraphicFramePr/>
                <a:graphic xmlns:a="http://schemas.openxmlformats.org/drawingml/2006/main">
                  <a:graphicData uri="http://schemas.microsoft.com/office/word/2010/wordprocessingShape">
                    <wps:wsp>
                      <wps:cNvSpPr/>
                      <wps:spPr>
                        <a:xfrm>
                          <a:off x="2574290" y="3283585"/>
                          <a:ext cx="1949450" cy="1210310"/>
                        </a:xfrm>
                        <a:prstGeom prst="wedgeRectCallout">
                          <a:avLst>
                            <a:gd name="adj1" fmla="val 50977"/>
                            <a:gd name="adj2" fmla="val 81007"/>
                          </a:avLst>
                        </a:prstGeom>
                        <a:solidFill>
                          <a:schemeClr val="bg1">
                            <a:lumMod val="95000"/>
                          </a:schemeClr>
                        </a:solid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both"/>
                              <w:rPr>
                                <w:color w:val="auto"/>
                              </w:rPr>
                            </w:pPr>
                            <w:r>
                              <w:drawing>
                                <wp:inline distT="0" distB="0" distL="114300" distR="114300">
                                  <wp:extent cx="1746885" cy="1146810"/>
                                  <wp:effectExtent l="0" t="0" r="5715" b="15240"/>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39"/>
                                          <a:stretch>
                                            <a:fillRect/>
                                          </a:stretch>
                                        </pic:blipFill>
                                        <pic:spPr>
                                          <a:xfrm>
                                            <a:off x="0" y="0"/>
                                            <a:ext cx="1746885" cy="11468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5.75pt;margin-top:132pt;height:95.3pt;width:153.5pt;z-index:251724800;v-text-anchor:middle;mso-width-relative:page;mso-height-relative:page;" fillcolor="#F2F2F2 [3052]" filled="t" stroked="t" coordsize="21600,21600" o:gfxdata="UEsDBAoAAAAAAIdO4kAAAAAAAAAAAAAAAAAEAAAAZHJzL1BLAwQUAAAACACHTuJAs6bzZdgAAAAL&#10;AQAADwAAAGRycy9kb3ducmV2LnhtbE2PT0+EMBDF7yZ+h2ZMvLkFAkiQsgcTg9GTu0Y9FjoCsX8I&#10;7W53v72zJ73Nm3l583vN9mQ0O+LqZ2cFpJsEGNrBqdmOAt73T3cVMB+kVVI7iwLO6GHbXl81slYu&#10;2jc87sLIKMT6WgqYQlhqzv0woZF+4xa0dPt2q5GB5DpytcpI4UbzLElKbuRs6cMkF3yccPjZHYyA&#10;+6+q68LLR3+On/q16+f4nGEU4vYmTR6ABTyFPzNc8AkdWmLq3cEqzzTpIi3IKiArcypFjryoaNNf&#10;hrwE3jb8f4f2F1BLAwQUAAAACACHTuJAfHPaRcMCAAB+BQAADgAAAGRycy9lMm9Eb2MueG1srVTN&#10;jtMwEL4j8Q6W72x+2tAfNUVVqyKkhV2xIM6u4zRB/sN2mi4vwGOAOMGZM4/D8hqMnexuduGwB1TJ&#10;mbGn38x8n8eLZ0fB0YEZWyuZ4+QkxohJqopa7nP89s32yRQj64gsCFeS5fiSWfxs+fjRotVzlqpK&#10;8YIZBCDSzlud48o5PY8iSysmiD1Rmkk4LJURxIFr9lFhSAvogkdpHD+NWmUKbRRl1sLupjvEPaJ5&#10;CKAqy5qyjaKNYNJ1qIZx4qAlW9Xa4mWotiwZdWdlaZlDPMfQqQsrJAF759douSDzvSG6qmlfAnlI&#10;Cfd6EqSWkPQGakMcQY2p/4ISNTXKqtKdUCWirpHACHSRxPe4uaiIZqEXoNrqG9Lt/4Olrw7nBtUF&#10;3ITpCCNJBEj++/P3Xz+/Xn35dPXjG/L7wFKr7RyCL/S56T0Lpm/5WBrhv9AMOuY4zSbjdAb8XuZ4&#10;lE5H2TTrWGZHhygEJLPxbJxBAIWIJE3iURJ0iG6htLHuOVMCeSPHLSv27DVouSacq8YFpsnh1LpA&#10;edGXTYr3CUal4KDggXCUxbPJpFd4EJMOY6ZJHIcYyN4jgnWd38NbxetiW3MeHLPfrblBAJ/jbep/&#10;oRjeiJeq6LZnWRxfN2S7+OUCQO8AcYlaT0UciCAwRyXcX+BEaNDCyj1GhO9hQKkzIcOdf/ewXT7I&#10;Nkg4rNa3sSG26uICgqcDauESPl7STkRvuePu2Cu7U8Ul3AqjunGxmm5rgDol1p0TA+yCePCCuDNY&#10;Sq6gEdVbGFXKfPzXvo+HawunGLUwb9Dkh4YYhhF/IeFCz5LxGGBdcMbZJAXHDE92wxPZiLUCCUBv&#10;qC6YPt7xa7M0SryDh2bls8IRkRRyd3T2ztp17wA8VZStViEMhlITdyovNPXgXnKpVo1TZe08c56o&#10;jp3egbEMhPZPiJ/7oR+ibp/N5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CzpvNl2AAAAAsBAAAP&#10;AAAAAAAAAAEAIAAAACIAAABkcnMvZG93bnJldi54bWxQSwECFAAUAAAACACHTuJAfHPaRcMCAAB+&#10;BQAADgAAAAAAAAABACAAAAAnAQAAZHJzL2Uyb0RvYy54bWxQSwUGAAAAAAYABgBZAQAAXAYAAAAA&#10;" adj="21811,28298">
                <v:fill on="t" focussize="0,0"/>
                <v:stroke weight="1.5pt" color="#000000 [3213]" joinstyle="round"/>
                <v:imagedata o:title=""/>
                <o:lock v:ext="edit" aspectratio="f"/>
                <v:textbox>
                  <w:txbxContent>
                    <w:p>
                      <w:pPr>
                        <w:jc w:val="both"/>
                        <w:rPr>
                          <w:color w:val="auto"/>
                        </w:rPr>
                      </w:pPr>
                      <w:r>
                        <w:drawing>
                          <wp:inline distT="0" distB="0" distL="114300" distR="114300">
                            <wp:extent cx="1746885" cy="1146810"/>
                            <wp:effectExtent l="0" t="0" r="5715" b="15240"/>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39"/>
                                    <a:stretch>
                                      <a:fillRect/>
                                    </a:stretch>
                                  </pic:blipFill>
                                  <pic:spPr>
                                    <a:xfrm>
                                      <a:off x="0" y="0"/>
                                      <a:ext cx="1746885" cy="1146810"/>
                                    </a:xfrm>
                                    <a:prstGeom prst="rect">
                                      <a:avLst/>
                                    </a:prstGeom>
                                    <a:noFill/>
                                    <a:ln>
                                      <a:noFill/>
                                    </a:ln>
                                  </pic:spPr>
                                </pic:pic>
                              </a:graphicData>
                            </a:graphic>
                          </wp:inline>
                        </w:drawing>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黑体" w:cs="Times New Roman"/>
          <w:b w:val="0"/>
          <w:bCs/>
          <w:color w:val="000000"/>
          <w:kern w:val="44"/>
          <w:sz w:val="30"/>
          <w:szCs w:val="30"/>
          <w:highlight w:val="none"/>
          <w:lang w:val="en-US" w:eastAsia="zh-CN" w:bidi="ar-SA"/>
        </w:rPr>
      </w:pPr>
      <w:bookmarkStart w:id="145" w:name="_Toc1561"/>
      <w:r>
        <w:rPr>
          <w:rFonts w:hint="default" w:ascii="Times New Roman" w:hAnsi="Times New Roman" w:eastAsia="黑体" w:cs="Times New Roman"/>
          <w:b w:val="0"/>
          <w:bCs/>
          <w:color w:val="000000"/>
          <w:kern w:val="44"/>
          <w:sz w:val="30"/>
          <w:szCs w:val="30"/>
          <w:highlight w:val="none"/>
          <w:lang w:val="en-US" w:eastAsia="zh-CN" w:bidi="ar-SA"/>
        </w:rPr>
        <w:t>附图</w:t>
      </w:r>
      <w:r>
        <w:rPr>
          <w:rFonts w:hint="eastAsia" w:eastAsia="黑体" w:cs="Times New Roman"/>
          <w:b w:val="0"/>
          <w:bCs/>
          <w:color w:val="000000"/>
          <w:kern w:val="44"/>
          <w:sz w:val="30"/>
          <w:szCs w:val="30"/>
          <w:highlight w:val="none"/>
          <w:lang w:val="en-US" w:eastAsia="zh-CN" w:bidi="ar-SA"/>
        </w:rPr>
        <w:t>7</w:t>
      </w:r>
      <w:r>
        <w:rPr>
          <w:rFonts w:hint="default" w:ascii="Times New Roman" w:hAnsi="Times New Roman" w:eastAsia="黑体" w:cs="Times New Roman"/>
          <w:b w:val="0"/>
          <w:bCs/>
          <w:color w:val="000000"/>
          <w:kern w:val="44"/>
          <w:sz w:val="30"/>
          <w:szCs w:val="30"/>
          <w:highlight w:val="none"/>
          <w:lang w:val="en-US" w:eastAsia="zh-CN" w:bidi="ar-SA"/>
        </w:rPr>
        <w:t>：</w:t>
      </w:r>
      <w:r>
        <w:rPr>
          <w:rFonts w:hint="eastAsia" w:eastAsia="黑体" w:cs="Times New Roman"/>
          <w:b w:val="0"/>
          <w:bCs/>
          <w:color w:val="000000"/>
          <w:kern w:val="44"/>
          <w:sz w:val="30"/>
          <w:szCs w:val="30"/>
          <w:highlight w:val="none"/>
          <w:lang w:val="en-US" w:eastAsia="zh-CN" w:bidi="ar-SA"/>
        </w:rPr>
        <w:t>祥谦镇总体规划图</w:t>
      </w:r>
      <w:bookmarkEnd w:id="145"/>
    </w:p>
    <w:p>
      <w:pPr>
        <w:pStyle w:val="2"/>
        <w:rPr>
          <w:rFonts w:hint="eastAsia" w:eastAsia="宋体"/>
          <w:lang w:eastAsia="zh-CN"/>
        </w:rPr>
      </w:pPr>
    </w:p>
    <w:p>
      <w:pPr>
        <w:rPr>
          <w:rFonts w:hint="eastAsia"/>
          <w:lang w:eastAsia="zh-CN"/>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33" w:charSpace="0"/>
        </w:sectPr>
      </w:pPr>
    </w:p>
    <w:p>
      <w:pPr>
        <w:pStyle w:val="3"/>
        <w:numPr>
          <w:ilvl w:val="0"/>
          <w:numId w:val="0"/>
        </w:numPr>
        <w:bidi w:val="0"/>
        <w:ind w:leftChars="0"/>
        <w:jc w:val="both"/>
        <w:rPr>
          <w:rFonts w:hint="default"/>
          <w:highlight w:val="none"/>
        </w:rPr>
      </w:pPr>
      <w:bookmarkStart w:id="146" w:name="_Toc6132"/>
      <w:r>
        <w:rPr>
          <w:rFonts w:hint="default"/>
          <w:highlight w:val="none"/>
        </w:rPr>
        <w:pict>
          <v:shape id="_x0000_s1026" o:spid="_x0000_s1026" o:spt="136" type="#_x0000_t136" style="position:absolute;left:0pt;margin-left:819.75pt;margin-top:543.35pt;height:9pt;width:32pt;z-index:-251656192;mso-width-relative:page;mso-height-relative:page;" fillcolor="#000000" filled="t" coordsize="21600,21600">
            <v:path/>
            <v:fill on="t" focussize="0,0"/>
            <v:stroke/>
            <v:imagedata o:title=""/>
            <o:lock v:ext="edit"/>
            <v:textpath on="t" fitshape="t" fitpath="t" trim="t" xscale="f" string="污水管网" style="font-family:宋体;font-size:8pt;v-text-align:center;"/>
          </v:shape>
        </w:pict>
      </w:r>
      <w:r>
        <w:rPr>
          <w:rFonts w:hint="default"/>
          <w:highlight w:val="none"/>
        </w:rPr>
        <w:pict>
          <v:shape id="_x0000_s1027" o:spid="_x0000_s1027" o:spt="136" type="#_x0000_t136" style="position:absolute;left:0pt;margin-left:819.7pt;margin-top:562.25pt;height:9pt;width:32pt;z-index:-251655168;mso-width-relative:page;mso-height-relative:page;" fillcolor="#000000" filled="t" coordsize="21600,21600">
            <v:path/>
            <v:fill on="t" focussize="0,0"/>
            <v:stroke/>
            <v:imagedata o:title=""/>
            <o:lock v:ext="edit"/>
            <v:textpath on="t" fitshape="t" fitpath="t" trim="t" xscale="f" string="雨水管网" style="font-family:宋体;font-size:8pt;v-text-align:center;"/>
          </v:shape>
        </w:pict>
      </w:r>
      <w:r>
        <w:rPr>
          <w:rFonts w:hint="default"/>
          <w:highlight w:val="none"/>
        </w:rPr>
        <mc:AlternateContent>
          <mc:Choice Requires="wps">
            <w:drawing>
              <wp:anchor distT="0" distB="0" distL="114300" distR="114300" simplePos="0" relativeHeight="251662336" behindDoc="0" locked="0" layoutInCell="1" allowOverlap="1">
                <wp:simplePos x="0" y="0"/>
                <wp:positionH relativeFrom="column">
                  <wp:posOffset>10084435</wp:posOffset>
                </wp:positionH>
                <wp:positionV relativeFrom="paragraph">
                  <wp:posOffset>7226300</wp:posOffset>
                </wp:positionV>
                <wp:extent cx="240030" cy="635"/>
                <wp:effectExtent l="0" t="0" r="0" b="0"/>
                <wp:wrapNone/>
                <wp:docPr id="59" name="直接连接符 59"/>
                <wp:cNvGraphicFramePr/>
                <a:graphic xmlns:a="http://schemas.openxmlformats.org/drawingml/2006/main">
                  <a:graphicData uri="http://schemas.microsoft.com/office/word/2010/wordprocessingShape">
                    <wps:wsp>
                      <wps:cNvCnPr/>
                      <wps:spPr>
                        <a:xfrm>
                          <a:off x="0" y="0"/>
                          <a:ext cx="240030" cy="635"/>
                        </a:xfrm>
                        <a:prstGeom prst="line">
                          <a:avLst/>
                        </a:prstGeom>
                        <a:ln w="19050" cap="flat" cmpd="sng">
                          <a:solidFill>
                            <a:srgbClr val="00B05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794.05pt;margin-top:569pt;height:0.05pt;width:18.9pt;z-index:251662336;mso-width-relative:page;mso-height-relative:page;" filled="f" stroked="t" coordsize="21600,21600" o:gfxdata="UEsDBAoAAAAAAIdO4kAAAAAAAAAAAAAAAAAEAAAAZHJzL1BLAwQUAAAACACHTuJACWQHSNkAAAAP&#10;AQAADwAAAGRycy9kb3ducmV2LnhtbE2PwU7DMBBE70j8g7VI3KjtooSQxqlKJcQRmvYD3HibRMR2&#10;iN0m/D1bcYDbzu5o9k2xnm3PLjiGzjsFciGAoau96Vyj4LB/fciAhaid0b13qOAbA6zL25tC58ZP&#10;boeXKjaMQlzItYI2xiHnPNQtWh0WfkBHt5MfrY4kx4abUU8Ubnu+FCLlVneOPrR6wG2L9Wd1tgrs&#10;/un9azMnb9tq+gjh5bDbiHRW6v5OihWwiHP8M8MVn9ChJKajPzsTWE86yTJJXprkY0a1rp50mTwD&#10;O/7uJPCy4P97lD9QSwMEFAAAAAgAh07iQJKF56z0AQAA6gMAAA4AAABkcnMvZTJvRG9jLnhtbK1T&#10;S44TMRDdI3EHy3vSPRkyYlrpjMSEYYMgEnCAiu1OW/JPLk86uQQXQGIHK5bsuQ3DMSi7QxiGTRZs&#10;3FWu5+d6r8vzq501bKsiau9afjapOVNOeKndpuXv3908ecYZJnASjHeq5XuF/Grx+NF8CI2a+t4b&#10;qSIjEofNEFrepxSaqkLRKws48UE5KnY+WkiUxk0lIwzEbk01reuLavBRhuiFQqTd5VjkB8Z4CqHv&#10;Oi3U0otbq1waWaMykEgS9jogX5Ruu06J9KbrUCVmWk5KU1npEorXea0Wc2g2EUKvxaEFOKWFB5os&#10;aEeXHqmWkIDdRv0PldUievRdmghvq1FIcYRUnNUPvHnbQ1BFC1mN4Wg6/j9a8Xq7ikzLls8uOXNg&#10;6Y/fffz248Pnn98/0Xr39QujCtk0BGwIfe1W8ZBhWMWseddFm7+khu2KtfujtWqXmKDN6dO6PifT&#10;BZUuzmeZsPpzMkRML5W3LActN9pl2dDA9hWmEfobkreNYwON7mU9y4xAQ9jRz6fQBhKCblMOozda&#10;3mhj8hGMm/W1iWwLeRDq5/noSPwXLN+yBOxHXCllGDS9AvnCSZb2gRxy9DJ47sEqyZlR9JByVJAJ&#10;tDkFSfKNy9SqjOlBaHZ59DVHay/3xe4qZzQCxbXDuOYZu59TfP+JLn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CWQHSNkAAAAPAQAADwAAAAAAAAABACAAAAAiAAAAZHJzL2Rvd25yZXYueG1sUEsB&#10;AhQAFAAAAAgAh07iQJKF56z0AQAA6gMAAA4AAAAAAAAAAQAgAAAAKAEAAGRycy9lMm9Eb2MueG1s&#10;UEsFBgAAAAAGAAYAWQEAAI4FAAAAAA==&#10;">
                <v:fill on="f" focussize="0,0"/>
                <v:stroke weight="1.5pt" color="#00B050" joinstyle="round"/>
                <v:imagedata o:title=""/>
                <o:lock v:ext="edit" aspectratio="f"/>
              </v:line>
            </w:pict>
          </mc:Fallback>
        </mc:AlternateContent>
      </w:r>
      <w:r>
        <w:rPr>
          <w:rFonts w:hint="default"/>
          <w:highlight w:val="none"/>
        </w:rPr>
        <mc:AlternateContent>
          <mc:Choice Requires="wps">
            <w:drawing>
              <wp:anchor distT="0" distB="0" distL="114300" distR="114300" simplePos="0" relativeHeight="251663360" behindDoc="0" locked="0" layoutInCell="1" allowOverlap="1">
                <wp:simplePos x="0" y="0"/>
                <wp:positionH relativeFrom="column">
                  <wp:posOffset>10057130</wp:posOffset>
                </wp:positionH>
                <wp:positionV relativeFrom="paragraph">
                  <wp:posOffset>6960235</wp:posOffset>
                </wp:positionV>
                <wp:extent cx="218440" cy="635"/>
                <wp:effectExtent l="0" t="9525" r="10160" b="18415"/>
                <wp:wrapNone/>
                <wp:docPr id="60" name="直接连接符 60"/>
                <wp:cNvGraphicFramePr/>
                <a:graphic xmlns:a="http://schemas.openxmlformats.org/drawingml/2006/main">
                  <a:graphicData uri="http://schemas.microsoft.com/office/word/2010/wordprocessingShape">
                    <wps:wsp>
                      <wps:cNvCnPr/>
                      <wps:spPr>
                        <a:xfrm>
                          <a:off x="0" y="0"/>
                          <a:ext cx="218440" cy="635"/>
                        </a:xfrm>
                        <a:prstGeom prst="line">
                          <a:avLst/>
                        </a:prstGeom>
                        <a:ln w="19050" cap="flat" cmpd="sng">
                          <a:solidFill>
                            <a:srgbClr val="953735"/>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791.9pt;margin-top:548.05pt;height:0.05pt;width:17.2pt;z-index:251663360;mso-width-relative:page;mso-height-relative:page;" filled="f" stroked="t" coordsize="21600,21600" o:gfxdata="UEsDBAoAAAAAAIdO4kAAAAAAAAAAAAAAAAAEAAAAZHJzL1BLAwQUAAAACACHTuJAoUsqgNsAAAAP&#10;AQAADwAAAGRycy9kb3ducmV2LnhtbE2PMU/DMBCFdyT+g3VIbNROEFGaxumAQGJgoVQCNic+koB9&#10;tmKnbf49rhhgu3f39O579fZkDTvgFEZHErKVAIbUOT1SL2H/+nhTAgtRkVbGEUpYMMC2ubyoVaXd&#10;kV7wsIs9SyEUKiVhiNFXnIduQKvCynmkdPt0k1UxyannelLHFG4Nz4UouFUjpQ+D8ng/YPe9m62E&#10;9uPBP78Vi39qy3fV7b/m3iyzlNdXmdgAi3iKf2Y44yd0aBJT62bSgZmk78rbxB7TJNZFBuzsKbIy&#10;B9b+7nLgTc3/92h+AFBLAwQUAAAACACHTuJAlyyk9PYBAADqAwAADgAAAGRycy9lMm9Eb2MueG1s&#10;rVPNbhMxEL4j8Q6W72Q3aRPaVTY9NJQLgkjQB5jY3qwl/8njZpOX4AWQuMGJI3fehvIYjHfTUMol&#10;By7eGc/MN/N9O55f7axhWxVRe1fz8ajkTDnhpXabmt9+uHlxwRkmcBKMd6rme4X8avH82bwLlZr4&#10;1hupIiMQh1UXat6mFKqiQNEqCzjyQTkKNj5aSOTGTSEjdIRuTTEpy1nR+ShD9EIh0u1yCPIDYjwF&#10;0DeNFmrpxZ1VLg2oURlIRAlbHZAv+mmbRon0rmlQJWZqTkxTf1ITstf5LBZzqDYRQqvFYQQ4ZYQn&#10;nCxoR02PUEtIwO6i/gfKahE9+iaNhLfFQKRXhFiMyyfavG8hqJ4LSY3hKDr+P1jxdruKTMuaz0gS&#10;B5b++P2n7z8/fvn14zOd99++MoqQTF3AirKv3SoePAyrmDnvmmjzl9iwXS/t/iit2iUm6HIyvjg/&#10;pw6CQrOzaQYs/lSGiOm18pZlo+ZGu0wbKti+wTSkPqTka+NYR6t7WU4zItASNvTzybSBiKDb9MXo&#10;jZY32phcgnGzvjaRbYEW4XJ69vI4w19pucsSsB3y+tCwIq0C+cpJlvaBFHL0MniewSrJmVH0kLJF&#10;k0KVQJtTMom+cblA9Wt6IJpVHnTN1trLfS93kT1agV61w7rmHXvsk/34iS5+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FLKoDbAAAADwEAAA8AAAAAAAAAAQAgAAAAIgAAAGRycy9kb3ducmV2Lnht&#10;bFBLAQIUABQAAAAIAIdO4kCXLKT09gEAAOoDAAAOAAAAAAAAAAEAIAAAACoBAABkcnMvZTJvRG9j&#10;LnhtbFBLBQYAAAAABgAGAFkBAACSBQAAAAA=&#10;">
                <v:fill on="f" focussize="0,0"/>
                <v:stroke weight="1.5pt" color="#953735" joinstyle="round"/>
                <v:imagedata o:title=""/>
                <o:lock v:ext="edit" aspectratio="f"/>
              </v:line>
            </w:pict>
          </mc:Fallback>
        </mc:AlternateContent>
      </w:r>
      <w:r>
        <w:rPr>
          <w:rFonts w:hint="default"/>
          <w:highlight w:val="none"/>
        </w:rPr>
        <w:t>附件1：委托书</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6"/>
    </w:p>
    <w:p>
      <w:bookmarkStart w:id="147" w:name="_Toc28688"/>
    </w:p>
    <w:p>
      <w:pPr>
        <w:rPr>
          <w:rFonts w:hint="eastAsia"/>
          <w:lang w:eastAsia="zh-CN"/>
        </w:rPr>
      </w:pPr>
      <w:r>
        <w:rPr>
          <w:rFonts w:hint="eastAsia"/>
          <w:lang w:eastAsia="zh-CN"/>
        </w:rPr>
        <w:br w:type="page"/>
      </w:r>
    </w:p>
    <w:p>
      <w:pPr>
        <w:pStyle w:val="3"/>
        <w:numPr>
          <w:ilvl w:val="0"/>
          <w:numId w:val="0"/>
        </w:numPr>
        <w:bidi w:val="0"/>
        <w:ind w:leftChars="0"/>
        <w:jc w:val="both"/>
        <w:rPr>
          <w:rFonts w:hint="eastAsia"/>
          <w:highlight w:val="none"/>
          <w:lang w:val="en-US" w:eastAsia="zh-CN"/>
        </w:rPr>
      </w:pPr>
      <w:bookmarkStart w:id="148" w:name="_Toc13389"/>
      <w:bookmarkStart w:id="149" w:name="_Toc12704"/>
      <w:bookmarkStart w:id="150" w:name="_Toc26048"/>
      <w:bookmarkStart w:id="151" w:name="_Toc16057"/>
      <w:bookmarkStart w:id="152" w:name="_Toc25438"/>
      <w:bookmarkStart w:id="153" w:name="_Toc8168"/>
      <w:bookmarkStart w:id="154" w:name="_Toc8137"/>
      <w:bookmarkStart w:id="155" w:name="_Toc7318"/>
      <w:bookmarkStart w:id="156" w:name="_Toc24578"/>
      <w:bookmarkStart w:id="157" w:name="_Toc18862"/>
      <w:bookmarkStart w:id="158" w:name="_Toc14103"/>
      <w:bookmarkStart w:id="159" w:name="_Toc22720"/>
      <w:bookmarkStart w:id="160" w:name="_Toc448"/>
      <w:r>
        <w:rPr>
          <w:rFonts w:hint="default"/>
          <w:highlight w:val="none"/>
        </w:rPr>
        <w:t>附件2：备案</w:t>
      </w:r>
      <w:bookmarkEnd w:id="147"/>
      <w:bookmarkEnd w:id="148"/>
      <w:bookmarkEnd w:id="149"/>
      <w:bookmarkEnd w:id="150"/>
      <w:bookmarkEnd w:id="151"/>
      <w:bookmarkEnd w:id="152"/>
      <w:bookmarkEnd w:id="153"/>
      <w:bookmarkEnd w:id="154"/>
      <w:bookmarkEnd w:id="155"/>
      <w:bookmarkEnd w:id="156"/>
      <w:bookmarkEnd w:id="157"/>
      <w:bookmarkEnd w:id="158"/>
      <w:bookmarkEnd w:id="159"/>
      <w:r>
        <w:rPr>
          <w:rFonts w:hint="eastAsia"/>
          <w:highlight w:val="none"/>
          <w:lang w:val="en-US" w:eastAsia="zh-CN"/>
        </w:rPr>
        <w:t>信息</w:t>
      </w:r>
      <w:bookmarkEnd w:id="160"/>
    </w:p>
    <w:p/>
    <w:p>
      <w:bookmarkStart w:id="161" w:name="_Toc25356"/>
      <w:bookmarkStart w:id="162" w:name="_Toc7574"/>
      <w:bookmarkStart w:id="163" w:name="_Toc16280"/>
      <w:bookmarkStart w:id="164" w:name="_Toc28818"/>
      <w:bookmarkStart w:id="165" w:name="_Toc1471"/>
    </w:p>
    <w:p>
      <w:pPr>
        <w:pStyle w:val="2"/>
      </w:pPr>
    </w:p>
    <w:p>
      <w:pPr>
        <w:rPr>
          <w:rFonts w:hint="eastAsia"/>
          <w:lang w:eastAsia="zh-CN"/>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33" w:charSpace="0"/>
        </w:sectPr>
      </w:pPr>
    </w:p>
    <w:p>
      <w:pPr>
        <w:rPr>
          <w:rFonts w:hint="default"/>
        </w:rPr>
        <w:sectPr>
          <w:type w:val="continuous"/>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33" w:charSpace="0"/>
        </w:sectPr>
      </w:pPr>
      <w:bookmarkStart w:id="166" w:name="_Toc25406"/>
      <w:bookmarkStart w:id="167" w:name="_Toc15496"/>
      <w:bookmarkStart w:id="168" w:name="_Toc3259"/>
      <w:bookmarkStart w:id="169" w:name="_Toc16642"/>
      <w:bookmarkStart w:id="170" w:name="_Toc143"/>
      <w:bookmarkStart w:id="171" w:name="_Toc8237"/>
      <w:bookmarkStart w:id="172" w:name="_Toc14308"/>
      <w:bookmarkStart w:id="173" w:name="_Toc25078"/>
    </w:p>
    <w:p>
      <w:pPr>
        <w:pStyle w:val="3"/>
        <w:numPr>
          <w:ilvl w:val="0"/>
          <w:numId w:val="0"/>
        </w:numPr>
        <w:bidi w:val="0"/>
        <w:ind w:leftChars="0"/>
        <w:jc w:val="both"/>
        <w:rPr>
          <w:rFonts w:hint="default"/>
        </w:rPr>
      </w:pPr>
      <w:bookmarkStart w:id="174" w:name="_Toc27446"/>
      <w:r>
        <w:rPr>
          <w:rFonts w:hint="default"/>
        </w:rPr>
        <w:t>附件3：营业执照</w:t>
      </w:r>
      <w:bookmarkEnd w:id="161"/>
      <w:bookmarkEnd w:id="162"/>
      <w:bookmarkEnd w:id="163"/>
      <w:bookmarkEnd w:id="164"/>
      <w:bookmarkEnd w:id="166"/>
      <w:bookmarkEnd w:id="167"/>
      <w:bookmarkEnd w:id="168"/>
      <w:bookmarkEnd w:id="169"/>
      <w:bookmarkEnd w:id="170"/>
      <w:bookmarkEnd w:id="171"/>
      <w:bookmarkEnd w:id="172"/>
      <w:bookmarkEnd w:id="173"/>
      <w:bookmarkEnd w:id="174"/>
    </w:p>
    <w:bookmarkEnd w:id="165"/>
    <w:p>
      <w:pPr>
        <w:pStyle w:val="23"/>
        <w:ind w:left="0" w:leftChars="0" w:firstLine="0" w:firstLineChars="0"/>
        <w:rPr>
          <w:rFonts w:hint="eastAsia"/>
          <w:lang w:eastAsia="zh-CN"/>
        </w:rPr>
        <w:sectPr>
          <w:pgSz w:w="16838" w:h="11905" w:orient="landscape"/>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33" w:charSpace="0"/>
        </w:sectPr>
      </w:pPr>
    </w:p>
    <w:p>
      <w:pPr>
        <w:pStyle w:val="3"/>
        <w:numPr>
          <w:ilvl w:val="-1"/>
          <w:numId w:val="0"/>
        </w:numPr>
        <w:ind w:left="0" w:firstLine="0"/>
        <w:jc w:val="both"/>
        <w:outlineLvl w:val="0"/>
        <w:rPr>
          <w:rFonts w:hint="default"/>
          <w:highlight w:val="none"/>
          <w:lang w:val="en-US" w:eastAsia="zh-CN"/>
        </w:rPr>
      </w:pPr>
      <w:bookmarkStart w:id="175" w:name="_Toc15123"/>
      <w:bookmarkStart w:id="176" w:name="_Toc5025"/>
      <w:bookmarkStart w:id="177" w:name="_Toc4217"/>
      <w:bookmarkStart w:id="178" w:name="_Toc18180"/>
      <w:bookmarkStart w:id="179" w:name="_Toc23360"/>
      <w:bookmarkStart w:id="180" w:name="_Toc10862"/>
      <w:bookmarkStart w:id="181" w:name="_Toc36"/>
      <w:bookmarkStart w:id="182" w:name="_Toc5191"/>
      <w:bookmarkStart w:id="183" w:name="_Toc32232"/>
      <w:bookmarkStart w:id="184" w:name="_Toc20828"/>
      <w:bookmarkStart w:id="185" w:name="_Toc19373"/>
      <w:bookmarkStart w:id="186" w:name="_Toc16737"/>
      <w:bookmarkStart w:id="187" w:name="_Toc32134"/>
      <w:bookmarkStart w:id="188" w:name="_Toc27507"/>
      <w:r>
        <w:rPr>
          <w:rFonts w:hint="default"/>
          <w:highlight w:val="none"/>
          <w:lang w:val="en-US" w:eastAsia="zh-CN"/>
        </w:rPr>
        <w:t>附件</w:t>
      </w:r>
      <w:r>
        <w:rPr>
          <w:rFonts w:hint="eastAsia"/>
          <w:highlight w:val="none"/>
          <w:lang w:val="en-US" w:eastAsia="zh-CN"/>
        </w:rPr>
        <w:t>4</w:t>
      </w:r>
      <w:r>
        <w:rPr>
          <w:rFonts w:hint="default"/>
          <w:highlight w:val="none"/>
          <w:lang w:val="en-US" w:eastAsia="zh-CN"/>
        </w:rPr>
        <w:t>：</w:t>
      </w:r>
      <w:bookmarkEnd w:id="175"/>
      <w:bookmarkEnd w:id="176"/>
      <w:bookmarkEnd w:id="177"/>
      <w:bookmarkEnd w:id="178"/>
      <w:bookmarkEnd w:id="179"/>
      <w:bookmarkEnd w:id="180"/>
      <w:bookmarkEnd w:id="181"/>
      <w:bookmarkEnd w:id="182"/>
      <w:bookmarkEnd w:id="183"/>
      <w:bookmarkEnd w:id="184"/>
      <w:bookmarkEnd w:id="185"/>
      <w:bookmarkEnd w:id="186"/>
      <w:bookmarkEnd w:id="187"/>
      <w:r>
        <w:rPr>
          <w:rFonts w:hint="eastAsia"/>
          <w:highlight w:val="none"/>
          <w:lang w:val="en-US" w:eastAsia="zh-CN"/>
        </w:rPr>
        <w:t>土地证</w:t>
      </w:r>
      <w:bookmarkEnd w:id="188"/>
    </w:p>
    <w:p>
      <w:pPr>
        <w:bidi w:val="0"/>
        <w:rPr>
          <w:rFonts w:hint="eastAsia" w:eastAsia="宋体"/>
          <w:lang w:eastAsia="zh-CN"/>
        </w:rPr>
      </w:pPr>
    </w:p>
    <w:p>
      <w:pPr>
        <w:pStyle w:val="2"/>
      </w:pPr>
    </w:p>
    <w:p>
      <w:pPr>
        <w:pStyle w:val="2"/>
        <w:rPr>
          <w:rFonts w:hint="default"/>
          <w:lang w:val="en-US" w:eastAsia="zh-CN"/>
        </w:rPr>
        <w:sectPr>
          <w:headerReference r:id="rId11" w:type="default"/>
          <w:footerReference r:id="rId12" w:type="default"/>
          <w:pgSz w:w="11905" w:h="16838"/>
          <w:pgMar w:top="1417" w:right="1417" w:bottom="1417" w:left="997" w:header="851" w:footer="1077" w:gutter="0"/>
          <w:pgBorders>
            <w:top w:val="none" w:sz="0" w:space="0"/>
            <w:left w:val="none" w:sz="0" w:space="0"/>
            <w:bottom w:val="none" w:sz="0" w:space="0"/>
            <w:right w:val="none" w:sz="0" w:space="0"/>
          </w:pgBorders>
          <w:pgNumType w:fmt="decimal"/>
          <w:cols w:space="0" w:num="1"/>
          <w:docGrid w:linePitch="312" w:charSpace="0"/>
        </w:sectPr>
      </w:pPr>
    </w:p>
    <w:p>
      <w:pPr>
        <w:pStyle w:val="3"/>
        <w:numPr>
          <w:ilvl w:val="-1"/>
          <w:numId w:val="0"/>
        </w:numPr>
        <w:ind w:left="0" w:firstLine="0"/>
        <w:jc w:val="both"/>
        <w:outlineLvl w:val="0"/>
        <w:rPr>
          <w:rFonts w:hint="default"/>
          <w:highlight w:val="none"/>
          <w:lang w:val="en-US" w:eastAsia="zh-CN"/>
        </w:rPr>
      </w:pPr>
      <w:bookmarkStart w:id="189" w:name="_Toc2413"/>
      <w:bookmarkStart w:id="190" w:name="_Toc13407"/>
      <w:bookmarkStart w:id="191" w:name="_Toc15284"/>
      <w:bookmarkStart w:id="192" w:name="_Toc20760"/>
      <w:bookmarkStart w:id="193" w:name="_Toc7565"/>
      <w:bookmarkStart w:id="194" w:name="_Toc24908"/>
      <w:r>
        <w:rPr>
          <w:rFonts w:hint="eastAsia"/>
          <w:highlight w:val="none"/>
          <w:lang w:val="en-US" w:eastAsia="zh-CN"/>
        </w:rPr>
        <w:t>附件</w:t>
      </w:r>
      <w:bookmarkEnd w:id="189"/>
      <w:bookmarkEnd w:id="190"/>
      <w:bookmarkEnd w:id="191"/>
      <w:bookmarkEnd w:id="192"/>
      <w:bookmarkEnd w:id="193"/>
      <w:r>
        <w:rPr>
          <w:rFonts w:hint="eastAsia"/>
          <w:highlight w:val="none"/>
          <w:lang w:val="en-US" w:eastAsia="zh-CN"/>
        </w:rPr>
        <w:t>5：租赁合同</w:t>
      </w:r>
      <w:bookmarkEnd w:id="194"/>
    </w:p>
    <w:p>
      <w:pPr>
        <w:pStyle w:val="2"/>
      </w:pPr>
    </w:p>
    <w:p>
      <w:pPr>
        <w:rPr>
          <w:rFonts w:hint="eastAsia"/>
          <w:highlight w:val="yellow"/>
          <w:lang w:val="en-US" w:eastAsia="zh-CN"/>
        </w:rPr>
      </w:pPr>
      <w:bookmarkStart w:id="195" w:name="_Toc12901"/>
      <w:bookmarkStart w:id="196" w:name="_Toc1093"/>
      <w:r>
        <w:rPr>
          <w:rFonts w:hint="eastAsia"/>
          <w:highlight w:val="yellow"/>
          <w:lang w:val="en-US" w:eastAsia="zh-CN"/>
        </w:rPr>
        <w:br w:type="page"/>
      </w:r>
    </w:p>
    <w:p>
      <w:pPr>
        <w:pStyle w:val="3"/>
        <w:numPr>
          <w:ilvl w:val="0"/>
          <w:numId w:val="0"/>
        </w:numPr>
        <w:bidi w:val="0"/>
        <w:ind w:leftChars="0"/>
        <w:jc w:val="both"/>
        <w:rPr>
          <w:rFonts w:hint="default"/>
          <w:highlight w:val="none"/>
          <w:lang w:val="en-US" w:eastAsia="zh-CN"/>
        </w:rPr>
      </w:pPr>
      <w:bookmarkStart w:id="197" w:name="_Toc22212"/>
      <w:r>
        <w:rPr>
          <w:rFonts w:hint="eastAsia"/>
          <w:highlight w:val="none"/>
          <w:lang w:val="en-US" w:eastAsia="zh-CN"/>
        </w:rPr>
        <w:t>附件6：危废处置合同</w:t>
      </w:r>
      <w:bookmarkEnd w:id="197"/>
    </w:p>
    <w:p/>
    <w:p>
      <w:r>
        <w:br w:type="page"/>
      </w:r>
    </w:p>
    <w:p>
      <w:pPr>
        <w:bidi w:val="0"/>
      </w:pPr>
    </w:p>
    <w:p>
      <w:r>
        <w:br w:type="page"/>
      </w:r>
    </w:p>
    <w:p>
      <w:pPr>
        <w:bidi w:val="0"/>
      </w:pPr>
    </w:p>
    <w:p>
      <w:r>
        <w:br w:type="page"/>
      </w:r>
    </w:p>
    <w:p>
      <w:pPr>
        <w:bidi w:val="0"/>
      </w:pPr>
    </w:p>
    <w:p>
      <w:r>
        <w:br w:type="page"/>
      </w:r>
    </w:p>
    <w:p>
      <w:pPr>
        <w:bidi w:val="0"/>
      </w:pPr>
    </w:p>
    <w:p>
      <w:pPr>
        <w:bidi w:val="0"/>
        <w:rPr>
          <w:rFonts w:hint="eastAsia"/>
          <w:lang w:eastAsia="zh-CN"/>
        </w:rPr>
      </w:pPr>
    </w:p>
    <w:p>
      <w:pPr>
        <w:bidi w:val="0"/>
        <w:rPr>
          <w:rFonts w:hint="eastAsia"/>
          <w:lang w:eastAsia="zh-CN"/>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bidi w:val="0"/>
      </w:pPr>
    </w:p>
    <w:p>
      <w:pPr>
        <w:bidi w:val="0"/>
      </w:pPr>
    </w:p>
    <w:p>
      <w:pPr>
        <w:pStyle w:val="28"/>
        <w:sectPr>
          <w:pgSz w:w="16838" w:h="11905" w:orient="landscape"/>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pStyle w:val="28"/>
        <w:ind w:left="0" w:leftChars="0" w:firstLine="0" w:firstLineChars="0"/>
        <w:rPr>
          <w:rFonts w:hint="eastAsia"/>
          <w:lang w:eastAsia="zh-CN"/>
        </w:rPr>
      </w:pPr>
    </w:p>
    <w:p>
      <w:pPr>
        <w:pStyle w:val="3"/>
        <w:numPr>
          <w:ilvl w:val="0"/>
          <w:numId w:val="0"/>
        </w:numPr>
        <w:bidi w:val="0"/>
        <w:ind w:leftChars="0"/>
        <w:jc w:val="both"/>
        <w:rPr>
          <w:rFonts w:hint="eastAsia" w:eastAsia="黑体"/>
          <w:highlight w:val="none"/>
          <w:lang w:val="en-US" w:eastAsia="zh-CN"/>
        </w:rPr>
      </w:pPr>
      <w:bookmarkStart w:id="198" w:name="_Toc322"/>
      <w:r>
        <w:rPr>
          <w:rFonts w:hint="eastAsia"/>
          <w:highlight w:val="none"/>
          <w:lang w:val="en-US" w:eastAsia="zh-CN"/>
        </w:rPr>
        <w:t>附件7：</w:t>
      </w:r>
      <w:bookmarkEnd w:id="195"/>
      <w:bookmarkEnd w:id="196"/>
      <w:r>
        <w:rPr>
          <w:rFonts w:hint="eastAsia"/>
          <w:highlight w:val="none"/>
          <w:lang w:val="en-US" w:eastAsia="zh-CN"/>
        </w:rPr>
        <w:t>危废转运运输协议</w:t>
      </w:r>
      <w:r>
        <w:rPr>
          <w:rFonts w:hint="eastAsia"/>
          <w:lang w:eastAsia="zh-CN"/>
        </w:rPr>
        <w:t>（</w:t>
      </w:r>
      <w:r>
        <w:rPr>
          <w:rFonts w:hint="eastAsia"/>
          <w:lang w:val="en-US" w:eastAsia="zh-CN"/>
        </w:rPr>
        <w:t>处置单位委托</w:t>
      </w:r>
      <w:r>
        <w:rPr>
          <w:rFonts w:hint="eastAsia"/>
          <w:lang w:eastAsia="zh-CN"/>
        </w:rPr>
        <w:t>）</w:t>
      </w:r>
      <w:bookmarkEnd w:id="198"/>
    </w:p>
    <w:p>
      <w:pPr>
        <w:bidi w:val="0"/>
        <w:rPr>
          <w:rFonts w:hint="eastAsia"/>
          <w:lang w:val="en-US" w:eastAsia="zh-CN"/>
        </w:rPr>
      </w:pPr>
    </w:p>
    <w:p>
      <w:pPr>
        <w:rPr>
          <w:rFonts w:hint="eastAsia"/>
          <w:lang w:val="en-US" w:eastAsia="zh-CN"/>
        </w:rPr>
      </w:pPr>
      <w:r>
        <w:rPr>
          <w:rFonts w:hint="eastAsia"/>
          <w:lang w:val="en-US" w:eastAsia="zh-CN"/>
        </w:rPr>
        <w:br w:type="page"/>
      </w:r>
    </w:p>
    <w:p>
      <w:pPr>
        <w:bidi w:val="0"/>
        <w:rPr>
          <w:rFonts w:hint="eastAsia"/>
          <w:lang w:val="en-US" w:eastAsia="zh-CN"/>
        </w:rPr>
      </w:pPr>
    </w:p>
    <w:p>
      <w:pPr>
        <w:rPr>
          <w:rFonts w:hint="eastAsia"/>
          <w:lang w:val="en-US" w:eastAsia="zh-CN"/>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bidi w:val="0"/>
        <w:rPr>
          <w:rFonts w:hint="default"/>
          <w:lang w:val="en-US" w:eastAsia="zh-CN"/>
        </w:rPr>
        <w:sectPr>
          <w:type w:val="continuous"/>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bidi w:val="0"/>
        <w:rPr>
          <w:rFonts w:hint="eastAsia"/>
          <w:lang w:val="en-US" w:eastAsia="zh-CN"/>
        </w:rPr>
      </w:pPr>
    </w:p>
    <w:p>
      <w:pPr>
        <w:rPr>
          <w:rFonts w:hint="eastAsia"/>
          <w:highlight w:val="none"/>
          <w:lang w:val="en-US" w:eastAsia="zh-CN"/>
        </w:rPr>
      </w:pPr>
      <w:r>
        <w:rPr>
          <w:rFonts w:hint="eastAsia"/>
          <w:highlight w:val="none"/>
          <w:lang w:val="en-US" w:eastAsia="zh-CN"/>
        </w:rPr>
        <w:br w:type="page"/>
      </w:r>
    </w:p>
    <w:p>
      <w:pPr>
        <w:bidi w:val="0"/>
        <w:rPr>
          <w:rFonts w:hint="eastAsia"/>
          <w:lang w:eastAsia="zh-CN"/>
        </w:rPr>
      </w:pPr>
    </w:p>
    <w:p>
      <w:pPr>
        <w:rPr>
          <w:rFonts w:hint="eastAsia" w:eastAsia="宋体"/>
          <w:lang w:eastAsia="zh-CN"/>
        </w:rPr>
      </w:pPr>
      <w:r>
        <w:rPr>
          <w:rFonts w:hint="eastAsia" w:eastAsia="宋体"/>
          <w:lang w:eastAsia="zh-CN"/>
        </w:rPr>
        <w:br w:type="page"/>
      </w:r>
    </w:p>
    <w:p>
      <w:pPr>
        <w:bidi w:val="0"/>
        <w:rPr>
          <w:rFonts w:hint="eastAsia"/>
          <w:lang w:eastAsia="zh-CN"/>
        </w:rPr>
      </w:pPr>
    </w:p>
    <w:p>
      <w:pPr>
        <w:rPr>
          <w:rFonts w:hint="eastAsia"/>
          <w:lang w:eastAsia="zh-CN"/>
        </w:rPr>
      </w:pPr>
      <w:r>
        <w:rPr>
          <w:rFonts w:hint="eastAsia"/>
          <w:lang w:eastAsia="zh-CN"/>
        </w:rPr>
        <w:br w:type="page"/>
      </w:r>
    </w:p>
    <w:p>
      <w:pPr>
        <w:bidi w:val="0"/>
        <w:rPr>
          <w:rFonts w:hint="eastAsia"/>
          <w:lang w:eastAsia="zh-CN"/>
        </w:rPr>
      </w:pPr>
    </w:p>
    <w:p>
      <w:pPr>
        <w:rPr>
          <w:rFonts w:hint="eastAsia"/>
          <w:lang w:eastAsia="zh-CN"/>
        </w:rPr>
      </w:pPr>
      <w:r>
        <w:rPr>
          <w:rFonts w:hint="eastAsia"/>
          <w:lang w:eastAsia="zh-CN"/>
        </w:rPr>
        <w:br w:type="page"/>
      </w:r>
    </w:p>
    <w:p>
      <w:pPr>
        <w:bidi w:val="0"/>
        <w:rPr>
          <w:rFonts w:hint="eastAsia"/>
          <w:lang w:eastAsia="zh-CN"/>
        </w:rPr>
      </w:pPr>
    </w:p>
    <w:p>
      <w:pPr>
        <w:rPr>
          <w:rFonts w:hint="eastAsia"/>
          <w:lang w:eastAsia="zh-CN"/>
        </w:rPr>
      </w:pPr>
      <w:r>
        <w:rPr>
          <w:rFonts w:hint="eastAsia"/>
          <w:lang w:eastAsia="zh-CN"/>
        </w:rPr>
        <w:br w:type="page"/>
      </w:r>
    </w:p>
    <w:p>
      <w:pPr>
        <w:bidi w:val="0"/>
        <w:rPr>
          <w:rFonts w:hint="eastAsia"/>
          <w:lang w:eastAsia="zh-CN"/>
        </w:rPr>
      </w:pPr>
    </w:p>
    <w:p>
      <w:pPr>
        <w:rPr>
          <w:rFonts w:hint="eastAsia"/>
          <w:lang w:eastAsia="zh-CN"/>
        </w:rPr>
      </w:pPr>
      <w:r>
        <w:rPr>
          <w:rFonts w:hint="eastAsia"/>
          <w:lang w:eastAsia="zh-CN"/>
        </w:rPr>
        <w:br w:type="page"/>
      </w:r>
    </w:p>
    <w:p>
      <w:pPr>
        <w:bidi w:val="0"/>
        <w:rPr>
          <w:rFonts w:hint="eastAsia"/>
          <w:lang w:eastAsia="zh-CN"/>
        </w:rPr>
      </w:pPr>
    </w:p>
    <w:p>
      <w:pPr>
        <w:rPr>
          <w:rFonts w:hint="eastAsia"/>
          <w:lang w:eastAsia="zh-CN"/>
        </w:rPr>
      </w:pPr>
      <w:r>
        <w:rPr>
          <w:rFonts w:hint="eastAsia"/>
          <w:lang w:eastAsia="zh-CN"/>
        </w:rPr>
        <w:br w:type="page"/>
      </w:r>
    </w:p>
    <w:p>
      <w:pPr>
        <w:bidi w:val="0"/>
        <w:rPr>
          <w:rFonts w:hint="eastAsia"/>
          <w:lang w:eastAsia="zh-CN"/>
        </w:rPr>
      </w:pPr>
    </w:p>
    <w:p>
      <w:pPr>
        <w:rPr>
          <w:rFonts w:hint="eastAsia"/>
          <w:lang w:eastAsia="zh-CN"/>
        </w:rPr>
      </w:pPr>
      <w:r>
        <w:rPr>
          <w:rFonts w:hint="eastAsia"/>
          <w:lang w:eastAsia="zh-CN"/>
        </w:rPr>
        <w:br w:type="page"/>
      </w:r>
    </w:p>
    <w:p>
      <w:pPr>
        <w:bidi w:val="0"/>
        <w:rPr>
          <w:rFonts w:hint="eastAsia"/>
          <w:lang w:eastAsia="zh-CN"/>
        </w:rPr>
      </w:pPr>
    </w:p>
    <w:p>
      <w:pPr>
        <w:rPr>
          <w:rFonts w:hint="eastAsia"/>
          <w:lang w:eastAsia="zh-CN"/>
        </w:rPr>
      </w:pPr>
      <w:r>
        <w:rPr>
          <w:rFonts w:hint="eastAsia"/>
          <w:lang w:eastAsia="zh-CN"/>
        </w:rPr>
        <w:br w:type="page"/>
      </w:r>
    </w:p>
    <w:p>
      <w:pPr>
        <w:bidi w:val="0"/>
        <w:rPr>
          <w:rFonts w:hint="eastAsia"/>
          <w:lang w:eastAsia="zh-CN"/>
        </w:rPr>
      </w:pPr>
    </w:p>
    <w:p>
      <w:pPr>
        <w:rPr>
          <w:rFonts w:hint="eastAsia"/>
          <w:lang w:eastAsia="zh-CN"/>
        </w:rPr>
      </w:pPr>
      <w:r>
        <w:rPr>
          <w:rFonts w:hint="eastAsia"/>
          <w:lang w:eastAsia="zh-CN"/>
        </w:rPr>
        <w:br w:type="page"/>
      </w:r>
    </w:p>
    <w:p>
      <w:pPr>
        <w:bidi w:val="0"/>
        <w:rPr>
          <w:rFonts w:hint="eastAsia"/>
          <w:lang w:eastAsia="zh-CN"/>
        </w:rPr>
      </w:pPr>
    </w:p>
    <w:p>
      <w:pPr>
        <w:rPr>
          <w:rFonts w:hint="eastAsia"/>
          <w:lang w:eastAsia="zh-CN"/>
        </w:rPr>
      </w:pPr>
      <w:r>
        <w:rPr>
          <w:rFonts w:hint="eastAsia"/>
          <w:lang w:eastAsia="zh-CN"/>
        </w:rPr>
        <w:br w:type="page"/>
      </w:r>
    </w:p>
    <w:p>
      <w:pPr>
        <w:bidi w:val="0"/>
        <w:rPr>
          <w:rFonts w:hint="eastAsia"/>
          <w:lang w:eastAsia="zh-CN"/>
        </w:rPr>
      </w:pPr>
    </w:p>
    <w:p>
      <w:pPr>
        <w:rPr>
          <w:rFonts w:hint="eastAsia"/>
          <w:lang w:eastAsia="zh-CN"/>
        </w:rPr>
      </w:pPr>
      <w:r>
        <w:rPr>
          <w:rFonts w:hint="eastAsia"/>
          <w:lang w:eastAsia="zh-CN"/>
        </w:rPr>
        <w:br w:type="page"/>
      </w:r>
    </w:p>
    <w:p>
      <w:pPr>
        <w:bidi w:val="0"/>
        <w:rPr>
          <w:rFonts w:hint="eastAsia"/>
          <w:lang w:eastAsia="zh-CN"/>
        </w:rPr>
      </w:pPr>
    </w:p>
    <w:p>
      <w:pPr>
        <w:rPr>
          <w:rFonts w:hint="eastAsia"/>
          <w:lang w:eastAsia="zh-CN"/>
        </w:rPr>
      </w:pPr>
      <w:r>
        <w:rPr>
          <w:rFonts w:hint="eastAsia"/>
          <w:lang w:eastAsia="zh-CN"/>
        </w:rPr>
        <w:br w:type="page"/>
      </w:r>
    </w:p>
    <w:p>
      <w:pPr>
        <w:bidi w:val="0"/>
        <w:rPr>
          <w:rFonts w:hint="eastAsia"/>
          <w:lang w:eastAsia="zh-CN"/>
        </w:rPr>
      </w:pPr>
    </w:p>
    <w:p>
      <w:pPr>
        <w:rPr>
          <w:rFonts w:hint="eastAsia"/>
          <w:lang w:eastAsia="zh-CN"/>
        </w:rPr>
      </w:pPr>
      <w:r>
        <w:rPr>
          <w:rFonts w:hint="eastAsia"/>
          <w:lang w:eastAsia="zh-CN"/>
        </w:rPr>
        <w:br w:type="page"/>
      </w:r>
    </w:p>
    <w:p>
      <w:pPr>
        <w:bidi w:val="0"/>
        <w:rPr>
          <w:rFonts w:hint="eastAsia"/>
          <w:lang w:eastAsia="zh-CN"/>
        </w:rPr>
      </w:pPr>
    </w:p>
    <w:p>
      <w:pPr>
        <w:rPr>
          <w:rFonts w:hint="eastAsia"/>
          <w:lang w:eastAsia="zh-CN"/>
        </w:rPr>
      </w:pPr>
      <w:r>
        <w:rPr>
          <w:rFonts w:hint="eastAsia"/>
          <w:lang w:eastAsia="zh-CN"/>
        </w:rPr>
        <w:br w:type="page"/>
      </w:r>
    </w:p>
    <w:p>
      <w:pPr>
        <w:bidi w:val="0"/>
        <w:rPr>
          <w:rFonts w:hint="eastAsia"/>
          <w:lang w:eastAsia="zh-CN"/>
        </w:rPr>
      </w:pPr>
    </w:p>
    <w:p>
      <w:pPr>
        <w:rPr>
          <w:rFonts w:hint="eastAsia"/>
          <w:lang w:eastAsia="zh-CN"/>
        </w:rPr>
      </w:pPr>
      <w:r>
        <w:rPr>
          <w:rFonts w:hint="eastAsia"/>
          <w:lang w:eastAsia="zh-CN"/>
        </w:rPr>
        <w:br w:type="page"/>
      </w:r>
    </w:p>
    <w:p>
      <w:pPr>
        <w:bidi w:val="0"/>
        <w:rPr>
          <w:rFonts w:hint="eastAsia"/>
          <w:lang w:eastAsia="zh-CN"/>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pStyle w:val="3"/>
        <w:numPr>
          <w:ilvl w:val="0"/>
          <w:numId w:val="0"/>
        </w:numPr>
        <w:bidi w:val="0"/>
        <w:ind w:leftChars="0"/>
        <w:jc w:val="both"/>
        <w:rPr>
          <w:rFonts w:hint="default"/>
          <w:highlight w:val="none"/>
          <w:lang w:val="en-US" w:eastAsia="zh-CN"/>
        </w:rPr>
      </w:pPr>
      <w:bookmarkStart w:id="199" w:name="_Toc28997"/>
      <w:r>
        <w:rPr>
          <w:rFonts w:hint="eastAsia"/>
          <w:highlight w:val="none"/>
          <w:lang w:val="en-US" w:eastAsia="zh-CN"/>
        </w:rPr>
        <w:t>附件8：危废收集运输协议</w:t>
      </w:r>
      <w:bookmarkEnd w:id="199"/>
    </w:p>
    <w:p>
      <w:pPr>
        <w:bidi w:val="0"/>
        <w:rPr>
          <w:rFonts w:hint="eastAsia"/>
          <w:lang w:eastAsia="zh-CN"/>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pStyle w:val="28"/>
        <w:rPr>
          <w:rFonts w:hint="eastAsia"/>
          <w:lang w:eastAsia="zh-CN"/>
        </w:rPr>
        <w:sectPr>
          <w:type w:val="continuous"/>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pStyle w:val="28"/>
        <w:ind w:left="0" w:leftChars="0" w:firstLine="0" w:firstLineChars="0"/>
        <w:rPr>
          <w:rFonts w:hint="eastAsia"/>
          <w:lang w:eastAsia="zh-CN"/>
        </w:rPr>
        <w:sectPr>
          <w:pgSz w:w="16838" w:h="11905" w:orient="landscape"/>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pPr>
        <w:pStyle w:val="28"/>
        <w:ind w:left="0" w:leftChars="0" w:firstLine="0" w:firstLineChars="0"/>
        <w:rPr>
          <w:rFonts w:hint="eastAsia"/>
          <w:lang w:eastAsia="zh-CN"/>
        </w:rPr>
      </w:pPr>
    </w:p>
    <w:sectPr>
      <w:type w:val="continuous"/>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body>
</w:document>
</file>

<file path=word/customizations.xml><?xml version="1.0" encoding="utf-8"?>
<wne:tcg xmlns:r="http://schemas.openxmlformats.org/officeDocument/2006/relationships" xmlns:wne="http://schemas.microsoft.com/office/word/2006/wordml">
  <wne:keymaps>
    <wne:keymap wne:kcmPrimary="0632">
      <wne:acd wne:acdName="acd0"/>
    </wne:keymap>
    <wne:keymap wne:kcmPrimary="0633">
      <wne:acd wne:acdName="acd1"/>
    </wne:keymap>
    <wne:keymap wne:kcmPrimary="0634">
      <wne:acd wne:acdName="acd2"/>
    </wne:keymap>
    <wne:keymap wne:kcmPrimary="0635">
      <wne:acd wne:acdName="acd3"/>
    </wne:keymap>
    <wne:keymap wne:kcmPrimary="0642">
      <wne:acd wne:acdName="acd4"/>
    </wne:keymap>
    <wne:keymap wne:kcmPrimary="0647">
      <wne:acd wne:acdName="acd5"/>
    </wne:keymap>
    <wne:keymap wne:kcmPrimary="06DE">
      <wne:acd wne:acdName="acd6"/>
    </wne:keymap>
  </wne:keymaps>
  <wne:acds>
    <wne:acd wne:argValue="AQAAAAIA" wne:acdName="acd0" wne:fciIndexBasedOn="0065"/>
    <wne:acd wne:argValue="AQAAAAMA" wne:acdName="acd1" wne:fciIndexBasedOn="0065"/>
    <wne:acd wne:argValue="AQAAAAQA" wne:acdName="acd2" wne:fciIndexBasedOn="0065"/>
    <wne:acd wne:argValue="AQAAAAUA" wne:acdName="acd3" wne:fciIndexBasedOn="0065"/>
    <wne:acd wne:argValue="AgBoiDxoB2iYmA==" wne:acdName="acd4" wne:fciIndexBasedOn="0065"/>
    <wne:acd wne:argValue="AgD+VodlB2iYmA==" wne:acdName="acd5" wne:fciIndexBasedOn="0065"/>
    <wne:acd wne:argValue="AgD9lRtSpWJKVGNrh2U=" wne:acdName="acd6" wne:fciIndexBasedOn="0065"/>
  </wne:acd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2010609030101010101"/>
    <w:charset w:val="86"/>
    <w:family w:val="modern"/>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方正小标宋_GBK">
    <w:altName w:val="微软雅黑"/>
    <w:panose1 w:val="02000000000000000000"/>
    <w:charset w:val="86"/>
    <w:family w:val="script"/>
    <w:pitch w:val="default"/>
    <w:sig w:usb0="00000000" w:usb1="00000000" w:usb2="00082016" w:usb3="00000000" w:csb0="00040001" w:csb1="0000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pPr>
                          <w:r>
                            <w:fldChar w:fldCharType="begin"/>
                          </w:r>
                          <w:r>
                            <w:instrText xml:space="preserve"> PAGE  \* MERGEFORMAT </w:instrText>
                          </w:r>
                          <w:r>
                            <w:fldChar w:fldCharType="separate"/>
                          </w:r>
                          <w:r>
                            <w:t>- 71 -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xmuc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OrK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PWxmuctAgAAVwQAAA4AAAAAAAAAAQAgAAAAHwEAAGRycy9lMm9Eb2MueG1sUEsFBgAAAAAG&#10;AAYAWQEAAL4FAAAAAA==&#10;">
              <v:fill on="f" focussize="0,0"/>
              <v:stroke on="f" weight="0.5pt"/>
              <v:imagedata o:title=""/>
              <o:lock v:ext="edit" aspectratio="f"/>
              <v:textbox inset="0mm,0mm,0mm,0mm" style="mso-fit-shape-to-text:t;">
                <w:txbxContent>
                  <w:p>
                    <w:pPr>
                      <w:tabs>
                        <w:tab w:val="center" w:pos="4153"/>
                        <w:tab w:val="right" w:pos="8306"/>
                      </w:tabs>
                    </w:pPr>
                    <w:r>
                      <w:fldChar w:fldCharType="begin"/>
                    </w:r>
                    <w:r>
                      <w:instrText xml:space="preserve"> PAGE  \* MERGEFORMAT </w:instrText>
                    </w:r>
                    <w:r>
                      <w:fldChar w:fldCharType="separate"/>
                    </w:r>
                    <w:r>
                      <w:t>- 71 -</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pPr>
                          <w:r>
                            <w:fldChar w:fldCharType="begin"/>
                          </w:r>
                          <w:r>
                            <w:instrText xml:space="preserve"> PAGE  \* MERGEFORMAT </w:instrText>
                          </w:r>
                          <w:r>
                            <w:fldChar w:fldCharType="separate"/>
                          </w:r>
                          <w:r>
                            <w:t>- 101 -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bVWnMqAgAAV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meUaKZQ8Mv3b5cf&#10;vy4/v5JZlKexfoGoB4u40L41LZpmOPc4jKzb0qn4BR8CP8Q9X8UVbSA8XppP5/MxXBy+YQP87PG6&#10;dT68E0aRaOTUoXpJVHba+dCFDiExmzbbWspUQalJAwqv34zThasH4FIjRyTRPTZaod23PbO9Kc4g&#10;5kzXGd7ybY3kO+bDPXNoBTwYwxLusJTSIInpLUoq47786zzGo0LwUtKgtXKqMUmUyPcalQNgGAw3&#10;GPvB0Ed1a9CrEwyh5cnEBRfkYJbOqM+YoHXMARfTHJlyGgbzNnTtjQnkYr1OQeg1y8JOP1geoaN4&#10;3q6PAQImXaMonRK9Vui2VJl+MmI7/7lPUY9/g9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CbVWnMqAgAAVQQAAA4AAAAAAAAAAQAgAAAAHwEAAGRycy9lMm9Eb2MueG1sUEsFBgAAAAAGAAYA&#10;WQEAALsFAAAAAA==&#10;">
              <v:fill on="f" focussize="0,0"/>
              <v:stroke on="f" weight="0.5pt"/>
              <v:imagedata o:title=""/>
              <o:lock v:ext="edit" aspectratio="f"/>
              <v:textbox inset="0mm,0mm,0mm,0mm" style="mso-fit-shape-to-text:t;">
                <w:txbxContent>
                  <w:p>
                    <w:pPr>
                      <w:tabs>
                        <w:tab w:val="center" w:pos="4153"/>
                        <w:tab w:val="right" w:pos="8306"/>
                      </w:tabs>
                    </w:pPr>
                    <w:r>
                      <w:fldChar w:fldCharType="begin"/>
                    </w:r>
                    <w:r>
                      <w:instrText xml:space="preserve"> PAGE  \* MERGEFORMAT </w:instrText>
                    </w:r>
                    <w:r>
                      <w:fldChar w:fldCharType="separate"/>
                    </w:r>
                    <w:r>
                      <w:t>- 101 -</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pPr>
                          <w:r>
                            <w:fldChar w:fldCharType="begin"/>
                          </w:r>
                          <w:r>
                            <w:instrText xml:space="preserve"> PAGE  \* MERGEFORMAT </w:instrText>
                          </w:r>
                          <w:r>
                            <w:fldChar w:fldCharType="separate"/>
                          </w:r>
                          <w:r>
                            <w:t>- 124 -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pPr>
                      <w:tabs>
                        <w:tab w:val="center" w:pos="4153"/>
                        <w:tab w:val="right" w:pos="8306"/>
                      </w:tabs>
                    </w:pPr>
                    <w:r>
                      <w:fldChar w:fldCharType="begin"/>
                    </w:r>
                    <w:r>
                      <w:instrText xml:space="preserve"> PAGE  \* MERGEFORMAT </w:instrText>
                    </w:r>
                    <w:r>
                      <w:fldChar w:fldCharType="separate"/>
                    </w:r>
                    <w:r>
                      <w:t>- 124 -</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mc:AlternateContent>
        <mc:Choice Requires="wps">
          <w:drawing>
            <wp:anchor distT="0" distB="0" distL="114300" distR="114300" simplePos="0" relativeHeight="251726848" behindDoc="0" locked="0" layoutInCell="1" allowOverlap="1">
              <wp:simplePos x="0" y="0"/>
              <wp:positionH relativeFrom="margin">
                <wp:align>center</wp:align>
              </wp:positionH>
              <wp:positionV relativeFrom="paragraph">
                <wp:posOffset>0</wp:posOffset>
              </wp:positionV>
              <wp:extent cx="1828800" cy="1828800"/>
              <wp:effectExtent l="0" t="0" r="0" b="0"/>
              <wp:wrapNone/>
              <wp:docPr id="327" name="文本框 3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pPr>
                          <w:r>
                            <w:fldChar w:fldCharType="begin"/>
                          </w:r>
                          <w:r>
                            <w:instrText xml:space="preserve"> PAGE  \* MERGEFORMAT </w:instrText>
                          </w:r>
                          <w:r>
                            <w:fldChar w:fldCharType="separate"/>
                          </w:r>
                          <w:r>
                            <w:t>- 132 -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68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2kGTguAgAAWQQAAA4AAABkcnMvZTJvRG9jLnhtbK1UzY7TMBC+I/EO&#10;lu80aVcs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N3lCimULJT9+/&#10;nX78Ov38SuIhJGqtnyHywSI2dG9Nh8YZzj0OI/Oucip+wYnAD4GPF4FFFwiPl6aT6TSHi8M3bICf&#10;PV63zod3wigSjYI6VDAJyw4bH/rQISRm02bdSJmqKDVpC3p99TpPFy4egEuNHJFE/9hohW7bnZlt&#10;TXkEMWf67vCWrxsk3zAf7plDO+DBGJhwh6WSBknM2aKkNu7Lv85jPKoELyUt2qugGtNEiXyvUT0A&#10;hsFwg7EdDL1Xtwb9OsYgWp5MXHBBDmbljPqMKVrGHHAxzZGpoGEwb0Pf4phCLpbLFIR+syxs9IPl&#10;ETqK5+1yHyBg0jWK0itx1godlypzno7Y0n/uU9TjH2H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BtpBk4LgIAAFkEAAAOAAAAAAAAAAEAIAAAAB8BAABkcnMvZTJvRG9jLnhtbFBLBQYAAAAA&#10;BgAGAFkBAAC/BQAAAAA=&#10;">
              <v:fill on="f" focussize="0,0"/>
              <v:stroke on="f" weight="0.5pt"/>
              <v:imagedata o:title=""/>
              <o:lock v:ext="edit" aspectratio="f"/>
              <v:textbox inset="0mm,0mm,0mm,0mm" style="mso-fit-shape-to-text:t;">
                <w:txbxContent>
                  <w:p>
                    <w:pPr>
                      <w:tabs>
                        <w:tab w:val="center" w:pos="4153"/>
                        <w:tab w:val="right" w:pos="8306"/>
                      </w:tabs>
                    </w:pPr>
                    <w:r>
                      <w:fldChar w:fldCharType="begin"/>
                    </w:r>
                    <w:r>
                      <w:instrText xml:space="preserve"> PAGE  \* MERGEFORMAT </w:instrText>
                    </w:r>
                    <w:r>
                      <w:fldChar w:fldCharType="separate"/>
                    </w:r>
                    <w:r>
                      <w:t>- 132 -</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pPr>
                          <w:r>
                            <w:fldChar w:fldCharType="begin"/>
                          </w:r>
                          <w:r>
                            <w:instrText xml:space="preserve"> PAGE  \* MERGEFORMAT </w:instrText>
                          </w:r>
                          <w:r>
                            <w:fldChar w:fldCharType="separate"/>
                          </w:r>
                          <w:r>
                            <w:t>- 136 -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pPr>
                      <w:tabs>
                        <w:tab w:val="center" w:pos="4153"/>
                        <w:tab w:val="right" w:pos="8306"/>
                      </w:tabs>
                    </w:pPr>
                    <w:r>
                      <w:fldChar w:fldCharType="begin"/>
                    </w:r>
                    <w:r>
                      <w:instrText xml:space="preserve"> PAGE  \* MERGEFORMAT </w:instrText>
                    </w:r>
                    <w:r>
                      <w:fldChar w:fldCharType="separate"/>
                    </w:r>
                    <w:r>
                      <w:t>- 136 -</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pPr>
                          <w:r>
                            <w:fldChar w:fldCharType="begin"/>
                          </w:r>
                          <w:r>
                            <w:instrText xml:space="preserve"> PAGE  \* MERGEFORMAT </w:instrText>
                          </w:r>
                          <w:r>
                            <w:fldChar w:fldCharType="separate"/>
                          </w:r>
                          <w:r>
                            <w:t>- 132 -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BlIYkrAgAAW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EMTTRTKPnl+7fL&#10;j1+Xn19JPIREjfVzRO4sYkP71rQIH849DiPztnQqfsGJwA+w81Vg0QbC46XZdDaLeTh8wwb42eN1&#10;63x4J4wi0cipQwWTsOy09aELHUJiNm02tZSpilKTJqc3r9+M04WrB+BSI0ck0T02WqHdtz2zvSnO&#10;IOZM1x3e8k2N5FvmwwNzaAc8GAMT7rGU0iCJ6S1KKuO+/Os8xqNK8FLSoL1yqjFNlMj3GtUDYBgM&#10;Nxj7wdBHdWfQrxMMouXJxAUX5GCWzqjPmKJVzAEX0xyZchoG8y50LY4p5GK1SkHoN8vCVu8sj9BR&#10;PG9XxwABk65RlE6JXit0XKpMPx2xpf/cp6jHP8L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wZSGJKwIAAFkEAAAOAAAAAAAAAAEAIAAAAB8BAABkcnMvZTJvRG9jLnhtbFBLBQYAAAAABgAG&#10;AFkBAAC8BQAAAAA=&#10;">
              <v:fill on="f" focussize="0,0"/>
              <v:stroke on="f" weight="0.5pt"/>
              <v:imagedata o:title=""/>
              <o:lock v:ext="edit" aspectratio="f"/>
              <v:textbox inset="0mm,0mm,0mm,0mm" style="mso-fit-shape-to-text:t;">
                <w:txbxContent>
                  <w:p>
                    <w:pPr>
                      <w:tabs>
                        <w:tab w:val="center" w:pos="4153"/>
                        <w:tab w:val="right" w:pos="8306"/>
                      </w:tabs>
                    </w:pPr>
                    <w:r>
                      <w:fldChar w:fldCharType="begin"/>
                    </w:r>
                    <w:r>
                      <w:instrText xml:space="preserve"> PAGE  \* MERGEFORMAT </w:instrText>
                    </w:r>
                    <w:r>
                      <w:fldChar w:fldCharType="separate"/>
                    </w:r>
                    <w:r>
                      <w:t>- 132 -</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pPr>
                          <w:r>
                            <w:rPr>
                              <w:rFonts w:hint="eastAsia"/>
                            </w:rPr>
                            <w:fldChar w:fldCharType="begin"/>
                          </w:r>
                          <w:r>
                            <w:rPr>
                              <w:rFonts w:hint="eastAsia"/>
                            </w:rPr>
                            <w:instrText xml:space="preserve"> PAGE  \* MERGEFORMAT </w:instrText>
                          </w:r>
                          <w:r>
                            <w:rPr>
                              <w:rFonts w:hint="eastAsia"/>
                            </w:rPr>
                            <w:fldChar w:fldCharType="separate"/>
                          </w:r>
                          <w:r>
                            <w:t>192</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pPr>
                      <w:tabs>
                        <w:tab w:val="center" w:pos="4153"/>
                        <w:tab w:val="right" w:pos="8306"/>
                      </w:tabs>
                    </w:pPr>
                    <w:r>
                      <w:rPr>
                        <w:rFonts w:hint="eastAsia"/>
                      </w:rPr>
                      <w:fldChar w:fldCharType="begin"/>
                    </w:r>
                    <w:r>
                      <w:rPr>
                        <w:rFonts w:hint="eastAsia"/>
                      </w:rPr>
                      <w:instrText xml:space="preserve"> PAGE  \* MERGEFORMAT </w:instrText>
                    </w:r>
                    <w:r>
                      <w:rPr>
                        <w:rFonts w:hint="eastAsia"/>
                      </w:rPr>
                      <w:fldChar w:fldCharType="separate"/>
                    </w:r>
                    <w:r>
                      <w:t>192</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04" w:lineRule="auto"/>
      <w:ind w:firstLine="1535"/>
      <w:rPr>
        <w:rFonts w:ascii="宋体" w:hAnsi="宋体" w:cs="宋体"/>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5BEE73"/>
    <w:multiLevelType w:val="singleLevel"/>
    <w:tmpl w:val="875BEE73"/>
    <w:lvl w:ilvl="0" w:tentative="0">
      <w:start w:val="2"/>
      <w:numFmt w:val="decimal"/>
      <w:suff w:val="nothing"/>
      <w:lvlText w:val="（%1）"/>
      <w:lvlJc w:val="left"/>
    </w:lvl>
  </w:abstractNum>
  <w:abstractNum w:abstractNumId="1">
    <w:nsid w:val="A06798BE"/>
    <w:multiLevelType w:val="singleLevel"/>
    <w:tmpl w:val="A06798BE"/>
    <w:lvl w:ilvl="0" w:tentative="0">
      <w:start w:val="1"/>
      <w:numFmt w:val="upperLetter"/>
      <w:suff w:val="nothing"/>
      <w:lvlText w:val="%1、"/>
      <w:lvlJc w:val="left"/>
    </w:lvl>
  </w:abstractNum>
  <w:abstractNum w:abstractNumId="2">
    <w:nsid w:val="ACD13950"/>
    <w:multiLevelType w:val="multilevel"/>
    <w:tmpl w:val="ACD13950"/>
    <w:lvl w:ilvl="0" w:tentative="0">
      <w:start w:val="1"/>
      <w:numFmt w:val="chineseCounting"/>
      <w:pStyle w:val="3"/>
      <w:suff w:val="nothing"/>
      <w:lvlText w:val="%1、"/>
      <w:lvlJc w:val="left"/>
      <w:pPr>
        <w:tabs>
          <w:tab w:val="left" w:pos="420"/>
        </w:tabs>
        <w:ind w:left="432" w:hanging="432"/>
      </w:pPr>
      <w:rPr>
        <w:rFonts w:hint="eastAsia" w:ascii="Times New Roman" w:hAnsi="Times New Roman" w:eastAsia="黑体" w:cs="宋体"/>
        <w:b w:val="0"/>
        <w:bCs w:val="0"/>
        <w:sz w:val="30"/>
        <w:szCs w:val="32"/>
      </w:rPr>
    </w:lvl>
    <w:lvl w:ilvl="1" w:tentative="0">
      <w:start w:val="1"/>
      <w:numFmt w:val="decimal"/>
      <w:isLgl/>
      <w:suff w:val="space"/>
      <w:lvlText w:val="%2"/>
      <w:lvlJc w:val="left"/>
      <w:pPr>
        <w:tabs>
          <w:tab w:val="left" w:pos="420"/>
        </w:tabs>
        <w:ind w:left="0" w:firstLine="0"/>
      </w:pPr>
      <w:rPr>
        <w:rFonts w:hint="eastAsia" w:ascii="Times New Roman" w:hAnsi="Times New Roman" w:eastAsia="宋体" w:cs="宋体"/>
        <w:b/>
        <w:bCs/>
        <w:sz w:val="28"/>
        <w:szCs w:val="30"/>
      </w:rPr>
    </w:lvl>
    <w:lvl w:ilvl="2" w:tentative="0">
      <w:start w:val="1"/>
      <w:numFmt w:val="decimal"/>
      <w:pStyle w:val="5"/>
      <w:isLgl/>
      <w:suff w:val="space"/>
      <w:lvlText w:val="%2.%3"/>
      <w:lvlJc w:val="left"/>
      <w:pPr>
        <w:tabs>
          <w:tab w:val="left" w:pos="0"/>
        </w:tabs>
        <w:ind w:left="720" w:hanging="720"/>
      </w:pPr>
      <w:rPr>
        <w:rFonts w:hint="eastAsia" w:ascii="Times New Roman" w:hAnsi="Times New Roman" w:eastAsia="宋体" w:cs="宋体"/>
        <w:b/>
        <w:bCs w:val="0"/>
        <w:i w:val="0"/>
        <w:sz w:val="24"/>
        <w:szCs w:val="24"/>
      </w:rPr>
    </w:lvl>
    <w:lvl w:ilvl="3" w:tentative="0">
      <w:start w:val="1"/>
      <w:numFmt w:val="decimal"/>
      <w:pStyle w:val="6"/>
      <w:isLgl/>
      <w:suff w:val="space"/>
      <w:lvlText w:val="%2.%3.%4"/>
      <w:lvlJc w:val="left"/>
      <w:pPr>
        <w:tabs>
          <w:tab w:val="left" w:pos="0"/>
        </w:tabs>
        <w:ind w:left="3174" w:hanging="864"/>
      </w:pPr>
      <w:rPr>
        <w:rFonts w:hint="eastAsia" w:ascii="Times New Roman" w:hAnsi="Times New Roman" w:eastAsia="宋体" w:cs="宋体"/>
        <w:sz w:val="24"/>
        <w:szCs w:val="24"/>
      </w:rPr>
    </w:lvl>
    <w:lvl w:ilvl="4" w:tentative="0">
      <w:start w:val="1"/>
      <w:numFmt w:val="decimal"/>
      <w:isLgl/>
      <w:suff w:val="nothing"/>
      <w:lvlText w:val="   （%5）"/>
      <w:lvlJc w:val="left"/>
      <w:pPr>
        <w:tabs>
          <w:tab w:val="left" w:pos="420"/>
        </w:tabs>
        <w:ind w:left="0" w:firstLine="0"/>
      </w:pPr>
      <w:rPr>
        <w:rFonts w:hint="eastAsia" w:ascii="Times New Roman" w:hAnsi="Times New Roman" w:eastAsia="宋体" w:cs="宋体"/>
        <w:sz w:val="24"/>
        <w:szCs w:val="24"/>
      </w:rPr>
    </w:lvl>
    <w:lvl w:ilvl="5" w:tentative="0">
      <w:start w:val="1"/>
      <w:numFmt w:val="decimalEnclosedCircleChinese"/>
      <w:suff w:val="nothing"/>
      <w:lvlText w:val="%6"/>
      <w:lvlJc w:val="left"/>
      <w:pPr>
        <w:tabs>
          <w:tab w:val="left" w:pos="420"/>
        </w:tabs>
        <w:ind w:left="1151" w:hanging="1151"/>
      </w:pPr>
      <w:rPr>
        <w:rFonts w:hint="eastAsia" w:ascii="宋体" w:hAnsi="宋体" w:eastAsia="宋体" w:cs="宋体"/>
      </w:rPr>
    </w:lvl>
    <w:lvl w:ilvl="6" w:tentative="0">
      <w:start w:val="1"/>
      <w:numFmt w:val="upperLetter"/>
      <w:lvlText w:val="%7."/>
      <w:lvlJc w:val="left"/>
      <w:pPr>
        <w:tabs>
          <w:tab w:val="left" w:pos="420"/>
        </w:tabs>
        <w:ind w:left="1296" w:hanging="1296"/>
      </w:pPr>
      <w:rPr>
        <w:rFonts w:hint="eastAsia" w:ascii="Times New Roman" w:hAnsi="Times New Roman" w:eastAsia="宋体" w:cs="宋体"/>
      </w:rPr>
    </w:lvl>
    <w:lvl w:ilvl="7" w:tentative="0">
      <w:start w:val="1"/>
      <w:numFmt w:val="decimal"/>
      <w:lvlRestart w:val="0"/>
      <w:pStyle w:val="30"/>
      <w:isLgl/>
      <w:suff w:val="space"/>
      <w:lvlText w:val="表%8"/>
      <w:lvlJc w:val="left"/>
      <w:pPr>
        <w:tabs>
          <w:tab w:val="left" w:pos="0"/>
        </w:tabs>
        <w:ind w:left="3960" w:hanging="1440"/>
      </w:pPr>
      <w:rPr>
        <w:rFonts w:hint="default" w:ascii="Times New Roman" w:hAnsi="Times New Roman" w:eastAsia="宋体" w:cs="宋体"/>
        <w:highlight w:val="none"/>
      </w:rPr>
    </w:lvl>
    <w:lvl w:ilvl="8" w:tentative="0">
      <w:start w:val="1"/>
      <w:numFmt w:val="decimal"/>
      <w:lvlRestart w:val="0"/>
      <w:pStyle w:val="33"/>
      <w:isLgl/>
      <w:suff w:val="space"/>
      <w:lvlText w:val="图%9"/>
      <w:lvlJc w:val="left"/>
      <w:pPr>
        <w:tabs>
          <w:tab w:val="left" w:pos="0"/>
        </w:tabs>
        <w:ind w:left="1583" w:hanging="1583"/>
      </w:pPr>
      <w:rPr>
        <w:rFonts w:hint="default" w:ascii="Times New Roman" w:hAnsi="Times New Roman" w:eastAsia="宋体" w:cs="Times New Roman"/>
        <w:sz w:val="24"/>
        <w:szCs w:val="24"/>
      </w:rPr>
    </w:lvl>
  </w:abstractNum>
  <w:abstractNum w:abstractNumId="3">
    <w:nsid w:val="DB08DD5D"/>
    <w:multiLevelType w:val="singleLevel"/>
    <w:tmpl w:val="DB08DD5D"/>
    <w:lvl w:ilvl="0" w:tentative="0">
      <w:start w:val="1"/>
      <w:numFmt w:val="decimal"/>
      <w:suff w:val="nothing"/>
      <w:lvlText w:val="（%1）"/>
      <w:lvlJc w:val="left"/>
    </w:lvl>
  </w:abstractNum>
  <w:abstractNum w:abstractNumId="4">
    <w:nsid w:val="09A1AA14"/>
    <w:multiLevelType w:val="singleLevel"/>
    <w:tmpl w:val="09A1AA14"/>
    <w:lvl w:ilvl="0" w:tentative="0">
      <w:start w:val="4"/>
      <w:numFmt w:val="decimal"/>
      <w:suff w:val="nothing"/>
      <w:lvlText w:val="（%1）"/>
      <w:lvlJc w:val="left"/>
    </w:lvl>
  </w:abstractNum>
  <w:abstractNum w:abstractNumId="5">
    <w:nsid w:val="1CE5A3D3"/>
    <w:multiLevelType w:val="multilevel"/>
    <w:tmpl w:val="1CE5A3D3"/>
    <w:lvl w:ilvl="0" w:tentative="0">
      <w:start w:val="1"/>
      <w:numFmt w:val="chineseCounting"/>
      <w:suff w:val="space"/>
      <w:lvlText w:val="%1、"/>
      <w:lvlJc w:val="left"/>
      <w:pPr>
        <w:tabs>
          <w:tab w:val="left" w:pos="0"/>
        </w:tabs>
        <w:ind w:left="432" w:hanging="432"/>
      </w:pPr>
      <w:rPr>
        <w:rFonts w:hint="eastAsia" w:ascii="宋体" w:hAnsi="宋体" w:eastAsia="宋体" w:cs="宋体"/>
        <w:b/>
        <w:bCs/>
        <w:sz w:val="32"/>
        <w:szCs w:val="32"/>
      </w:rPr>
    </w:lvl>
    <w:lvl w:ilvl="1" w:tentative="0">
      <w:start w:val="1"/>
      <w:numFmt w:val="decimal"/>
      <w:isLgl/>
      <w:suff w:val="space"/>
      <w:lvlText w:val="%1.%2"/>
      <w:lvlJc w:val="left"/>
      <w:pPr>
        <w:tabs>
          <w:tab w:val="left" w:pos="0"/>
        </w:tabs>
        <w:ind w:left="0" w:firstLine="0"/>
      </w:pPr>
      <w:rPr>
        <w:rFonts w:hint="eastAsia" w:ascii="宋体" w:hAnsi="宋体" w:eastAsia="宋体" w:cs="宋体"/>
        <w:b/>
        <w:bCs/>
        <w:sz w:val="30"/>
        <w:szCs w:val="30"/>
      </w:rPr>
    </w:lvl>
    <w:lvl w:ilvl="2" w:tentative="0">
      <w:start w:val="1"/>
      <w:numFmt w:val="decimal"/>
      <w:isLgl/>
      <w:suff w:val="space"/>
      <w:lvlText w:val="%1.%2.%3"/>
      <w:lvlJc w:val="left"/>
      <w:pPr>
        <w:tabs>
          <w:tab w:val="left" w:pos="0"/>
        </w:tabs>
        <w:ind w:left="720" w:hanging="720"/>
      </w:pPr>
      <w:rPr>
        <w:rFonts w:hint="eastAsia" w:ascii="宋体" w:hAnsi="宋体" w:eastAsia="宋体" w:cs="宋体"/>
        <w:b/>
        <w:bCs/>
        <w:sz w:val="24"/>
        <w:szCs w:val="28"/>
      </w:rPr>
    </w:lvl>
    <w:lvl w:ilvl="3" w:tentative="0">
      <w:start w:val="1"/>
      <w:numFmt w:val="decimal"/>
      <w:isLgl/>
      <w:suff w:val="space"/>
      <w:lvlText w:val="%1.%2.%3.%4"/>
      <w:lvlJc w:val="left"/>
      <w:pPr>
        <w:tabs>
          <w:tab w:val="left" w:pos="420"/>
        </w:tabs>
        <w:ind w:left="864" w:hanging="864"/>
      </w:pPr>
      <w:rPr>
        <w:rFonts w:hint="eastAsia" w:ascii="宋体" w:hAnsi="宋体" w:eastAsia="宋体" w:cs="宋体"/>
        <w:sz w:val="24"/>
        <w:szCs w:val="24"/>
      </w:rPr>
    </w:lvl>
    <w:lvl w:ilvl="4" w:tentative="0">
      <w:start w:val="1"/>
      <w:numFmt w:val="decimal"/>
      <w:pStyle w:val="7"/>
      <w:isLgl/>
      <w:suff w:val="nothing"/>
      <w:lvlText w:val="（%5）"/>
      <w:lvlJc w:val="left"/>
      <w:pPr>
        <w:tabs>
          <w:tab w:val="left" w:pos="420"/>
        </w:tabs>
        <w:ind w:left="120" w:hanging="120"/>
      </w:pPr>
      <w:rPr>
        <w:rFonts w:hint="eastAsia" w:ascii="宋体" w:hAnsi="宋体" w:eastAsia="宋体" w:cs="宋体"/>
        <w:sz w:val="21"/>
        <w:szCs w:val="24"/>
      </w:rPr>
    </w:lvl>
    <w:lvl w:ilvl="5" w:tentative="0">
      <w:start w:val="1"/>
      <w:numFmt w:val="decimalEnclosedCircleChinese"/>
      <w:pStyle w:val="9"/>
      <w:suff w:val="nothing"/>
      <w:lvlText w:val="%6"/>
      <w:lvlJc w:val="left"/>
      <w:pPr>
        <w:tabs>
          <w:tab w:val="left" w:pos="0"/>
        </w:tabs>
        <w:ind w:left="1151" w:hanging="1151"/>
      </w:pPr>
      <w:rPr>
        <w:rFonts w:hint="eastAsia" w:ascii="宋体" w:hAnsi="宋体" w:eastAsia="宋体" w:cs="宋体"/>
        <w:sz w:val="24"/>
        <w:szCs w:val="24"/>
      </w:rPr>
    </w:lvl>
    <w:lvl w:ilvl="6" w:tentative="0">
      <w:start w:val="1"/>
      <w:numFmt w:val="upperLetter"/>
      <w:pStyle w:val="10"/>
      <w:lvlText w:val="%7."/>
      <w:lvlJc w:val="left"/>
      <w:pPr>
        <w:tabs>
          <w:tab w:val="left" w:pos="420"/>
        </w:tabs>
        <w:ind w:left="1296" w:hanging="1296"/>
      </w:pPr>
      <w:rPr>
        <w:rFonts w:hint="eastAsia" w:ascii="Times New Roman" w:hAnsi="Times New Roman" w:eastAsia="宋体" w:cs="楷体_GB2312"/>
      </w:rPr>
    </w:lvl>
    <w:lvl w:ilvl="7" w:tentative="0">
      <w:start w:val="1"/>
      <w:numFmt w:val="decimal"/>
      <w:lvlRestart w:val="2"/>
      <w:isLgl/>
      <w:suff w:val="space"/>
      <w:lvlText w:val="表%1.%2-%8"/>
      <w:lvlJc w:val="left"/>
      <w:pPr>
        <w:tabs>
          <w:tab w:val="left" w:pos="0"/>
        </w:tabs>
        <w:ind w:left="1440" w:hanging="1440"/>
      </w:pPr>
      <w:rPr>
        <w:rFonts w:hint="eastAsia" w:ascii="Times New Roman" w:hAnsi="Times New Roman" w:eastAsia="宋体" w:cs="楷体_GB2312"/>
      </w:rPr>
    </w:lvl>
    <w:lvl w:ilvl="8" w:tentative="0">
      <w:start w:val="1"/>
      <w:numFmt w:val="decimal"/>
      <w:lvlRestart w:val="2"/>
      <w:isLgl/>
      <w:suff w:val="space"/>
      <w:lvlText w:val="图%1.%2-%9"/>
      <w:lvlJc w:val="left"/>
      <w:pPr>
        <w:tabs>
          <w:tab w:val="left" w:pos="0"/>
        </w:tabs>
        <w:ind w:left="1583" w:hanging="1583"/>
      </w:pPr>
      <w:rPr>
        <w:rFonts w:hint="eastAsia" w:ascii="Times New Roman" w:hAnsi="Times New Roman" w:eastAsia="宋体" w:cs="宋体"/>
        <w:sz w:val="21"/>
      </w:rPr>
    </w:lvl>
  </w:abstractNum>
  <w:abstractNum w:abstractNumId="6">
    <w:nsid w:val="249E6DFA"/>
    <w:multiLevelType w:val="singleLevel"/>
    <w:tmpl w:val="249E6DFA"/>
    <w:lvl w:ilvl="0" w:tentative="0">
      <w:start w:val="1"/>
      <w:numFmt w:val="decimal"/>
      <w:suff w:val="nothing"/>
      <w:lvlText w:val="（%1）"/>
      <w:lvlJc w:val="left"/>
    </w:lvl>
  </w:abstractNum>
  <w:abstractNum w:abstractNumId="7">
    <w:nsid w:val="4DF763A1"/>
    <w:multiLevelType w:val="singleLevel"/>
    <w:tmpl w:val="4DF763A1"/>
    <w:lvl w:ilvl="0" w:tentative="0">
      <w:start w:val="1"/>
      <w:numFmt w:val="decimal"/>
      <w:suff w:val="nothing"/>
      <w:lvlText w:val="（%1）"/>
      <w:lvlJc w:val="left"/>
    </w:lvl>
  </w:abstractNum>
  <w:abstractNum w:abstractNumId="8">
    <w:nsid w:val="53C854EF"/>
    <w:multiLevelType w:val="singleLevel"/>
    <w:tmpl w:val="53C854EF"/>
    <w:lvl w:ilvl="0" w:tentative="0">
      <w:start w:val="1"/>
      <w:numFmt w:val="decimal"/>
      <w:suff w:val="nothing"/>
      <w:lvlText w:val="（%1）"/>
      <w:lvlJc w:val="left"/>
    </w:lvl>
  </w:abstractNum>
  <w:abstractNum w:abstractNumId="9">
    <w:nsid w:val="7719761F"/>
    <w:multiLevelType w:val="singleLevel"/>
    <w:tmpl w:val="7719761F"/>
    <w:lvl w:ilvl="0" w:tentative="0">
      <w:start w:val="1"/>
      <w:numFmt w:val="decimal"/>
      <w:suff w:val="nothing"/>
      <w:lvlText w:val="（%1）"/>
      <w:lvlJc w:val="left"/>
    </w:lvl>
  </w:abstractNum>
  <w:num w:numId="1">
    <w:abstractNumId w:val="2"/>
  </w:num>
  <w:num w:numId="2">
    <w:abstractNumId w:val="5"/>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8"/>
  </w:num>
  <w:num w:numId="7">
    <w:abstractNumId w:val="3"/>
  </w:num>
  <w:num w:numId="8">
    <w:abstractNumId w:val="0"/>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9"/>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num>
  <w:num w:numId="1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5"/>
  <w:displayBackgroundShape w:val="1"/>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210"/>
  <w:drawingGridVerticalSpacing w:val="-794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Q4MDAxMzU0MGQwZGU2ZGIxMzI5MmEyZGZiZWY5ZmEifQ=="/>
  </w:docVars>
  <w:rsids>
    <w:rsidRoot w:val="00172A27"/>
    <w:rsid w:val="00003113"/>
    <w:rsid w:val="000060B3"/>
    <w:rsid w:val="00014502"/>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4036"/>
    <w:rsid w:val="000D5A44"/>
    <w:rsid w:val="000E18F5"/>
    <w:rsid w:val="000E3ED2"/>
    <w:rsid w:val="00102CD5"/>
    <w:rsid w:val="00124D16"/>
    <w:rsid w:val="00131F42"/>
    <w:rsid w:val="001357F1"/>
    <w:rsid w:val="00140FA8"/>
    <w:rsid w:val="00142FEB"/>
    <w:rsid w:val="00143A2D"/>
    <w:rsid w:val="00145A41"/>
    <w:rsid w:val="00151675"/>
    <w:rsid w:val="00157435"/>
    <w:rsid w:val="00165D28"/>
    <w:rsid w:val="00172A27"/>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5378"/>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054C"/>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4B74"/>
    <w:rsid w:val="003E76A9"/>
    <w:rsid w:val="003F0809"/>
    <w:rsid w:val="003F6A8C"/>
    <w:rsid w:val="003F755C"/>
    <w:rsid w:val="00406F01"/>
    <w:rsid w:val="004143C6"/>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A563B"/>
    <w:rsid w:val="004E616D"/>
    <w:rsid w:val="004E6946"/>
    <w:rsid w:val="004F1AD8"/>
    <w:rsid w:val="005024C2"/>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77718"/>
    <w:rsid w:val="00594D77"/>
    <w:rsid w:val="005969E4"/>
    <w:rsid w:val="005A06B7"/>
    <w:rsid w:val="005A1759"/>
    <w:rsid w:val="005A68A7"/>
    <w:rsid w:val="005D36AB"/>
    <w:rsid w:val="005D7B04"/>
    <w:rsid w:val="00610597"/>
    <w:rsid w:val="00615EA1"/>
    <w:rsid w:val="00617CC3"/>
    <w:rsid w:val="006364FC"/>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20D1D"/>
    <w:rsid w:val="00732922"/>
    <w:rsid w:val="0075162E"/>
    <w:rsid w:val="00754034"/>
    <w:rsid w:val="00755DF0"/>
    <w:rsid w:val="00756556"/>
    <w:rsid w:val="007618C4"/>
    <w:rsid w:val="00767980"/>
    <w:rsid w:val="00770B19"/>
    <w:rsid w:val="0077463F"/>
    <w:rsid w:val="007756D0"/>
    <w:rsid w:val="007836EA"/>
    <w:rsid w:val="00784117"/>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6BCF"/>
    <w:rsid w:val="00817E9A"/>
    <w:rsid w:val="008306BD"/>
    <w:rsid w:val="00831A80"/>
    <w:rsid w:val="00833743"/>
    <w:rsid w:val="008340A4"/>
    <w:rsid w:val="008466CD"/>
    <w:rsid w:val="00847B53"/>
    <w:rsid w:val="008675C1"/>
    <w:rsid w:val="0087135F"/>
    <w:rsid w:val="00872D94"/>
    <w:rsid w:val="00880364"/>
    <w:rsid w:val="00891592"/>
    <w:rsid w:val="00891E9E"/>
    <w:rsid w:val="008A2F68"/>
    <w:rsid w:val="008B01E6"/>
    <w:rsid w:val="008B4FA6"/>
    <w:rsid w:val="008B50DB"/>
    <w:rsid w:val="008B5282"/>
    <w:rsid w:val="008B7C17"/>
    <w:rsid w:val="008C2D01"/>
    <w:rsid w:val="008C40E6"/>
    <w:rsid w:val="008D0F7A"/>
    <w:rsid w:val="008D254B"/>
    <w:rsid w:val="008D68E4"/>
    <w:rsid w:val="008E0128"/>
    <w:rsid w:val="008E0506"/>
    <w:rsid w:val="008E0CFF"/>
    <w:rsid w:val="008E5D6B"/>
    <w:rsid w:val="008E76F0"/>
    <w:rsid w:val="008F15FE"/>
    <w:rsid w:val="008F2D29"/>
    <w:rsid w:val="008F5187"/>
    <w:rsid w:val="008F60D8"/>
    <w:rsid w:val="00902727"/>
    <w:rsid w:val="0090312B"/>
    <w:rsid w:val="0091736D"/>
    <w:rsid w:val="009224FE"/>
    <w:rsid w:val="0093037A"/>
    <w:rsid w:val="0094154D"/>
    <w:rsid w:val="0095155F"/>
    <w:rsid w:val="00954429"/>
    <w:rsid w:val="009563CE"/>
    <w:rsid w:val="00976328"/>
    <w:rsid w:val="0097680D"/>
    <w:rsid w:val="00982438"/>
    <w:rsid w:val="0098404C"/>
    <w:rsid w:val="00985283"/>
    <w:rsid w:val="00993C95"/>
    <w:rsid w:val="00995992"/>
    <w:rsid w:val="009A03E5"/>
    <w:rsid w:val="009A0F3B"/>
    <w:rsid w:val="009A1BB4"/>
    <w:rsid w:val="009A2628"/>
    <w:rsid w:val="009A3200"/>
    <w:rsid w:val="009B0897"/>
    <w:rsid w:val="009B7BD9"/>
    <w:rsid w:val="009C7DD5"/>
    <w:rsid w:val="009D0EA3"/>
    <w:rsid w:val="009E227D"/>
    <w:rsid w:val="009E5019"/>
    <w:rsid w:val="00A04F1B"/>
    <w:rsid w:val="00A0501B"/>
    <w:rsid w:val="00A14947"/>
    <w:rsid w:val="00A16053"/>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D5792"/>
    <w:rsid w:val="00AF0CBF"/>
    <w:rsid w:val="00AF257F"/>
    <w:rsid w:val="00AF33CF"/>
    <w:rsid w:val="00AF4D50"/>
    <w:rsid w:val="00AF6179"/>
    <w:rsid w:val="00B1295A"/>
    <w:rsid w:val="00B170F2"/>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3682"/>
    <w:rsid w:val="00BD4596"/>
    <w:rsid w:val="00BE1405"/>
    <w:rsid w:val="00BE312D"/>
    <w:rsid w:val="00BF0087"/>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B1EB4"/>
    <w:rsid w:val="00CB5DEF"/>
    <w:rsid w:val="00CC3245"/>
    <w:rsid w:val="00CC489B"/>
    <w:rsid w:val="00CD2BCD"/>
    <w:rsid w:val="00CD3A4C"/>
    <w:rsid w:val="00CD6E1A"/>
    <w:rsid w:val="00CE10E9"/>
    <w:rsid w:val="00CE2910"/>
    <w:rsid w:val="00CE5393"/>
    <w:rsid w:val="00CF36BE"/>
    <w:rsid w:val="00CF6000"/>
    <w:rsid w:val="00D003F3"/>
    <w:rsid w:val="00D0364F"/>
    <w:rsid w:val="00D06834"/>
    <w:rsid w:val="00D308ED"/>
    <w:rsid w:val="00D3480E"/>
    <w:rsid w:val="00D36D86"/>
    <w:rsid w:val="00D428AA"/>
    <w:rsid w:val="00D50A34"/>
    <w:rsid w:val="00D53EFA"/>
    <w:rsid w:val="00D94A7C"/>
    <w:rsid w:val="00D95896"/>
    <w:rsid w:val="00DA7B99"/>
    <w:rsid w:val="00DB2983"/>
    <w:rsid w:val="00DC1257"/>
    <w:rsid w:val="00DC3DC0"/>
    <w:rsid w:val="00DC5A96"/>
    <w:rsid w:val="00DC5B2B"/>
    <w:rsid w:val="00DD318D"/>
    <w:rsid w:val="00DF2E12"/>
    <w:rsid w:val="00DF3269"/>
    <w:rsid w:val="00DF514A"/>
    <w:rsid w:val="00DF6690"/>
    <w:rsid w:val="00DF6804"/>
    <w:rsid w:val="00DF744C"/>
    <w:rsid w:val="00E0358D"/>
    <w:rsid w:val="00E04323"/>
    <w:rsid w:val="00E070A2"/>
    <w:rsid w:val="00E2656A"/>
    <w:rsid w:val="00E40E08"/>
    <w:rsid w:val="00E412D0"/>
    <w:rsid w:val="00E56322"/>
    <w:rsid w:val="00E60982"/>
    <w:rsid w:val="00E62C62"/>
    <w:rsid w:val="00E654C1"/>
    <w:rsid w:val="00E65D97"/>
    <w:rsid w:val="00E72A5A"/>
    <w:rsid w:val="00E73354"/>
    <w:rsid w:val="00E753BA"/>
    <w:rsid w:val="00E9242D"/>
    <w:rsid w:val="00EB5255"/>
    <w:rsid w:val="00EB5C47"/>
    <w:rsid w:val="00ED0639"/>
    <w:rsid w:val="00EE26E1"/>
    <w:rsid w:val="00EF4755"/>
    <w:rsid w:val="00EF7135"/>
    <w:rsid w:val="00F027DB"/>
    <w:rsid w:val="00F14A7A"/>
    <w:rsid w:val="00F22985"/>
    <w:rsid w:val="00F3383E"/>
    <w:rsid w:val="00F41E66"/>
    <w:rsid w:val="00F455A0"/>
    <w:rsid w:val="00F465A7"/>
    <w:rsid w:val="00F50B7C"/>
    <w:rsid w:val="00F550E6"/>
    <w:rsid w:val="00F72085"/>
    <w:rsid w:val="00F74345"/>
    <w:rsid w:val="00F80A0A"/>
    <w:rsid w:val="00F82B19"/>
    <w:rsid w:val="00F9212D"/>
    <w:rsid w:val="00F965DA"/>
    <w:rsid w:val="00FA00A3"/>
    <w:rsid w:val="00FA406A"/>
    <w:rsid w:val="00FB503A"/>
    <w:rsid w:val="00FB516C"/>
    <w:rsid w:val="00FD0236"/>
    <w:rsid w:val="00FD18F4"/>
    <w:rsid w:val="00FD54DB"/>
    <w:rsid w:val="00FD619F"/>
    <w:rsid w:val="010D797E"/>
    <w:rsid w:val="011A2159"/>
    <w:rsid w:val="011A24F4"/>
    <w:rsid w:val="012515C4"/>
    <w:rsid w:val="01290F7E"/>
    <w:rsid w:val="012D6713"/>
    <w:rsid w:val="01543C57"/>
    <w:rsid w:val="015C2727"/>
    <w:rsid w:val="015D1E09"/>
    <w:rsid w:val="016E1F8C"/>
    <w:rsid w:val="017A4110"/>
    <w:rsid w:val="01AC1E65"/>
    <w:rsid w:val="01AC75F0"/>
    <w:rsid w:val="01D63375"/>
    <w:rsid w:val="01DE010B"/>
    <w:rsid w:val="01DF15DF"/>
    <w:rsid w:val="01E86154"/>
    <w:rsid w:val="01ED62C2"/>
    <w:rsid w:val="01F1594A"/>
    <w:rsid w:val="01F3521E"/>
    <w:rsid w:val="01F64D0F"/>
    <w:rsid w:val="01FB180D"/>
    <w:rsid w:val="01FB3061"/>
    <w:rsid w:val="020F7B7E"/>
    <w:rsid w:val="02134FF2"/>
    <w:rsid w:val="022644D4"/>
    <w:rsid w:val="022C0F47"/>
    <w:rsid w:val="022C2E9B"/>
    <w:rsid w:val="022E3B75"/>
    <w:rsid w:val="0230687F"/>
    <w:rsid w:val="024912E2"/>
    <w:rsid w:val="02520FE2"/>
    <w:rsid w:val="025925AB"/>
    <w:rsid w:val="02697903"/>
    <w:rsid w:val="026B1259"/>
    <w:rsid w:val="026C6B78"/>
    <w:rsid w:val="026C6D7F"/>
    <w:rsid w:val="026E6F9B"/>
    <w:rsid w:val="0273635F"/>
    <w:rsid w:val="029A7D90"/>
    <w:rsid w:val="02A05595"/>
    <w:rsid w:val="02A767D1"/>
    <w:rsid w:val="02AE57EC"/>
    <w:rsid w:val="02CA613F"/>
    <w:rsid w:val="02D209E1"/>
    <w:rsid w:val="02E96336"/>
    <w:rsid w:val="02F0175E"/>
    <w:rsid w:val="02F96569"/>
    <w:rsid w:val="02FA082F"/>
    <w:rsid w:val="030E40F5"/>
    <w:rsid w:val="031F2043"/>
    <w:rsid w:val="0327669A"/>
    <w:rsid w:val="033469D1"/>
    <w:rsid w:val="03363FD7"/>
    <w:rsid w:val="034026E5"/>
    <w:rsid w:val="034A3845"/>
    <w:rsid w:val="03653EFA"/>
    <w:rsid w:val="03680BEA"/>
    <w:rsid w:val="036A7762"/>
    <w:rsid w:val="036D1B55"/>
    <w:rsid w:val="036F4D79"/>
    <w:rsid w:val="03795BF7"/>
    <w:rsid w:val="038C76D9"/>
    <w:rsid w:val="038F0F77"/>
    <w:rsid w:val="038F71C9"/>
    <w:rsid w:val="03A10CAA"/>
    <w:rsid w:val="03A67344"/>
    <w:rsid w:val="03B67FCA"/>
    <w:rsid w:val="03B83858"/>
    <w:rsid w:val="03D270B5"/>
    <w:rsid w:val="03E02FC4"/>
    <w:rsid w:val="03EA7B21"/>
    <w:rsid w:val="03FD4132"/>
    <w:rsid w:val="040305E5"/>
    <w:rsid w:val="04033DA1"/>
    <w:rsid w:val="0408706B"/>
    <w:rsid w:val="04096282"/>
    <w:rsid w:val="040E5A73"/>
    <w:rsid w:val="04135973"/>
    <w:rsid w:val="041B0C92"/>
    <w:rsid w:val="043B7C40"/>
    <w:rsid w:val="04404106"/>
    <w:rsid w:val="045D72C7"/>
    <w:rsid w:val="04635C6F"/>
    <w:rsid w:val="046D0A27"/>
    <w:rsid w:val="04926F71"/>
    <w:rsid w:val="04932CE9"/>
    <w:rsid w:val="04987BCD"/>
    <w:rsid w:val="04B30C95"/>
    <w:rsid w:val="04BA64C7"/>
    <w:rsid w:val="04C37ADC"/>
    <w:rsid w:val="04E864CC"/>
    <w:rsid w:val="05014EAF"/>
    <w:rsid w:val="05123C0E"/>
    <w:rsid w:val="0516101E"/>
    <w:rsid w:val="051623B9"/>
    <w:rsid w:val="05213B00"/>
    <w:rsid w:val="05281683"/>
    <w:rsid w:val="052F14D7"/>
    <w:rsid w:val="052F7BDE"/>
    <w:rsid w:val="053242B0"/>
    <w:rsid w:val="05344B81"/>
    <w:rsid w:val="054831BE"/>
    <w:rsid w:val="05491E30"/>
    <w:rsid w:val="05510789"/>
    <w:rsid w:val="05660618"/>
    <w:rsid w:val="056D7F8C"/>
    <w:rsid w:val="05883ED0"/>
    <w:rsid w:val="058B5273"/>
    <w:rsid w:val="05962A91"/>
    <w:rsid w:val="05A33817"/>
    <w:rsid w:val="05AA479A"/>
    <w:rsid w:val="05C0366A"/>
    <w:rsid w:val="05DC29A4"/>
    <w:rsid w:val="05DF5482"/>
    <w:rsid w:val="05E81FCA"/>
    <w:rsid w:val="05F83EAE"/>
    <w:rsid w:val="05FE4192"/>
    <w:rsid w:val="0602268B"/>
    <w:rsid w:val="061D6D0E"/>
    <w:rsid w:val="062110A6"/>
    <w:rsid w:val="06265907"/>
    <w:rsid w:val="06272084"/>
    <w:rsid w:val="062E4A77"/>
    <w:rsid w:val="06385D83"/>
    <w:rsid w:val="063E7D85"/>
    <w:rsid w:val="06471FDD"/>
    <w:rsid w:val="065169B7"/>
    <w:rsid w:val="06523C24"/>
    <w:rsid w:val="065C61C6"/>
    <w:rsid w:val="065D710A"/>
    <w:rsid w:val="066F0F41"/>
    <w:rsid w:val="067F5587"/>
    <w:rsid w:val="0683452A"/>
    <w:rsid w:val="06915006"/>
    <w:rsid w:val="06985F87"/>
    <w:rsid w:val="069D1BFD"/>
    <w:rsid w:val="06AB60C8"/>
    <w:rsid w:val="06BB1D77"/>
    <w:rsid w:val="06E20FAC"/>
    <w:rsid w:val="06FA704F"/>
    <w:rsid w:val="06FD0428"/>
    <w:rsid w:val="071422E0"/>
    <w:rsid w:val="07293586"/>
    <w:rsid w:val="07295285"/>
    <w:rsid w:val="072D08DE"/>
    <w:rsid w:val="072F103D"/>
    <w:rsid w:val="07350087"/>
    <w:rsid w:val="07351E35"/>
    <w:rsid w:val="07374F63"/>
    <w:rsid w:val="075229E7"/>
    <w:rsid w:val="075B5D40"/>
    <w:rsid w:val="075E313A"/>
    <w:rsid w:val="075F5104"/>
    <w:rsid w:val="07636392"/>
    <w:rsid w:val="076D5A73"/>
    <w:rsid w:val="07770C56"/>
    <w:rsid w:val="078132CC"/>
    <w:rsid w:val="07886409"/>
    <w:rsid w:val="079869DA"/>
    <w:rsid w:val="079A613C"/>
    <w:rsid w:val="079E06FB"/>
    <w:rsid w:val="079E23D5"/>
    <w:rsid w:val="07A67C50"/>
    <w:rsid w:val="07A82607"/>
    <w:rsid w:val="07AA276E"/>
    <w:rsid w:val="07AE6051"/>
    <w:rsid w:val="07C10101"/>
    <w:rsid w:val="07C427FA"/>
    <w:rsid w:val="07D01DC5"/>
    <w:rsid w:val="07D17DB0"/>
    <w:rsid w:val="07DA30EB"/>
    <w:rsid w:val="07E03F1B"/>
    <w:rsid w:val="07F81DAE"/>
    <w:rsid w:val="08002443"/>
    <w:rsid w:val="08117291"/>
    <w:rsid w:val="081A53D4"/>
    <w:rsid w:val="081B102B"/>
    <w:rsid w:val="0822164A"/>
    <w:rsid w:val="08275C22"/>
    <w:rsid w:val="082928EE"/>
    <w:rsid w:val="08321BB2"/>
    <w:rsid w:val="083D5445"/>
    <w:rsid w:val="084402CA"/>
    <w:rsid w:val="085675C2"/>
    <w:rsid w:val="085E2F15"/>
    <w:rsid w:val="08756A05"/>
    <w:rsid w:val="087E766B"/>
    <w:rsid w:val="089808CE"/>
    <w:rsid w:val="089D7C92"/>
    <w:rsid w:val="08A11B29"/>
    <w:rsid w:val="08A51D28"/>
    <w:rsid w:val="08A7135F"/>
    <w:rsid w:val="08B1181D"/>
    <w:rsid w:val="08C2120E"/>
    <w:rsid w:val="08D503AB"/>
    <w:rsid w:val="08DE5EB6"/>
    <w:rsid w:val="08E458C1"/>
    <w:rsid w:val="08F5187C"/>
    <w:rsid w:val="08F60A99"/>
    <w:rsid w:val="08FC6E3E"/>
    <w:rsid w:val="08FE77F2"/>
    <w:rsid w:val="092217DD"/>
    <w:rsid w:val="092E4D8E"/>
    <w:rsid w:val="093700E7"/>
    <w:rsid w:val="093A7294"/>
    <w:rsid w:val="093B4081"/>
    <w:rsid w:val="093F6F9B"/>
    <w:rsid w:val="094445B2"/>
    <w:rsid w:val="094B1DE4"/>
    <w:rsid w:val="096B4234"/>
    <w:rsid w:val="096F5AD2"/>
    <w:rsid w:val="09944F64"/>
    <w:rsid w:val="09984330"/>
    <w:rsid w:val="099A7FE1"/>
    <w:rsid w:val="09A01020"/>
    <w:rsid w:val="09A42B66"/>
    <w:rsid w:val="09AA0BA3"/>
    <w:rsid w:val="09B52A98"/>
    <w:rsid w:val="09D74D3A"/>
    <w:rsid w:val="09EA5159"/>
    <w:rsid w:val="0A0244D1"/>
    <w:rsid w:val="0A1D552E"/>
    <w:rsid w:val="0A1F4C3E"/>
    <w:rsid w:val="0A263993"/>
    <w:rsid w:val="0A274649"/>
    <w:rsid w:val="0A2D3AC2"/>
    <w:rsid w:val="0A33367C"/>
    <w:rsid w:val="0A397E8E"/>
    <w:rsid w:val="0A40121D"/>
    <w:rsid w:val="0A42742A"/>
    <w:rsid w:val="0A4400EE"/>
    <w:rsid w:val="0A4754A4"/>
    <w:rsid w:val="0A4B78E1"/>
    <w:rsid w:val="0A4E393A"/>
    <w:rsid w:val="0A7562E7"/>
    <w:rsid w:val="0A76201F"/>
    <w:rsid w:val="0A794631"/>
    <w:rsid w:val="0A7D421F"/>
    <w:rsid w:val="0A856C30"/>
    <w:rsid w:val="0A8C4462"/>
    <w:rsid w:val="0A954B60"/>
    <w:rsid w:val="0AA03A6A"/>
    <w:rsid w:val="0AA2252B"/>
    <w:rsid w:val="0AA572D2"/>
    <w:rsid w:val="0AA755DF"/>
    <w:rsid w:val="0AA8771B"/>
    <w:rsid w:val="0ABB08A3"/>
    <w:rsid w:val="0AD1311B"/>
    <w:rsid w:val="0ADE4261"/>
    <w:rsid w:val="0AEB73DB"/>
    <w:rsid w:val="0AFA1765"/>
    <w:rsid w:val="0AFA5870"/>
    <w:rsid w:val="0B0A15AD"/>
    <w:rsid w:val="0B120D44"/>
    <w:rsid w:val="0B177C5F"/>
    <w:rsid w:val="0B1C65EE"/>
    <w:rsid w:val="0B26422A"/>
    <w:rsid w:val="0B321943"/>
    <w:rsid w:val="0B3253D1"/>
    <w:rsid w:val="0B350656"/>
    <w:rsid w:val="0B36617C"/>
    <w:rsid w:val="0B3B0C24"/>
    <w:rsid w:val="0B46156B"/>
    <w:rsid w:val="0B505490"/>
    <w:rsid w:val="0B5617D0"/>
    <w:rsid w:val="0B5C264E"/>
    <w:rsid w:val="0B6C1151"/>
    <w:rsid w:val="0B76218D"/>
    <w:rsid w:val="0B7E4E0E"/>
    <w:rsid w:val="0B845139"/>
    <w:rsid w:val="0B8A316F"/>
    <w:rsid w:val="0B8A53C2"/>
    <w:rsid w:val="0B8C3FEE"/>
    <w:rsid w:val="0B8D7002"/>
    <w:rsid w:val="0BA80E28"/>
    <w:rsid w:val="0BB314CD"/>
    <w:rsid w:val="0BB84E4B"/>
    <w:rsid w:val="0BB91287"/>
    <w:rsid w:val="0BD0182C"/>
    <w:rsid w:val="0BD27BF6"/>
    <w:rsid w:val="0BD460C1"/>
    <w:rsid w:val="0BE22648"/>
    <w:rsid w:val="0BE24B51"/>
    <w:rsid w:val="0BE47415"/>
    <w:rsid w:val="0BE532AD"/>
    <w:rsid w:val="0BE61950"/>
    <w:rsid w:val="0BE61B28"/>
    <w:rsid w:val="0BF202F5"/>
    <w:rsid w:val="0C012C2E"/>
    <w:rsid w:val="0C104DEC"/>
    <w:rsid w:val="0C324B95"/>
    <w:rsid w:val="0C347D9F"/>
    <w:rsid w:val="0C370697"/>
    <w:rsid w:val="0C3B3C7D"/>
    <w:rsid w:val="0C41302A"/>
    <w:rsid w:val="0C42388B"/>
    <w:rsid w:val="0C465A73"/>
    <w:rsid w:val="0C5B5763"/>
    <w:rsid w:val="0C76085A"/>
    <w:rsid w:val="0C886EAB"/>
    <w:rsid w:val="0C8900B3"/>
    <w:rsid w:val="0C9358E9"/>
    <w:rsid w:val="0C947910"/>
    <w:rsid w:val="0CA85038"/>
    <w:rsid w:val="0CAB2EAE"/>
    <w:rsid w:val="0CAF2BD7"/>
    <w:rsid w:val="0CBB2DDD"/>
    <w:rsid w:val="0CBD657D"/>
    <w:rsid w:val="0CCA3020"/>
    <w:rsid w:val="0CD65E68"/>
    <w:rsid w:val="0CE20369"/>
    <w:rsid w:val="0CEA36C2"/>
    <w:rsid w:val="0CED3447"/>
    <w:rsid w:val="0CFB767D"/>
    <w:rsid w:val="0D004C0A"/>
    <w:rsid w:val="0D004C93"/>
    <w:rsid w:val="0D0A78C0"/>
    <w:rsid w:val="0D0B521A"/>
    <w:rsid w:val="0D1129FD"/>
    <w:rsid w:val="0D134AF2"/>
    <w:rsid w:val="0D15073F"/>
    <w:rsid w:val="0D160E41"/>
    <w:rsid w:val="0D183D8B"/>
    <w:rsid w:val="0D3338BC"/>
    <w:rsid w:val="0D3B1FDC"/>
    <w:rsid w:val="0D474670"/>
    <w:rsid w:val="0D4921AC"/>
    <w:rsid w:val="0D4C2100"/>
    <w:rsid w:val="0D4C612B"/>
    <w:rsid w:val="0D5C636E"/>
    <w:rsid w:val="0D6118E9"/>
    <w:rsid w:val="0D621C7D"/>
    <w:rsid w:val="0D6B4803"/>
    <w:rsid w:val="0D7579F8"/>
    <w:rsid w:val="0D7616FE"/>
    <w:rsid w:val="0D7731A8"/>
    <w:rsid w:val="0D7F02AE"/>
    <w:rsid w:val="0D8257DE"/>
    <w:rsid w:val="0D8A2C79"/>
    <w:rsid w:val="0D935CA8"/>
    <w:rsid w:val="0D9D2DE1"/>
    <w:rsid w:val="0DA25D4B"/>
    <w:rsid w:val="0DA770AD"/>
    <w:rsid w:val="0DBD2F0C"/>
    <w:rsid w:val="0DBF68FD"/>
    <w:rsid w:val="0DC14423"/>
    <w:rsid w:val="0DD73C46"/>
    <w:rsid w:val="0DDA1988"/>
    <w:rsid w:val="0DE545B5"/>
    <w:rsid w:val="0DF447F8"/>
    <w:rsid w:val="0E0E7879"/>
    <w:rsid w:val="0E2232E7"/>
    <w:rsid w:val="0E355127"/>
    <w:rsid w:val="0E3A41D5"/>
    <w:rsid w:val="0E3D1D40"/>
    <w:rsid w:val="0E3F61EA"/>
    <w:rsid w:val="0E4A4418"/>
    <w:rsid w:val="0E4D215A"/>
    <w:rsid w:val="0E540384"/>
    <w:rsid w:val="0E5E4367"/>
    <w:rsid w:val="0E72207A"/>
    <w:rsid w:val="0E73034D"/>
    <w:rsid w:val="0E7E74A1"/>
    <w:rsid w:val="0E8740A0"/>
    <w:rsid w:val="0E8E60D1"/>
    <w:rsid w:val="0E931FD4"/>
    <w:rsid w:val="0EA24254"/>
    <w:rsid w:val="0EAB2494"/>
    <w:rsid w:val="0EAC0C2F"/>
    <w:rsid w:val="0EAF24CD"/>
    <w:rsid w:val="0EB126E9"/>
    <w:rsid w:val="0EB145AC"/>
    <w:rsid w:val="0EBA3EC5"/>
    <w:rsid w:val="0EBB2191"/>
    <w:rsid w:val="0EBC0077"/>
    <w:rsid w:val="0EBC3B83"/>
    <w:rsid w:val="0EC3299F"/>
    <w:rsid w:val="0EC70897"/>
    <w:rsid w:val="0EC903CF"/>
    <w:rsid w:val="0ED95657"/>
    <w:rsid w:val="0EE3661B"/>
    <w:rsid w:val="0EF80318"/>
    <w:rsid w:val="0F0E09AD"/>
    <w:rsid w:val="0F13775A"/>
    <w:rsid w:val="0F1B3A30"/>
    <w:rsid w:val="0F1C3FB7"/>
    <w:rsid w:val="0F1C5C77"/>
    <w:rsid w:val="0F1F23E8"/>
    <w:rsid w:val="0F215EBA"/>
    <w:rsid w:val="0F31382A"/>
    <w:rsid w:val="0F3A57FA"/>
    <w:rsid w:val="0F3B6457"/>
    <w:rsid w:val="0F44530B"/>
    <w:rsid w:val="0F461537"/>
    <w:rsid w:val="0F4C2412"/>
    <w:rsid w:val="0F504E8E"/>
    <w:rsid w:val="0F52491F"/>
    <w:rsid w:val="0F527FE9"/>
    <w:rsid w:val="0F571727"/>
    <w:rsid w:val="0F5970BC"/>
    <w:rsid w:val="0F5F45FE"/>
    <w:rsid w:val="0F6349C9"/>
    <w:rsid w:val="0F6901C8"/>
    <w:rsid w:val="0F69741B"/>
    <w:rsid w:val="0F6E2388"/>
    <w:rsid w:val="0F814C14"/>
    <w:rsid w:val="0F847DFE"/>
    <w:rsid w:val="0F9658E5"/>
    <w:rsid w:val="0F9A112B"/>
    <w:rsid w:val="0F9D0EBF"/>
    <w:rsid w:val="0FA02F99"/>
    <w:rsid w:val="0FA27DC4"/>
    <w:rsid w:val="0FA638D0"/>
    <w:rsid w:val="0FC3709B"/>
    <w:rsid w:val="0FC43178"/>
    <w:rsid w:val="0FC63F72"/>
    <w:rsid w:val="0FC71A98"/>
    <w:rsid w:val="0FC95811"/>
    <w:rsid w:val="0FCA6AC6"/>
    <w:rsid w:val="0FD02849"/>
    <w:rsid w:val="0FDC5176"/>
    <w:rsid w:val="0FF24D67"/>
    <w:rsid w:val="0FF94348"/>
    <w:rsid w:val="100E4C32"/>
    <w:rsid w:val="100F779E"/>
    <w:rsid w:val="101271B8"/>
    <w:rsid w:val="1013728F"/>
    <w:rsid w:val="101F3682"/>
    <w:rsid w:val="102A1EA4"/>
    <w:rsid w:val="102D3FF1"/>
    <w:rsid w:val="103E61FE"/>
    <w:rsid w:val="104430E9"/>
    <w:rsid w:val="106D2F64"/>
    <w:rsid w:val="10701544"/>
    <w:rsid w:val="107318BE"/>
    <w:rsid w:val="10843981"/>
    <w:rsid w:val="108E7658"/>
    <w:rsid w:val="109B71AD"/>
    <w:rsid w:val="109E0A4B"/>
    <w:rsid w:val="109E6C9D"/>
    <w:rsid w:val="10A122E9"/>
    <w:rsid w:val="10A40643"/>
    <w:rsid w:val="10B568AB"/>
    <w:rsid w:val="10B63710"/>
    <w:rsid w:val="10C52184"/>
    <w:rsid w:val="10C771ED"/>
    <w:rsid w:val="10CD30DE"/>
    <w:rsid w:val="10CD7582"/>
    <w:rsid w:val="10CF32FA"/>
    <w:rsid w:val="10D34C5C"/>
    <w:rsid w:val="10D601E5"/>
    <w:rsid w:val="10DD1B89"/>
    <w:rsid w:val="10EA74A4"/>
    <w:rsid w:val="10F10820"/>
    <w:rsid w:val="10F45DEF"/>
    <w:rsid w:val="10F845FF"/>
    <w:rsid w:val="10FF7941"/>
    <w:rsid w:val="11074842"/>
    <w:rsid w:val="1109680C"/>
    <w:rsid w:val="110A634C"/>
    <w:rsid w:val="110B61A3"/>
    <w:rsid w:val="111B6540"/>
    <w:rsid w:val="111C2F7A"/>
    <w:rsid w:val="11220AF8"/>
    <w:rsid w:val="11286A2E"/>
    <w:rsid w:val="113F4DD1"/>
    <w:rsid w:val="11407D54"/>
    <w:rsid w:val="114317DE"/>
    <w:rsid w:val="114A6B2B"/>
    <w:rsid w:val="11561326"/>
    <w:rsid w:val="11573208"/>
    <w:rsid w:val="11592BC4"/>
    <w:rsid w:val="11665CA1"/>
    <w:rsid w:val="116C6D9B"/>
    <w:rsid w:val="1176519E"/>
    <w:rsid w:val="117B6FDE"/>
    <w:rsid w:val="117F262B"/>
    <w:rsid w:val="118A4764"/>
    <w:rsid w:val="1196667E"/>
    <w:rsid w:val="119A56B6"/>
    <w:rsid w:val="11A7090D"/>
    <w:rsid w:val="11C505EC"/>
    <w:rsid w:val="11E3705D"/>
    <w:rsid w:val="11FA6155"/>
    <w:rsid w:val="120C7C36"/>
    <w:rsid w:val="120D05DC"/>
    <w:rsid w:val="1211524D"/>
    <w:rsid w:val="121C62B6"/>
    <w:rsid w:val="12393037"/>
    <w:rsid w:val="12394ECF"/>
    <w:rsid w:val="123969CC"/>
    <w:rsid w:val="123C2592"/>
    <w:rsid w:val="12437AFC"/>
    <w:rsid w:val="12466BB6"/>
    <w:rsid w:val="1264347E"/>
    <w:rsid w:val="12695089"/>
    <w:rsid w:val="126D15E8"/>
    <w:rsid w:val="12745F08"/>
    <w:rsid w:val="127A3C2B"/>
    <w:rsid w:val="12887C05"/>
    <w:rsid w:val="12957C2C"/>
    <w:rsid w:val="12AB3C40"/>
    <w:rsid w:val="12B94EC3"/>
    <w:rsid w:val="12C30882"/>
    <w:rsid w:val="12C5043A"/>
    <w:rsid w:val="12C549B5"/>
    <w:rsid w:val="12CE2A94"/>
    <w:rsid w:val="12D10E79"/>
    <w:rsid w:val="12D44DD3"/>
    <w:rsid w:val="12D469A6"/>
    <w:rsid w:val="12DD1CFF"/>
    <w:rsid w:val="12E1131A"/>
    <w:rsid w:val="12E1725A"/>
    <w:rsid w:val="12E35F6B"/>
    <w:rsid w:val="13003800"/>
    <w:rsid w:val="13054DB2"/>
    <w:rsid w:val="1315436E"/>
    <w:rsid w:val="1328099F"/>
    <w:rsid w:val="132D5847"/>
    <w:rsid w:val="133236CD"/>
    <w:rsid w:val="13392CAD"/>
    <w:rsid w:val="13410AB9"/>
    <w:rsid w:val="1344477A"/>
    <w:rsid w:val="1345069E"/>
    <w:rsid w:val="13482EF0"/>
    <w:rsid w:val="135021CD"/>
    <w:rsid w:val="13557655"/>
    <w:rsid w:val="13721650"/>
    <w:rsid w:val="1375659A"/>
    <w:rsid w:val="137D2B9A"/>
    <w:rsid w:val="13833F28"/>
    <w:rsid w:val="13951726"/>
    <w:rsid w:val="139B5716"/>
    <w:rsid w:val="13AB37B4"/>
    <w:rsid w:val="13B25D6A"/>
    <w:rsid w:val="13B86E94"/>
    <w:rsid w:val="13BD743A"/>
    <w:rsid w:val="13C729FF"/>
    <w:rsid w:val="13C74CCB"/>
    <w:rsid w:val="13DA623E"/>
    <w:rsid w:val="13EC5F71"/>
    <w:rsid w:val="13ED44FF"/>
    <w:rsid w:val="13EE1CEA"/>
    <w:rsid w:val="141B23B3"/>
    <w:rsid w:val="14204812"/>
    <w:rsid w:val="142069A3"/>
    <w:rsid w:val="14215C1B"/>
    <w:rsid w:val="1425688C"/>
    <w:rsid w:val="14396509"/>
    <w:rsid w:val="14425B91"/>
    <w:rsid w:val="144813FA"/>
    <w:rsid w:val="144F4631"/>
    <w:rsid w:val="14504752"/>
    <w:rsid w:val="145A2EDB"/>
    <w:rsid w:val="145F48BF"/>
    <w:rsid w:val="14665D24"/>
    <w:rsid w:val="146855F8"/>
    <w:rsid w:val="146A2969"/>
    <w:rsid w:val="14834729"/>
    <w:rsid w:val="149C34F4"/>
    <w:rsid w:val="14AA1DA6"/>
    <w:rsid w:val="14AD4E8A"/>
    <w:rsid w:val="14BE346A"/>
    <w:rsid w:val="14DD2C3C"/>
    <w:rsid w:val="14DF59D1"/>
    <w:rsid w:val="14ED7D61"/>
    <w:rsid w:val="14EF5698"/>
    <w:rsid w:val="14FB2910"/>
    <w:rsid w:val="15095086"/>
    <w:rsid w:val="150D43F1"/>
    <w:rsid w:val="1517080A"/>
    <w:rsid w:val="151E347F"/>
    <w:rsid w:val="152063A5"/>
    <w:rsid w:val="15267261"/>
    <w:rsid w:val="153F7167"/>
    <w:rsid w:val="15604521"/>
    <w:rsid w:val="15645CE2"/>
    <w:rsid w:val="157C26EC"/>
    <w:rsid w:val="157E33F4"/>
    <w:rsid w:val="158E6FF2"/>
    <w:rsid w:val="159468C1"/>
    <w:rsid w:val="15A308B2"/>
    <w:rsid w:val="15AF4821"/>
    <w:rsid w:val="15BD7BC5"/>
    <w:rsid w:val="15BF77DE"/>
    <w:rsid w:val="15D11068"/>
    <w:rsid w:val="15DA35DD"/>
    <w:rsid w:val="15E211F7"/>
    <w:rsid w:val="15E433A4"/>
    <w:rsid w:val="15EC04AB"/>
    <w:rsid w:val="15EE286B"/>
    <w:rsid w:val="15EE7622"/>
    <w:rsid w:val="15F54366"/>
    <w:rsid w:val="15F86E50"/>
    <w:rsid w:val="16087E1D"/>
    <w:rsid w:val="16135A37"/>
    <w:rsid w:val="16157DE9"/>
    <w:rsid w:val="161B48EC"/>
    <w:rsid w:val="162714E3"/>
    <w:rsid w:val="16300397"/>
    <w:rsid w:val="16361726"/>
    <w:rsid w:val="163D4598"/>
    <w:rsid w:val="164452D0"/>
    <w:rsid w:val="164E6A70"/>
    <w:rsid w:val="164F5963"/>
    <w:rsid w:val="165837CB"/>
    <w:rsid w:val="165F6ECF"/>
    <w:rsid w:val="16770F7C"/>
    <w:rsid w:val="16787B3F"/>
    <w:rsid w:val="16832127"/>
    <w:rsid w:val="168A5C34"/>
    <w:rsid w:val="168D7E8C"/>
    <w:rsid w:val="1694494F"/>
    <w:rsid w:val="16A12A14"/>
    <w:rsid w:val="16A448E1"/>
    <w:rsid w:val="16B15B8F"/>
    <w:rsid w:val="16B52705"/>
    <w:rsid w:val="16B56AEF"/>
    <w:rsid w:val="16B8213B"/>
    <w:rsid w:val="16C74BD6"/>
    <w:rsid w:val="16D33724"/>
    <w:rsid w:val="16D55D26"/>
    <w:rsid w:val="16DB47A7"/>
    <w:rsid w:val="16E13775"/>
    <w:rsid w:val="16E318AE"/>
    <w:rsid w:val="16E3365C"/>
    <w:rsid w:val="16E42F30"/>
    <w:rsid w:val="16E81EA3"/>
    <w:rsid w:val="16EA2C3C"/>
    <w:rsid w:val="16ED6288"/>
    <w:rsid w:val="170B670F"/>
    <w:rsid w:val="170D448D"/>
    <w:rsid w:val="173369B9"/>
    <w:rsid w:val="1740285C"/>
    <w:rsid w:val="17407C35"/>
    <w:rsid w:val="17526AFC"/>
    <w:rsid w:val="17582680"/>
    <w:rsid w:val="175F7621"/>
    <w:rsid w:val="17681DB3"/>
    <w:rsid w:val="17701D14"/>
    <w:rsid w:val="177201DC"/>
    <w:rsid w:val="17726B6D"/>
    <w:rsid w:val="17735226"/>
    <w:rsid w:val="1776002C"/>
    <w:rsid w:val="17823B68"/>
    <w:rsid w:val="17884761"/>
    <w:rsid w:val="179E4FBA"/>
    <w:rsid w:val="17A50911"/>
    <w:rsid w:val="17AE5E35"/>
    <w:rsid w:val="17C04657"/>
    <w:rsid w:val="17C76AD9"/>
    <w:rsid w:val="17CA481C"/>
    <w:rsid w:val="17DF02C7"/>
    <w:rsid w:val="17E551B2"/>
    <w:rsid w:val="17E56F60"/>
    <w:rsid w:val="17EC4792"/>
    <w:rsid w:val="17EF7DDE"/>
    <w:rsid w:val="17F20716"/>
    <w:rsid w:val="180D729A"/>
    <w:rsid w:val="18237A0D"/>
    <w:rsid w:val="182614DC"/>
    <w:rsid w:val="18267CA4"/>
    <w:rsid w:val="18294A9A"/>
    <w:rsid w:val="18377B03"/>
    <w:rsid w:val="183C74C7"/>
    <w:rsid w:val="183F0D66"/>
    <w:rsid w:val="1840352F"/>
    <w:rsid w:val="184243B2"/>
    <w:rsid w:val="1851697A"/>
    <w:rsid w:val="185340A1"/>
    <w:rsid w:val="185A5EAF"/>
    <w:rsid w:val="186D58D3"/>
    <w:rsid w:val="18775286"/>
    <w:rsid w:val="187E2DE6"/>
    <w:rsid w:val="18850948"/>
    <w:rsid w:val="188E71FD"/>
    <w:rsid w:val="189F624C"/>
    <w:rsid w:val="18A40BC9"/>
    <w:rsid w:val="18B21538"/>
    <w:rsid w:val="18B674D8"/>
    <w:rsid w:val="18C0612C"/>
    <w:rsid w:val="18D426C3"/>
    <w:rsid w:val="18E01A43"/>
    <w:rsid w:val="18E23D7D"/>
    <w:rsid w:val="18E831AB"/>
    <w:rsid w:val="18E92A80"/>
    <w:rsid w:val="18F743B9"/>
    <w:rsid w:val="18FC4D43"/>
    <w:rsid w:val="1909120F"/>
    <w:rsid w:val="192B12EA"/>
    <w:rsid w:val="19346481"/>
    <w:rsid w:val="194128BC"/>
    <w:rsid w:val="19421233"/>
    <w:rsid w:val="19440029"/>
    <w:rsid w:val="19442E03"/>
    <w:rsid w:val="19445E70"/>
    <w:rsid w:val="194A79C2"/>
    <w:rsid w:val="195C3C3F"/>
    <w:rsid w:val="19680CE9"/>
    <w:rsid w:val="19687E48"/>
    <w:rsid w:val="198D18B3"/>
    <w:rsid w:val="19C5625D"/>
    <w:rsid w:val="19CC3E19"/>
    <w:rsid w:val="19D76D7C"/>
    <w:rsid w:val="19EF489F"/>
    <w:rsid w:val="19F16090"/>
    <w:rsid w:val="19FD3530"/>
    <w:rsid w:val="1A006F3B"/>
    <w:rsid w:val="1A18361C"/>
    <w:rsid w:val="1A1A2E0A"/>
    <w:rsid w:val="1A1C66C0"/>
    <w:rsid w:val="1A2C7B21"/>
    <w:rsid w:val="1A2F6BB8"/>
    <w:rsid w:val="1A300D5A"/>
    <w:rsid w:val="1A36607E"/>
    <w:rsid w:val="1A402B73"/>
    <w:rsid w:val="1A42393B"/>
    <w:rsid w:val="1A56468D"/>
    <w:rsid w:val="1A5C30F0"/>
    <w:rsid w:val="1A6467F8"/>
    <w:rsid w:val="1A8213DE"/>
    <w:rsid w:val="1A9609E5"/>
    <w:rsid w:val="1A9A6727"/>
    <w:rsid w:val="1AAD45DE"/>
    <w:rsid w:val="1AB66952"/>
    <w:rsid w:val="1ABD5F72"/>
    <w:rsid w:val="1AC30C61"/>
    <w:rsid w:val="1AC30F79"/>
    <w:rsid w:val="1AC32E5A"/>
    <w:rsid w:val="1ACE017F"/>
    <w:rsid w:val="1ADA6B24"/>
    <w:rsid w:val="1AE12257"/>
    <w:rsid w:val="1AFD2812"/>
    <w:rsid w:val="1B046F80"/>
    <w:rsid w:val="1B1778DC"/>
    <w:rsid w:val="1B245FF1"/>
    <w:rsid w:val="1B281F85"/>
    <w:rsid w:val="1B3267B5"/>
    <w:rsid w:val="1B3C50FB"/>
    <w:rsid w:val="1B40161D"/>
    <w:rsid w:val="1B414F46"/>
    <w:rsid w:val="1B441859"/>
    <w:rsid w:val="1B49791D"/>
    <w:rsid w:val="1B4B5485"/>
    <w:rsid w:val="1B6606B1"/>
    <w:rsid w:val="1B721452"/>
    <w:rsid w:val="1B737673"/>
    <w:rsid w:val="1B7E7F6F"/>
    <w:rsid w:val="1B881762"/>
    <w:rsid w:val="1B8E69F5"/>
    <w:rsid w:val="1B957D42"/>
    <w:rsid w:val="1B9A4C50"/>
    <w:rsid w:val="1B9A77FE"/>
    <w:rsid w:val="1BA11882"/>
    <w:rsid w:val="1BB112EE"/>
    <w:rsid w:val="1BBE1FA1"/>
    <w:rsid w:val="1BC03F6C"/>
    <w:rsid w:val="1BC62D04"/>
    <w:rsid w:val="1BE962BA"/>
    <w:rsid w:val="1BEF4851"/>
    <w:rsid w:val="1BF41E67"/>
    <w:rsid w:val="1BF445C6"/>
    <w:rsid w:val="1BF96BFB"/>
    <w:rsid w:val="1C0134EE"/>
    <w:rsid w:val="1C0227D6"/>
    <w:rsid w:val="1C362480"/>
    <w:rsid w:val="1C367C2C"/>
    <w:rsid w:val="1C3861F8"/>
    <w:rsid w:val="1C3B1844"/>
    <w:rsid w:val="1C435820"/>
    <w:rsid w:val="1C592CFF"/>
    <w:rsid w:val="1C5E7925"/>
    <w:rsid w:val="1C6E5776"/>
    <w:rsid w:val="1C71533D"/>
    <w:rsid w:val="1C751AA9"/>
    <w:rsid w:val="1C80345C"/>
    <w:rsid w:val="1C8A6328"/>
    <w:rsid w:val="1C91597F"/>
    <w:rsid w:val="1CA9437C"/>
    <w:rsid w:val="1CAE64BA"/>
    <w:rsid w:val="1CBE2D2C"/>
    <w:rsid w:val="1CC41839"/>
    <w:rsid w:val="1CC46403"/>
    <w:rsid w:val="1CCD3060"/>
    <w:rsid w:val="1CDC4D31"/>
    <w:rsid w:val="1CDD127F"/>
    <w:rsid w:val="1CDF75E5"/>
    <w:rsid w:val="1CE42B6E"/>
    <w:rsid w:val="1CEC226F"/>
    <w:rsid w:val="1CEC2B3E"/>
    <w:rsid w:val="1CED32CF"/>
    <w:rsid w:val="1CF74E44"/>
    <w:rsid w:val="1CFD070F"/>
    <w:rsid w:val="1CFF6AA9"/>
    <w:rsid w:val="1D28626C"/>
    <w:rsid w:val="1D326C0F"/>
    <w:rsid w:val="1D335D0B"/>
    <w:rsid w:val="1D412E8A"/>
    <w:rsid w:val="1D4338D0"/>
    <w:rsid w:val="1D5801D4"/>
    <w:rsid w:val="1D5A14D3"/>
    <w:rsid w:val="1D5F6196"/>
    <w:rsid w:val="1D6132A5"/>
    <w:rsid w:val="1D6359E5"/>
    <w:rsid w:val="1D666D95"/>
    <w:rsid w:val="1D721295"/>
    <w:rsid w:val="1D774AFE"/>
    <w:rsid w:val="1D7C0235"/>
    <w:rsid w:val="1D821737"/>
    <w:rsid w:val="1D880AB9"/>
    <w:rsid w:val="1D8E56D5"/>
    <w:rsid w:val="1DAA4ED3"/>
    <w:rsid w:val="1DAF6046"/>
    <w:rsid w:val="1DCB7CD3"/>
    <w:rsid w:val="1DD427B4"/>
    <w:rsid w:val="1DDB2D71"/>
    <w:rsid w:val="1DE71C83"/>
    <w:rsid w:val="1DFC0135"/>
    <w:rsid w:val="1E036392"/>
    <w:rsid w:val="1E042BCD"/>
    <w:rsid w:val="1E2527AC"/>
    <w:rsid w:val="1E30246C"/>
    <w:rsid w:val="1E343E4D"/>
    <w:rsid w:val="1E37769B"/>
    <w:rsid w:val="1E380731"/>
    <w:rsid w:val="1E454BFC"/>
    <w:rsid w:val="1E4558B7"/>
    <w:rsid w:val="1E5135A1"/>
    <w:rsid w:val="1E650E42"/>
    <w:rsid w:val="1E6738C6"/>
    <w:rsid w:val="1E721D6B"/>
    <w:rsid w:val="1E776230"/>
    <w:rsid w:val="1E7954E9"/>
    <w:rsid w:val="1E7A43DA"/>
    <w:rsid w:val="1E84024F"/>
    <w:rsid w:val="1E8438B3"/>
    <w:rsid w:val="1E92440A"/>
    <w:rsid w:val="1E95609F"/>
    <w:rsid w:val="1E961EEB"/>
    <w:rsid w:val="1EA71413"/>
    <w:rsid w:val="1EAA3C27"/>
    <w:rsid w:val="1EAC07D7"/>
    <w:rsid w:val="1EB04361"/>
    <w:rsid w:val="1EDF295B"/>
    <w:rsid w:val="1EE6018D"/>
    <w:rsid w:val="1EEC198E"/>
    <w:rsid w:val="1EF57975"/>
    <w:rsid w:val="1F38206B"/>
    <w:rsid w:val="1F505C31"/>
    <w:rsid w:val="1F5C3FAB"/>
    <w:rsid w:val="1F666BD8"/>
    <w:rsid w:val="1F810A2E"/>
    <w:rsid w:val="1F86727A"/>
    <w:rsid w:val="1F8A547E"/>
    <w:rsid w:val="1F8F4381"/>
    <w:rsid w:val="1F900F55"/>
    <w:rsid w:val="1FA1145E"/>
    <w:rsid w:val="1FD004F5"/>
    <w:rsid w:val="1FD46CA4"/>
    <w:rsid w:val="1FE7539E"/>
    <w:rsid w:val="1FEC0C4E"/>
    <w:rsid w:val="1FF02946"/>
    <w:rsid w:val="1FFA127D"/>
    <w:rsid w:val="20005D65"/>
    <w:rsid w:val="201C373B"/>
    <w:rsid w:val="2020147D"/>
    <w:rsid w:val="2031417C"/>
    <w:rsid w:val="2039253E"/>
    <w:rsid w:val="2048214B"/>
    <w:rsid w:val="204953F8"/>
    <w:rsid w:val="204A4566"/>
    <w:rsid w:val="204D5FEA"/>
    <w:rsid w:val="20575E20"/>
    <w:rsid w:val="20651585"/>
    <w:rsid w:val="20671BE0"/>
    <w:rsid w:val="20800CCA"/>
    <w:rsid w:val="208A70A0"/>
    <w:rsid w:val="208F3B0D"/>
    <w:rsid w:val="209475A3"/>
    <w:rsid w:val="20963CB8"/>
    <w:rsid w:val="209C6D3F"/>
    <w:rsid w:val="209D1F41"/>
    <w:rsid w:val="209E45AB"/>
    <w:rsid w:val="20A81A1B"/>
    <w:rsid w:val="20B07FB6"/>
    <w:rsid w:val="20B646FB"/>
    <w:rsid w:val="20CB79CD"/>
    <w:rsid w:val="20CF4C51"/>
    <w:rsid w:val="20D14525"/>
    <w:rsid w:val="20E66ECD"/>
    <w:rsid w:val="20F14BC7"/>
    <w:rsid w:val="210A1BFF"/>
    <w:rsid w:val="210C6D52"/>
    <w:rsid w:val="213571AA"/>
    <w:rsid w:val="213B74B1"/>
    <w:rsid w:val="21423675"/>
    <w:rsid w:val="214340ED"/>
    <w:rsid w:val="21521B0A"/>
    <w:rsid w:val="21576062"/>
    <w:rsid w:val="215A2310"/>
    <w:rsid w:val="21751004"/>
    <w:rsid w:val="21810B0D"/>
    <w:rsid w:val="21893052"/>
    <w:rsid w:val="21894E00"/>
    <w:rsid w:val="218E2416"/>
    <w:rsid w:val="21926DB7"/>
    <w:rsid w:val="2197751D"/>
    <w:rsid w:val="219A525F"/>
    <w:rsid w:val="219A700D"/>
    <w:rsid w:val="21A32365"/>
    <w:rsid w:val="21B7196D"/>
    <w:rsid w:val="21B75E11"/>
    <w:rsid w:val="21C35A33"/>
    <w:rsid w:val="21CF4F08"/>
    <w:rsid w:val="21DC5870"/>
    <w:rsid w:val="21DD6EFA"/>
    <w:rsid w:val="21DE318A"/>
    <w:rsid w:val="21EE1107"/>
    <w:rsid w:val="21EF5B80"/>
    <w:rsid w:val="21F05C44"/>
    <w:rsid w:val="21FF30B3"/>
    <w:rsid w:val="2208041A"/>
    <w:rsid w:val="220B3A67"/>
    <w:rsid w:val="220F17A9"/>
    <w:rsid w:val="221537D4"/>
    <w:rsid w:val="2217065D"/>
    <w:rsid w:val="222537E6"/>
    <w:rsid w:val="222F1E4B"/>
    <w:rsid w:val="222F2D19"/>
    <w:rsid w:val="22421B7E"/>
    <w:rsid w:val="225004C4"/>
    <w:rsid w:val="225336D8"/>
    <w:rsid w:val="22552F34"/>
    <w:rsid w:val="22576990"/>
    <w:rsid w:val="225E003A"/>
    <w:rsid w:val="225F5212"/>
    <w:rsid w:val="22665141"/>
    <w:rsid w:val="22717444"/>
    <w:rsid w:val="228D0C62"/>
    <w:rsid w:val="22925F36"/>
    <w:rsid w:val="22B36A63"/>
    <w:rsid w:val="22C14300"/>
    <w:rsid w:val="22C8397D"/>
    <w:rsid w:val="22CC0453"/>
    <w:rsid w:val="22D64009"/>
    <w:rsid w:val="22EE2F33"/>
    <w:rsid w:val="22F45A26"/>
    <w:rsid w:val="22F47480"/>
    <w:rsid w:val="23012161"/>
    <w:rsid w:val="232037E7"/>
    <w:rsid w:val="2322550C"/>
    <w:rsid w:val="2326029C"/>
    <w:rsid w:val="232A3240"/>
    <w:rsid w:val="232E01C8"/>
    <w:rsid w:val="23334310"/>
    <w:rsid w:val="233B2251"/>
    <w:rsid w:val="233F357F"/>
    <w:rsid w:val="23492A98"/>
    <w:rsid w:val="23582CDC"/>
    <w:rsid w:val="23603B94"/>
    <w:rsid w:val="23623B5A"/>
    <w:rsid w:val="23743B99"/>
    <w:rsid w:val="237C27B7"/>
    <w:rsid w:val="237C4C1C"/>
    <w:rsid w:val="23812232"/>
    <w:rsid w:val="23843AD1"/>
    <w:rsid w:val="23900F7D"/>
    <w:rsid w:val="23997960"/>
    <w:rsid w:val="239C1608"/>
    <w:rsid w:val="239F4096"/>
    <w:rsid w:val="23A2219B"/>
    <w:rsid w:val="23A67EEB"/>
    <w:rsid w:val="23B56380"/>
    <w:rsid w:val="23B628E3"/>
    <w:rsid w:val="23DE1C48"/>
    <w:rsid w:val="23E07A00"/>
    <w:rsid w:val="23E427C1"/>
    <w:rsid w:val="23FA1FE5"/>
    <w:rsid w:val="23FD637A"/>
    <w:rsid w:val="23FE1AD5"/>
    <w:rsid w:val="240036A6"/>
    <w:rsid w:val="240210CD"/>
    <w:rsid w:val="2409204C"/>
    <w:rsid w:val="24106DE4"/>
    <w:rsid w:val="24154794"/>
    <w:rsid w:val="241750B5"/>
    <w:rsid w:val="242478B3"/>
    <w:rsid w:val="243454F7"/>
    <w:rsid w:val="243B5370"/>
    <w:rsid w:val="24417249"/>
    <w:rsid w:val="24457704"/>
    <w:rsid w:val="24521E21"/>
    <w:rsid w:val="24534DF9"/>
    <w:rsid w:val="24536670"/>
    <w:rsid w:val="24615170"/>
    <w:rsid w:val="246B1A2C"/>
    <w:rsid w:val="2471674B"/>
    <w:rsid w:val="24741D97"/>
    <w:rsid w:val="24763D61"/>
    <w:rsid w:val="247C20CC"/>
    <w:rsid w:val="24992818"/>
    <w:rsid w:val="249B3580"/>
    <w:rsid w:val="24BF09F7"/>
    <w:rsid w:val="24C70119"/>
    <w:rsid w:val="24D97E4C"/>
    <w:rsid w:val="24E46F1D"/>
    <w:rsid w:val="24E707BB"/>
    <w:rsid w:val="24E757D2"/>
    <w:rsid w:val="24F133E8"/>
    <w:rsid w:val="24F430F9"/>
    <w:rsid w:val="24F5016F"/>
    <w:rsid w:val="24F92E6D"/>
    <w:rsid w:val="24FA6740"/>
    <w:rsid w:val="24FB4266"/>
    <w:rsid w:val="251436BE"/>
    <w:rsid w:val="251C71CF"/>
    <w:rsid w:val="251D291E"/>
    <w:rsid w:val="252D53FE"/>
    <w:rsid w:val="25393E1E"/>
    <w:rsid w:val="253A1753"/>
    <w:rsid w:val="2545489E"/>
    <w:rsid w:val="25461985"/>
    <w:rsid w:val="2587110B"/>
    <w:rsid w:val="258A0D66"/>
    <w:rsid w:val="259D0E77"/>
    <w:rsid w:val="25A7790D"/>
    <w:rsid w:val="25A91F14"/>
    <w:rsid w:val="25AB17E9"/>
    <w:rsid w:val="25B45309"/>
    <w:rsid w:val="25C30C44"/>
    <w:rsid w:val="25C800D2"/>
    <w:rsid w:val="25CD79B1"/>
    <w:rsid w:val="25CF1AA3"/>
    <w:rsid w:val="25D725DE"/>
    <w:rsid w:val="25D857E8"/>
    <w:rsid w:val="25DF376E"/>
    <w:rsid w:val="25E2126F"/>
    <w:rsid w:val="25E45D7F"/>
    <w:rsid w:val="25EC2D81"/>
    <w:rsid w:val="26046608"/>
    <w:rsid w:val="260B22B4"/>
    <w:rsid w:val="260B73DA"/>
    <w:rsid w:val="26180CED"/>
    <w:rsid w:val="261B349C"/>
    <w:rsid w:val="26215F4F"/>
    <w:rsid w:val="262727D3"/>
    <w:rsid w:val="26355FAB"/>
    <w:rsid w:val="266A3452"/>
    <w:rsid w:val="267E6EFD"/>
    <w:rsid w:val="268A2982"/>
    <w:rsid w:val="268F110A"/>
    <w:rsid w:val="268F48B7"/>
    <w:rsid w:val="2691110E"/>
    <w:rsid w:val="26954B52"/>
    <w:rsid w:val="26995AE5"/>
    <w:rsid w:val="269C7383"/>
    <w:rsid w:val="26B24C82"/>
    <w:rsid w:val="26B47F5C"/>
    <w:rsid w:val="26C17A18"/>
    <w:rsid w:val="26C35E64"/>
    <w:rsid w:val="26D72D6F"/>
    <w:rsid w:val="26D92385"/>
    <w:rsid w:val="26DE4B23"/>
    <w:rsid w:val="26DE799C"/>
    <w:rsid w:val="26E155BF"/>
    <w:rsid w:val="26EC030B"/>
    <w:rsid w:val="26ED7BDF"/>
    <w:rsid w:val="26F1147D"/>
    <w:rsid w:val="26FB054E"/>
    <w:rsid w:val="26FD42C6"/>
    <w:rsid w:val="270513CC"/>
    <w:rsid w:val="2706734A"/>
    <w:rsid w:val="27090D37"/>
    <w:rsid w:val="27127645"/>
    <w:rsid w:val="27127DE2"/>
    <w:rsid w:val="272F01F7"/>
    <w:rsid w:val="273677D8"/>
    <w:rsid w:val="2756136C"/>
    <w:rsid w:val="2758645F"/>
    <w:rsid w:val="275F0ADD"/>
    <w:rsid w:val="275F6D2E"/>
    <w:rsid w:val="27670866"/>
    <w:rsid w:val="277057A2"/>
    <w:rsid w:val="27710810"/>
    <w:rsid w:val="277976C4"/>
    <w:rsid w:val="277C0514"/>
    <w:rsid w:val="27803E9E"/>
    <w:rsid w:val="278748AF"/>
    <w:rsid w:val="278A18D2"/>
    <w:rsid w:val="27915A35"/>
    <w:rsid w:val="27983C8F"/>
    <w:rsid w:val="27A17C77"/>
    <w:rsid w:val="27A93721"/>
    <w:rsid w:val="27A97FAA"/>
    <w:rsid w:val="27AB71C2"/>
    <w:rsid w:val="27AE55C0"/>
    <w:rsid w:val="27AF6A5A"/>
    <w:rsid w:val="27AF7F81"/>
    <w:rsid w:val="27B8643F"/>
    <w:rsid w:val="27C728BB"/>
    <w:rsid w:val="27D43C48"/>
    <w:rsid w:val="27D5743B"/>
    <w:rsid w:val="27DA63B5"/>
    <w:rsid w:val="27E45486"/>
    <w:rsid w:val="27F679C7"/>
    <w:rsid w:val="28035025"/>
    <w:rsid w:val="281A0EA7"/>
    <w:rsid w:val="2829733C"/>
    <w:rsid w:val="282D57F7"/>
    <w:rsid w:val="28302479"/>
    <w:rsid w:val="283720F8"/>
    <w:rsid w:val="283D5CD3"/>
    <w:rsid w:val="284877C3"/>
    <w:rsid w:val="284E0B51"/>
    <w:rsid w:val="28545E7B"/>
    <w:rsid w:val="285B0DAF"/>
    <w:rsid w:val="285E6FE6"/>
    <w:rsid w:val="286544AE"/>
    <w:rsid w:val="28681C13"/>
    <w:rsid w:val="28687E65"/>
    <w:rsid w:val="286A5ACE"/>
    <w:rsid w:val="286D547B"/>
    <w:rsid w:val="28844573"/>
    <w:rsid w:val="289856DE"/>
    <w:rsid w:val="28A8200F"/>
    <w:rsid w:val="28B32244"/>
    <w:rsid w:val="28D44C9D"/>
    <w:rsid w:val="28D54769"/>
    <w:rsid w:val="28E53F79"/>
    <w:rsid w:val="28EA1A7B"/>
    <w:rsid w:val="28EB5D1F"/>
    <w:rsid w:val="28ED3DAD"/>
    <w:rsid w:val="28FD67FF"/>
    <w:rsid w:val="2906166E"/>
    <w:rsid w:val="290C4C94"/>
    <w:rsid w:val="291B6C85"/>
    <w:rsid w:val="291D3FD5"/>
    <w:rsid w:val="29206EB8"/>
    <w:rsid w:val="29302C04"/>
    <w:rsid w:val="29325D7D"/>
    <w:rsid w:val="29355407"/>
    <w:rsid w:val="29427C8D"/>
    <w:rsid w:val="294536AD"/>
    <w:rsid w:val="294D2BB7"/>
    <w:rsid w:val="295126A7"/>
    <w:rsid w:val="29552B8F"/>
    <w:rsid w:val="29595666"/>
    <w:rsid w:val="296249CA"/>
    <w:rsid w:val="2964062C"/>
    <w:rsid w:val="29657F00"/>
    <w:rsid w:val="2973261D"/>
    <w:rsid w:val="29787372"/>
    <w:rsid w:val="29874881"/>
    <w:rsid w:val="29964217"/>
    <w:rsid w:val="299D55CF"/>
    <w:rsid w:val="29A8082D"/>
    <w:rsid w:val="29AA0009"/>
    <w:rsid w:val="29B72C26"/>
    <w:rsid w:val="29B827CE"/>
    <w:rsid w:val="29C27101"/>
    <w:rsid w:val="29C30C90"/>
    <w:rsid w:val="29C95456"/>
    <w:rsid w:val="29E325E0"/>
    <w:rsid w:val="29FB2613"/>
    <w:rsid w:val="2A015840"/>
    <w:rsid w:val="2A0D0ECC"/>
    <w:rsid w:val="2A187926"/>
    <w:rsid w:val="2A297180"/>
    <w:rsid w:val="2A3824C7"/>
    <w:rsid w:val="2A4144C9"/>
    <w:rsid w:val="2A44045E"/>
    <w:rsid w:val="2A452503"/>
    <w:rsid w:val="2A6308E4"/>
    <w:rsid w:val="2A633EC8"/>
    <w:rsid w:val="2A6B7798"/>
    <w:rsid w:val="2A780484"/>
    <w:rsid w:val="2A7A3E7F"/>
    <w:rsid w:val="2A826DD5"/>
    <w:rsid w:val="2A8E413C"/>
    <w:rsid w:val="2A9711E3"/>
    <w:rsid w:val="2AA20617"/>
    <w:rsid w:val="2AAA76C0"/>
    <w:rsid w:val="2AAB2818"/>
    <w:rsid w:val="2AAB5DE7"/>
    <w:rsid w:val="2AAF3B29"/>
    <w:rsid w:val="2AAF5A11"/>
    <w:rsid w:val="2AB471C6"/>
    <w:rsid w:val="2AB7478C"/>
    <w:rsid w:val="2ABC1DA2"/>
    <w:rsid w:val="2ABE3496"/>
    <w:rsid w:val="2ABF0633"/>
    <w:rsid w:val="2AC04084"/>
    <w:rsid w:val="2AC168E4"/>
    <w:rsid w:val="2AD0584D"/>
    <w:rsid w:val="2AD44BB4"/>
    <w:rsid w:val="2ADA411F"/>
    <w:rsid w:val="2AF27EBA"/>
    <w:rsid w:val="2AF459E0"/>
    <w:rsid w:val="2AF62F4B"/>
    <w:rsid w:val="2AF91248"/>
    <w:rsid w:val="2AFA50E7"/>
    <w:rsid w:val="2AFC2AE6"/>
    <w:rsid w:val="2B0B6050"/>
    <w:rsid w:val="2B0D039D"/>
    <w:rsid w:val="2B141BDE"/>
    <w:rsid w:val="2B1C6D08"/>
    <w:rsid w:val="2B2A31B0"/>
    <w:rsid w:val="2B406E77"/>
    <w:rsid w:val="2B4A5600"/>
    <w:rsid w:val="2B4C173B"/>
    <w:rsid w:val="2B560404"/>
    <w:rsid w:val="2B591CE7"/>
    <w:rsid w:val="2B786611"/>
    <w:rsid w:val="2B7F223A"/>
    <w:rsid w:val="2B8D5DF0"/>
    <w:rsid w:val="2B912EA4"/>
    <w:rsid w:val="2BA547D2"/>
    <w:rsid w:val="2BA936A8"/>
    <w:rsid w:val="2BB313F7"/>
    <w:rsid w:val="2BBE1B4A"/>
    <w:rsid w:val="2BC53D32"/>
    <w:rsid w:val="2BC96E6C"/>
    <w:rsid w:val="2BCB00DF"/>
    <w:rsid w:val="2BCE6231"/>
    <w:rsid w:val="2BD8301C"/>
    <w:rsid w:val="2BE36D50"/>
    <w:rsid w:val="2BF043F9"/>
    <w:rsid w:val="2BFB2D9E"/>
    <w:rsid w:val="2C0B2FE1"/>
    <w:rsid w:val="2C1955F6"/>
    <w:rsid w:val="2C1A3E08"/>
    <w:rsid w:val="2C1C62CB"/>
    <w:rsid w:val="2C315A5A"/>
    <w:rsid w:val="2C364EF6"/>
    <w:rsid w:val="2C4464F3"/>
    <w:rsid w:val="2C4754C1"/>
    <w:rsid w:val="2C477D91"/>
    <w:rsid w:val="2C4B1C25"/>
    <w:rsid w:val="2C4C35F9"/>
    <w:rsid w:val="2C620039"/>
    <w:rsid w:val="2C69095F"/>
    <w:rsid w:val="2C6941AB"/>
    <w:rsid w:val="2C69776A"/>
    <w:rsid w:val="2C80730E"/>
    <w:rsid w:val="2C8617EF"/>
    <w:rsid w:val="2CBB5258"/>
    <w:rsid w:val="2CBF458F"/>
    <w:rsid w:val="2CC17C4B"/>
    <w:rsid w:val="2CC75A9B"/>
    <w:rsid w:val="2CCB6AD8"/>
    <w:rsid w:val="2CE61358"/>
    <w:rsid w:val="2CEA623F"/>
    <w:rsid w:val="2D047A30"/>
    <w:rsid w:val="2D1B54A6"/>
    <w:rsid w:val="2D1C4D7A"/>
    <w:rsid w:val="2D285E15"/>
    <w:rsid w:val="2D30119A"/>
    <w:rsid w:val="2D3C366E"/>
    <w:rsid w:val="2D407FDE"/>
    <w:rsid w:val="2D426ED6"/>
    <w:rsid w:val="2D4A0FCF"/>
    <w:rsid w:val="2D502C75"/>
    <w:rsid w:val="2D510EC7"/>
    <w:rsid w:val="2D594220"/>
    <w:rsid w:val="2D597D7C"/>
    <w:rsid w:val="2D636FC3"/>
    <w:rsid w:val="2D684463"/>
    <w:rsid w:val="2D6C0D7C"/>
    <w:rsid w:val="2D7E77E3"/>
    <w:rsid w:val="2D8079FF"/>
    <w:rsid w:val="2D8868B3"/>
    <w:rsid w:val="2D8F5209"/>
    <w:rsid w:val="2D915F04"/>
    <w:rsid w:val="2D9B4EB4"/>
    <w:rsid w:val="2D9E56F5"/>
    <w:rsid w:val="2DA1674D"/>
    <w:rsid w:val="2DA532B1"/>
    <w:rsid w:val="2DA74F8B"/>
    <w:rsid w:val="2DB87198"/>
    <w:rsid w:val="2DC25921"/>
    <w:rsid w:val="2DC523C1"/>
    <w:rsid w:val="2DC97E98"/>
    <w:rsid w:val="2DCD2FD2"/>
    <w:rsid w:val="2DD107CD"/>
    <w:rsid w:val="2DD92C6B"/>
    <w:rsid w:val="2DE6045A"/>
    <w:rsid w:val="2DEC6E42"/>
    <w:rsid w:val="2DF7080D"/>
    <w:rsid w:val="2DF750E5"/>
    <w:rsid w:val="2DFE661E"/>
    <w:rsid w:val="2DFF6B75"/>
    <w:rsid w:val="2E014236"/>
    <w:rsid w:val="2E0D65E9"/>
    <w:rsid w:val="2E266E72"/>
    <w:rsid w:val="2E2965DD"/>
    <w:rsid w:val="2E2E09AE"/>
    <w:rsid w:val="2E44688D"/>
    <w:rsid w:val="2E513149"/>
    <w:rsid w:val="2E6469D8"/>
    <w:rsid w:val="2E667F96"/>
    <w:rsid w:val="2E69421A"/>
    <w:rsid w:val="2E696F95"/>
    <w:rsid w:val="2E751D4B"/>
    <w:rsid w:val="2E782484"/>
    <w:rsid w:val="2E8226AB"/>
    <w:rsid w:val="2E8E614B"/>
    <w:rsid w:val="2E9B1469"/>
    <w:rsid w:val="2EA94D33"/>
    <w:rsid w:val="2EB57234"/>
    <w:rsid w:val="2EB73D3B"/>
    <w:rsid w:val="2EB91EB6"/>
    <w:rsid w:val="2EC04FA7"/>
    <w:rsid w:val="2EC7052A"/>
    <w:rsid w:val="2ED3590C"/>
    <w:rsid w:val="2EDA1800"/>
    <w:rsid w:val="2EDD5083"/>
    <w:rsid w:val="2EF064BE"/>
    <w:rsid w:val="2EF30047"/>
    <w:rsid w:val="2EF712E8"/>
    <w:rsid w:val="2EF76A64"/>
    <w:rsid w:val="2F0256A0"/>
    <w:rsid w:val="2F050FB6"/>
    <w:rsid w:val="2F0D3DD9"/>
    <w:rsid w:val="2F106B60"/>
    <w:rsid w:val="2F154177"/>
    <w:rsid w:val="2F273027"/>
    <w:rsid w:val="2F2C0104"/>
    <w:rsid w:val="2F3B1534"/>
    <w:rsid w:val="2F3C597F"/>
    <w:rsid w:val="2F3F27D7"/>
    <w:rsid w:val="2F413EBE"/>
    <w:rsid w:val="2F4154E4"/>
    <w:rsid w:val="2F522CD5"/>
    <w:rsid w:val="2F673929"/>
    <w:rsid w:val="2F6F12F6"/>
    <w:rsid w:val="2F6F1E64"/>
    <w:rsid w:val="2F866E22"/>
    <w:rsid w:val="2F950B5C"/>
    <w:rsid w:val="2FA774C5"/>
    <w:rsid w:val="2FAD7704"/>
    <w:rsid w:val="2FAF0127"/>
    <w:rsid w:val="2FBC1EE1"/>
    <w:rsid w:val="2FBE7CB1"/>
    <w:rsid w:val="2FD065E6"/>
    <w:rsid w:val="2FD73C79"/>
    <w:rsid w:val="2FD96870"/>
    <w:rsid w:val="2FDC6A42"/>
    <w:rsid w:val="2FDE4AAA"/>
    <w:rsid w:val="2FE34275"/>
    <w:rsid w:val="2FE62CCE"/>
    <w:rsid w:val="2FFB15BE"/>
    <w:rsid w:val="300706AB"/>
    <w:rsid w:val="300A3A13"/>
    <w:rsid w:val="30234671"/>
    <w:rsid w:val="30246D65"/>
    <w:rsid w:val="30297EDA"/>
    <w:rsid w:val="30317E0B"/>
    <w:rsid w:val="303B19BB"/>
    <w:rsid w:val="30567DCD"/>
    <w:rsid w:val="30580BC9"/>
    <w:rsid w:val="306233EC"/>
    <w:rsid w:val="3067098F"/>
    <w:rsid w:val="30873653"/>
    <w:rsid w:val="308A649E"/>
    <w:rsid w:val="30907F59"/>
    <w:rsid w:val="30A8101C"/>
    <w:rsid w:val="30AC3E4A"/>
    <w:rsid w:val="30AE216C"/>
    <w:rsid w:val="30AE3AAE"/>
    <w:rsid w:val="30B31B89"/>
    <w:rsid w:val="30BF48AE"/>
    <w:rsid w:val="30C47C02"/>
    <w:rsid w:val="30C85944"/>
    <w:rsid w:val="30F12B1F"/>
    <w:rsid w:val="30FB6416"/>
    <w:rsid w:val="31126BC0"/>
    <w:rsid w:val="31177DF5"/>
    <w:rsid w:val="311C7ECD"/>
    <w:rsid w:val="311E2ED7"/>
    <w:rsid w:val="31244B45"/>
    <w:rsid w:val="312A215B"/>
    <w:rsid w:val="31374878"/>
    <w:rsid w:val="313A113F"/>
    <w:rsid w:val="313F54DB"/>
    <w:rsid w:val="314058C8"/>
    <w:rsid w:val="31442AF1"/>
    <w:rsid w:val="31556AAC"/>
    <w:rsid w:val="315619EE"/>
    <w:rsid w:val="315A0F54"/>
    <w:rsid w:val="315C449C"/>
    <w:rsid w:val="316D2048"/>
    <w:rsid w:val="317038E6"/>
    <w:rsid w:val="317258B0"/>
    <w:rsid w:val="317F24AF"/>
    <w:rsid w:val="318F2647"/>
    <w:rsid w:val="318F7141"/>
    <w:rsid w:val="3195334D"/>
    <w:rsid w:val="319B6BB5"/>
    <w:rsid w:val="319C0B7F"/>
    <w:rsid w:val="31A0508F"/>
    <w:rsid w:val="31A14D1F"/>
    <w:rsid w:val="31A27FE1"/>
    <w:rsid w:val="31A517E2"/>
    <w:rsid w:val="31AF0F87"/>
    <w:rsid w:val="31B22151"/>
    <w:rsid w:val="31B5748C"/>
    <w:rsid w:val="31B82709"/>
    <w:rsid w:val="31B948D5"/>
    <w:rsid w:val="31BE5B76"/>
    <w:rsid w:val="31BF7929"/>
    <w:rsid w:val="31BF7E9C"/>
    <w:rsid w:val="31C84FFD"/>
    <w:rsid w:val="31CB6D6E"/>
    <w:rsid w:val="31D05482"/>
    <w:rsid w:val="31D10829"/>
    <w:rsid w:val="31D21ED3"/>
    <w:rsid w:val="31D9592F"/>
    <w:rsid w:val="31D976DD"/>
    <w:rsid w:val="31E22A36"/>
    <w:rsid w:val="31EF6F01"/>
    <w:rsid w:val="31F133B5"/>
    <w:rsid w:val="32004C6A"/>
    <w:rsid w:val="32075FF9"/>
    <w:rsid w:val="321150C9"/>
    <w:rsid w:val="32192990"/>
    <w:rsid w:val="321B5F48"/>
    <w:rsid w:val="3220355E"/>
    <w:rsid w:val="322B6039"/>
    <w:rsid w:val="322C3CB1"/>
    <w:rsid w:val="323112C7"/>
    <w:rsid w:val="32400B34"/>
    <w:rsid w:val="32431B78"/>
    <w:rsid w:val="32544FB6"/>
    <w:rsid w:val="32577D46"/>
    <w:rsid w:val="325E7967"/>
    <w:rsid w:val="32655415"/>
    <w:rsid w:val="327A2C6E"/>
    <w:rsid w:val="328A1C4C"/>
    <w:rsid w:val="328A2056"/>
    <w:rsid w:val="32942864"/>
    <w:rsid w:val="32963820"/>
    <w:rsid w:val="329756DB"/>
    <w:rsid w:val="329B4993"/>
    <w:rsid w:val="329E6876"/>
    <w:rsid w:val="32A8749F"/>
    <w:rsid w:val="32B32B85"/>
    <w:rsid w:val="32B75237"/>
    <w:rsid w:val="32C73060"/>
    <w:rsid w:val="32CF44DA"/>
    <w:rsid w:val="32D85BE7"/>
    <w:rsid w:val="32DA195F"/>
    <w:rsid w:val="32DB1233"/>
    <w:rsid w:val="32DF6F75"/>
    <w:rsid w:val="32FB2FA6"/>
    <w:rsid w:val="3307027A"/>
    <w:rsid w:val="33114AAD"/>
    <w:rsid w:val="331F7E2B"/>
    <w:rsid w:val="333015F2"/>
    <w:rsid w:val="333948D8"/>
    <w:rsid w:val="333B55CC"/>
    <w:rsid w:val="3340497E"/>
    <w:rsid w:val="334B6320"/>
    <w:rsid w:val="335222DF"/>
    <w:rsid w:val="335334BF"/>
    <w:rsid w:val="335B711A"/>
    <w:rsid w:val="336D3602"/>
    <w:rsid w:val="33743B62"/>
    <w:rsid w:val="337A6C9E"/>
    <w:rsid w:val="337C6572"/>
    <w:rsid w:val="33885621"/>
    <w:rsid w:val="338A4B16"/>
    <w:rsid w:val="338A5133"/>
    <w:rsid w:val="33992DB8"/>
    <w:rsid w:val="339B13BF"/>
    <w:rsid w:val="33AC13D0"/>
    <w:rsid w:val="33B72F85"/>
    <w:rsid w:val="33C3132F"/>
    <w:rsid w:val="33C87A09"/>
    <w:rsid w:val="33C94351"/>
    <w:rsid w:val="33CB12A8"/>
    <w:rsid w:val="33CB5519"/>
    <w:rsid w:val="33D54B27"/>
    <w:rsid w:val="33D8257C"/>
    <w:rsid w:val="33D934D4"/>
    <w:rsid w:val="33D95F1C"/>
    <w:rsid w:val="33E965FF"/>
    <w:rsid w:val="33EA5BD2"/>
    <w:rsid w:val="33FE2F6A"/>
    <w:rsid w:val="340E07E5"/>
    <w:rsid w:val="341B5471"/>
    <w:rsid w:val="34235BF7"/>
    <w:rsid w:val="34384B8F"/>
    <w:rsid w:val="3445105A"/>
    <w:rsid w:val="3448309F"/>
    <w:rsid w:val="3459059E"/>
    <w:rsid w:val="34633865"/>
    <w:rsid w:val="346B6B21"/>
    <w:rsid w:val="34757B91"/>
    <w:rsid w:val="34772FF0"/>
    <w:rsid w:val="348E0634"/>
    <w:rsid w:val="349F1A1E"/>
    <w:rsid w:val="34AE30A3"/>
    <w:rsid w:val="34BD32E6"/>
    <w:rsid w:val="34D348B8"/>
    <w:rsid w:val="34DA1D12"/>
    <w:rsid w:val="34E55763"/>
    <w:rsid w:val="34F24439"/>
    <w:rsid w:val="351667B5"/>
    <w:rsid w:val="351A0CDF"/>
    <w:rsid w:val="35205ECD"/>
    <w:rsid w:val="353C245D"/>
    <w:rsid w:val="355030F7"/>
    <w:rsid w:val="355E6877"/>
    <w:rsid w:val="355F7EFA"/>
    <w:rsid w:val="356C7F43"/>
    <w:rsid w:val="35700D38"/>
    <w:rsid w:val="35773495"/>
    <w:rsid w:val="357A4053"/>
    <w:rsid w:val="357A69D2"/>
    <w:rsid w:val="35847960"/>
    <w:rsid w:val="358C5FA8"/>
    <w:rsid w:val="35B77D36"/>
    <w:rsid w:val="35B8363B"/>
    <w:rsid w:val="35BA63B1"/>
    <w:rsid w:val="35BC47B9"/>
    <w:rsid w:val="35BC5D36"/>
    <w:rsid w:val="35C15DF1"/>
    <w:rsid w:val="35C720CE"/>
    <w:rsid w:val="35CA5CBB"/>
    <w:rsid w:val="35D3363B"/>
    <w:rsid w:val="35D42696"/>
    <w:rsid w:val="35E623C9"/>
    <w:rsid w:val="35E82609"/>
    <w:rsid w:val="35F819BD"/>
    <w:rsid w:val="35F9034E"/>
    <w:rsid w:val="36074A7F"/>
    <w:rsid w:val="3608233F"/>
    <w:rsid w:val="3616481B"/>
    <w:rsid w:val="36276A89"/>
    <w:rsid w:val="362B2A1F"/>
    <w:rsid w:val="362F1FC2"/>
    <w:rsid w:val="364414B7"/>
    <w:rsid w:val="36452627"/>
    <w:rsid w:val="36452BA8"/>
    <w:rsid w:val="364F7F6E"/>
    <w:rsid w:val="367C2002"/>
    <w:rsid w:val="36804D5B"/>
    <w:rsid w:val="36804DC1"/>
    <w:rsid w:val="36873BAC"/>
    <w:rsid w:val="368816D2"/>
    <w:rsid w:val="368E7538"/>
    <w:rsid w:val="36923549"/>
    <w:rsid w:val="369915A3"/>
    <w:rsid w:val="369D517D"/>
    <w:rsid w:val="36A46A6D"/>
    <w:rsid w:val="36AA01BB"/>
    <w:rsid w:val="36B75FBF"/>
    <w:rsid w:val="36BD0C45"/>
    <w:rsid w:val="36C66189"/>
    <w:rsid w:val="36E52680"/>
    <w:rsid w:val="36EF2223"/>
    <w:rsid w:val="370A1CBE"/>
    <w:rsid w:val="371754F7"/>
    <w:rsid w:val="37182A56"/>
    <w:rsid w:val="371B3D91"/>
    <w:rsid w:val="371F60C8"/>
    <w:rsid w:val="373360C5"/>
    <w:rsid w:val="373F708B"/>
    <w:rsid w:val="374304C2"/>
    <w:rsid w:val="3748151D"/>
    <w:rsid w:val="374B2E2B"/>
    <w:rsid w:val="37555075"/>
    <w:rsid w:val="37606F78"/>
    <w:rsid w:val="376D0FF4"/>
    <w:rsid w:val="3772660A"/>
    <w:rsid w:val="377A54BF"/>
    <w:rsid w:val="377C1237"/>
    <w:rsid w:val="37890A3B"/>
    <w:rsid w:val="3789574D"/>
    <w:rsid w:val="379B16D9"/>
    <w:rsid w:val="37BF2ED1"/>
    <w:rsid w:val="37DC1CD5"/>
    <w:rsid w:val="37E00298"/>
    <w:rsid w:val="37FD3B73"/>
    <w:rsid w:val="38024D48"/>
    <w:rsid w:val="380B4282"/>
    <w:rsid w:val="380D6333"/>
    <w:rsid w:val="380F5C07"/>
    <w:rsid w:val="38156E1D"/>
    <w:rsid w:val="382D42DF"/>
    <w:rsid w:val="3838395F"/>
    <w:rsid w:val="384466AD"/>
    <w:rsid w:val="38474536"/>
    <w:rsid w:val="38547ABE"/>
    <w:rsid w:val="385B04BF"/>
    <w:rsid w:val="385B0E4C"/>
    <w:rsid w:val="38685317"/>
    <w:rsid w:val="386D5023"/>
    <w:rsid w:val="38850B1F"/>
    <w:rsid w:val="38852D62"/>
    <w:rsid w:val="3895207A"/>
    <w:rsid w:val="389F4DD5"/>
    <w:rsid w:val="38A13531"/>
    <w:rsid w:val="38AD71CE"/>
    <w:rsid w:val="38B302F9"/>
    <w:rsid w:val="38B95B73"/>
    <w:rsid w:val="38C5491B"/>
    <w:rsid w:val="38C904AC"/>
    <w:rsid w:val="38D155B2"/>
    <w:rsid w:val="38DE55D9"/>
    <w:rsid w:val="38F022F8"/>
    <w:rsid w:val="38F12CD3"/>
    <w:rsid w:val="38F1355F"/>
    <w:rsid w:val="38F94775"/>
    <w:rsid w:val="39162FC5"/>
    <w:rsid w:val="391C4200"/>
    <w:rsid w:val="39273424"/>
    <w:rsid w:val="392971ED"/>
    <w:rsid w:val="39311774"/>
    <w:rsid w:val="39325651"/>
    <w:rsid w:val="3935374A"/>
    <w:rsid w:val="3939368B"/>
    <w:rsid w:val="39494D8C"/>
    <w:rsid w:val="396446BF"/>
    <w:rsid w:val="39691347"/>
    <w:rsid w:val="39745BCE"/>
    <w:rsid w:val="397D4DF2"/>
    <w:rsid w:val="398306E1"/>
    <w:rsid w:val="398475C6"/>
    <w:rsid w:val="39916AF0"/>
    <w:rsid w:val="39965BC1"/>
    <w:rsid w:val="39A02A01"/>
    <w:rsid w:val="39A607ED"/>
    <w:rsid w:val="39A84565"/>
    <w:rsid w:val="39C46EC5"/>
    <w:rsid w:val="39D23390"/>
    <w:rsid w:val="39DC77A4"/>
    <w:rsid w:val="39DF5AAD"/>
    <w:rsid w:val="39EE487A"/>
    <w:rsid w:val="3A00614F"/>
    <w:rsid w:val="3A0379ED"/>
    <w:rsid w:val="3A053765"/>
    <w:rsid w:val="3A097E51"/>
    <w:rsid w:val="3A1A4D37"/>
    <w:rsid w:val="3A1A6AE5"/>
    <w:rsid w:val="3A1B2499"/>
    <w:rsid w:val="3A236211"/>
    <w:rsid w:val="3A2846C7"/>
    <w:rsid w:val="3A2A5120"/>
    <w:rsid w:val="3A30455A"/>
    <w:rsid w:val="3A3219E1"/>
    <w:rsid w:val="3A373C1E"/>
    <w:rsid w:val="3A3A0F35"/>
    <w:rsid w:val="3A483652"/>
    <w:rsid w:val="3A5B7F6B"/>
    <w:rsid w:val="3A5C0EAC"/>
    <w:rsid w:val="3A5C4B59"/>
    <w:rsid w:val="3A5F274A"/>
    <w:rsid w:val="3A716DDB"/>
    <w:rsid w:val="3A7F7BBC"/>
    <w:rsid w:val="3A8436DD"/>
    <w:rsid w:val="3A872856"/>
    <w:rsid w:val="3A90393A"/>
    <w:rsid w:val="3A9248CD"/>
    <w:rsid w:val="3A983332"/>
    <w:rsid w:val="3AC151B3"/>
    <w:rsid w:val="3AC3316C"/>
    <w:rsid w:val="3AD153F6"/>
    <w:rsid w:val="3ADE3FB6"/>
    <w:rsid w:val="3ADF0647"/>
    <w:rsid w:val="3AEA7B3F"/>
    <w:rsid w:val="3AFF5F0C"/>
    <w:rsid w:val="3B191D08"/>
    <w:rsid w:val="3B236212"/>
    <w:rsid w:val="3B283760"/>
    <w:rsid w:val="3B2F036E"/>
    <w:rsid w:val="3B3763D1"/>
    <w:rsid w:val="3B4172BD"/>
    <w:rsid w:val="3B457B92"/>
    <w:rsid w:val="3B482B60"/>
    <w:rsid w:val="3B531045"/>
    <w:rsid w:val="3B547A58"/>
    <w:rsid w:val="3B5D312D"/>
    <w:rsid w:val="3B702E61"/>
    <w:rsid w:val="3B85718B"/>
    <w:rsid w:val="3B94700C"/>
    <w:rsid w:val="3B96663F"/>
    <w:rsid w:val="3B983052"/>
    <w:rsid w:val="3B9A612F"/>
    <w:rsid w:val="3B9F54F4"/>
    <w:rsid w:val="3BA06651"/>
    <w:rsid w:val="3BA174BE"/>
    <w:rsid w:val="3BE15B0C"/>
    <w:rsid w:val="3BE3111D"/>
    <w:rsid w:val="3BF07AFD"/>
    <w:rsid w:val="3C074630"/>
    <w:rsid w:val="3C1F68BB"/>
    <w:rsid w:val="3C2562FF"/>
    <w:rsid w:val="3C291261"/>
    <w:rsid w:val="3C2D0DF7"/>
    <w:rsid w:val="3C2F6E1E"/>
    <w:rsid w:val="3C3477E4"/>
    <w:rsid w:val="3C3A6FCB"/>
    <w:rsid w:val="3C4542ED"/>
    <w:rsid w:val="3C4E2A76"/>
    <w:rsid w:val="3C4F64BA"/>
    <w:rsid w:val="3C5657F5"/>
    <w:rsid w:val="3C6856AF"/>
    <w:rsid w:val="3C814BF9"/>
    <w:rsid w:val="3C867A75"/>
    <w:rsid w:val="3C874A04"/>
    <w:rsid w:val="3C89753B"/>
    <w:rsid w:val="3C8C1F1C"/>
    <w:rsid w:val="3C925059"/>
    <w:rsid w:val="3C9506A5"/>
    <w:rsid w:val="3C9E0432"/>
    <w:rsid w:val="3C9F3137"/>
    <w:rsid w:val="3CA408E8"/>
    <w:rsid w:val="3CAC611A"/>
    <w:rsid w:val="3CBD0375"/>
    <w:rsid w:val="3CC744BE"/>
    <w:rsid w:val="3CDA245A"/>
    <w:rsid w:val="3CF17FD1"/>
    <w:rsid w:val="3D023F8C"/>
    <w:rsid w:val="3D107DE2"/>
    <w:rsid w:val="3D141F11"/>
    <w:rsid w:val="3D143490"/>
    <w:rsid w:val="3D1E06B7"/>
    <w:rsid w:val="3D2462CF"/>
    <w:rsid w:val="3D251465"/>
    <w:rsid w:val="3D271C45"/>
    <w:rsid w:val="3D2D6B2F"/>
    <w:rsid w:val="3D31661F"/>
    <w:rsid w:val="3D3659E4"/>
    <w:rsid w:val="3D49416B"/>
    <w:rsid w:val="3D50494E"/>
    <w:rsid w:val="3D590E2D"/>
    <w:rsid w:val="3D5B18EE"/>
    <w:rsid w:val="3D5C2E79"/>
    <w:rsid w:val="3D675B0A"/>
    <w:rsid w:val="3D6A1D52"/>
    <w:rsid w:val="3D6D2722"/>
    <w:rsid w:val="3D6F0EF6"/>
    <w:rsid w:val="3D891FB8"/>
    <w:rsid w:val="3D8E4212"/>
    <w:rsid w:val="3DA000D4"/>
    <w:rsid w:val="3DB14F5F"/>
    <w:rsid w:val="3DBD55CA"/>
    <w:rsid w:val="3DC47494"/>
    <w:rsid w:val="3DC56451"/>
    <w:rsid w:val="3DD52291"/>
    <w:rsid w:val="3DD63A95"/>
    <w:rsid w:val="3DDC2A2F"/>
    <w:rsid w:val="3DE460B2"/>
    <w:rsid w:val="3DE670B8"/>
    <w:rsid w:val="3DFD29A6"/>
    <w:rsid w:val="3E0571A1"/>
    <w:rsid w:val="3E057C34"/>
    <w:rsid w:val="3E135D25"/>
    <w:rsid w:val="3E1806D7"/>
    <w:rsid w:val="3E1B73A5"/>
    <w:rsid w:val="3E3B4763"/>
    <w:rsid w:val="3E4037CC"/>
    <w:rsid w:val="3E417F93"/>
    <w:rsid w:val="3E497999"/>
    <w:rsid w:val="3E4A09EA"/>
    <w:rsid w:val="3E4B54BF"/>
    <w:rsid w:val="3E4F4D0A"/>
    <w:rsid w:val="3E584C2E"/>
    <w:rsid w:val="3E5A5D0D"/>
    <w:rsid w:val="3E5C5D27"/>
    <w:rsid w:val="3E666273"/>
    <w:rsid w:val="3E732457"/>
    <w:rsid w:val="3E831EFD"/>
    <w:rsid w:val="3E8757EA"/>
    <w:rsid w:val="3E987349"/>
    <w:rsid w:val="3E9A0C3B"/>
    <w:rsid w:val="3E9F0C60"/>
    <w:rsid w:val="3EAA3D74"/>
    <w:rsid w:val="3EBE40A8"/>
    <w:rsid w:val="3ECC2AA4"/>
    <w:rsid w:val="3ED226FE"/>
    <w:rsid w:val="3ED9030F"/>
    <w:rsid w:val="3EDA0523"/>
    <w:rsid w:val="3EE265F6"/>
    <w:rsid w:val="3EE43DBA"/>
    <w:rsid w:val="3EE72BD5"/>
    <w:rsid w:val="3EED5893"/>
    <w:rsid w:val="3EED6576"/>
    <w:rsid w:val="3EFA11C9"/>
    <w:rsid w:val="3EFD787E"/>
    <w:rsid w:val="3F007C46"/>
    <w:rsid w:val="3F0205F3"/>
    <w:rsid w:val="3F1461F9"/>
    <w:rsid w:val="3F1666F4"/>
    <w:rsid w:val="3F1F2B73"/>
    <w:rsid w:val="3F1F64D6"/>
    <w:rsid w:val="3F214472"/>
    <w:rsid w:val="3F281CA4"/>
    <w:rsid w:val="3F3243E3"/>
    <w:rsid w:val="3F340649"/>
    <w:rsid w:val="3F47037C"/>
    <w:rsid w:val="3F50287C"/>
    <w:rsid w:val="3F5333B0"/>
    <w:rsid w:val="3F591E5E"/>
    <w:rsid w:val="3F5F64EF"/>
    <w:rsid w:val="3F650D16"/>
    <w:rsid w:val="3F703EA9"/>
    <w:rsid w:val="3F744EE9"/>
    <w:rsid w:val="3F816941"/>
    <w:rsid w:val="3F86131C"/>
    <w:rsid w:val="3F8A6E94"/>
    <w:rsid w:val="3F8C5D8F"/>
    <w:rsid w:val="3F9133A5"/>
    <w:rsid w:val="3F92209E"/>
    <w:rsid w:val="3F962AFC"/>
    <w:rsid w:val="3F9D61EE"/>
    <w:rsid w:val="3FA667A1"/>
    <w:rsid w:val="3FA915D5"/>
    <w:rsid w:val="3FAA4467"/>
    <w:rsid w:val="3FB92B0C"/>
    <w:rsid w:val="3FBA0B4E"/>
    <w:rsid w:val="3FBB0422"/>
    <w:rsid w:val="3FC316A5"/>
    <w:rsid w:val="3FD314D0"/>
    <w:rsid w:val="3FD87C0D"/>
    <w:rsid w:val="3FE77469"/>
    <w:rsid w:val="3FF539A1"/>
    <w:rsid w:val="3FF83425"/>
    <w:rsid w:val="3FFE7A37"/>
    <w:rsid w:val="4000052B"/>
    <w:rsid w:val="400973E0"/>
    <w:rsid w:val="403A57EB"/>
    <w:rsid w:val="404455B8"/>
    <w:rsid w:val="40531957"/>
    <w:rsid w:val="406901DB"/>
    <w:rsid w:val="40694322"/>
    <w:rsid w:val="40722808"/>
    <w:rsid w:val="40771B4A"/>
    <w:rsid w:val="407A6407"/>
    <w:rsid w:val="40827192"/>
    <w:rsid w:val="408903F2"/>
    <w:rsid w:val="40C5433D"/>
    <w:rsid w:val="40C71F4C"/>
    <w:rsid w:val="40C814D7"/>
    <w:rsid w:val="40C8729B"/>
    <w:rsid w:val="40CB2A8A"/>
    <w:rsid w:val="40D20119"/>
    <w:rsid w:val="40DF3730"/>
    <w:rsid w:val="40E439A9"/>
    <w:rsid w:val="40E71227"/>
    <w:rsid w:val="40E873A8"/>
    <w:rsid w:val="40EA2C61"/>
    <w:rsid w:val="40ED382B"/>
    <w:rsid w:val="40EE0D48"/>
    <w:rsid w:val="40F872A9"/>
    <w:rsid w:val="40F903D3"/>
    <w:rsid w:val="412169AB"/>
    <w:rsid w:val="412C782A"/>
    <w:rsid w:val="413C4351"/>
    <w:rsid w:val="414D59F2"/>
    <w:rsid w:val="415D1229"/>
    <w:rsid w:val="416B1261"/>
    <w:rsid w:val="41751BD0"/>
    <w:rsid w:val="41782A6F"/>
    <w:rsid w:val="41790595"/>
    <w:rsid w:val="418910B5"/>
    <w:rsid w:val="41A059C2"/>
    <w:rsid w:val="41A606D2"/>
    <w:rsid w:val="41B22DBF"/>
    <w:rsid w:val="41C07F72"/>
    <w:rsid w:val="41C8447D"/>
    <w:rsid w:val="41CA6E30"/>
    <w:rsid w:val="41D37CA5"/>
    <w:rsid w:val="41EA4FEF"/>
    <w:rsid w:val="4200449D"/>
    <w:rsid w:val="420460B1"/>
    <w:rsid w:val="420C2C86"/>
    <w:rsid w:val="421504C2"/>
    <w:rsid w:val="4225181C"/>
    <w:rsid w:val="422A6B5E"/>
    <w:rsid w:val="422C0D60"/>
    <w:rsid w:val="42341F06"/>
    <w:rsid w:val="42354768"/>
    <w:rsid w:val="423A3BCC"/>
    <w:rsid w:val="423C589D"/>
    <w:rsid w:val="424C0218"/>
    <w:rsid w:val="424E57D2"/>
    <w:rsid w:val="42530DE6"/>
    <w:rsid w:val="42537038"/>
    <w:rsid w:val="425970E3"/>
    <w:rsid w:val="42613503"/>
    <w:rsid w:val="427B1CFA"/>
    <w:rsid w:val="428E1783"/>
    <w:rsid w:val="428E1E1E"/>
    <w:rsid w:val="429213AA"/>
    <w:rsid w:val="42935686"/>
    <w:rsid w:val="42980EEF"/>
    <w:rsid w:val="42A3154E"/>
    <w:rsid w:val="42A359F3"/>
    <w:rsid w:val="42A37D1B"/>
    <w:rsid w:val="42AB6E74"/>
    <w:rsid w:val="42AF1B9E"/>
    <w:rsid w:val="42B26C49"/>
    <w:rsid w:val="42B274CC"/>
    <w:rsid w:val="42B51AA1"/>
    <w:rsid w:val="42C2447E"/>
    <w:rsid w:val="42C56F23"/>
    <w:rsid w:val="42D14C10"/>
    <w:rsid w:val="42D31EB4"/>
    <w:rsid w:val="42D91672"/>
    <w:rsid w:val="42DD672F"/>
    <w:rsid w:val="42E41371"/>
    <w:rsid w:val="42E50189"/>
    <w:rsid w:val="42E631BF"/>
    <w:rsid w:val="42EA0F8B"/>
    <w:rsid w:val="42F8373B"/>
    <w:rsid w:val="42FF054F"/>
    <w:rsid w:val="4303280C"/>
    <w:rsid w:val="43106CD7"/>
    <w:rsid w:val="43221121"/>
    <w:rsid w:val="4326474D"/>
    <w:rsid w:val="43282273"/>
    <w:rsid w:val="432B58BF"/>
    <w:rsid w:val="432D08B8"/>
    <w:rsid w:val="432D2FED"/>
    <w:rsid w:val="433A6FE6"/>
    <w:rsid w:val="43436FFC"/>
    <w:rsid w:val="43480868"/>
    <w:rsid w:val="4350713C"/>
    <w:rsid w:val="435E5C94"/>
    <w:rsid w:val="436653E0"/>
    <w:rsid w:val="437234EE"/>
    <w:rsid w:val="43813731"/>
    <w:rsid w:val="43827BD5"/>
    <w:rsid w:val="438300DA"/>
    <w:rsid w:val="43967F82"/>
    <w:rsid w:val="43AA712C"/>
    <w:rsid w:val="43C4431A"/>
    <w:rsid w:val="43CC0E50"/>
    <w:rsid w:val="43D65060"/>
    <w:rsid w:val="43EE526A"/>
    <w:rsid w:val="43FF72CD"/>
    <w:rsid w:val="440B5E1C"/>
    <w:rsid w:val="44103433"/>
    <w:rsid w:val="441478A9"/>
    <w:rsid w:val="44181AD6"/>
    <w:rsid w:val="441D16AC"/>
    <w:rsid w:val="442771C9"/>
    <w:rsid w:val="44380293"/>
    <w:rsid w:val="443E0078"/>
    <w:rsid w:val="44411F65"/>
    <w:rsid w:val="4441206A"/>
    <w:rsid w:val="446A0749"/>
    <w:rsid w:val="446E1F07"/>
    <w:rsid w:val="44703ED1"/>
    <w:rsid w:val="4487121B"/>
    <w:rsid w:val="44890AEF"/>
    <w:rsid w:val="44905C79"/>
    <w:rsid w:val="449D7C7B"/>
    <w:rsid w:val="44A1408B"/>
    <w:rsid w:val="44AD1910"/>
    <w:rsid w:val="44B951CC"/>
    <w:rsid w:val="44CD14E0"/>
    <w:rsid w:val="44E562FC"/>
    <w:rsid w:val="44E87F0C"/>
    <w:rsid w:val="44EF6C22"/>
    <w:rsid w:val="44F20B0B"/>
    <w:rsid w:val="44FA09E9"/>
    <w:rsid w:val="45085EB8"/>
    <w:rsid w:val="45154A79"/>
    <w:rsid w:val="452B604A"/>
    <w:rsid w:val="452E5F4C"/>
    <w:rsid w:val="45592BB7"/>
    <w:rsid w:val="45612018"/>
    <w:rsid w:val="456349FB"/>
    <w:rsid w:val="45682DFA"/>
    <w:rsid w:val="456D333D"/>
    <w:rsid w:val="45741821"/>
    <w:rsid w:val="45751C25"/>
    <w:rsid w:val="457E683A"/>
    <w:rsid w:val="457F278F"/>
    <w:rsid w:val="458946E9"/>
    <w:rsid w:val="458A037A"/>
    <w:rsid w:val="458B0897"/>
    <w:rsid w:val="45980CB4"/>
    <w:rsid w:val="459B6D2C"/>
    <w:rsid w:val="45A047F3"/>
    <w:rsid w:val="45A47C0E"/>
    <w:rsid w:val="45A47DBF"/>
    <w:rsid w:val="45A92780"/>
    <w:rsid w:val="45B527C3"/>
    <w:rsid w:val="45D07EEB"/>
    <w:rsid w:val="45EC6FB7"/>
    <w:rsid w:val="45EE3FFB"/>
    <w:rsid w:val="45EE423E"/>
    <w:rsid w:val="45F145A6"/>
    <w:rsid w:val="45F97EF6"/>
    <w:rsid w:val="460C5E7C"/>
    <w:rsid w:val="46101554"/>
    <w:rsid w:val="461940F5"/>
    <w:rsid w:val="46284338"/>
    <w:rsid w:val="462A00B0"/>
    <w:rsid w:val="462D098F"/>
    <w:rsid w:val="463B0EBF"/>
    <w:rsid w:val="463F7FFF"/>
    <w:rsid w:val="46577FD6"/>
    <w:rsid w:val="465B470D"/>
    <w:rsid w:val="467B6AD4"/>
    <w:rsid w:val="467D28D5"/>
    <w:rsid w:val="467D4684"/>
    <w:rsid w:val="467E55C6"/>
    <w:rsid w:val="46845A12"/>
    <w:rsid w:val="468B4FF2"/>
    <w:rsid w:val="469A6FE4"/>
    <w:rsid w:val="46A14816"/>
    <w:rsid w:val="46AA2F9F"/>
    <w:rsid w:val="46D955A7"/>
    <w:rsid w:val="46E81785"/>
    <w:rsid w:val="46E872B9"/>
    <w:rsid w:val="46F63E43"/>
    <w:rsid w:val="46F81F5C"/>
    <w:rsid w:val="46F96400"/>
    <w:rsid w:val="46FD7572"/>
    <w:rsid w:val="47064679"/>
    <w:rsid w:val="470B7EE1"/>
    <w:rsid w:val="47133957"/>
    <w:rsid w:val="472131DA"/>
    <w:rsid w:val="47356D0C"/>
    <w:rsid w:val="474156B1"/>
    <w:rsid w:val="47422AD1"/>
    <w:rsid w:val="47460F19"/>
    <w:rsid w:val="474660D3"/>
    <w:rsid w:val="474F48E6"/>
    <w:rsid w:val="4756750A"/>
    <w:rsid w:val="47592D38"/>
    <w:rsid w:val="476B4E24"/>
    <w:rsid w:val="477261B2"/>
    <w:rsid w:val="477F1748"/>
    <w:rsid w:val="47886167"/>
    <w:rsid w:val="4796000A"/>
    <w:rsid w:val="47962B65"/>
    <w:rsid w:val="479E6FA7"/>
    <w:rsid w:val="47A07E0C"/>
    <w:rsid w:val="47A3636C"/>
    <w:rsid w:val="47A40850"/>
    <w:rsid w:val="47B642F1"/>
    <w:rsid w:val="47B70E1A"/>
    <w:rsid w:val="47B755C4"/>
    <w:rsid w:val="47BA5463"/>
    <w:rsid w:val="47C2057E"/>
    <w:rsid w:val="47D5287F"/>
    <w:rsid w:val="47F21748"/>
    <w:rsid w:val="47F4607A"/>
    <w:rsid w:val="47FD3CCE"/>
    <w:rsid w:val="48074B4D"/>
    <w:rsid w:val="480A5C35"/>
    <w:rsid w:val="4813771E"/>
    <w:rsid w:val="481C5666"/>
    <w:rsid w:val="481E3C44"/>
    <w:rsid w:val="48345216"/>
    <w:rsid w:val="483760B6"/>
    <w:rsid w:val="483A2E6B"/>
    <w:rsid w:val="484620FC"/>
    <w:rsid w:val="485767A3"/>
    <w:rsid w:val="48617B60"/>
    <w:rsid w:val="4870272E"/>
    <w:rsid w:val="488128A3"/>
    <w:rsid w:val="48852A05"/>
    <w:rsid w:val="48886DE7"/>
    <w:rsid w:val="48981C49"/>
    <w:rsid w:val="48986789"/>
    <w:rsid w:val="489939B5"/>
    <w:rsid w:val="489F0596"/>
    <w:rsid w:val="48A203D1"/>
    <w:rsid w:val="48A57EC2"/>
    <w:rsid w:val="48AD5394"/>
    <w:rsid w:val="48BD345D"/>
    <w:rsid w:val="48CF54EE"/>
    <w:rsid w:val="48D80297"/>
    <w:rsid w:val="48E615C6"/>
    <w:rsid w:val="48F03BAE"/>
    <w:rsid w:val="48F7696F"/>
    <w:rsid w:val="49105C83"/>
    <w:rsid w:val="491868E5"/>
    <w:rsid w:val="4924462C"/>
    <w:rsid w:val="493059DD"/>
    <w:rsid w:val="49316B2C"/>
    <w:rsid w:val="4933371F"/>
    <w:rsid w:val="493A2D00"/>
    <w:rsid w:val="49412AAE"/>
    <w:rsid w:val="494C1DDA"/>
    <w:rsid w:val="494C2DB3"/>
    <w:rsid w:val="49535B70"/>
    <w:rsid w:val="495779F7"/>
    <w:rsid w:val="495A5743"/>
    <w:rsid w:val="4965086D"/>
    <w:rsid w:val="49690103"/>
    <w:rsid w:val="49755AE6"/>
    <w:rsid w:val="497A478D"/>
    <w:rsid w:val="4987382F"/>
    <w:rsid w:val="498B5309"/>
    <w:rsid w:val="499454B7"/>
    <w:rsid w:val="499917D4"/>
    <w:rsid w:val="49995C78"/>
    <w:rsid w:val="499E2681"/>
    <w:rsid w:val="49A0638E"/>
    <w:rsid w:val="49A14B2D"/>
    <w:rsid w:val="49A3576B"/>
    <w:rsid w:val="49AB59AC"/>
    <w:rsid w:val="49AE6DA3"/>
    <w:rsid w:val="49B02FC2"/>
    <w:rsid w:val="49B3380C"/>
    <w:rsid w:val="49B3654B"/>
    <w:rsid w:val="49C37A5B"/>
    <w:rsid w:val="49C600F0"/>
    <w:rsid w:val="49DC7715"/>
    <w:rsid w:val="49DF014D"/>
    <w:rsid w:val="49E04189"/>
    <w:rsid w:val="49E62540"/>
    <w:rsid w:val="49F7433F"/>
    <w:rsid w:val="49F93899"/>
    <w:rsid w:val="4A023139"/>
    <w:rsid w:val="4A17094B"/>
    <w:rsid w:val="4A227F17"/>
    <w:rsid w:val="4A3634C7"/>
    <w:rsid w:val="4A3B6D2F"/>
    <w:rsid w:val="4A463ED2"/>
    <w:rsid w:val="4A4F6337"/>
    <w:rsid w:val="4A566A89"/>
    <w:rsid w:val="4A606796"/>
    <w:rsid w:val="4A6A3171"/>
    <w:rsid w:val="4A6C513B"/>
    <w:rsid w:val="4A6F2C22"/>
    <w:rsid w:val="4A6F66AE"/>
    <w:rsid w:val="4A7B576F"/>
    <w:rsid w:val="4A7D2EA4"/>
    <w:rsid w:val="4A824A7A"/>
    <w:rsid w:val="4A83218C"/>
    <w:rsid w:val="4A8A3A47"/>
    <w:rsid w:val="4A8F2BD7"/>
    <w:rsid w:val="4A9637F5"/>
    <w:rsid w:val="4A9F105E"/>
    <w:rsid w:val="4AA1215D"/>
    <w:rsid w:val="4AB77BE9"/>
    <w:rsid w:val="4ABA40F8"/>
    <w:rsid w:val="4AC41647"/>
    <w:rsid w:val="4AC72371"/>
    <w:rsid w:val="4AE178D7"/>
    <w:rsid w:val="4AE66C9B"/>
    <w:rsid w:val="4AEC1846"/>
    <w:rsid w:val="4AF561A9"/>
    <w:rsid w:val="4AFD7712"/>
    <w:rsid w:val="4B013AD5"/>
    <w:rsid w:val="4B045373"/>
    <w:rsid w:val="4B102CA8"/>
    <w:rsid w:val="4B117A90"/>
    <w:rsid w:val="4B187071"/>
    <w:rsid w:val="4B1F3F5B"/>
    <w:rsid w:val="4B1FB331"/>
    <w:rsid w:val="4B35552D"/>
    <w:rsid w:val="4B462EAD"/>
    <w:rsid w:val="4B4A6575"/>
    <w:rsid w:val="4B5005B9"/>
    <w:rsid w:val="4B585494"/>
    <w:rsid w:val="4B5E0F27"/>
    <w:rsid w:val="4B600592"/>
    <w:rsid w:val="4B785046"/>
    <w:rsid w:val="4B857265"/>
    <w:rsid w:val="4B9D16B9"/>
    <w:rsid w:val="4BA34B8C"/>
    <w:rsid w:val="4BB253E8"/>
    <w:rsid w:val="4BB85EC1"/>
    <w:rsid w:val="4BBC5C4E"/>
    <w:rsid w:val="4BCC547D"/>
    <w:rsid w:val="4BCD1C09"/>
    <w:rsid w:val="4BCD3103"/>
    <w:rsid w:val="4BCE14DD"/>
    <w:rsid w:val="4BDC1E4C"/>
    <w:rsid w:val="4BFE1DC3"/>
    <w:rsid w:val="4C035925"/>
    <w:rsid w:val="4C101AF6"/>
    <w:rsid w:val="4C121A01"/>
    <w:rsid w:val="4C122292"/>
    <w:rsid w:val="4C124058"/>
    <w:rsid w:val="4C172E84"/>
    <w:rsid w:val="4C1930A0"/>
    <w:rsid w:val="4C216974"/>
    <w:rsid w:val="4C2701C8"/>
    <w:rsid w:val="4C357863"/>
    <w:rsid w:val="4C4A0649"/>
    <w:rsid w:val="4C4C6FD2"/>
    <w:rsid w:val="4C4D68A6"/>
    <w:rsid w:val="4C4D77DB"/>
    <w:rsid w:val="4C5145E8"/>
    <w:rsid w:val="4C7E5ECA"/>
    <w:rsid w:val="4C87625C"/>
    <w:rsid w:val="4C876AA5"/>
    <w:rsid w:val="4CA94424"/>
    <w:rsid w:val="4CB422EA"/>
    <w:rsid w:val="4CC340E9"/>
    <w:rsid w:val="4CC72AFC"/>
    <w:rsid w:val="4CCC3C6F"/>
    <w:rsid w:val="4CCF19B1"/>
    <w:rsid w:val="4CD160D3"/>
    <w:rsid w:val="4CDC62AC"/>
    <w:rsid w:val="4CDE39A2"/>
    <w:rsid w:val="4CE04A21"/>
    <w:rsid w:val="4CEC60BF"/>
    <w:rsid w:val="4CEE654F"/>
    <w:rsid w:val="4CFE5DF2"/>
    <w:rsid w:val="4D0E00FB"/>
    <w:rsid w:val="4D111FCA"/>
    <w:rsid w:val="4D176606"/>
    <w:rsid w:val="4D24083B"/>
    <w:rsid w:val="4D2A454A"/>
    <w:rsid w:val="4D357A66"/>
    <w:rsid w:val="4D3C5586"/>
    <w:rsid w:val="4D4D1254"/>
    <w:rsid w:val="4D5435B2"/>
    <w:rsid w:val="4D583754"/>
    <w:rsid w:val="4D587981"/>
    <w:rsid w:val="4D61085B"/>
    <w:rsid w:val="4D616AAD"/>
    <w:rsid w:val="4D6466B3"/>
    <w:rsid w:val="4D77007F"/>
    <w:rsid w:val="4D815E7D"/>
    <w:rsid w:val="4D917A2A"/>
    <w:rsid w:val="4DAD2B91"/>
    <w:rsid w:val="4DAF69C7"/>
    <w:rsid w:val="4DBC2F09"/>
    <w:rsid w:val="4DCA28A4"/>
    <w:rsid w:val="4DCA6493"/>
    <w:rsid w:val="4DDA7481"/>
    <w:rsid w:val="4DDC6134"/>
    <w:rsid w:val="4DDE65AB"/>
    <w:rsid w:val="4DEC4FB0"/>
    <w:rsid w:val="4DFF0074"/>
    <w:rsid w:val="4E075D8A"/>
    <w:rsid w:val="4E111C19"/>
    <w:rsid w:val="4E17716C"/>
    <w:rsid w:val="4E1D056D"/>
    <w:rsid w:val="4E3831F9"/>
    <w:rsid w:val="4E3D66CB"/>
    <w:rsid w:val="4E3E4C3D"/>
    <w:rsid w:val="4E3E7B84"/>
    <w:rsid w:val="4E416D0F"/>
    <w:rsid w:val="4E4E3FE9"/>
    <w:rsid w:val="4E5B15E2"/>
    <w:rsid w:val="4E5D4982"/>
    <w:rsid w:val="4E5F508E"/>
    <w:rsid w:val="4E6525CD"/>
    <w:rsid w:val="4E683E6B"/>
    <w:rsid w:val="4E6A373F"/>
    <w:rsid w:val="4E8929D8"/>
    <w:rsid w:val="4E976D94"/>
    <w:rsid w:val="4EA03605"/>
    <w:rsid w:val="4EC00FAD"/>
    <w:rsid w:val="4EC12FD1"/>
    <w:rsid w:val="4EC92B5C"/>
    <w:rsid w:val="4ECD3CCE"/>
    <w:rsid w:val="4EDB63EB"/>
    <w:rsid w:val="4EDF40E4"/>
    <w:rsid w:val="4EE722C0"/>
    <w:rsid w:val="4F0F01FF"/>
    <w:rsid w:val="4F3B1580"/>
    <w:rsid w:val="4F3B332E"/>
    <w:rsid w:val="4F49045E"/>
    <w:rsid w:val="4F560168"/>
    <w:rsid w:val="4F5D4CF6"/>
    <w:rsid w:val="4F5D6D6A"/>
    <w:rsid w:val="4F642884"/>
    <w:rsid w:val="4F652DEB"/>
    <w:rsid w:val="4F9843DC"/>
    <w:rsid w:val="4FB853A1"/>
    <w:rsid w:val="4FBD254D"/>
    <w:rsid w:val="4FBF7ABB"/>
    <w:rsid w:val="4FC43323"/>
    <w:rsid w:val="4FC62A8C"/>
    <w:rsid w:val="4FCA0D1A"/>
    <w:rsid w:val="4FCE41A2"/>
    <w:rsid w:val="4FD01CC8"/>
    <w:rsid w:val="4FE15140"/>
    <w:rsid w:val="4FE20F0D"/>
    <w:rsid w:val="4FE51552"/>
    <w:rsid w:val="4FE71560"/>
    <w:rsid w:val="4FED4628"/>
    <w:rsid w:val="4FEE214E"/>
    <w:rsid w:val="4FF24059"/>
    <w:rsid w:val="5000141C"/>
    <w:rsid w:val="50011BE1"/>
    <w:rsid w:val="50025BF9"/>
    <w:rsid w:val="50037CBF"/>
    <w:rsid w:val="50056641"/>
    <w:rsid w:val="5006011A"/>
    <w:rsid w:val="500922C0"/>
    <w:rsid w:val="500B71A4"/>
    <w:rsid w:val="50140A42"/>
    <w:rsid w:val="5019366F"/>
    <w:rsid w:val="5021649F"/>
    <w:rsid w:val="503201EC"/>
    <w:rsid w:val="5032784C"/>
    <w:rsid w:val="503A5393"/>
    <w:rsid w:val="50414974"/>
    <w:rsid w:val="50485D02"/>
    <w:rsid w:val="504B35D3"/>
    <w:rsid w:val="504B7133"/>
    <w:rsid w:val="50504C4B"/>
    <w:rsid w:val="505F441F"/>
    <w:rsid w:val="5061031C"/>
    <w:rsid w:val="506764D7"/>
    <w:rsid w:val="50680152"/>
    <w:rsid w:val="506D1FEF"/>
    <w:rsid w:val="507344ED"/>
    <w:rsid w:val="508378A2"/>
    <w:rsid w:val="509C6E7C"/>
    <w:rsid w:val="509E1DC6"/>
    <w:rsid w:val="50A53155"/>
    <w:rsid w:val="50B0449F"/>
    <w:rsid w:val="50B11AC4"/>
    <w:rsid w:val="50B25872"/>
    <w:rsid w:val="50B415EA"/>
    <w:rsid w:val="50B5480F"/>
    <w:rsid w:val="50B60EBE"/>
    <w:rsid w:val="50BE5FC4"/>
    <w:rsid w:val="50C57353"/>
    <w:rsid w:val="50C80BF1"/>
    <w:rsid w:val="50F43794"/>
    <w:rsid w:val="50F814D6"/>
    <w:rsid w:val="51027BCB"/>
    <w:rsid w:val="510C5A18"/>
    <w:rsid w:val="512D4712"/>
    <w:rsid w:val="513F7105"/>
    <w:rsid w:val="514C35D0"/>
    <w:rsid w:val="51553D69"/>
    <w:rsid w:val="51581F75"/>
    <w:rsid w:val="515B7CB7"/>
    <w:rsid w:val="515D758B"/>
    <w:rsid w:val="516052CE"/>
    <w:rsid w:val="5162104E"/>
    <w:rsid w:val="51644DBE"/>
    <w:rsid w:val="516721B8"/>
    <w:rsid w:val="51694182"/>
    <w:rsid w:val="51782617"/>
    <w:rsid w:val="51806886"/>
    <w:rsid w:val="519E36A7"/>
    <w:rsid w:val="51AE6C90"/>
    <w:rsid w:val="51AF1A15"/>
    <w:rsid w:val="51BA15C3"/>
    <w:rsid w:val="51CC4711"/>
    <w:rsid w:val="51CF056A"/>
    <w:rsid w:val="51DA5080"/>
    <w:rsid w:val="51EF61FF"/>
    <w:rsid w:val="51F24178"/>
    <w:rsid w:val="51FA74D0"/>
    <w:rsid w:val="5200056D"/>
    <w:rsid w:val="52157FD7"/>
    <w:rsid w:val="521E31BF"/>
    <w:rsid w:val="523A78CD"/>
    <w:rsid w:val="523A7F3A"/>
    <w:rsid w:val="52494362"/>
    <w:rsid w:val="525070F0"/>
    <w:rsid w:val="525545C1"/>
    <w:rsid w:val="525E0C42"/>
    <w:rsid w:val="525F4F49"/>
    <w:rsid w:val="526606C2"/>
    <w:rsid w:val="526861E8"/>
    <w:rsid w:val="5272084F"/>
    <w:rsid w:val="52732029"/>
    <w:rsid w:val="528A2F29"/>
    <w:rsid w:val="52911BE2"/>
    <w:rsid w:val="52B97CEE"/>
    <w:rsid w:val="52BF0ABE"/>
    <w:rsid w:val="52CD24EF"/>
    <w:rsid w:val="52D2386A"/>
    <w:rsid w:val="52D23FA9"/>
    <w:rsid w:val="52D42936"/>
    <w:rsid w:val="52D648AA"/>
    <w:rsid w:val="52DC3E2C"/>
    <w:rsid w:val="52DF2775"/>
    <w:rsid w:val="52EF66BE"/>
    <w:rsid w:val="52F24653"/>
    <w:rsid w:val="52FB554D"/>
    <w:rsid w:val="52FE6B4C"/>
    <w:rsid w:val="53056732"/>
    <w:rsid w:val="53130849"/>
    <w:rsid w:val="531719BC"/>
    <w:rsid w:val="53242298"/>
    <w:rsid w:val="532A0CF4"/>
    <w:rsid w:val="534053B7"/>
    <w:rsid w:val="53407165"/>
    <w:rsid w:val="534704F3"/>
    <w:rsid w:val="53497FBD"/>
    <w:rsid w:val="534B1DEA"/>
    <w:rsid w:val="5362643E"/>
    <w:rsid w:val="53686269"/>
    <w:rsid w:val="53741B33"/>
    <w:rsid w:val="53787D1C"/>
    <w:rsid w:val="53813425"/>
    <w:rsid w:val="538A04EC"/>
    <w:rsid w:val="538A06A8"/>
    <w:rsid w:val="53933D62"/>
    <w:rsid w:val="53A039CC"/>
    <w:rsid w:val="53A1505A"/>
    <w:rsid w:val="53A5346C"/>
    <w:rsid w:val="53AE2320"/>
    <w:rsid w:val="53BE479C"/>
    <w:rsid w:val="53CC6C4A"/>
    <w:rsid w:val="53E134FD"/>
    <w:rsid w:val="53E51A0A"/>
    <w:rsid w:val="53E540AF"/>
    <w:rsid w:val="53E76DB8"/>
    <w:rsid w:val="53E85EBC"/>
    <w:rsid w:val="53F8359B"/>
    <w:rsid w:val="53FB308C"/>
    <w:rsid w:val="54063E08"/>
    <w:rsid w:val="540D48A4"/>
    <w:rsid w:val="540E2DBF"/>
    <w:rsid w:val="54181E8F"/>
    <w:rsid w:val="5428660D"/>
    <w:rsid w:val="542B0A97"/>
    <w:rsid w:val="54325685"/>
    <w:rsid w:val="543437E8"/>
    <w:rsid w:val="543E18F6"/>
    <w:rsid w:val="544D0647"/>
    <w:rsid w:val="54671BB3"/>
    <w:rsid w:val="546C3D9F"/>
    <w:rsid w:val="54770964"/>
    <w:rsid w:val="54837309"/>
    <w:rsid w:val="548B440F"/>
    <w:rsid w:val="548D2425"/>
    <w:rsid w:val="549239F0"/>
    <w:rsid w:val="549B2607"/>
    <w:rsid w:val="549E2395"/>
    <w:rsid w:val="54A15A76"/>
    <w:rsid w:val="54A72BCC"/>
    <w:rsid w:val="54A9439E"/>
    <w:rsid w:val="54AE4379"/>
    <w:rsid w:val="54B37920"/>
    <w:rsid w:val="54BC6CBF"/>
    <w:rsid w:val="54C627DB"/>
    <w:rsid w:val="54DE6C35"/>
    <w:rsid w:val="54E83610"/>
    <w:rsid w:val="54EB29E7"/>
    <w:rsid w:val="54F73313"/>
    <w:rsid w:val="54F80955"/>
    <w:rsid w:val="54F951CD"/>
    <w:rsid w:val="54FC3A06"/>
    <w:rsid w:val="54FE1085"/>
    <w:rsid w:val="54FF095A"/>
    <w:rsid w:val="550014AB"/>
    <w:rsid w:val="55020B76"/>
    <w:rsid w:val="55030F7A"/>
    <w:rsid w:val="55067F3A"/>
    <w:rsid w:val="55081F04"/>
    <w:rsid w:val="551036E7"/>
    <w:rsid w:val="55116550"/>
    <w:rsid w:val="551345E4"/>
    <w:rsid w:val="55172147"/>
    <w:rsid w:val="552124FD"/>
    <w:rsid w:val="55255AB2"/>
    <w:rsid w:val="552836BF"/>
    <w:rsid w:val="552A69D9"/>
    <w:rsid w:val="552C647E"/>
    <w:rsid w:val="553C1136"/>
    <w:rsid w:val="55470643"/>
    <w:rsid w:val="554A342C"/>
    <w:rsid w:val="555170A7"/>
    <w:rsid w:val="55560540"/>
    <w:rsid w:val="55562C6F"/>
    <w:rsid w:val="55591D3F"/>
    <w:rsid w:val="55627866"/>
    <w:rsid w:val="556D1D67"/>
    <w:rsid w:val="5587536D"/>
    <w:rsid w:val="559B174B"/>
    <w:rsid w:val="55A0213D"/>
    <w:rsid w:val="55A47859"/>
    <w:rsid w:val="55A73A63"/>
    <w:rsid w:val="55AD4C9B"/>
    <w:rsid w:val="55B17EA6"/>
    <w:rsid w:val="55B34C82"/>
    <w:rsid w:val="55BB1536"/>
    <w:rsid w:val="55CC5912"/>
    <w:rsid w:val="55CE0CF4"/>
    <w:rsid w:val="55D02A22"/>
    <w:rsid w:val="55D204B4"/>
    <w:rsid w:val="55E36D45"/>
    <w:rsid w:val="55EA33B8"/>
    <w:rsid w:val="55FD4BB9"/>
    <w:rsid w:val="55FF3307"/>
    <w:rsid w:val="56024BA5"/>
    <w:rsid w:val="56127EDE"/>
    <w:rsid w:val="56282CA5"/>
    <w:rsid w:val="56340E1F"/>
    <w:rsid w:val="5637484F"/>
    <w:rsid w:val="564064E3"/>
    <w:rsid w:val="564C7BCE"/>
    <w:rsid w:val="564E6FDB"/>
    <w:rsid w:val="56554CD5"/>
    <w:rsid w:val="565A22EB"/>
    <w:rsid w:val="565D3C77"/>
    <w:rsid w:val="565F7902"/>
    <w:rsid w:val="56676F3E"/>
    <w:rsid w:val="5669447F"/>
    <w:rsid w:val="56701B0F"/>
    <w:rsid w:val="56803350"/>
    <w:rsid w:val="568D0913"/>
    <w:rsid w:val="569020E6"/>
    <w:rsid w:val="569C6DA8"/>
    <w:rsid w:val="56B16351"/>
    <w:rsid w:val="56B22A9C"/>
    <w:rsid w:val="56B66FFC"/>
    <w:rsid w:val="56C4102D"/>
    <w:rsid w:val="56CD6F61"/>
    <w:rsid w:val="56D10874"/>
    <w:rsid w:val="56D55E16"/>
    <w:rsid w:val="56D71B8E"/>
    <w:rsid w:val="56DB1486"/>
    <w:rsid w:val="56F10CD9"/>
    <w:rsid w:val="56F80041"/>
    <w:rsid w:val="56F95FA8"/>
    <w:rsid w:val="56FD7687"/>
    <w:rsid w:val="570C6C05"/>
    <w:rsid w:val="570D48E6"/>
    <w:rsid w:val="571903F8"/>
    <w:rsid w:val="572052E3"/>
    <w:rsid w:val="572100B5"/>
    <w:rsid w:val="57234DD3"/>
    <w:rsid w:val="572D5C52"/>
    <w:rsid w:val="5730129E"/>
    <w:rsid w:val="573E5E59"/>
    <w:rsid w:val="57411985"/>
    <w:rsid w:val="5743026A"/>
    <w:rsid w:val="574447F3"/>
    <w:rsid w:val="57484341"/>
    <w:rsid w:val="574D00A2"/>
    <w:rsid w:val="574D5E77"/>
    <w:rsid w:val="575D6F09"/>
    <w:rsid w:val="575E5615"/>
    <w:rsid w:val="57601B83"/>
    <w:rsid w:val="57776ECD"/>
    <w:rsid w:val="579269F8"/>
    <w:rsid w:val="5796670D"/>
    <w:rsid w:val="579830BB"/>
    <w:rsid w:val="57A35F14"/>
    <w:rsid w:val="57A642DC"/>
    <w:rsid w:val="57AE6D93"/>
    <w:rsid w:val="57B72A76"/>
    <w:rsid w:val="57B8376D"/>
    <w:rsid w:val="57C3426C"/>
    <w:rsid w:val="57CE1F93"/>
    <w:rsid w:val="57D17435"/>
    <w:rsid w:val="57D460CD"/>
    <w:rsid w:val="57E00F16"/>
    <w:rsid w:val="57E0578A"/>
    <w:rsid w:val="57EE3E29"/>
    <w:rsid w:val="57F71DEB"/>
    <w:rsid w:val="57FE25A3"/>
    <w:rsid w:val="580764A3"/>
    <w:rsid w:val="580C0E10"/>
    <w:rsid w:val="581465A8"/>
    <w:rsid w:val="58166FE8"/>
    <w:rsid w:val="58403763"/>
    <w:rsid w:val="584C080C"/>
    <w:rsid w:val="584E1E12"/>
    <w:rsid w:val="584F2FA0"/>
    <w:rsid w:val="58574381"/>
    <w:rsid w:val="585D2567"/>
    <w:rsid w:val="58675FD8"/>
    <w:rsid w:val="587676F4"/>
    <w:rsid w:val="587A321E"/>
    <w:rsid w:val="5881342C"/>
    <w:rsid w:val="58831FCD"/>
    <w:rsid w:val="588743D1"/>
    <w:rsid w:val="5887701A"/>
    <w:rsid w:val="588D226A"/>
    <w:rsid w:val="5894563A"/>
    <w:rsid w:val="589A0216"/>
    <w:rsid w:val="589A4377"/>
    <w:rsid w:val="58A12453"/>
    <w:rsid w:val="58A56605"/>
    <w:rsid w:val="58B24F63"/>
    <w:rsid w:val="58B2640F"/>
    <w:rsid w:val="58BD64F7"/>
    <w:rsid w:val="58BF0B2C"/>
    <w:rsid w:val="58C16652"/>
    <w:rsid w:val="58C44394"/>
    <w:rsid w:val="58C6010C"/>
    <w:rsid w:val="58D345D7"/>
    <w:rsid w:val="58DE5A0E"/>
    <w:rsid w:val="59123351"/>
    <w:rsid w:val="592D1F39"/>
    <w:rsid w:val="593114BD"/>
    <w:rsid w:val="59367040"/>
    <w:rsid w:val="594E3B13"/>
    <w:rsid w:val="595377F5"/>
    <w:rsid w:val="5954396A"/>
    <w:rsid w:val="595709F6"/>
    <w:rsid w:val="595E67F6"/>
    <w:rsid w:val="59692151"/>
    <w:rsid w:val="597E09E7"/>
    <w:rsid w:val="597E4463"/>
    <w:rsid w:val="5980259E"/>
    <w:rsid w:val="59845D37"/>
    <w:rsid w:val="598F6248"/>
    <w:rsid w:val="598F6750"/>
    <w:rsid w:val="59913AFB"/>
    <w:rsid w:val="599E4BE5"/>
    <w:rsid w:val="59AC1C99"/>
    <w:rsid w:val="59AD67EB"/>
    <w:rsid w:val="59AE37B5"/>
    <w:rsid w:val="59AE5804"/>
    <w:rsid w:val="59B85CA7"/>
    <w:rsid w:val="59C0439F"/>
    <w:rsid w:val="59F20A8D"/>
    <w:rsid w:val="5A0A4028"/>
    <w:rsid w:val="5A386DE8"/>
    <w:rsid w:val="5A3A2B60"/>
    <w:rsid w:val="5A3E5035"/>
    <w:rsid w:val="5A4A1F38"/>
    <w:rsid w:val="5A4B6B1B"/>
    <w:rsid w:val="5A557999"/>
    <w:rsid w:val="5A64198B"/>
    <w:rsid w:val="5A6574B1"/>
    <w:rsid w:val="5A680140"/>
    <w:rsid w:val="5A6B7DC0"/>
    <w:rsid w:val="5A707141"/>
    <w:rsid w:val="5A7723FC"/>
    <w:rsid w:val="5A7B15A6"/>
    <w:rsid w:val="5A8B4321"/>
    <w:rsid w:val="5AA12BDF"/>
    <w:rsid w:val="5AA219DE"/>
    <w:rsid w:val="5AB75F5E"/>
    <w:rsid w:val="5ABC77A3"/>
    <w:rsid w:val="5ABE2233"/>
    <w:rsid w:val="5ACD70A1"/>
    <w:rsid w:val="5ACE15D8"/>
    <w:rsid w:val="5ADC0A74"/>
    <w:rsid w:val="5AEB38B4"/>
    <w:rsid w:val="5AF15C80"/>
    <w:rsid w:val="5B02532D"/>
    <w:rsid w:val="5B097A2F"/>
    <w:rsid w:val="5B0F2246"/>
    <w:rsid w:val="5B0F4F89"/>
    <w:rsid w:val="5B28155D"/>
    <w:rsid w:val="5B29654F"/>
    <w:rsid w:val="5B3E5C09"/>
    <w:rsid w:val="5B435A44"/>
    <w:rsid w:val="5B501F0F"/>
    <w:rsid w:val="5B642C1A"/>
    <w:rsid w:val="5B6F6839"/>
    <w:rsid w:val="5B707D24"/>
    <w:rsid w:val="5B7C339D"/>
    <w:rsid w:val="5B7F45A2"/>
    <w:rsid w:val="5B8A5421"/>
    <w:rsid w:val="5BC22E0D"/>
    <w:rsid w:val="5BC96B61"/>
    <w:rsid w:val="5BDF5D95"/>
    <w:rsid w:val="5BE1267A"/>
    <w:rsid w:val="5BF50F77"/>
    <w:rsid w:val="5BF705DC"/>
    <w:rsid w:val="5BFE7528"/>
    <w:rsid w:val="5C10335F"/>
    <w:rsid w:val="5C3D06E5"/>
    <w:rsid w:val="5C45759A"/>
    <w:rsid w:val="5C5872CD"/>
    <w:rsid w:val="5C5D2B35"/>
    <w:rsid w:val="5C5F7930"/>
    <w:rsid w:val="5C7A5495"/>
    <w:rsid w:val="5C7B120D"/>
    <w:rsid w:val="5C8C6F77"/>
    <w:rsid w:val="5CAF3D72"/>
    <w:rsid w:val="5CB309A7"/>
    <w:rsid w:val="5CC22998"/>
    <w:rsid w:val="5CC44740"/>
    <w:rsid w:val="5CCA2BCC"/>
    <w:rsid w:val="5CCB7A9F"/>
    <w:rsid w:val="5CCE7890"/>
    <w:rsid w:val="5CD32DF8"/>
    <w:rsid w:val="5CD62221"/>
    <w:rsid w:val="5CDA63B3"/>
    <w:rsid w:val="5CE46DB3"/>
    <w:rsid w:val="5CFB70FB"/>
    <w:rsid w:val="5D0869AB"/>
    <w:rsid w:val="5D186745"/>
    <w:rsid w:val="5D1A6762"/>
    <w:rsid w:val="5D3C7F56"/>
    <w:rsid w:val="5D3F7DEB"/>
    <w:rsid w:val="5D777C27"/>
    <w:rsid w:val="5D7B275A"/>
    <w:rsid w:val="5D814602"/>
    <w:rsid w:val="5D845EA0"/>
    <w:rsid w:val="5D9407D9"/>
    <w:rsid w:val="5D9B1B67"/>
    <w:rsid w:val="5DA21E2E"/>
    <w:rsid w:val="5DA61374"/>
    <w:rsid w:val="5DB4672A"/>
    <w:rsid w:val="5DC23523"/>
    <w:rsid w:val="5DDE2BCC"/>
    <w:rsid w:val="5DE278B4"/>
    <w:rsid w:val="5DE701AD"/>
    <w:rsid w:val="5DED4AA5"/>
    <w:rsid w:val="5DF9063C"/>
    <w:rsid w:val="5DFD1B54"/>
    <w:rsid w:val="5E006807"/>
    <w:rsid w:val="5E082F75"/>
    <w:rsid w:val="5E0A2849"/>
    <w:rsid w:val="5E137602"/>
    <w:rsid w:val="5E1E4546"/>
    <w:rsid w:val="5E2254B7"/>
    <w:rsid w:val="5E2467F1"/>
    <w:rsid w:val="5E2558D5"/>
    <w:rsid w:val="5E362DD5"/>
    <w:rsid w:val="5E3653EC"/>
    <w:rsid w:val="5E3B790F"/>
    <w:rsid w:val="5E443FAD"/>
    <w:rsid w:val="5E465BF2"/>
    <w:rsid w:val="5E562187"/>
    <w:rsid w:val="5E631F59"/>
    <w:rsid w:val="5E646FD0"/>
    <w:rsid w:val="5E6737F7"/>
    <w:rsid w:val="5E693B36"/>
    <w:rsid w:val="5E7111F3"/>
    <w:rsid w:val="5E7F289A"/>
    <w:rsid w:val="5E8709DA"/>
    <w:rsid w:val="5E8B43AC"/>
    <w:rsid w:val="5E930A90"/>
    <w:rsid w:val="5E9E0FE8"/>
    <w:rsid w:val="5EA90415"/>
    <w:rsid w:val="5EB028E8"/>
    <w:rsid w:val="5EB36A3D"/>
    <w:rsid w:val="5EBC3BB2"/>
    <w:rsid w:val="5EBF3633"/>
    <w:rsid w:val="5EC073AC"/>
    <w:rsid w:val="5ECC46CF"/>
    <w:rsid w:val="5ED11872"/>
    <w:rsid w:val="5EDE31B9"/>
    <w:rsid w:val="5EF157B7"/>
    <w:rsid w:val="5EF751A1"/>
    <w:rsid w:val="5F0E4EE7"/>
    <w:rsid w:val="5F1715F6"/>
    <w:rsid w:val="5F1804F9"/>
    <w:rsid w:val="5F1A2B43"/>
    <w:rsid w:val="5F1B45DF"/>
    <w:rsid w:val="5F1D452F"/>
    <w:rsid w:val="5F1F6531"/>
    <w:rsid w:val="5F21609C"/>
    <w:rsid w:val="5F2636B2"/>
    <w:rsid w:val="5F2D2478"/>
    <w:rsid w:val="5F327371"/>
    <w:rsid w:val="5F523C4F"/>
    <w:rsid w:val="5F5521EA"/>
    <w:rsid w:val="5F652128"/>
    <w:rsid w:val="5F6534CE"/>
    <w:rsid w:val="5F7C1524"/>
    <w:rsid w:val="5F8D54E0"/>
    <w:rsid w:val="5F8F7DBC"/>
    <w:rsid w:val="5F9920D6"/>
    <w:rsid w:val="5F9955F1"/>
    <w:rsid w:val="5F9B7562"/>
    <w:rsid w:val="5F9B75BB"/>
    <w:rsid w:val="5FA4497F"/>
    <w:rsid w:val="5FAE702A"/>
    <w:rsid w:val="5FB07420"/>
    <w:rsid w:val="5FB15AF3"/>
    <w:rsid w:val="5FB837BB"/>
    <w:rsid w:val="5FC409D1"/>
    <w:rsid w:val="5FCB2EE0"/>
    <w:rsid w:val="5FCD7FD2"/>
    <w:rsid w:val="5FD83B58"/>
    <w:rsid w:val="5FD90725"/>
    <w:rsid w:val="5FEB2206"/>
    <w:rsid w:val="5FEF1D21"/>
    <w:rsid w:val="5FF71DBB"/>
    <w:rsid w:val="5FF76DFD"/>
    <w:rsid w:val="5FFA069B"/>
    <w:rsid w:val="5FFB5117"/>
    <w:rsid w:val="60001A61"/>
    <w:rsid w:val="60043E7F"/>
    <w:rsid w:val="600E119D"/>
    <w:rsid w:val="601242D9"/>
    <w:rsid w:val="60145C01"/>
    <w:rsid w:val="60156DFC"/>
    <w:rsid w:val="601B6757"/>
    <w:rsid w:val="602F59CF"/>
    <w:rsid w:val="60354FDB"/>
    <w:rsid w:val="603711B4"/>
    <w:rsid w:val="606F4BE5"/>
    <w:rsid w:val="60966616"/>
    <w:rsid w:val="609B3C2C"/>
    <w:rsid w:val="60AC5E39"/>
    <w:rsid w:val="60B371C8"/>
    <w:rsid w:val="60BF3DBF"/>
    <w:rsid w:val="60C42578"/>
    <w:rsid w:val="60CC405A"/>
    <w:rsid w:val="60D40EEC"/>
    <w:rsid w:val="60DF1D6B"/>
    <w:rsid w:val="60FB3D84"/>
    <w:rsid w:val="612260FC"/>
    <w:rsid w:val="613100ED"/>
    <w:rsid w:val="61377DF9"/>
    <w:rsid w:val="61440AE5"/>
    <w:rsid w:val="614E0318"/>
    <w:rsid w:val="615838CB"/>
    <w:rsid w:val="617304B8"/>
    <w:rsid w:val="617D3332"/>
    <w:rsid w:val="61870602"/>
    <w:rsid w:val="6192502F"/>
    <w:rsid w:val="619568CD"/>
    <w:rsid w:val="61A134C4"/>
    <w:rsid w:val="61AB2811"/>
    <w:rsid w:val="61AF3E33"/>
    <w:rsid w:val="61B9080E"/>
    <w:rsid w:val="61C17139"/>
    <w:rsid w:val="61C251E9"/>
    <w:rsid w:val="61C40E25"/>
    <w:rsid w:val="61C85CBC"/>
    <w:rsid w:val="61CA13BD"/>
    <w:rsid w:val="61D05B58"/>
    <w:rsid w:val="61E215D8"/>
    <w:rsid w:val="61E6537B"/>
    <w:rsid w:val="61E672D0"/>
    <w:rsid w:val="61EC033F"/>
    <w:rsid w:val="61ED4D3E"/>
    <w:rsid w:val="61ED7543"/>
    <w:rsid w:val="61F96E5C"/>
    <w:rsid w:val="61FA61A8"/>
    <w:rsid w:val="6208709F"/>
    <w:rsid w:val="621023F8"/>
    <w:rsid w:val="621B3775"/>
    <w:rsid w:val="621F43E9"/>
    <w:rsid w:val="622D6B06"/>
    <w:rsid w:val="622E0D81"/>
    <w:rsid w:val="622F041C"/>
    <w:rsid w:val="62364782"/>
    <w:rsid w:val="62411661"/>
    <w:rsid w:val="62500A46"/>
    <w:rsid w:val="625642AF"/>
    <w:rsid w:val="62571DD5"/>
    <w:rsid w:val="62587FA1"/>
    <w:rsid w:val="62775FD3"/>
    <w:rsid w:val="628C3A9E"/>
    <w:rsid w:val="628F3B45"/>
    <w:rsid w:val="629B1027"/>
    <w:rsid w:val="62A274F4"/>
    <w:rsid w:val="62A420D5"/>
    <w:rsid w:val="62B45479"/>
    <w:rsid w:val="62C63CF3"/>
    <w:rsid w:val="62CD28A7"/>
    <w:rsid w:val="62D022B3"/>
    <w:rsid w:val="62EE2F77"/>
    <w:rsid w:val="62EE7C3D"/>
    <w:rsid w:val="62F84840"/>
    <w:rsid w:val="62FB5113"/>
    <w:rsid w:val="630B1245"/>
    <w:rsid w:val="630C0E11"/>
    <w:rsid w:val="63165BB4"/>
    <w:rsid w:val="63184EA6"/>
    <w:rsid w:val="631D301E"/>
    <w:rsid w:val="63266631"/>
    <w:rsid w:val="632D7990"/>
    <w:rsid w:val="63305969"/>
    <w:rsid w:val="633778DF"/>
    <w:rsid w:val="634A36E8"/>
    <w:rsid w:val="634A401C"/>
    <w:rsid w:val="634E196F"/>
    <w:rsid w:val="635C0964"/>
    <w:rsid w:val="635D05E9"/>
    <w:rsid w:val="637013A0"/>
    <w:rsid w:val="63701BA4"/>
    <w:rsid w:val="637C00C3"/>
    <w:rsid w:val="637D1D0F"/>
    <w:rsid w:val="638766EA"/>
    <w:rsid w:val="6388493C"/>
    <w:rsid w:val="63935A41"/>
    <w:rsid w:val="6394356A"/>
    <w:rsid w:val="63974B7F"/>
    <w:rsid w:val="639B5DAA"/>
    <w:rsid w:val="63A85FF5"/>
    <w:rsid w:val="63AA61CA"/>
    <w:rsid w:val="63B3128D"/>
    <w:rsid w:val="63BA261B"/>
    <w:rsid w:val="63C61B2C"/>
    <w:rsid w:val="63C811DC"/>
    <w:rsid w:val="63D40BE9"/>
    <w:rsid w:val="63EB4ECB"/>
    <w:rsid w:val="63EB6C79"/>
    <w:rsid w:val="63F7386F"/>
    <w:rsid w:val="64055F8C"/>
    <w:rsid w:val="64102431"/>
    <w:rsid w:val="6415662B"/>
    <w:rsid w:val="64156F36"/>
    <w:rsid w:val="642301C1"/>
    <w:rsid w:val="6424218B"/>
    <w:rsid w:val="64243F39"/>
    <w:rsid w:val="64281AC5"/>
    <w:rsid w:val="643915E8"/>
    <w:rsid w:val="64393E88"/>
    <w:rsid w:val="64416899"/>
    <w:rsid w:val="644545DB"/>
    <w:rsid w:val="644D7933"/>
    <w:rsid w:val="64550596"/>
    <w:rsid w:val="64650D51"/>
    <w:rsid w:val="647C1FC7"/>
    <w:rsid w:val="647E7AED"/>
    <w:rsid w:val="648A6492"/>
    <w:rsid w:val="64904349"/>
    <w:rsid w:val="64935200"/>
    <w:rsid w:val="64947310"/>
    <w:rsid w:val="649C7F73"/>
    <w:rsid w:val="64A03EB1"/>
    <w:rsid w:val="64A30FE5"/>
    <w:rsid w:val="64A5243A"/>
    <w:rsid w:val="64A564CA"/>
    <w:rsid w:val="64C14E2F"/>
    <w:rsid w:val="64C46584"/>
    <w:rsid w:val="64CD1E40"/>
    <w:rsid w:val="64E33DF4"/>
    <w:rsid w:val="64E35BA2"/>
    <w:rsid w:val="64E50E08"/>
    <w:rsid w:val="64EA3882"/>
    <w:rsid w:val="64EA6F30"/>
    <w:rsid w:val="64F531DE"/>
    <w:rsid w:val="65010EB1"/>
    <w:rsid w:val="65047169"/>
    <w:rsid w:val="650C6EA7"/>
    <w:rsid w:val="65150451"/>
    <w:rsid w:val="651B533C"/>
    <w:rsid w:val="65217D3A"/>
    <w:rsid w:val="65373578"/>
    <w:rsid w:val="653814C2"/>
    <w:rsid w:val="653F727C"/>
    <w:rsid w:val="65414A5B"/>
    <w:rsid w:val="65477B39"/>
    <w:rsid w:val="654963FD"/>
    <w:rsid w:val="65510D5D"/>
    <w:rsid w:val="65516FAF"/>
    <w:rsid w:val="65586590"/>
    <w:rsid w:val="65640A91"/>
    <w:rsid w:val="65654809"/>
    <w:rsid w:val="65660CAD"/>
    <w:rsid w:val="657B6EE6"/>
    <w:rsid w:val="657C7D13"/>
    <w:rsid w:val="658263F0"/>
    <w:rsid w:val="65931CAD"/>
    <w:rsid w:val="65960E66"/>
    <w:rsid w:val="65BD536A"/>
    <w:rsid w:val="65C5250B"/>
    <w:rsid w:val="65C537C0"/>
    <w:rsid w:val="65E12554"/>
    <w:rsid w:val="65E47E23"/>
    <w:rsid w:val="65ED6210"/>
    <w:rsid w:val="65ED732E"/>
    <w:rsid w:val="65F53DDF"/>
    <w:rsid w:val="65F66AC0"/>
    <w:rsid w:val="65FB27D8"/>
    <w:rsid w:val="66042274"/>
    <w:rsid w:val="660B5AA1"/>
    <w:rsid w:val="661C580F"/>
    <w:rsid w:val="661E3C8F"/>
    <w:rsid w:val="6624668D"/>
    <w:rsid w:val="66291C85"/>
    <w:rsid w:val="663A059D"/>
    <w:rsid w:val="66456B14"/>
    <w:rsid w:val="66475D93"/>
    <w:rsid w:val="665714F9"/>
    <w:rsid w:val="665E7BD6"/>
    <w:rsid w:val="66610C6F"/>
    <w:rsid w:val="666426BD"/>
    <w:rsid w:val="6665785F"/>
    <w:rsid w:val="66781E13"/>
    <w:rsid w:val="66AB26EF"/>
    <w:rsid w:val="66B23249"/>
    <w:rsid w:val="66BF65CC"/>
    <w:rsid w:val="66C043ED"/>
    <w:rsid w:val="66C33EDD"/>
    <w:rsid w:val="66C63089"/>
    <w:rsid w:val="66C700A1"/>
    <w:rsid w:val="66C8029F"/>
    <w:rsid w:val="66CB796F"/>
    <w:rsid w:val="66CD08B8"/>
    <w:rsid w:val="66CF5F5D"/>
    <w:rsid w:val="66D44FD7"/>
    <w:rsid w:val="66DC7A69"/>
    <w:rsid w:val="66E856F1"/>
    <w:rsid w:val="66E8749F"/>
    <w:rsid w:val="66F95B50"/>
    <w:rsid w:val="66FA3C02"/>
    <w:rsid w:val="66FC1C19"/>
    <w:rsid w:val="66FC2F4B"/>
    <w:rsid w:val="670342D9"/>
    <w:rsid w:val="67092027"/>
    <w:rsid w:val="670C23B6"/>
    <w:rsid w:val="67112E9A"/>
    <w:rsid w:val="67191D4F"/>
    <w:rsid w:val="671F124A"/>
    <w:rsid w:val="672020EF"/>
    <w:rsid w:val="67237C83"/>
    <w:rsid w:val="67242BCD"/>
    <w:rsid w:val="672C1A82"/>
    <w:rsid w:val="673B3A73"/>
    <w:rsid w:val="67401089"/>
    <w:rsid w:val="67513297"/>
    <w:rsid w:val="676F3313"/>
    <w:rsid w:val="677328F5"/>
    <w:rsid w:val="677A33C6"/>
    <w:rsid w:val="677F6056"/>
    <w:rsid w:val="67803E2B"/>
    <w:rsid w:val="67895BBA"/>
    <w:rsid w:val="679766E8"/>
    <w:rsid w:val="67A05FCC"/>
    <w:rsid w:val="67A4621A"/>
    <w:rsid w:val="67B13D35"/>
    <w:rsid w:val="67B4658E"/>
    <w:rsid w:val="67CE0D8B"/>
    <w:rsid w:val="67D272DD"/>
    <w:rsid w:val="67DC5256"/>
    <w:rsid w:val="67DF722C"/>
    <w:rsid w:val="67E4487A"/>
    <w:rsid w:val="67EE6D37"/>
    <w:rsid w:val="67F72090"/>
    <w:rsid w:val="68055549"/>
    <w:rsid w:val="6817628E"/>
    <w:rsid w:val="68195A77"/>
    <w:rsid w:val="681A5D7E"/>
    <w:rsid w:val="681F6961"/>
    <w:rsid w:val="682E5386"/>
    <w:rsid w:val="68355718"/>
    <w:rsid w:val="68403510"/>
    <w:rsid w:val="684915E6"/>
    <w:rsid w:val="684B23DC"/>
    <w:rsid w:val="6852376A"/>
    <w:rsid w:val="685B03A4"/>
    <w:rsid w:val="68610A2F"/>
    <w:rsid w:val="68727968"/>
    <w:rsid w:val="68732B03"/>
    <w:rsid w:val="687436E1"/>
    <w:rsid w:val="687731D1"/>
    <w:rsid w:val="68792AA5"/>
    <w:rsid w:val="687E0E08"/>
    <w:rsid w:val="68805514"/>
    <w:rsid w:val="688774AD"/>
    <w:rsid w:val="688B4586"/>
    <w:rsid w:val="689D33CA"/>
    <w:rsid w:val="68AA5354"/>
    <w:rsid w:val="68B3531B"/>
    <w:rsid w:val="68D11D4D"/>
    <w:rsid w:val="68D72ABF"/>
    <w:rsid w:val="68D777CC"/>
    <w:rsid w:val="68DE2553"/>
    <w:rsid w:val="68E073BB"/>
    <w:rsid w:val="68E32614"/>
    <w:rsid w:val="68EF0FB9"/>
    <w:rsid w:val="68F7426D"/>
    <w:rsid w:val="68FE4303"/>
    <w:rsid w:val="690802CD"/>
    <w:rsid w:val="690D7691"/>
    <w:rsid w:val="69265F8F"/>
    <w:rsid w:val="6929524E"/>
    <w:rsid w:val="69316E2F"/>
    <w:rsid w:val="693E5A9D"/>
    <w:rsid w:val="69496AFB"/>
    <w:rsid w:val="694E2071"/>
    <w:rsid w:val="695753DE"/>
    <w:rsid w:val="69594684"/>
    <w:rsid w:val="695D049F"/>
    <w:rsid w:val="695D2E61"/>
    <w:rsid w:val="695F03E3"/>
    <w:rsid w:val="696B0289"/>
    <w:rsid w:val="6976529E"/>
    <w:rsid w:val="69766163"/>
    <w:rsid w:val="69794D27"/>
    <w:rsid w:val="697A3B33"/>
    <w:rsid w:val="698711F2"/>
    <w:rsid w:val="699257FF"/>
    <w:rsid w:val="699D6C67"/>
    <w:rsid w:val="69BE48BF"/>
    <w:rsid w:val="69C75B1C"/>
    <w:rsid w:val="69C81069"/>
    <w:rsid w:val="69CB22CB"/>
    <w:rsid w:val="69D44760"/>
    <w:rsid w:val="69D61D08"/>
    <w:rsid w:val="69EA352F"/>
    <w:rsid w:val="69EB1780"/>
    <w:rsid w:val="69F148BD"/>
    <w:rsid w:val="69F70168"/>
    <w:rsid w:val="6A0A597F"/>
    <w:rsid w:val="6A0F3293"/>
    <w:rsid w:val="6A2F5F67"/>
    <w:rsid w:val="6A3253CB"/>
    <w:rsid w:val="6A365779"/>
    <w:rsid w:val="6A394575"/>
    <w:rsid w:val="6A4168F5"/>
    <w:rsid w:val="6A520EC7"/>
    <w:rsid w:val="6A554E4C"/>
    <w:rsid w:val="6A5D4642"/>
    <w:rsid w:val="6A697781"/>
    <w:rsid w:val="6A7B44EF"/>
    <w:rsid w:val="6A7C1846"/>
    <w:rsid w:val="6A902328"/>
    <w:rsid w:val="6A9C2A7B"/>
    <w:rsid w:val="6A9E6C19"/>
    <w:rsid w:val="6A9F07BD"/>
    <w:rsid w:val="6AB44268"/>
    <w:rsid w:val="6AB538C7"/>
    <w:rsid w:val="6AB9362D"/>
    <w:rsid w:val="6AB942FB"/>
    <w:rsid w:val="6ABE5CA8"/>
    <w:rsid w:val="6AC26EEA"/>
    <w:rsid w:val="6AC63F9C"/>
    <w:rsid w:val="6AD10C31"/>
    <w:rsid w:val="6AD466B8"/>
    <w:rsid w:val="6ADE7537"/>
    <w:rsid w:val="6AEB65F5"/>
    <w:rsid w:val="6AF87E20"/>
    <w:rsid w:val="6AF92204"/>
    <w:rsid w:val="6AFE1987"/>
    <w:rsid w:val="6AFF1A6F"/>
    <w:rsid w:val="6B0B2914"/>
    <w:rsid w:val="6B105217"/>
    <w:rsid w:val="6B1B6095"/>
    <w:rsid w:val="6B2037BE"/>
    <w:rsid w:val="6B225676"/>
    <w:rsid w:val="6B2B45EE"/>
    <w:rsid w:val="6B322639"/>
    <w:rsid w:val="6B370FDE"/>
    <w:rsid w:val="6B3929BF"/>
    <w:rsid w:val="6B3E1D84"/>
    <w:rsid w:val="6B421874"/>
    <w:rsid w:val="6B446DAC"/>
    <w:rsid w:val="6B476E8A"/>
    <w:rsid w:val="6B4A059F"/>
    <w:rsid w:val="6B4A24D7"/>
    <w:rsid w:val="6B543355"/>
    <w:rsid w:val="6B557611"/>
    <w:rsid w:val="6B5826D1"/>
    <w:rsid w:val="6B593626"/>
    <w:rsid w:val="6B623CC4"/>
    <w:rsid w:val="6B736EEE"/>
    <w:rsid w:val="6B775BFA"/>
    <w:rsid w:val="6B827EC3"/>
    <w:rsid w:val="6B8A6D77"/>
    <w:rsid w:val="6B8E030F"/>
    <w:rsid w:val="6BB42046"/>
    <w:rsid w:val="6BD6020E"/>
    <w:rsid w:val="6BF47398"/>
    <w:rsid w:val="6BFD30C8"/>
    <w:rsid w:val="6BFE7948"/>
    <w:rsid w:val="6C0015B8"/>
    <w:rsid w:val="6C051047"/>
    <w:rsid w:val="6C0528A2"/>
    <w:rsid w:val="6C1825D5"/>
    <w:rsid w:val="6C1A00FB"/>
    <w:rsid w:val="6C2E3BA6"/>
    <w:rsid w:val="6C376EFF"/>
    <w:rsid w:val="6C4F1E1F"/>
    <w:rsid w:val="6C506E64"/>
    <w:rsid w:val="6C561005"/>
    <w:rsid w:val="6C636C38"/>
    <w:rsid w:val="6C64361A"/>
    <w:rsid w:val="6C670B81"/>
    <w:rsid w:val="6C6765F4"/>
    <w:rsid w:val="6C6E41C8"/>
    <w:rsid w:val="6C7E6210"/>
    <w:rsid w:val="6C983716"/>
    <w:rsid w:val="6C9C7102"/>
    <w:rsid w:val="6CA64886"/>
    <w:rsid w:val="6CB5251A"/>
    <w:rsid w:val="6CC22541"/>
    <w:rsid w:val="6CCA1E8A"/>
    <w:rsid w:val="6CD93C29"/>
    <w:rsid w:val="6CEF5EE5"/>
    <w:rsid w:val="6CFB0F22"/>
    <w:rsid w:val="6CFE4664"/>
    <w:rsid w:val="6D0019E7"/>
    <w:rsid w:val="6D027F1B"/>
    <w:rsid w:val="6D0464C0"/>
    <w:rsid w:val="6D056073"/>
    <w:rsid w:val="6D164864"/>
    <w:rsid w:val="6D1B4778"/>
    <w:rsid w:val="6D242106"/>
    <w:rsid w:val="6D505D9E"/>
    <w:rsid w:val="6D5B1082"/>
    <w:rsid w:val="6D5C4C92"/>
    <w:rsid w:val="6D642C3B"/>
    <w:rsid w:val="6D7D18C2"/>
    <w:rsid w:val="6D800432"/>
    <w:rsid w:val="6D8332DD"/>
    <w:rsid w:val="6D910891"/>
    <w:rsid w:val="6D97577B"/>
    <w:rsid w:val="6DAD0311"/>
    <w:rsid w:val="6DB0454D"/>
    <w:rsid w:val="6DB34098"/>
    <w:rsid w:val="6DB545B6"/>
    <w:rsid w:val="6DBD3434"/>
    <w:rsid w:val="6DD44130"/>
    <w:rsid w:val="6DD90A51"/>
    <w:rsid w:val="6DDE5F54"/>
    <w:rsid w:val="6DE02FB4"/>
    <w:rsid w:val="6DE035C6"/>
    <w:rsid w:val="6DE5298B"/>
    <w:rsid w:val="6DEC3D19"/>
    <w:rsid w:val="6DEE183F"/>
    <w:rsid w:val="6DFF75FB"/>
    <w:rsid w:val="6E0E3C8F"/>
    <w:rsid w:val="6E0F17B6"/>
    <w:rsid w:val="6E121FBA"/>
    <w:rsid w:val="6E183C2D"/>
    <w:rsid w:val="6E1D3ED3"/>
    <w:rsid w:val="6E22773B"/>
    <w:rsid w:val="6E240BD6"/>
    <w:rsid w:val="6E2434B3"/>
    <w:rsid w:val="6E301E58"/>
    <w:rsid w:val="6E35746E"/>
    <w:rsid w:val="6E4771A1"/>
    <w:rsid w:val="6E514CED"/>
    <w:rsid w:val="6E5A4335"/>
    <w:rsid w:val="6E653527"/>
    <w:rsid w:val="6E6E7873"/>
    <w:rsid w:val="6E715748"/>
    <w:rsid w:val="6E7B0467"/>
    <w:rsid w:val="6E7E5706"/>
    <w:rsid w:val="6E86171B"/>
    <w:rsid w:val="6E8E1355"/>
    <w:rsid w:val="6E9C3DEA"/>
    <w:rsid w:val="6EA851ED"/>
    <w:rsid w:val="6EB563D5"/>
    <w:rsid w:val="6ED123F6"/>
    <w:rsid w:val="6ED17B95"/>
    <w:rsid w:val="6ED21161"/>
    <w:rsid w:val="6ED92677"/>
    <w:rsid w:val="6EF77316"/>
    <w:rsid w:val="6F0357BE"/>
    <w:rsid w:val="6F0911A6"/>
    <w:rsid w:val="6F0E4ACF"/>
    <w:rsid w:val="6F2249A2"/>
    <w:rsid w:val="6F225983"/>
    <w:rsid w:val="6F2A2D4B"/>
    <w:rsid w:val="6F2E3E0A"/>
    <w:rsid w:val="6F4B3C83"/>
    <w:rsid w:val="6F506FA1"/>
    <w:rsid w:val="6F63625D"/>
    <w:rsid w:val="6F6C3363"/>
    <w:rsid w:val="6F795A80"/>
    <w:rsid w:val="6F8A3237"/>
    <w:rsid w:val="6F8A37EA"/>
    <w:rsid w:val="6F92269E"/>
    <w:rsid w:val="6F993A2D"/>
    <w:rsid w:val="6F9A1B99"/>
    <w:rsid w:val="6F9B59F7"/>
    <w:rsid w:val="6F9B6CFD"/>
    <w:rsid w:val="6F9E54E7"/>
    <w:rsid w:val="6FA721D6"/>
    <w:rsid w:val="6FAB39B1"/>
    <w:rsid w:val="6FAD572A"/>
    <w:rsid w:val="6FB1521A"/>
    <w:rsid w:val="6FBB1BF5"/>
    <w:rsid w:val="6FBB39A3"/>
    <w:rsid w:val="6FC36C48"/>
    <w:rsid w:val="6FC62348"/>
    <w:rsid w:val="6FC765C9"/>
    <w:rsid w:val="6FCE11B4"/>
    <w:rsid w:val="6FCF38F2"/>
    <w:rsid w:val="6FD42F16"/>
    <w:rsid w:val="6FDC3E7A"/>
    <w:rsid w:val="6FEC0000"/>
    <w:rsid w:val="6FEF46E5"/>
    <w:rsid w:val="6FFC5590"/>
    <w:rsid w:val="6FFE3530"/>
    <w:rsid w:val="700845DA"/>
    <w:rsid w:val="701C781D"/>
    <w:rsid w:val="701E43FE"/>
    <w:rsid w:val="70280A53"/>
    <w:rsid w:val="70334951"/>
    <w:rsid w:val="705A0651"/>
    <w:rsid w:val="706B453B"/>
    <w:rsid w:val="706D1DD0"/>
    <w:rsid w:val="7072054E"/>
    <w:rsid w:val="707A560C"/>
    <w:rsid w:val="707D50FC"/>
    <w:rsid w:val="70810BBD"/>
    <w:rsid w:val="70856B87"/>
    <w:rsid w:val="708C1DF4"/>
    <w:rsid w:val="709C6FFD"/>
    <w:rsid w:val="709D1212"/>
    <w:rsid w:val="709D6F8E"/>
    <w:rsid w:val="70A34D64"/>
    <w:rsid w:val="70A94143"/>
    <w:rsid w:val="70AB3A18"/>
    <w:rsid w:val="70B00196"/>
    <w:rsid w:val="70BB3D49"/>
    <w:rsid w:val="70CD5C84"/>
    <w:rsid w:val="70D07E82"/>
    <w:rsid w:val="70D527EE"/>
    <w:rsid w:val="70DC0075"/>
    <w:rsid w:val="70E003DD"/>
    <w:rsid w:val="70EE591B"/>
    <w:rsid w:val="710413C6"/>
    <w:rsid w:val="71145A61"/>
    <w:rsid w:val="71194D77"/>
    <w:rsid w:val="711F7F62"/>
    <w:rsid w:val="71341434"/>
    <w:rsid w:val="713E2ADE"/>
    <w:rsid w:val="714A2A0F"/>
    <w:rsid w:val="715B2E69"/>
    <w:rsid w:val="715B5300"/>
    <w:rsid w:val="71612D83"/>
    <w:rsid w:val="716B7ACE"/>
    <w:rsid w:val="71791D68"/>
    <w:rsid w:val="717A322B"/>
    <w:rsid w:val="718F158B"/>
    <w:rsid w:val="719A6C7C"/>
    <w:rsid w:val="71AF7537"/>
    <w:rsid w:val="71B47D1E"/>
    <w:rsid w:val="71B83E60"/>
    <w:rsid w:val="71BC3A02"/>
    <w:rsid w:val="71C01745"/>
    <w:rsid w:val="71C26CCD"/>
    <w:rsid w:val="71C51092"/>
    <w:rsid w:val="71CA575D"/>
    <w:rsid w:val="71D27892"/>
    <w:rsid w:val="71D27F8A"/>
    <w:rsid w:val="71D61496"/>
    <w:rsid w:val="71E36184"/>
    <w:rsid w:val="71ED62B2"/>
    <w:rsid w:val="72071122"/>
    <w:rsid w:val="722426FB"/>
    <w:rsid w:val="7240162F"/>
    <w:rsid w:val="724A3704"/>
    <w:rsid w:val="724A6301"/>
    <w:rsid w:val="724A7260"/>
    <w:rsid w:val="725105EF"/>
    <w:rsid w:val="725325B9"/>
    <w:rsid w:val="72553024"/>
    <w:rsid w:val="7258372B"/>
    <w:rsid w:val="72640322"/>
    <w:rsid w:val="726D5EAA"/>
    <w:rsid w:val="72916C3D"/>
    <w:rsid w:val="72AA13AB"/>
    <w:rsid w:val="72AA7C53"/>
    <w:rsid w:val="72AC1CC9"/>
    <w:rsid w:val="72B312A9"/>
    <w:rsid w:val="72D134DE"/>
    <w:rsid w:val="72D24D20"/>
    <w:rsid w:val="72E34943"/>
    <w:rsid w:val="72E43211"/>
    <w:rsid w:val="73075151"/>
    <w:rsid w:val="73122968"/>
    <w:rsid w:val="731F5D5E"/>
    <w:rsid w:val="73210D81"/>
    <w:rsid w:val="73212BB1"/>
    <w:rsid w:val="732E3316"/>
    <w:rsid w:val="7330511B"/>
    <w:rsid w:val="73332073"/>
    <w:rsid w:val="73465393"/>
    <w:rsid w:val="734A33B9"/>
    <w:rsid w:val="735465E8"/>
    <w:rsid w:val="73601D90"/>
    <w:rsid w:val="73624809"/>
    <w:rsid w:val="7375150F"/>
    <w:rsid w:val="7375655F"/>
    <w:rsid w:val="737F5A99"/>
    <w:rsid w:val="73852C46"/>
    <w:rsid w:val="7386251A"/>
    <w:rsid w:val="738A2EF6"/>
    <w:rsid w:val="738B5376"/>
    <w:rsid w:val="738D38A8"/>
    <w:rsid w:val="73972979"/>
    <w:rsid w:val="73AB3D2F"/>
    <w:rsid w:val="73AF2A42"/>
    <w:rsid w:val="73C51AD5"/>
    <w:rsid w:val="73CE0682"/>
    <w:rsid w:val="73D410DF"/>
    <w:rsid w:val="73D76698"/>
    <w:rsid w:val="73D90F2E"/>
    <w:rsid w:val="73E800A1"/>
    <w:rsid w:val="73E8779A"/>
    <w:rsid w:val="7406129A"/>
    <w:rsid w:val="740A314B"/>
    <w:rsid w:val="7419338E"/>
    <w:rsid w:val="741E793C"/>
    <w:rsid w:val="74212243"/>
    <w:rsid w:val="742E59AC"/>
    <w:rsid w:val="7430190F"/>
    <w:rsid w:val="74312486"/>
    <w:rsid w:val="7434641A"/>
    <w:rsid w:val="74407F2A"/>
    <w:rsid w:val="744B14B2"/>
    <w:rsid w:val="7457144B"/>
    <w:rsid w:val="745C52CD"/>
    <w:rsid w:val="745E3944"/>
    <w:rsid w:val="74623EF6"/>
    <w:rsid w:val="746638E2"/>
    <w:rsid w:val="74663AF7"/>
    <w:rsid w:val="74714F78"/>
    <w:rsid w:val="74786307"/>
    <w:rsid w:val="74795BDB"/>
    <w:rsid w:val="747E4D39"/>
    <w:rsid w:val="74844CAB"/>
    <w:rsid w:val="7485094A"/>
    <w:rsid w:val="749869A9"/>
    <w:rsid w:val="749A38A6"/>
    <w:rsid w:val="749B3DA3"/>
    <w:rsid w:val="749B3DDB"/>
    <w:rsid w:val="74AA1E8D"/>
    <w:rsid w:val="74BD7DF0"/>
    <w:rsid w:val="74C1307D"/>
    <w:rsid w:val="74CD60C7"/>
    <w:rsid w:val="74D4757B"/>
    <w:rsid w:val="74D84FF7"/>
    <w:rsid w:val="74DA2B1D"/>
    <w:rsid w:val="74E15AE8"/>
    <w:rsid w:val="74E27C24"/>
    <w:rsid w:val="74E4574A"/>
    <w:rsid w:val="750620B7"/>
    <w:rsid w:val="751969CB"/>
    <w:rsid w:val="751B470E"/>
    <w:rsid w:val="752244C4"/>
    <w:rsid w:val="752B093A"/>
    <w:rsid w:val="75363ACC"/>
    <w:rsid w:val="753F5076"/>
    <w:rsid w:val="7545748A"/>
    <w:rsid w:val="75561A9A"/>
    <w:rsid w:val="755F3023"/>
    <w:rsid w:val="756E770A"/>
    <w:rsid w:val="7571363D"/>
    <w:rsid w:val="757765BE"/>
    <w:rsid w:val="758E7F20"/>
    <w:rsid w:val="75AA6994"/>
    <w:rsid w:val="75B72E5F"/>
    <w:rsid w:val="75B73CC0"/>
    <w:rsid w:val="75B82733"/>
    <w:rsid w:val="75BF724F"/>
    <w:rsid w:val="75C224EA"/>
    <w:rsid w:val="75CD609C"/>
    <w:rsid w:val="75D25EEA"/>
    <w:rsid w:val="75D92DD5"/>
    <w:rsid w:val="75E13F77"/>
    <w:rsid w:val="75E142DD"/>
    <w:rsid w:val="75E56E03"/>
    <w:rsid w:val="75F92774"/>
    <w:rsid w:val="76171BA2"/>
    <w:rsid w:val="761B4776"/>
    <w:rsid w:val="761F0029"/>
    <w:rsid w:val="76257DC8"/>
    <w:rsid w:val="762D4ECF"/>
    <w:rsid w:val="7635099D"/>
    <w:rsid w:val="76393874"/>
    <w:rsid w:val="763C3364"/>
    <w:rsid w:val="763D7808"/>
    <w:rsid w:val="763E532E"/>
    <w:rsid w:val="76432944"/>
    <w:rsid w:val="76452218"/>
    <w:rsid w:val="764A5A81"/>
    <w:rsid w:val="765E3992"/>
    <w:rsid w:val="76667588"/>
    <w:rsid w:val="76674885"/>
    <w:rsid w:val="76876CD5"/>
    <w:rsid w:val="76962A74"/>
    <w:rsid w:val="76A00DBE"/>
    <w:rsid w:val="76A07D97"/>
    <w:rsid w:val="76AC673B"/>
    <w:rsid w:val="76B1057D"/>
    <w:rsid w:val="76B13D52"/>
    <w:rsid w:val="76B41103"/>
    <w:rsid w:val="76CA0970"/>
    <w:rsid w:val="76D07E4B"/>
    <w:rsid w:val="76DA5057"/>
    <w:rsid w:val="76F8372F"/>
    <w:rsid w:val="771153BB"/>
    <w:rsid w:val="771816DB"/>
    <w:rsid w:val="77185C44"/>
    <w:rsid w:val="771B6ECB"/>
    <w:rsid w:val="771D2A91"/>
    <w:rsid w:val="772B6B59"/>
    <w:rsid w:val="772C4BC4"/>
    <w:rsid w:val="772E7150"/>
    <w:rsid w:val="77422C1F"/>
    <w:rsid w:val="774626EC"/>
    <w:rsid w:val="775363CA"/>
    <w:rsid w:val="77560455"/>
    <w:rsid w:val="775A4279"/>
    <w:rsid w:val="775C443F"/>
    <w:rsid w:val="775D0FB3"/>
    <w:rsid w:val="775E03AB"/>
    <w:rsid w:val="77723595"/>
    <w:rsid w:val="77762421"/>
    <w:rsid w:val="777F4A4A"/>
    <w:rsid w:val="7786611A"/>
    <w:rsid w:val="77972F48"/>
    <w:rsid w:val="77A33056"/>
    <w:rsid w:val="77A873EE"/>
    <w:rsid w:val="77B56B1F"/>
    <w:rsid w:val="77BB092B"/>
    <w:rsid w:val="77BF5FFA"/>
    <w:rsid w:val="77CA6784"/>
    <w:rsid w:val="77D73344"/>
    <w:rsid w:val="77EB3293"/>
    <w:rsid w:val="77F24622"/>
    <w:rsid w:val="78000AED"/>
    <w:rsid w:val="78050278"/>
    <w:rsid w:val="78080814"/>
    <w:rsid w:val="780879A1"/>
    <w:rsid w:val="780D320A"/>
    <w:rsid w:val="780F09F4"/>
    <w:rsid w:val="78325812"/>
    <w:rsid w:val="78340796"/>
    <w:rsid w:val="78364837"/>
    <w:rsid w:val="78385626"/>
    <w:rsid w:val="783B6E3B"/>
    <w:rsid w:val="7848280D"/>
    <w:rsid w:val="785001DA"/>
    <w:rsid w:val="78542DFD"/>
    <w:rsid w:val="785D300F"/>
    <w:rsid w:val="786F5C73"/>
    <w:rsid w:val="787E7C64"/>
    <w:rsid w:val="78852DA0"/>
    <w:rsid w:val="788E5EEC"/>
    <w:rsid w:val="78927330"/>
    <w:rsid w:val="78986B50"/>
    <w:rsid w:val="78A551F0"/>
    <w:rsid w:val="78A90480"/>
    <w:rsid w:val="78C825DD"/>
    <w:rsid w:val="78D51D24"/>
    <w:rsid w:val="78DB3308"/>
    <w:rsid w:val="78E24696"/>
    <w:rsid w:val="78E75809"/>
    <w:rsid w:val="78EE4372"/>
    <w:rsid w:val="79065A72"/>
    <w:rsid w:val="79126469"/>
    <w:rsid w:val="79160454"/>
    <w:rsid w:val="791731CF"/>
    <w:rsid w:val="79273E57"/>
    <w:rsid w:val="792B7DEB"/>
    <w:rsid w:val="792F0F5E"/>
    <w:rsid w:val="79305402"/>
    <w:rsid w:val="7939354E"/>
    <w:rsid w:val="795E25FE"/>
    <w:rsid w:val="797777F3"/>
    <w:rsid w:val="797E16E3"/>
    <w:rsid w:val="79872B48"/>
    <w:rsid w:val="798B088A"/>
    <w:rsid w:val="79965DB5"/>
    <w:rsid w:val="79977AEA"/>
    <w:rsid w:val="79A24598"/>
    <w:rsid w:val="79C8563A"/>
    <w:rsid w:val="79CC6986"/>
    <w:rsid w:val="79CE2225"/>
    <w:rsid w:val="79CE4C1B"/>
    <w:rsid w:val="79CE69C9"/>
    <w:rsid w:val="79DE4E5E"/>
    <w:rsid w:val="79DF0D7A"/>
    <w:rsid w:val="79E65AC0"/>
    <w:rsid w:val="79E82B36"/>
    <w:rsid w:val="79E85CDC"/>
    <w:rsid w:val="79E87A8A"/>
    <w:rsid w:val="79ED7EF9"/>
    <w:rsid w:val="79F010BC"/>
    <w:rsid w:val="79F64450"/>
    <w:rsid w:val="79F75F20"/>
    <w:rsid w:val="7A03685D"/>
    <w:rsid w:val="7A067F11"/>
    <w:rsid w:val="7A132EAD"/>
    <w:rsid w:val="7A155EFA"/>
    <w:rsid w:val="7A18249D"/>
    <w:rsid w:val="7A364017"/>
    <w:rsid w:val="7A3E00FB"/>
    <w:rsid w:val="7A3E3B4E"/>
    <w:rsid w:val="7A484DEF"/>
    <w:rsid w:val="7A5F362F"/>
    <w:rsid w:val="7A6A1FE3"/>
    <w:rsid w:val="7A781626"/>
    <w:rsid w:val="7A7E52AE"/>
    <w:rsid w:val="7A8265E1"/>
    <w:rsid w:val="7A8279C3"/>
    <w:rsid w:val="7A8A28F0"/>
    <w:rsid w:val="7A965738"/>
    <w:rsid w:val="7A9B4486"/>
    <w:rsid w:val="7A9E0310"/>
    <w:rsid w:val="7AA4179C"/>
    <w:rsid w:val="7ABB519F"/>
    <w:rsid w:val="7AC53928"/>
    <w:rsid w:val="7AD26045"/>
    <w:rsid w:val="7AD44C3C"/>
    <w:rsid w:val="7AD84E8F"/>
    <w:rsid w:val="7ADA60F7"/>
    <w:rsid w:val="7AE533A0"/>
    <w:rsid w:val="7AE61E7C"/>
    <w:rsid w:val="7AF67F85"/>
    <w:rsid w:val="7AFA34D6"/>
    <w:rsid w:val="7AFB2F8D"/>
    <w:rsid w:val="7B034450"/>
    <w:rsid w:val="7B267B3F"/>
    <w:rsid w:val="7B395313"/>
    <w:rsid w:val="7B4927AB"/>
    <w:rsid w:val="7B5023AB"/>
    <w:rsid w:val="7B520CB9"/>
    <w:rsid w:val="7B58479C"/>
    <w:rsid w:val="7B5B3CEA"/>
    <w:rsid w:val="7B6773DA"/>
    <w:rsid w:val="7B686D42"/>
    <w:rsid w:val="7B841746"/>
    <w:rsid w:val="7B955588"/>
    <w:rsid w:val="7B9A4DB4"/>
    <w:rsid w:val="7B9D2AF7"/>
    <w:rsid w:val="7BAA6108"/>
    <w:rsid w:val="7BB340C8"/>
    <w:rsid w:val="7BBC11CF"/>
    <w:rsid w:val="7BC10C4E"/>
    <w:rsid w:val="7BC42AAA"/>
    <w:rsid w:val="7BC82F05"/>
    <w:rsid w:val="7BDF5A57"/>
    <w:rsid w:val="7BE82D0A"/>
    <w:rsid w:val="7BED2977"/>
    <w:rsid w:val="7BFA3AA5"/>
    <w:rsid w:val="7BFE6DB9"/>
    <w:rsid w:val="7C223EFD"/>
    <w:rsid w:val="7C2E75F9"/>
    <w:rsid w:val="7C374CF9"/>
    <w:rsid w:val="7C402B46"/>
    <w:rsid w:val="7C480CB4"/>
    <w:rsid w:val="7C510EFD"/>
    <w:rsid w:val="7C52568F"/>
    <w:rsid w:val="7C52743D"/>
    <w:rsid w:val="7C555DE3"/>
    <w:rsid w:val="7C5A19B8"/>
    <w:rsid w:val="7C5C02BC"/>
    <w:rsid w:val="7C694787"/>
    <w:rsid w:val="7C6C5AC7"/>
    <w:rsid w:val="7C84498C"/>
    <w:rsid w:val="7C923E9C"/>
    <w:rsid w:val="7CA67789"/>
    <w:rsid w:val="7CAB299F"/>
    <w:rsid w:val="7CAF6246"/>
    <w:rsid w:val="7CB009F6"/>
    <w:rsid w:val="7CBB3234"/>
    <w:rsid w:val="7CC272E3"/>
    <w:rsid w:val="7CC6544B"/>
    <w:rsid w:val="7CC96752"/>
    <w:rsid w:val="7CD10CAA"/>
    <w:rsid w:val="7CD12A78"/>
    <w:rsid w:val="7CD9227E"/>
    <w:rsid w:val="7CDB38D7"/>
    <w:rsid w:val="7CE113CB"/>
    <w:rsid w:val="7CE34539"/>
    <w:rsid w:val="7CE502B1"/>
    <w:rsid w:val="7CE5552B"/>
    <w:rsid w:val="7CF8114B"/>
    <w:rsid w:val="7D0239FF"/>
    <w:rsid w:val="7D124C9D"/>
    <w:rsid w:val="7D2232B3"/>
    <w:rsid w:val="7D272FE3"/>
    <w:rsid w:val="7D3D0571"/>
    <w:rsid w:val="7D405E05"/>
    <w:rsid w:val="7D5E40CD"/>
    <w:rsid w:val="7D6F2271"/>
    <w:rsid w:val="7D831878"/>
    <w:rsid w:val="7D863400"/>
    <w:rsid w:val="7D944FDD"/>
    <w:rsid w:val="7D99787E"/>
    <w:rsid w:val="7DA01972"/>
    <w:rsid w:val="7DAC0DCF"/>
    <w:rsid w:val="7DB732B9"/>
    <w:rsid w:val="7DC022D8"/>
    <w:rsid w:val="7DC0487A"/>
    <w:rsid w:val="7DC223A1"/>
    <w:rsid w:val="7DC67136"/>
    <w:rsid w:val="7DCB087D"/>
    <w:rsid w:val="7DCD3947"/>
    <w:rsid w:val="7DCD56F2"/>
    <w:rsid w:val="7DD4265A"/>
    <w:rsid w:val="7DDA320F"/>
    <w:rsid w:val="7DFA7D8C"/>
    <w:rsid w:val="7E0806FB"/>
    <w:rsid w:val="7E09083B"/>
    <w:rsid w:val="7E1540B9"/>
    <w:rsid w:val="7E250782"/>
    <w:rsid w:val="7E2A4D43"/>
    <w:rsid w:val="7E374B3D"/>
    <w:rsid w:val="7E4B1FC6"/>
    <w:rsid w:val="7E573431"/>
    <w:rsid w:val="7E77762F"/>
    <w:rsid w:val="7E7B73BA"/>
    <w:rsid w:val="7E7F11B5"/>
    <w:rsid w:val="7EA1732E"/>
    <w:rsid w:val="7EA5419C"/>
    <w:rsid w:val="7EA63A70"/>
    <w:rsid w:val="7EA667AD"/>
    <w:rsid w:val="7EA85A3A"/>
    <w:rsid w:val="7EB663A9"/>
    <w:rsid w:val="7EB77A2B"/>
    <w:rsid w:val="7EBB576E"/>
    <w:rsid w:val="7ECD54A1"/>
    <w:rsid w:val="7ECF59B9"/>
    <w:rsid w:val="7EF26CB5"/>
    <w:rsid w:val="7EFF7672"/>
    <w:rsid w:val="7F001CE7"/>
    <w:rsid w:val="7F016A05"/>
    <w:rsid w:val="7F0709B3"/>
    <w:rsid w:val="7F0F1923"/>
    <w:rsid w:val="7F145D08"/>
    <w:rsid w:val="7F17671C"/>
    <w:rsid w:val="7F1B445E"/>
    <w:rsid w:val="7F1B7FBA"/>
    <w:rsid w:val="7F1C65B3"/>
    <w:rsid w:val="7F21759B"/>
    <w:rsid w:val="7F2350C1"/>
    <w:rsid w:val="7F3C6183"/>
    <w:rsid w:val="7F452CDB"/>
    <w:rsid w:val="7F5776D4"/>
    <w:rsid w:val="7F605312"/>
    <w:rsid w:val="7F631961"/>
    <w:rsid w:val="7F714AA4"/>
    <w:rsid w:val="7F7872D3"/>
    <w:rsid w:val="7F852CEF"/>
    <w:rsid w:val="7F852E05"/>
    <w:rsid w:val="7F914720"/>
    <w:rsid w:val="7F9B4879"/>
    <w:rsid w:val="7FB126CD"/>
    <w:rsid w:val="7FB77125"/>
    <w:rsid w:val="7FB801B1"/>
    <w:rsid w:val="7FBD6790"/>
    <w:rsid w:val="7FC0560F"/>
    <w:rsid w:val="7FCE327F"/>
    <w:rsid w:val="7FDE7B28"/>
    <w:rsid w:val="7FE449C9"/>
    <w:rsid w:val="7FE47E50"/>
    <w:rsid w:val="7FF63A35"/>
    <w:rsid w:val="7FF74356"/>
    <w:rsid w:val="7FFB458E"/>
    <w:rsid w:val="9F8B3DD8"/>
    <w:rsid w:val="FA7B6EB9"/>
    <w:rsid w:val="FEFCFEE0"/>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semiHidden="0" w:name="heading 3" w:locked="1"/>
    <w:lsdException w:qFormat="1" w:unhideWhenUsed="0" w:uiPriority="9" w:semiHidden="0" w:name="heading 4" w:locked="1"/>
    <w:lsdException w:qFormat="1"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ocked="1"/>
    <w:lsdException w:qFormat="1" w:uiPriority="0" w:name="caption"/>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unhideWhenUsed="0" w:uiPriority="0" w:semiHidden="0" w:name="annotation reference"/>
    <w:lsdException w:unhideWhenUsed="0" w:uiPriority="0" w:semiHidden="0" w:name="line number" w:locked="1"/>
    <w:lsdException w:unhideWhenUsed="0" w:uiPriority="0" w:semiHidden="0" w:name="page number"/>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semiHidden="0" w:name="Default Paragraph Font"/>
    <w:lsdException w:qFormat="1" w:unhideWhenUsed="0" w:uiPriority="0" w:semiHidden="0" w:name="Body Text"/>
    <w:lsdException w:qFormat="1"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unhideWhenUsed="0" w:uiPriority="0" w:semiHidden="0" w:name="Date"/>
    <w:lsdException w:unhideWhenUsed="0" w:uiPriority="0" w:semiHidden="0" w:name="Body Text First Indent"/>
    <w:lsdException w:qFormat="1" w:unhideWhenUsed="0" w:uiPriority="0" w:name="Body Text First Indent 2" w:locked="1"/>
    <w:lsdException w:qFormat="1" w:unhideWhenUsed="0" w:uiPriority="99" w:semiHidden="0" w:name="Note Heading"/>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unhideWhenUsed="0" w:uiPriority="0" w:semiHidden="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35"/>
    <w:qFormat/>
    <w:locked/>
    <w:uiPriority w:val="99"/>
    <w:pPr>
      <w:keepNext/>
      <w:numPr>
        <w:ilvl w:val="0"/>
        <w:numId w:val="1"/>
      </w:numPr>
      <w:overflowPunct w:val="0"/>
      <w:snapToGrid w:val="0"/>
      <w:spacing w:before="120" w:after="160" w:line="260" w:lineRule="auto"/>
      <w:jc w:val="center"/>
      <w:outlineLvl w:val="0"/>
    </w:pPr>
    <w:rPr>
      <w:rFonts w:eastAsia="黑体"/>
      <w:bCs/>
      <w:color w:val="000000"/>
      <w:kern w:val="44"/>
      <w:sz w:val="30"/>
      <w:szCs w:val="30"/>
    </w:rPr>
  </w:style>
  <w:style w:type="paragraph" w:styleId="4">
    <w:name w:val="heading 2"/>
    <w:basedOn w:val="1"/>
    <w:next w:val="1"/>
    <w:link w:val="43"/>
    <w:qFormat/>
    <w:locked/>
    <w:uiPriority w:val="0"/>
    <w:pPr>
      <w:numPr>
        <w:ilvl w:val="1"/>
        <w:numId w:val="0"/>
      </w:numPr>
      <w:tabs>
        <w:tab w:val="left" w:pos="0"/>
      </w:tabs>
      <w:spacing w:line="360" w:lineRule="auto"/>
      <w:outlineLvl w:val="1"/>
    </w:pPr>
    <w:rPr>
      <w:rFonts w:ascii="Times New Roman" w:hAnsi="Times New Roman" w:eastAsia="宋体"/>
      <w:b/>
      <w:bCs/>
      <w:sz w:val="28"/>
      <w:szCs w:val="28"/>
    </w:rPr>
  </w:style>
  <w:style w:type="paragraph" w:styleId="5">
    <w:name w:val="heading 3"/>
    <w:basedOn w:val="1"/>
    <w:next w:val="1"/>
    <w:link w:val="34"/>
    <w:unhideWhenUsed/>
    <w:qFormat/>
    <w:locked/>
    <w:uiPriority w:val="0"/>
    <w:pPr>
      <w:keepNext/>
      <w:keepLines/>
      <w:numPr>
        <w:ilvl w:val="2"/>
        <w:numId w:val="1"/>
      </w:numPr>
      <w:spacing w:line="360" w:lineRule="auto"/>
      <w:ind w:left="0" w:firstLine="0"/>
      <w:outlineLvl w:val="2"/>
    </w:pPr>
    <w:rPr>
      <w:rFonts w:ascii="Times New Roman" w:hAnsi="Times New Roman" w:eastAsia="宋体"/>
      <w:b/>
      <w:sz w:val="24"/>
    </w:rPr>
  </w:style>
  <w:style w:type="paragraph" w:styleId="6">
    <w:name w:val="heading 4"/>
    <w:basedOn w:val="1"/>
    <w:next w:val="1"/>
    <w:link w:val="29"/>
    <w:qFormat/>
    <w:locked/>
    <w:uiPriority w:val="9"/>
    <w:pPr>
      <w:keepNext/>
      <w:keepLines/>
      <w:numPr>
        <w:ilvl w:val="3"/>
        <w:numId w:val="1"/>
      </w:numPr>
      <w:spacing w:line="360" w:lineRule="auto"/>
      <w:ind w:left="0" w:firstLine="0"/>
      <w:jc w:val="left"/>
      <w:outlineLvl w:val="3"/>
    </w:pPr>
    <w:rPr>
      <w:rFonts w:ascii="Arial" w:hAnsi="Arial" w:eastAsia="宋体"/>
      <w:b/>
      <w:sz w:val="24"/>
    </w:rPr>
  </w:style>
  <w:style w:type="paragraph" w:styleId="7">
    <w:name w:val="heading 5"/>
    <w:basedOn w:val="1"/>
    <w:next w:val="8"/>
    <w:link w:val="51"/>
    <w:unhideWhenUsed/>
    <w:qFormat/>
    <w:locked/>
    <w:uiPriority w:val="0"/>
    <w:pPr>
      <w:keepNext/>
      <w:keepLines/>
      <w:numPr>
        <w:ilvl w:val="4"/>
        <w:numId w:val="2"/>
      </w:numPr>
      <w:tabs>
        <w:tab w:val="left" w:pos="0"/>
        <w:tab w:val="clear" w:pos="420"/>
      </w:tabs>
      <w:spacing w:before="120" w:after="120"/>
      <w:ind w:left="0" w:firstLine="720" w:firstLineChars="200"/>
      <w:outlineLvl w:val="4"/>
    </w:pPr>
    <w:rPr>
      <w:rFonts w:ascii="Times New Roman" w:hAnsi="Times New Roman" w:eastAsia="宋体"/>
      <w:sz w:val="24"/>
    </w:rPr>
  </w:style>
  <w:style w:type="paragraph" w:styleId="9">
    <w:name w:val="heading 6"/>
    <w:basedOn w:val="1"/>
    <w:next w:val="1"/>
    <w:semiHidden/>
    <w:unhideWhenUsed/>
    <w:qFormat/>
    <w:locked/>
    <w:uiPriority w:val="0"/>
    <w:pPr>
      <w:keepNext/>
      <w:keepLines/>
      <w:numPr>
        <w:ilvl w:val="5"/>
        <w:numId w:val="2"/>
      </w:numPr>
      <w:spacing w:before="240" w:after="64" w:line="317" w:lineRule="auto"/>
      <w:outlineLvl w:val="5"/>
    </w:pPr>
    <w:rPr>
      <w:rFonts w:ascii="Arial" w:hAnsi="Arial" w:eastAsia="黑体"/>
      <w:b/>
      <w:sz w:val="24"/>
    </w:rPr>
  </w:style>
  <w:style w:type="paragraph" w:styleId="10">
    <w:name w:val="heading 7"/>
    <w:basedOn w:val="1"/>
    <w:next w:val="1"/>
    <w:semiHidden/>
    <w:unhideWhenUsed/>
    <w:qFormat/>
    <w:locked/>
    <w:uiPriority w:val="0"/>
    <w:pPr>
      <w:keepNext/>
      <w:keepLines/>
      <w:numPr>
        <w:ilvl w:val="6"/>
        <w:numId w:val="2"/>
      </w:numPr>
      <w:spacing w:before="240" w:after="64" w:line="317" w:lineRule="auto"/>
      <w:outlineLvl w:val="6"/>
    </w:pPr>
    <w:rPr>
      <w:b/>
      <w:sz w:val="24"/>
    </w:rPr>
  </w:style>
  <w:style w:type="character" w:default="1" w:styleId="26">
    <w:name w:val="Default Paragraph Font"/>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2">
    <w:name w:val="toc 1"/>
    <w:basedOn w:val="1"/>
    <w:next w:val="1"/>
    <w:qFormat/>
    <w:uiPriority w:val="0"/>
    <w:pPr>
      <w:spacing w:before="120" w:after="120"/>
    </w:pPr>
    <w:rPr>
      <w:rFonts w:ascii="Times New Roman" w:hAnsi="Times New Roman" w:eastAsia="宋体"/>
      <w:sz w:val="28"/>
    </w:rPr>
  </w:style>
  <w:style w:type="paragraph" w:customStyle="1" w:styleId="8">
    <w:name w:val="闽创报告正文"/>
    <w:basedOn w:val="1"/>
    <w:link w:val="40"/>
    <w:qFormat/>
    <w:uiPriority w:val="0"/>
    <w:pPr>
      <w:tabs>
        <w:tab w:val="left" w:pos="0"/>
      </w:tabs>
      <w:spacing w:line="360" w:lineRule="auto"/>
      <w:ind w:firstLine="200" w:firstLineChars="200"/>
    </w:pPr>
    <w:rPr>
      <w:rFonts w:ascii="Times New Roman" w:hAnsi="Times New Roman" w:eastAsia="宋体"/>
      <w:color w:val="000000"/>
      <w:sz w:val="24"/>
    </w:rPr>
  </w:style>
  <w:style w:type="paragraph" w:styleId="11">
    <w:name w:val="Note Heading"/>
    <w:basedOn w:val="1"/>
    <w:next w:val="1"/>
    <w:qFormat/>
    <w:uiPriority w:val="99"/>
    <w:pPr>
      <w:jc w:val="left"/>
    </w:pPr>
  </w:style>
  <w:style w:type="paragraph" w:styleId="12">
    <w:name w:val="Normal Indent"/>
    <w:basedOn w:val="1"/>
    <w:qFormat/>
    <w:uiPriority w:val="0"/>
    <w:pPr>
      <w:ind w:firstLine="420" w:firstLineChars="200"/>
    </w:pPr>
    <w:rPr>
      <w:kern w:val="0"/>
      <w:sz w:val="20"/>
    </w:rPr>
  </w:style>
  <w:style w:type="paragraph" w:styleId="13">
    <w:name w:val="annotation text"/>
    <w:basedOn w:val="1"/>
    <w:qFormat/>
    <w:uiPriority w:val="0"/>
    <w:pPr>
      <w:jc w:val="left"/>
    </w:pPr>
  </w:style>
  <w:style w:type="paragraph" w:styleId="14">
    <w:name w:val="Body Text"/>
    <w:basedOn w:val="1"/>
    <w:next w:val="11"/>
    <w:qFormat/>
    <w:uiPriority w:val="0"/>
    <w:pPr>
      <w:widowControl/>
      <w:snapToGrid w:val="0"/>
      <w:spacing w:before="60" w:after="160" w:line="259" w:lineRule="auto"/>
      <w:ind w:right="113"/>
    </w:pPr>
    <w:rPr>
      <w:kern w:val="0"/>
      <w:sz w:val="18"/>
      <w:szCs w:val="20"/>
    </w:rPr>
  </w:style>
  <w:style w:type="paragraph" w:styleId="15">
    <w:name w:val="Body Text Indent"/>
    <w:basedOn w:val="1"/>
    <w:next w:val="16"/>
    <w:unhideWhenUsed/>
    <w:qFormat/>
    <w:uiPriority w:val="0"/>
    <w:pPr>
      <w:spacing w:after="120"/>
      <w:ind w:left="420" w:leftChars="200"/>
    </w:pPr>
    <w:rPr>
      <w:szCs w:val="24"/>
    </w:rPr>
  </w:style>
  <w:style w:type="paragraph" w:customStyle="1" w:styleId="16">
    <w:name w:val="样式 正文文本缩进 + 行距: 1.5 倍行距"/>
    <w:basedOn w:val="1"/>
    <w:qFormat/>
    <w:uiPriority w:val="0"/>
    <w:pPr>
      <w:spacing w:after="120"/>
      <w:ind w:left="90" w:leftChars="32" w:firstLine="560"/>
    </w:pPr>
    <w:rPr>
      <w:rFonts w:cs="宋体"/>
    </w:rPr>
  </w:style>
  <w:style w:type="paragraph" w:styleId="17">
    <w:name w:val="Plain Text"/>
    <w:basedOn w:val="1"/>
    <w:next w:val="14"/>
    <w:qFormat/>
    <w:uiPriority w:val="0"/>
    <w:rPr>
      <w:rFonts w:ascii="宋体" w:hAnsi="Courier New"/>
      <w:szCs w:val="20"/>
    </w:rPr>
  </w:style>
  <w:style w:type="paragraph" w:styleId="18">
    <w:name w:val="footer"/>
    <w:basedOn w:val="1"/>
    <w:qFormat/>
    <w:uiPriority w:val="0"/>
    <w:pPr>
      <w:tabs>
        <w:tab w:val="center" w:pos="4153"/>
        <w:tab w:val="right" w:pos="8306"/>
      </w:tabs>
      <w:snapToGrid w:val="0"/>
      <w:jc w:val="left"/>
    </w:pPr>
    <w:rPr>
      <w:sz w:val="18"/>
    </w:rPr>
  </w:style>
  <w:style w:type="paragraph" w:styleId="1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20">
    <w:name w:val="List"/>
    <w:basedOn w:val="1"/>
    <w:qFormat/>
    <w:uiPriority w:val="0"/>
    <w:pPr>
      <w:ind w:left="200" w:hanging="200" w:hangingChars="200"/>
    </w:pPr>
  </w:style>
  <w:style w:type="paragraph" w:styleId="21">
    <w:name w:val="toc 2"/>
    <w:basedOn w:val="1"/>
    <w:next w:val="1"/>
    <w:qFormat/>
    <w:locked/>
    <w:uiPriority w:val="0"/>
    <w:pPr>
      <w:ind w:left="420" w:leftChars="200"/>
    </w:pPr>
  </w:style>
  <w:style w:type="paragraph" w:styleId="22">
    <w:name w:val="Normal (Web)"/>
    <w:basedOn w:val="1"/>
    <w:qFormat/>
    <w:uiPriority w:val="0"/>
    <w:pPr>
      <w:spacing w:before="0" w:beforeAutospacing="1" w:after="0" w:afterAutospacing="1"/>
      <w:ind w:left="0" w:right="0"/>
      <w:jc w:val="left"/>
    </w:pPr>
    <w:rPr>
      <w:kern w:val="0"/>
      <w:sz w:val="24"/>
      <w:lang w:val="en-US" w:eastAsia="zh-CN" w:bidi="ar"/>
    </w:rPr>
  </w:style>
  <w:style w:type="paragraph" w:styleId="23">
    <w:name w:val="Body Text First Indent 2"/>
    <w:basedOn w:val="15"/>
    <w:next w:val="1"/>
    <w:semiHidden/>
    <w:qFormat/>
    <w:locked/>
    <w:uiPriority w:val="0"/>
    <w:pPr>
      <w:spacing w:after="0" w:line="360" w:lineRule="auto"/>
      <w:ind w:left="0" w:leftChars="0" w:firstLine="200" w:firstLineChars="200"/>
    </w:pPr>
    <w:rPr>
      <w:rFonts w:asciiTheme="minorHAnsi" w:hAnsiTheme="minorHAnsi" w:eastAsiaTheme="minorEastAsia"/>
      <w:sz w:val="24"/>
      <w:szCs w:val="28"/>
    </w:rPr>
  </w:style>
  <w:style w:type="table" w:styleId="25">
    <w:name w:val="Table Grid"/>
    <w:basedOn w:val="2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Hyperlink"/>
    <w:basedOn w:val="26"/>
    <w:qFormat/>
    <w:uiPriority w:val="0"/>
    <w:rPr>
      <w:color w:val="0000FF"/>
      <w:u w:val="single"/>
    </w:rPr>
  </w:style>
  <w:style w:type="paragraph" w:customStyle="1" w:styleId="28">
    <w:name w:val="0正文"/>
    <w:unhideWhenUsed/>
    <w:qFormat/>
    <w:uiPriority w:val="0"/>
    <w:pPr>
      <w:widowControl w:val="0"/>
      <w:spacing w:line="360" w:lineRule="auto"/>
      <w:ind w:firstLine="964" w:firstLineChars="200"/>
    </w:pPr>
    <w:rPr>
      <w:rFonts w:ascii="Times New Roman" w:hAnsi="Times New Roman" w:eastAsia="宋体" w:cs="Times New Roman"/>
      <w:sz w:val="24"/>
      <w:szCs w:val="22"/>
      <w:lang w:val="en-US" w:eastAsia="zh-CN" w:bidi="ar-SA"/>
    </w:rPr>
  </w:style>
  <w:style w:type="character" w:customStyle="1" w:styleId="29">
    <w:name w:val="标题 4 Char"/>
    <w:link w:val="6"/>
    <w:qFormat/>
    <w:uiPriority w:val="9"/>
    <w:rPr>
      <w:rFonts w:ascii="Arial" w:hAnsi="Arial" w:eastAsia="宋体"/>
      <w:b/>
      <w:sz w:val="24"/>
    </w:rPr>
  </w:style>
  <w:style w:type="paragraph" w:customStyle="1" w:styleId="30">
    <w:name w:val="表格标题"/>
    <w:basedOn w:val="1"/>
    <w:next w:val="31"/>
    <w:link w:val="32"/>
    <w:qFormat/>
    <w:uiPriority w:val="0"/>
    <w:pPr>
      <w:numPr>
        <w:ilvl w:val="7"/>
        <w:numId w:val="1"/>
      </w:numPr>
      <w:spacing w:line="240" w:lineRule="auto"/>
      <w:ind w:left="0" w:firstLine="0"/>
      <w:jc w:val="center"/>
    </w:pPr>
    <w:rPr>
      <w:rFonts w:ascii="Times New Roman" w:hAnsi="Times New Roman" w:eastAsia="宋体"/>
      <w:b/>
      <w:sz w:val="24"/>
    </w:rPr>
  </w:style>
  <w:style w:type="paragraph" w:customStyle="1" w:styleId="31">
    <w:name w:val="表格内容"/>
    <w:basedOn w:val="20"/>
    <w:next w:val="1"/>
    <w:link w:val="41"/>
    <w:qFormat/>
    <w:uiPriority w:val="0"/>
    <w:pPr>
      <w:tabs>
        <w:tab w:val="left" w:pos="0"/>
      </w:tabs>
      <w:ind w:left="0" w:firstLine="0" w:firstLineChars="0"/>
      <w:jc w:val="center"/>
    </w:pPr>
    <w:rPr>
      <w:rFonts w:ascii="Times New Roman" w:hAnsi="Times New Roman" w:eastAsia="宋体" w:cs="Times New Roman"/>
      <w:sz w:val="21"/>
    </w:rPr>
  </w:style>
  <w:style w:type="character" w:customStyle="1" w:styleId="32">
    <w:name w:val="表格标题 Char"/>
    <w:link w:val="30"/>
    <w:qFormat/>
    <w:uiPriority w:val="0"/>
    <w:rPr>
      <w:rFonts w:ascii="Times New Roman" w:hAnsi="Times New Roman" w:eastAsia="宋体"/>
      <w:b/>
      <w:sz w:val="24"/>
    </w:rPr>
  </w:style>
  <w:style w:type="paragraph" w:customStyle="1" w:styleId="33">
    <w:name w:val="图文标题"/>
    <w:basedOn w:val="1"/>
    <w:next w:val="1"/>
    <w:qFormat/>
    <w:uiPriority w:val="0"/>
    <w:pPr>
      <w:numPr>
        <w:ilvl w:val="8"/>
        <w:numId w:val="1"/>
      </w:numPr>
      <w:jc w:val="center"/>
    </w:pPr>
    <w:rPr>
      <w:b/>
      <w:sz w:val="24"/>
    </w:rPr>
  </w:style>
  <w:style w:type="character" w:customStyle="1" w:styleId="34">
    <w:name w:val="标题 3 Char1"/>
    <w:basedOn w:val="26"/>
    <w:link w:val="5"/>
    <w:qFormat/>
    <w:uiPriority w:val="0"/>
    <w:rPr>
      <w:rFonts w:ascii="Times New Roman" w:hAnsi="Times New Roman" w:eastAsia="宋体"/>
      <w:b/>
      <w:bCs/>
      <w:kern w:val="2"/>
      <w:sz w:val="24"/>
      <w:szCs w:val="32"/>
    </w:rPr>
  </w:style>
  <w:style w:type="character" w:customStyle="1" w:styleId="35">
    <w:name w:val="标题 1 Char"/>
    <w:basedOn w:val="26"/>
    <w:link w:val="3"/>
    <w:qFormat/>
    <w:uiPriority w:val="0"/>
    <w:rPr>
      <w:b/>
      <w:bCs/>
      <w:kern w:val="44"/>
      <w:sz w:val="44"/>
      <w:szCs w:val="44"/>
    </w:rPr>
  </w:style>
  <w:style w:type="paragraph" w:customStyle="1" w:styleId="36">
    <w:name w:val="Default"/>
    <w:basedOn w:val="37"/>
    <w:next w:val="38"/>
    <w:unhideWhenUsed/>
    <w:qFormat/>
    <w:uiPriority w:val="99"/>
    <w:pPr>
      <w:widowControl w:val="0"/>
      <w:autoSpaceDE w:val="0"/>
      <w:autoSpaceDN w:val="0"/>
      <w:adjustRightInd w:val="0"/>
      <w:spacing w:beforeLines="0" w:afterLines="0"/>
    </w:pPr>
    <w:rPr>
      <w:rFonts w:hint="eastAsia" w:ascii="宋体" w:hAnsi="宋体" w:eastAsia="宋体" w:cs="Times New Roman"/>
      <w:color w:val="000000"/>
      <w:sz w:val="24"/>
      <w:szCs w:val="24"/>
    </w:rPr>
  </w:style>
  <w:style w:type="paragraph" w:customStyle="1" w:styleId="37">
    <w:name w:val="纯文本1"/>
    <w:basedOn w:val="1"/>
    <w:next w:val="17"/>
    <w:qFormat/>
    <w:uiPriority w:val="0"/>
    <w:pPr>
      <w:adjustRightInd w:val="0"/>
      <w:textAlignment w:val="baseline"/>
    </w:pPr>
    <w:rPr>
      <w:rFonts w:ascii="宋体" w:hAnsi="Courier New"/>
    </w:rPr>
  </w:style>
  <w:style w:type="paragraph" w:customStyle="1" w:styleId="38">
    <w:name w:val="样式35"/>
    <w:next w:val="39"/>
    <w:qFormat/>
    <w:uiPriority w:val="99"/>
    <w:pPr>
      <w:widowControl w:val="0"/>
      <w:spacing w:line="312" w:lineRule="auto"/>
      <w:ind w:firstLine="567"/>
      <w:jc w:val="both"/>
    </w:pPr>
    <w:rPr>
      <w:rFonts w:ascii="宋体" w:hAnsi="Times New Roman" w:eastAsia="宋体" w:cs="Times New Roman"/>
      <w:kern w:val="2"/>
      <w:sz w:val="21"/>
      <w:szCs w:val="22"/>
      <w:lang w:val="en-US" w:eastAsia="zh-CN" w:bidi="ar-SA"/>
    </w:rPr>
  </w:style>
  <w:style w:type="paragraph" w:customStyle="1" w:styleId="39">
    <w:name w:val="font6"/>
    <w:basedOn w:val="1"/>
    <w:next w:val="21"/>
    <w:qFormat/>
    <w:uiPriority w:val="99"/>
    <w:pPr>
      <w:widowControl/>
      <w:spacing w:before="100" w:beforeAutospacing="1" w:after="100" w:afterAutospacing="1"/>
      <w:jc w:val="left"/>
    </w:pPr>
    <w:rPr>
      <w:rFonts w:ascii="宋体" w:hAnsi="宋体" w:cs="宋体"/>
      <w:kern w:val="0"/>
      <w:sz w:val="20"/>
      <w:szCs w:val="20"/>
    </w:rPr>
  </w:style>
  <w:style w:type="character" w:customStyle="1" w:styleId="40">
    <w:name w:val="报告正文 Char"/>
    <w:link w:val="8"/>
    <w:qFormat/>
    <w:uiPriority w:val="0"/>
    <w:rPr>
      <w:rFonts w:ascii="Times New Roman" w:hAnsi="Times New Roman" w:eastAsia="宋体"/>
      <w:color w:val="000000"/>
      <w:sz w:val="24"/>
      <w:szCs w:val="24"/>
    </w:rPr>
  </w:style>
  <w:style w:type="character" w:customStyle="1" w:styleId="41">
    <w:name w:val="表格内容 Char"/>
    <w:link w:val="31"/>
    <w:qFormat/>
    <w:uiPriority w:val="0"/>
    <w:rPr>
      <w:rFonts w:ascii="Times New Roman" w:hAnsi="Times New Roman" w:eastAsia="宋体"/>
      <w:sz w:val="21"/>
    </w:rPr>
  </w:style>
  <w:style w:type="table" w:customStyle="1" w:styleId="42">
    <w:name w:val="Table Normal"/>
    <w:semiHidden/>
    <w:unhideWhenUsed/>
    <w:qFormat/>
    <w:uiPriority w:val="0"/>
    <w:tblPr>
      <w:tblCellMar>
        <w:top w:w="0" w:type="dxa"/>
        <w:left w:w="0" w:type="dxa"/>
        <w:bottom w:w="0" w:type="dxa"/>
        <w:right w:w="0" w:type="dxa"/>
      </w:tblCellMar>
    </w:tblPr>
  </w:style>
  <w:style w:type="character" w:customStyle="1" w:styleId="43">
    <w:name w:val="标题 2 Char1"/>
    <w:basedOn w:val="26"/>
    <w:link w:val="4"/>
    <w:qFormat/>
    <w:uiPriority w:val="0"/>
    <w:rPr>
      <w:rFonts w:ascii="Times New Roman" w:hAnsi="Times New Roman" w:eastAsia="宋体" w:cs="Times New Roman"/>
      <w:b/>
      <w:bCs/>
      <w:kern w:val="2"/>
      <w:sz w:val="32"/>
      <w:szCs w:val="32"/>
    </w:rPr>
  </w:style>
  <w:style w:type="character" w:customStyle="1" w:styleId="44">
    <w:name w:val="font21"/>
    <w:basedOn w:val="26"/>
    <w:qFormat/>
    <w:uiPriority w:val="0"/>
    <w:rPr>
      <w:rFonts w:hint="eastAsia" w:ascii="宋体" w:hAnsi="宋体" w:eastAsia="宋体" w:cs="宋体"/>
      <w:color w:val="000000"/>
      <w:sz w:val="24"/>
      <w:szCs w:val="24"/>
      <w:u w:val="none"/>
    </w:rPr>
  </w:style>
  <w:style w:type="character" w:customStyle="1" w:styleId="45">
    <w:name w:val="font01"/>
    <w:basedOn w:val="26"/>
    <w:qFormat/>
    <w:uiPriority w:val="0"/>
    <w:rPr>
      <w:rFonts w:ascii="Calibri" w:hAnsi="Calibri" w:cs="Calibri"/>
      <w:color w:val="000000"/>
      <w:sz w:val="24"/>
      <w:szCs w:val="24"/>
      <w:u w:val="none"/>
    </w:rPr>
  </w:style>
  <w:style w:type="paragraph" w:customStyle="1" w:styleId="46">
    <w:name w:val="1正文"/>
    <w:basedOn w:val="1"/>
    <w:qFormat/>
    <w:uiPriority w:val="0"/>
    <w:pPr>
      <w:widowControl/>
      <w:adjustRightInd w:val="0"/>
      <w:snapToGrid w:val="0"/>
      <w:spacing w:line="360" w:lineRule="auto"/>
      <w:ind w:firstLine="480" w:firstLineChars="200"/>
      <w:jc w:val="left"/>
    </w:pPr>
    <w:rPr>
      <w:rFonts w:ascii="Times New Roman" w:hAnsi="Times New Roman" w:eastAsia="Times New Roman"/>
      <w:kern w:val="0"/>
      <w:sz w:val="24"/>
      <w:szCs w:val="24"/>
      <w:lang w:val="zh-CN"/>
    </w:rPr>
  </w:style>
  <w:style w:type="paragraph" w:customStyle="1" w:styleId="47">
    <w:name w:val="表 文字"/>
    <w:basedOn w:val="1"/>
    <w:qFormat/>
    <w:uiPriority w:val="0"/>
    <w:pPr>
      <w:spacing w:line="240" w:lineRule="auto"/>
      <w:ind w:left="0" w:right="0" w:firstLine="0" w:firstLineChars="0"/>
      <w:jc w:val="center"/>
    </w:pPr>
    <w:rPr>
      <w:rFonts w:ascii="宋体" w:hAnsi="宋体" w:eastAsia="宋体" w:cs="宋体"/>
      <w:sz w:val="21"/>
    </w:rPr>
  </w:style>
  <w:style w:type="character" w:customStyle="1" w:styleId="48">
    <w:name w:val="font41"/>
    <w:basedOn w:val="26"/>
    <w:qFormat/>
    <w:uiPriority w:val="0"/>
    <w:rPr>
      <w:rFonts w:hint="default" w:ascii="Times New Roman" w:hAnsi="Times New Roman" w:cs="Times New Roman"/>
      <w:color w:val="000000"/>
      <w:sz w:val="21"/>
      <w:szCs w:val="21"/>
      <w:u w:val="none"/>
      <w:vertAlign w:val="superscript"/>
    </w:rPr>
  </w:style>
  <w:style w:type="character" w:customStyle="1" w:styleId="49">
    <w:name w:val="font31"/>
    <w:basedOn w:val="26"/>
    <w:qFormat/>
    <w:uiPriority w:val="0"/>
    <w:rPr>
      <w:rFonts w:hint="default" w:ascii="Times New Roman" w:hAnsi="Times New Roman" w:cs="Times New Roman"/>
      <w:color w:val="000000"/>
      <w:sz w:val="21"/>
      <w:szCs w:val="21"/>
      <w:u w:val="none"/>
      <w:vertAlign w:val="superscript"/>
    </w:rPr>
  </w:style>
  <w:style w:type="paragraph" w:customStyle="1" w:styleId="50">
    <w:name w:val="金皇-正文"/>
    <w:basedOn w:val="1"/>
    <w:qFormat/>
    <w:uiPriority w:val="0"/>
    <w:pPr>
      <w:spacing w:line="360" w:lineRule="auto"/>
      <w:ind w:firstLine="200" w:firstLineChars="200"/>
    </w:pPr>
    <w:rPr>
      <w:sz w:val="24"/>
      <w:szCs w:val="24"/>
    </w:rPr>
  </w:style>
  <w:style w:type="character" w:customStyle="1" w:styleId="51">
    <w:name w:val="标题 5 Char"/>
    <w:link w:val="7"/>
    <w:qFormat/>
    <w:uiPriority w:val="0"/>
    <w:rPr>
      <w:rFonts w:ascii="Times New Roman" w:hAnsi="Times New Roman" w:eastAsia="宋体"/>
      <w:sz w:val="24"/>
    </w:rPr>
  </w:style>
  <w:style w:type="character" w:customStyle="1" w:styleId="52">
    <w:name w:val="font61"/>
    <w:basedOn w:val="26"/>
    <w:qFormat/>
    <w:uiPriority w:val="0"/>
    <w:rPr>
      <w:rFonts w:hint="default" w:ascii="Times New Roman" w:hAnsi="Times New Roman" w:cs="Times New Roman"/>
      <w:color w:val="000000"/>
      <w:sz w:val="21"/>
      <w:szCs w:val="21"/>
      <w:u w:val="none"/>
    </w:rPr>
  </w:style>
  <w:style w:type="character" w:customStyle="1" w:styleId="53">
    <w:name w:val="font71"/>
    <w:basedOn w:val="26"/>
    <w:qFormat/>
    <w:uiPriority w:val="0"/>
    <w:rPr>
      <w:rFonts w:hint="default" w:ascii="Times New Roman" w:hAnsi="Times New Roman" w:cs="Times New Roman"/>
      <w:color w:val="000000"/>
      <w:sz w:val="21"/>
      <w:szCs w:val="21"/>
      <w:u w:val="none"/>
      <w:vertAlign w:val="superscript"/>
    </w:rPr>
  </w:style>
  <w:style w:type="character" w:customStyle="1" w:styleId="54">
    <w:name w:val="font81"/>
    <w:basedOn w:val="26"/>
    <w:qFormat/>
    <w:uiPriority w:val="0"/>
    <w:rPr>
      <w:rFonts w:hint="default" w:ascii="Times New Roman" w:hAnsi="Times New Roman" w:cs="Times New Roman"/>
      <w:color w:val="000000"/>
      <w:sz w:val="21"/>
      <w:szCs w:val="21"/>
      <w:u w:val="none"/>
      <w:vertAlign w:val="superscript"/>
    </w:rPr>
  </w:style>
  <w:style w:type="character" w:customStyle="1" w:styleId="55">
    <w:name w:val="font91"/>
    <w:basedOn w:val="26"/>
    <w:qFormat/>
    <w:uiPriority w:val="0"/>
    <w:rPr>
      <w:rFonts w:hint="default" w:ascii="Times New Roman" w:hAnsi="Times New Roman" w:cs="Times New Roman"/>
      <w:color w:val="000000"/>
      <w:sz w:val="21"/>
      <w:szCs w:val="21"/>
      <w:u w:val="single"/>
    </w:rPr>
  </w:style>
  <w:style w:type="character" w:customStyle="1" w:styleId="56">
    <w:name w:val="font101"/>
    <w:basedOn w:val="26"/>
    <w:qFormat/>
    <w:uiPriority w:val="0"/>
    <w:rPr>
      <w:rFonts w:hint="eastAsia" w:ascii="宋体" w:hAnsi="宋体" w:eastAsia="宋体" w:cs="宋体"/>
      <w:color w:val="000000"/>
      <w:sz w:val="21"/>
      <w:szCs w:val="21"/>
      <w:u w:val="single"/>
    </w:rPr>
  </w:style>
  <w:style w:type="character" w:customStyle="1" w:styleId="57">
    <w:name w:val="font112"/>
    <w:basedOn w:val="26"/>
    <w:qFormat/>
    <w:uiPriority w:val="0"/>
    <w:rPr>
      <w:rFonts w:hint="default" w:ascii="Times New Roman" w:hAnsi="Times New Roman" w:cs="Times New Roman"/>
      <w:color w:val="000000"/>
      <w:sz w:val="21"/>
      <w:szCs w:val="21"/>
      <w:u w:val="none"/>
      <w:vertAlign w:val="subscript"/>
    </w:rPr>
  </w:style>
  <w:style w:type="character" w:customStyle="1" w:styleId="58">
    <w:name w:val="font11"/>
    <w:basedOn w:val="26"/>
    <w:qFormat/>
    <w:uiPriority w:val="0"/>
    <w:rPr>
      <w:rFonts w:hint="eastAsia" w:ascii="宋体" w:hAnsi="宋体" w:eastAsia="宋体" w:cs="宋体"/>
      <w:color w:val="000000"/>
      <w:sz w:val="21"/>
      <w:szCs w:val="21"/>
      <w:u w:val="none"/>
    </w:rPr>
  </w:style>
  <w:style w:type="character" w:customStyle="1" w:styleId="59">
    <w:name w:val="font51"/>
    <w:basedOn w:val="26"/>
    <w:qFormat/>
    <w:uiPriority w:val="0"/>
    <w:rPr>
      <w:rFonts w:hint="default" w:ascii="Times New Roman" w:hAnsi="Times New Roman" w:cs="Times New Roman"/>
      <w:color w:val="000000"/>
      <w:sz w:val="21"/>
      <w:szCs w:val="21"/>
      <w:u w:val="none"/>
    </w:rPr>
  </w:style>
  <w:style w:type="paragraph" w:styleId="60">
    <w:name w:val="List Paragraph"/>
    <w:basedOn w:val="1"/>
    <w:qFormat/>
    <w:uiPriority w:val="99"/>
    <w:pPr>
      <w:widowControl/>
      <w:autoSpaceDE/>
      <w:autoSpaceDN/>
      <w:spacing w:line="240" w:lineRule="auto"/>
      <w:ind w:firstLine="420"/>
      <w:jc w:val="both"/>
    </w:pPr>
    <w:rPr>
      <w:rFonts w:ascii="Times New Roman" w:hAnsi="Times New Roman" w:cs="Times New Roman"/>
      <w:kern w:val="2"/>
      <w:sz w:val="21"/>
      <w:szCs w:val="21"/>
      <w:lang w:val="en-US" w:bidi="ar-SA"/>
    </w:rPr>
  </w:style>
  <w:style w:type="paragraph" w:customStyle="1" w:styleId="61">
    <w:name w:val="WPSOffice手动目录 1"/>
    <w:qFormat/>
    <w:uiPriority w:val="0"/>
    <w:pPr>
      <w:ind w:leftChars="0"/>
    </w:pPr>
    <w:rPr>
      <w:rFonts w:ascii="Times New Roman" w:hAnsi="Times New Roman" w:eastAsia="宋体" w:cs="Times New Roman"/>
      <w:sz w:val="36"/>
      <w:szCs w:val="20"/>
    </w:rPr>
  </w:style>
  <w:style w:type="paragraph" w:customStyle="1" w:styleId="62">
    <w:name w:val="w表格内容"/>
    <w:basedOn w:val="1"/>
    <w:qFormat/>
    <w:uiPriority w:val="0"/>
    <w:pPr>
      <w:jc w:val="center"/>
    </w:pPr>
    <w:rPr>
      <w:rFonts w:ascii="Times New Roman" w:hAnsi="Times New Roman" w:eastAsia="宋体"/>
    </w:rPr>
  </w:style>
  <w:style w:type="paragraph" w:customStyle="1" w:styleId="63">
    <w:name w:val="w报告表正文"/>
    <w:basedOn w:val="1"/>
    <w:qFormat/>
    <w:uiPriority w:val="0"/>
    <w:pPr>
      <w:spacing w:line="360" w:lineRule="auto"/>
      <w:ind w:firstLine="720" w:firstLineChars="200"/>
    </w:pPr>
    <w:rPr>
      <w:rFonts w:ascii="Times New Roman" w:hAnsi="Times New Roman" w:eastAsia="宋体"/>
      <w:sz w:val="24"/>
    </w:rPr>
  </w:style>
  <w:style w:type="paragraph" w:customStyle="1" w:styleId="64">
    <w:name w:val="表格"/>
    <w:basedOn w:val="1"/>
    <w:qFormat/>
    <w:uiPriority w:val="0"/>
    <w:pPr>
      <w:widowControl/>
      <w:jc w:val="center"/>
    </w:pPr>
    <w:rPr>
      <w:rFonts w:ascii="Times New Roman" w:hAnsi="Times New Roman" w:eastAsia="宋体" w:cs="Times New Roman"/>
      <w:szCs w:val="24"/>
    </w:rPr>
  </w:style>
  <w:style w:type="paragraph" w:customStyle="1" w:styleId="65">
    <w:name w:val="表格的格式"/>
    <w:basedOn w:val="1"/>
    <w:qFormat/>
    <w:uiPriority w:val="0"/>
    <w:pPr>
      <w:jc w:val="center"/>
    </w:pPr>
    <w:rPr>
      <w:kern w:val="0"/>
      <w:sz w:val="20"/>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4" Type="http://schemas.openxmlformats.org/officeDocument/2006/relationships/fontTable" Target="fontTable.xml"/><Relationship Id="rId43" Type="http://schemas.microsoft.com/office/2006/relationships/keyMapCustomizations" Target="customizations.xml"/><Relationship Id="rId42" Type="http://schemas.openxmlformats.org/officeDocument/2006/relationships/customXml" Target="../customXml/item2.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footer" Target="footer2.xml"/><Relationship Id="rId39" Type="http://schemas.openxmlformats.org/officeDocument/2006/relationships/image" Target="media/image20.png"/><Relationship Id="rId38" Type="http://schemas.openxmlformats.org/officeDocument/2006/relationships/image" Target="media/image19.png"/><Relationship Id="rId37" Type="http://schemas.openxmlformats.org/officeDocument/2006/relationships/image" Target="media/image18.png"/><Relationship Id="rId36" Type="http://schemas.openxmlformats.org/officeDocument/2006/relationships/image" Target="media/image17.png"/><Relationship Id="rId35" Type="http://schemas.openxmlformats.org/officeDocument/2006/relationships/image" Target="media/image16.jpeg"/><Relationship Id="rId34" Type="http://schemas.openxmlformats.org/officeDocument/2006/relationships/image" Target="media/image15.png"/><Relationship Id="rId33" Type="http://schemas.openxmlformats.org/officeDocument/2006/relationships/image" Target="media/image14.png"/><Relationship Id="rId32" Type="http://schemas.openxmlformats.org/officeDocument/2006/relationships/image" Target="media/image13.wmf"/><Relationship Id="rId31" Type="http://schemas.openxmlformats.org/officeDocument/2006/relationships/oleObject" Target="embeddings/oleObject6.bin"/><Relationship Id="rId30" Type="http://schemas.openxmlformats.org/officeDocument/2006/relationships/image" Target="media/image12.wmf"/><Relationship Id="rId3" Type="http://schemas.openxmlformats.org/officeDocument/2006/relationships/footer" Target="footer1.xml"/><Relationship Id="rId29" Type="http://schemas.openxmlformats.org/officeDocument/2006/relationships/oleObject" Target="embeddings/oleObject5.bin"/><Relationship Id="rId28" Type="http://schemas.openxmlformats.org/officeDocument/2006/relationships/image" Target="media/image11.wmf"/><Relationship Id="rId27" Type="http://schemas.openxmlformats.org/officeDocument/2006/relationships/oleObject" Target="embeddings/oleObject4.bin"/><Relationship Id="rId26" Type="http://schemas.openxmlformats.org/officeDocument/2006/relationships/image" Target="media/image10.wmf"/><Relationship Id="rId25" Type="http://schemas.openxmlformats.org/officeDocument/2006/relationships/oleObject" Target="embeddings/oleObject3.bin"/><Relationship Id="rId24" Type="http://schemas.openxmlformats.org/officeDocument/2006/relationships/image" Target="media/image9.wmf"/><Relationship Id="rId23" Type="http://schemas.openxmlformats.org/officeDocument/2006/relationships/oleObject" Target="embeddings/oleObject2.bin"/><Relationship Id="rId22" Type="http://schemas.openxmlformats.org/officeDocument/2006/relationships/image" Target="media/image8.png"/><Relationship Id="rId21" Type="http://schemas.openxmlformats.org/officeDocument/2006/relationships/image" Target="media/image7.w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pn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9.xml"/><Relationship Id="rId11" Type="http://schemas.openxmlformats.org/officeDocument/2006/relationships/header" Target="header1.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C6B6AED-6CC6-4065-A824-6AB38C9DFA6F}">
  <ds:schemaRefs/>
</ds:datastoreItem>
</file>

<file path=docProps/app.xml><?xml version="1.0" encoding="utf-8"?>
<Properties xmlns="http://schemas.openxmlformats.org/officeDocument/2006/extended-properties" xmlns:vt="http://schemas.openxmlformats.org/officeDocument/2006/docPropsVTypes">
  <Company>微软中国</Company>
  <Pages>108</Pages>
  <Words>32882</Words>
  <Characters>37378</Characters>
  <Lines>1</Lines>
  <Paragraphs>1</Paragraphs>
  <TotalTime>107</TotalTime>
  <ScaleCrop>false</ScaleCrop>
  <LinksUpToDate>false</LinksUpToDate>
  <CharactersWithSpaces>37584</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2020-12-24T09:29:00Z</dcterms:created>
  <dc:creator>Dell</dc:creator>
  <cp:lastModifiedBy>巍</cp:lastModifiedBy>
  <cp:lastPrinted>2022-03-07T17:15:00Z</cp:lastPrinted>
  <dcterms:modified xsi:type="dcterms:W3CDTF">2023-12-25T07:44:33Z</dcterms:modified>
  <dc:title>附件2</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23BDB1BF1E0D40718CD736DE74AF70D2_13</vt:lpwstr>
  </property>
</Properties>
</file>