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rPr>
      </w:pPr>
    </w:p>
    <w:p>
      <w:pPr>
        <w:rPr>
          <w:sz w:val="44"/>
          <w:szCs w:val="44"/>
        </w:rPr>
      </w:pPr>
    </w:p>
    <w:p>
      <w:pPr>
        <w:rPr>
          <w:sz w:val="44"/>
          <w:szCs w:val="44"/>
        </w:rPr>
      </w:pPr>
    </w:p>
    <w:p>
      <w:pPr>
        <w:rPr>
          <w:sz w:val="44"/>
          <w:szCs w:val="44"/>
        </w:rPr>
      </w:pPr>
    </w:p>
    <w:p>
      <w:pPr>
        <w:spacing w:line="300" w:lineRule="auto"/>
        <w:jc w:val="center"/>
        <w:rPr>
          <w:rFonts w:hint="eastAsia" w:ascii="方正大标宋简体" w:eastAsia="方正大标宋简体"/>
          <w:b/>
          <w:w w:val="90"/>
          <w:sz w:val="44"/>
          <w:szCs w:val="48"/>
        </w:rPr>
      </w:pPr>
      <w:bookmarkStart w:id="0" w:name="_Toc1127"/>
      <w:r>
        <w:rPr>
          <w:rFonts w:hint="eastAsia" w:ascii="方正大标宋简体" w:hAnsi="Times New Roman" w:eastAsia="方正大标宋简体" w:cs="Times New Roman"/>
          <w:b/>
          <w:w w:val="90"/>
          <w:sz w:val="44"/>
          <w:szCs w:val="48"/>
          <w:lang w:val="en-US" w:eastAsia="zh-CN"/>
        </w:rPr>
        <w:t>漳州微水环保科技有限公司</w:t>
      </w:r>
      <w:r>
        <w:rPr>
          <w:rFonts w:hint="eastAsia" w:ascii="方正大标宋简体" w:eastAsia="方正大标宋简体"/>
          <w:b/>
          <w:w w:val="90"/>
          <w:sz w:val="44"/>
          <w:szCs w:val="48"/>
        </w:rPr>
        <w:t>年产4000吨水刺再生皮革纤维和年产2000吨水解蛋白技改项目</w:t>
      </w:r>
    </w:p>
    <w:p>
      <w:pPr>
        <w:jc w:val="center"/>
        <w:outlineLvl w:val="0"/>
        <w:rPr>
          <w:rFonts w:hint="eastAsia" w:ascii="方正大标宋简体" w:hAnsi="方正大标宋简体" w:eastAsia="方正大标宋简体" w:cs="方正大标宋简体"/>
          <w:b/>
          <w:bCs/>
          <w:sz w:val="52"/>
          <w:szCs w:val="52"/>
        </w:rPr>
      </w:pPr>
      <w:r>
        <w:rPr>
          <w:rFonts w:hint="eastAsia" w:ascii="方正大标宋简体" w:hAnsi="方正大标宋简体" w:eastAsia="方正大标宋简体" w:cs="方正大标宋简体"/>
          <w:b/>
          <w:bCs/>
          <w:sz w:val="52"/>
          <w:szCs w:val="52"/>
        </w:rPr>
        <w:t>环境影响评价公众参与说明</w:t>
      </w:r>
      <w:bookmarkEnd w:id="0"/>
    </w:p>
    <w:p>
      <w:pPr>
        <w:jc w:val="center"/>
        <w:rPr>
          <w:rFonts w:hint="eastAsia" w:ascii="方正大标宋简体" w:hAnsi="方正大标宋简体" w:eastAsia="方正大标宋简体" w:cs="方正大标宋简体"/>
          <w:b/>
          <w:bCs/>
          <w:sz w:val="52"/>
          <w:szCs w:val="52"/>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p>
    <w:p>
      <w:pPr>
        <w:jc w:val="center"/>
        <w:outlineLvl w:val="0"/>
        <w:rPr>
          <w:rFonts w:hint="eastAsia" w:ascii="黑体" w:hAnsi="黑体" w:eastAsia="黑体" w:cs="黑体"/>
          <w:b/>
          <w:bCs/>
          <w:sz w:val="36"/>
          <w:szCs w:val="36"/>
        </w:rPr>
      </w:pPr>
      <w:r>
        <w:rPr>
          <w:rFonts w:hint="eastAsia" w:ascii="黑体" w:hAnsi="黑体" w:eastAsia="黑体" w:cs="黑体"/>
          <w:b/>
          <w:w w:val="90"/>
          <w:sz w:val="36"/>
          <w:szCs w:val="36"/>
          <w:lang w:val="en-US" w:eastAsia="zh-CN"/>
        </w:rPr>
        <w:t>漳州微水环保科技有限公司</w:t>
      </w:r>
    </w:p>
    <w:p>
      <w:pPr>
        <w:jc w:val="center"/>
        <w:outlineLvl w:val="0"/>
        <w:rPr>
          <w:rFonts w:hint="eastAsia"/>
          <w:b/>
          <w:bCs/>
          <w:sz w:val="36"/>
          <w:szCs w:val="36"/>
        </w:rPr>
        <w:sectPr>
          <w:headerReference r:id="rId3" w:type="default"/>
          <w:pgSz w:w="11906" w:h="16838"/>
          <w:pgMar w:top="1588" w:right="1474" w:bottom="1361" w:left="1474" w:header="1191" w:footer="992" w:gutter="0"/>
          <w:pgBorders>
            <w:top w:val="none" w:sz="0" w:space="0"/>
            <w:left w:val="none" w:sz="0" w:space="0"/>
            <w:bottom w:val="none" w:sz="0" w:space="0"/>
            <w:right w:val="none" w:sz="0" w:space="0"/>
          </w:pgBorders>
          <w:pgNumType w:fmt="numberInDash" w:start="1"/>
          <w:cols w:space="720" w:num="1"/>
          <w:docGrid w:type="lines" w:linePitch="312" w:charSpace="0"/>
        </w:sectPr>
      </w:pPr>
      <w:bookmarkStart w:id="1" w:name="_Toc13512"/>
      <w:r>
        <w:rPr>
          <w:rFonts w:hint="eastAsia"/>
          <w:b/>
          <w:bCs/>
          <w:sz w:val="36"/>
          <w:szCs w:val="36"/>
        </w:rPr>
        <w:t>202</w:t>
      </w:r>
      <w:r>
        <w:rPr>
          <w:rFonts w:hint="eastAsia"/>
          <w:b/>
          <w:bCs/>
          <w:sz w:val="36"/>
          <w:szCs w:val="36"/>
          <w:lang w:val="en-US" w:eastAsia="zh-CN"/>
        </w:rPr>
        <w:t>4</w:t>
      </w:r>
      <w:r>
        <w:rPr>
          <w:rFonts w:hint="eastAsia"/>
          <w:b/>
          <w:bCs/>
          <w:sz w:val="36"/>
          <w:szCs w:val="36"/>
        </w:rPr>
        <w:t>年</w:t>
      </w:r>
      <w:r>
        <w:rPr>
          <w:rFonts w:hint="eastAsia"/>
          <w:b/>
          <w:bCs/>
          <w:sz w:val="36"/>
          <w:szCs w:val="36"/>
          <w:lang w:val="en-US" w:eastAsia="zh-CN"/>
        </w:rPr>
        <w:t>4</w:t>
      </w:r>
      <w:r>
        <w:rPr>
          <w:rFonts w:hint="eastAsia"/>
          <w:b/>
          <w:bCs/>
          <w:sz w:val="36"/>
          <w:szCs w:val="36"/>
        </w:rPr>
        <w:t>月</w:t>
      </w:r>
      <w:bookmarkEnd w:id="1"/>
    </w:p>
    <w:p>
      <w:pPr>
        <w:outlineLvl w:val="0"/>
      </w:pPr>
      <w:bookmarkStart w:id="2" w:name="_Toc8022"/>
      <w:r>
        <w:rPr>
          <w:rFonts w:hint="eastAsia" w:eastAsia="黑体"/>
          <w:b/>
          <w:sz w:val="28"/>
          <w:szCs w:val="20"/>
        </w:rPr>
        <w:t>1</w:t>
      </w:r>
      <w:r>
        <w:rPr>
          <w:rFonts w:eastAsia="黑体"/>
          <w:b/>
          <w:sz w:val="28"/>
          <w:szCs w:val="20"/>
        </w:rPr>
        <w:t>公众参与概况</w:t>
      </w:r>
      <w:bookmarkEnd w:id="2"/>
    </w:p>
    <w:p>
      <w:pPr>
        <w:spacing w:line="420" w:lineRule="exact"/>
        <w:ind w:firstLine="510"/>
        <w:rPr>
          <w:rFonts w:hint="default" w:eastAsia="宋体"/>
          <w:sz w:val="24"/>
          <w:szCs w:val="24"/>
          <w:lang w:val="en-US" w:eastAsia="zh-CN"/>
        </w:rPr>
      </w:pPr>
      <w:r>
        <w:rPr>
          <w:rFonts w:ascii="Times New Roman" w:hAnsi="Times New Roman"/>
          <w:color w:val="auto"/>
          <w:spacing w:val="0"/>
          <w:sz w:val="24"/>
          <w:szCs w:val="24"/>
        </w:rPr>
        <w:t>漳州微水</w:t>
      </w:r>
      <w:r>
        <w:rPr>
          <w:rFonts w:hint="eastAsia" w:ascii="Times New Roman" w:hAnsi="Times New Roman"/>
          <w:color w:val="auto"/>
          <w:spacing w:val="0"/>
          <w:sz w:val="24"/>
          <w:szCs w:val="24"/>
          <w:lang w:val="en-US" w:eastAsia="zh-CN"/>
        </w:rPr>
        <w:t>现有工程</w:t>
      </w:r>
      <w:r>
        <w:rPr>
          <w:rFonts w:hint="eastAsia" w:ascii="Times New Roman" w:hAnsi="Times New Roman"/>
          <w:color w:val="auto"/>
          <w:spacing w:val="0"/>
          <w:sz w:val="24"/>
          <w:szCs w:val="24"/>
          <w:lang w:eastAsia="zh-CN"/>
        </w:rPr>
        <w:t>“</w:t>
      </w:r>
      <w:r>
        <w:rPr>
          <w:rFonts w:ascii="Times New Roman" w:hAnsi="Times New Roman"/>
          <w:color w:val="auto"/>
          <w:spacing w:val="0"/>
          <w:sz w:val="24"/>
          <w:szCs w:val="24"/>
        </w:rPr>
        <w:t>固废处置及资源化利用项目</w:t>
      </w:r>
      <w:r>
        <w:rPr>
          <w:rFonts w:hint="eastAsia" w:ascii="Times New Roman" w:hAnsi="Times New Roman"/>
          <w:color w:val="auto"/>
          <w:spacing w:val="0"/>
          <w:sz w:val="24"/>
          <w:szCs w:val="24"/>
          <w:lang w:eastAsia="zh-CN"/>
        </w:rPr>
        <w:t>”</w:t>
      </w:r>
      <w:r>
        <w:rPr>
          <w:rFonts w:ascii="Times New Roman" w:hAnsi="Times New Roman"/>
          <w:color w:val="auto"/>
          <w:spacing w:val="0"/>
          <w:sz w:val="24"/>
          <w:szCs w:val="24"/>
        </w:rPr>
        <w:t>于2014年选址于漳浦县赤湖工业区皮革园区内，该项目作为赤湖园区的配套项目，主要处置及资源化利用园区内企业产生的含铬污泥、</w:t>
      </w:r>
      <w:r>
        <w:rPr>
          <w:rFonts w:hint="eastAsia" w:ascii="Times New Roman" w:hAnsi="Times New Roman"/>
          <w:color w:val="auto"/>
          <w:spacing w:val="0"/>
          <w:sz w:val="24"/>
          <w:szCs w:val="24"/>
          <w:lang w:eastAsia="zh-CN"/>
        </w:rPr>
        <w:t>皮革含铬废碎料</w:t>
      </w:r>
      <w:r>
        <w:rPr>
          <w:rFonts w:ascii="Times New Roman" w:hAnsi="Times New Roman"/>
          <w:color w:val="auto"/>
          <w:spacing w:val="0"/>
          <w:sz w:val="24"/>
          <w:szCs w:val="24"/>
        </w:rPr>
        <w:t>和废油脂等固废。</w:t>
      </w:r>
      <w:r>
        <w:rPr>
          <w:rFonts w:hint="eastAsia" w:ascii="Times New Roman" w:hAnsi="Times New Roman"/>
          <w:color w:val="auto"/>
          <w:spacing w:val="0"/>
          <w:sz w:val="24"/>
          <w:szCs w:val="24"/>
          <w:lang w:val="en-US" w:eastAsia="zh-CN"/>
        </w:rPr>
        <w:t>为</w:t>
      </w:r>
      <w:r>
        <w:rPr>
          <w:sz w:val="24"/>
        </w:rPr>
        <w:t>更好</w:t>
      </w:r>
      <w:r>
        <w:rPr>
          <w:rFonts w:hint="eastAsia"/>
          <w:sz w:val="24"/>
          <w:lang w:val="en-US" w:eastAsia="zh-CN"/>
        </w:rPr>
        <w:t>实现资源化利用的废物处置路线，提升社会效益和经济效益，</w:t>
      </w:r>
      <w:r>
        <w:rPr>
          <w:rFonts w:ascii="Times New Roman" w:hAnsi="Times New Roman"/>
          <w:color w:val="auto"/>
          <w:spacing w:val="0"/>
          <w:sz w:val="24"/>
          <w:szCs w:val="24"/>
        </w:rPr>
        <w:t>漳州微水</w:t>
      </w:r>
      <w:r>
        <w:rPr>
          <w:rFonts w:hint="eastAsia"/>
          <w:sz w:val="24"/>
          <w:lang w:val="en-US" w:eastAsia="zh-CN"/>
        </w:rPr>
        <w:t>拟运用国内先进生产技术和清洁生产工艺，对一期工程进行技术改造，建设水刺再生皮革纤维生产线和水解蛋白生产线。</w:t>
      </w:r>
    </w:p>
    <w:p>
      <w:pPr>
        <w:pStyle w:val="13"/>
        <w:spacing w:line="420" w:lineRule="exact"/>
        <w:ind w:firstLine="480" w:firstLineChars="200"/>
        <w:rPr>
          <w:rFonts w:ascii="Times New Roman" w:hAnsi="Times New Roman"/>
          <w:sz w:val="24"/>
        </w:rPr>
      </w:pPr>
      <w:r>
        <w:rPr>
          <w:rFonts w:hint="eastAsia" w:ascii="Times New Roman" w:hAnsi="Times New Roman"/>
          <w:sz w:val="24"/>
        </w:rPr>
        <w:t>我公司于202</w:t>
      </w:r>
      <w:r>
        <w:rPr>
          <w:rFonts w:hint="eastAsia" w:ascii="Times New Roman" w:hAnsi="Times New Roman"/>
          <w:sz w:val="24"/>
          <w:lang w:val="en-US" w:eastAsia="zh-CN"/>
        </w:rPr>
        <w:t>4</w:t>
      </w:r>
      <w:r>
        <w:rPr>
          <w:rFonts w:hint="eastAsia" w:ascii="Times New Roman" w:hAnsi="Times New Roman"/>
          <w:sz w:val="24"/>
        </w:rPr>
        <w:t>年</w:t>
      </w:r>
      <w:r>
        <w:rPr>
          <w:rFonts w:hint="eastAsia" w:ascii="Times New Roman" w:hAnsi="Times New Roman"/>
          <w:sz w:val="24"/>
          <w:lang w:val="en-US" w:eastAsia="zh-CN"/>
        </w:rPr>
        <w:t>2</w:t>
      </w:r>
      <w:r>
        <w:rPr>
          <w:rFonts w:hint="eastAsia" w:ascii="Times New Roman" w:hAnsi="Times New Roman"/>
          <w:sz w:val="24"/>
        </w:rPr>
        <w:t>月委托了福建省夏达凌云生态环境科技有限公司开展“</w:t>
      </w:r>
      <w:r>
        <w:rPr>
          <w:rFonts w:hint="eastAsia"/>
          <w:sz w:val="24"/>
          <w:lang w:val="en-US" w:eastAsia="zh-CN"/>
        </w:rPr>
        <w:t>年产4000吨水刺再生皮革纤维和年产2000吨水解蛋白技改项目</w:t>
      </w:r>
      <w:r>
        <w:rPr>
          <w:rFonts w:hint="eastAsia" w:ascii="Times New Roman" w:hAnsi="Times New Roman"/>
          <w:sz w:val="24"/>
        </w:rPr>
        <w:t>”环境影响评价工作，我公司按《环境影响评价公众参与办法》于</w:t>
      </w:r>
      <w:r>
        <w:rPr>
          <w:rFonts w:ascii="Times New Roman" w:hAnsi="Times New Roman"/>
          <w:sz w:val="24"/>
        </w:rPr>
        <w:t>20</w:t>
      </w:r>
      <w:r>
        <w:rPr>
          <w:rFonts w:hint="eastAsia" w:ascii="Times New Roman" w:hAnsi="Times New Roman"/>
          <w:sz w:val="24"/>
        </w:rPr>
        <w:t>2</w:t>
      </w:r>
      <w:r>
        <w:rPr>
          <w:rFonts w:hint="eastAsia" w:ascii="Times New Roman" w:hAnsi="Times New Roman"/>
          <w:sz w:val="24"/>
          <w:lang w:val="en-US" w:eastAsia="zh-CN"/>
        </w:rPr>
        <w:t>4</w:t>
      </w:r>
      <w:r>
        <w:rPr>
          <w:rFonts w:ascii="Times New Roman" w:hAnsi="Times New Roman"/>
          <w:sz w:val="24"/>
        </w:rPr>
        <w:t>年</w:t>
      </w:r>
      <w:r>
        <w:rPr>
          <w:rFonts w:hint="eastAsia" w:ascii="Times New Roman" w:hAnsi="Times New Roman"/>
          <w:sz w:val="24"/>
          <w:lang w:val="en-US" w:eastAsia="zh-CN"/>
        </w:rPr>
        <w:t>2</w:t>
      </w:r>
      <w:r>
        <w:rPr>
          <w:rFonts w:ascii="Times New Roman" w:hAnsi="Times New Roman"/>
          <w:sz w:val="24"/>
        </w:rPr>
        <w:t>月</w:t>
      </w:r>
      <w:r>
        <w:rPr>
          <w:rFonts w:hint="eastAsia" w:ascii="Times New Roman" w:hAnsi="Times New Roman"/>
          <w:sz w:val="24"/>
        </w:rPr>
        <w:t>2</w:t>
      </w:r>
      <w:r>
        <w:rPr>
          <w:rFonts w:hint="eastAsia" w:ascii="Times New Roman" w:hAnsi="Times New Roman"/>
          <w:sz w:val="24"/>
          <w:lang w:val="en-US" w:eastAsia="zh-CN"/>
        </w:rPr>
        <w:t>7</w:t>
      </w:r>
      <w:r>
        <w:rPr>
          <w:rFonts w:ascii="Times New Roman" w:hAnsi="Times New Roman"/>
          <w:sz w:val="24"/>
        </w:rPr>
        <w:t>日</w:t>
      </w:r>
      <w:r>
        <w:rPr>
          <w:rFonts w:hint="eastAsia" w:ascii="Times New Roman" w:hAnsi="Times New Roman"/>
          <w:sz w:val="24"/>
        </w:rPr>
        <w:t>在</w:t>
      </w:r>
      <w:r>
        <w:rPr>
          <w:rFonts w:hint="eastAsia" w:ascii="Times New Roman" w:hAnsi="Times New Roman"/>
          <w:sz w:val="24"/>
          <w:lang w:val="en-US" w:eastAsia="zh-CN"/>
        </w:rPr>
        <w:t>福建环保</w:t>
      </w:r>
      <w:r>
        <w:rPr>
          <w:rFonts w:hint="eastAsia" w:ascii="Times New Roman" w:hAnsi="Times New Roman"/>
          <w:sz w:val="24"/>
        </w:rPr>
        <w:t>网进行</w:t>
      </w:r>
      <w:r>
        <w:rPr>
          <w:rFonts w:hint="eastAsia" w:ascii="Times New Roman" w:hAnsi="Times New Roman"/>
          <w:sz w:val="24"/>
          <w:lang w:eastAsia="zh-CN"/>
        </w:rPr>
        <w:t>了</w:t>
      </w:r>
      <w:r>
        <w:rPr>
          <w:rFonts w:hint="eastAsia" w:ascii="Times New Roman" w:hAnsi="Times New Roman"/>
          <w:sz w:val="24"/>
        </w:rPr>
        <w:t>首次公示，于</w:t>
      </w:r>
      <w:r>
        <w:rPr>
          <w:rFonts w:hint="eastAsia" w:ascii="Times New Roman" w:hAnsi="Times New Roman"/>
          <w:sz w:val="24"/>
          <w:szCs w:val="24"/>
        </w:rPr>
        <w:t>202</w:t>
      </w:r>
      <w:r>
        <w:rPr>
          <w:rFonts w:hint="eastAsia" w:ascii="Times New Roman" w:hAnsi="Times New Roman"/>
          <w:sz w:val="24"/>
          <w:szCs w:val="24"/>
          <w:lang w:val="en-US" w:eastAsia="zh-CN"/>
        </w:rPr>
        <w:t>4</w:t>
      </w:r>
      <w:r>
        <w:rPr>
          <w:rFonts w:hint="eastAsia" w:ascii="Times New Roman" w:hAnsi="Times New Roman"/>
          <w:sz w:val="24"/>
          <w:szCs w:val="24"/>
        </w:rPr>
        <w:t>年</w:t>
      </w:r>
      <w:r>
        <w:rPr>
          <w:rFonts w:hint="eastAsia" w:ascii="Times New Roman" w:hAnsi="Times New Roman"/>
          <w:sz w:val="24"/>
          <w:szCs w:val="24"/>
          <w:lang w:val="en-US" w:eastAsia="zh-CN"/>
        </w:rPr>
        <w:t>4</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日在</w:t>
      </w:r>
      <w:r>
        <w:rPr>
          <w:rFonts w:hint="eastAsia" w:ascii="Times New Roman" w:hAnsi="Times New Roman"/>
          <w:sz w:val="24"/>
        </w:rPr>
        <w:t>福建环保网</w:t>
      </w:r>
      <w:r>
        <w:rPr>
          <w:rFonts w:hint="eastAsia" w:ascii="Times New Roman" w:hAnsi="Times New Roman"/>
          <w:sz w:val="24"/>
          <w:szCs w:val="24"/>
        </w:rPr>
        <w:t>将</w:t>
      </w:r>
      <w:r>
        <w:rPr>
          <w:rFonts w:hint="eastAsia" w:ascii="Times New Roman" w:hAnsi="Times New Roman"/>
          <w:sz w:val="24"/>
        </w:rPr>
        <w:t>环评报告书征求意见稿、公参意见表再次进行了网络公示，</w:t>
      </w:r>
      <w:r>
        <w:rPr>
          <w:rFonts w:hint="eastAsia" w:ascii="Times New Roman" w:hAnsi="Times New Roman"/>
          <w:sz w:val="24"/>
          <w:lang w:val="en-US" w:eastAsia="zh-CN"/>
        </w:rPr>
        <w:t>并在公示期内</w:t>
      </w:r>
      <w:r>
        <w:rPr>
          <w:rFonts w:hint="eastAsia" w:ascii="Times New Roman" w:hAnsi="Times New Roman"/>
          <w:sz w:val="24"/>
        </w:rPr>
        <w:t>在工程沿线周边村庄等场所张贴告示，在当地纸媒公开信息，再次征求意见。网络征求意见期间，我公司及环评编制单位均</w:t>
      </w:r>
      <w:r>
        <w:rPr>
          <w:rFonts w:ascii="Times New Roman" w:hAnsi="Times New Roman"/>
          <w:sz w:val="24"/>
        </w:rPr>
        <w:t>未收到任何单位或个人的电话、传真、信件或电子邮件等关于本项目建设的反馈意见</w:t>
      </w:r>
      <w:r>
        <w:rPr>
          <w:rFonts w:hint="eastAsia" w:ascii="Times New Roman" w:hAnsi="Times New Roman"/>
          <w:sz w:val="24"/>
        </w:rPr>
        <w:t>。</w:t>
      </w:r>
    </w:p>
    <w:p>
      <w:pPr>
        <w:outlineLvl w:val="0"/>
        <w:rPr>
          <w:rFonts w:hint="eastAsia" w:eastAsia="黑体"/>
          <w:b/>
          <w:sz w:val="28"/>
          <w:szCs w:val="20"/>
        </w:rPr>
      </w:pPr>
      <w:bookmarkStart w:id="3" w:name="_Toc1565"/>
      <w:r>
        <w:rPr>
          <w:rFonts w:hint="eastAsia" w:eastAsia="黑体"/>
          <w:b/>
          <w:sz w:val="28"/>
          <w:szCs w:val="20"/>
        </w:rPr>
        <w:t>2首次环境影响评价信息公开情况</w:t>
      </w:r>
      <w:bookmarkEnd w:id="3"/>
    </w:p>
    <w:p>
      <w:pPr>
        <w:spacing w:line="420" w:lineRule="exact"/>
        <w:outlineLvl w:val="1"/>
        <w:rPr>
          <w:rFonts w:eastAsia="黑体"/>
          <w:b/>
          <w:bCs/>
          <w:sz w:val="24"/>
        </w:rPr>
      </w:pPr>
      <w:bookmarkStart w:id="4" w:name="_Toc20516"/>
      <w:r>
        <w:rPr>
          <w:rFonts w:eastAsia="黑体"/>
          <w:b/>
          <w:bCs/>
          <w:sz w:val="24"/>
        </w:rPr>
        <w:t>2.1公开内容及日期</w:t>
      </w:r>
      <w:bookmarkEnd w:id="4"/>
    </w:p>
    <w:p>
      <w:pPr>
        <w:spacing w:line="420" w:lineRule="exact"/>
        <w:ind w:firstLine="480" w:firstLineChars="200"/>
        <w:rPr>
          <w:rFonts w:hint="eastAsia"/>
          <w:sz w:val="24"/>
        </w:rPr>
      </w:pPr>
      <w:r>
        <w:rPr>
          <w:sz w:val="24"/>
        </w:rPr>
        <w:t>我</w:t>
      </w:r>
      <w:r>
        <w:rPr>
          <w:rFonts w:hint="eastAsia"/>
          <w:sz w:val="24"/>
        </w:rPr>
        <w:t>公司</w:t>
      </w:r>
      <w:r>
        <w:rPr>
          <w:sz w:val="24"/>
        </w:rPr>
        <w:t>于20</w:t>
      </w:r>
      <w:r>
        <w:rPr>
          <w:rFonts w:hint="eastAsia"/>
          <w:sz w:val="24"/>
        </w:rPr>
        <w:t>2</w:t>
      </w:r>
      <w:r>
        <w:rPr>
          <w:rFonts w:hint="eastAsia"/>
          <w:sz w:val="24"/>
          <w:lang w:val="en-US" w:eastAsia="zh-CN"/>
        </w:rPr>
        <w:t>4</w:t>
      </w:r>
      <w:r>
        <w:rPr>
          <w:sz w:val="24"/>
        </w:rPr>
        <w:t>年</w:t>
      </w:r>
      <w:r>
        <w:rPr>
          <w:rFonts w:hint="eastAsia"/>
          <w:sz w:val="24"/>
          <w:lang w:val="en-US" w:eastAsia="zh-CN"/>
        </w:rPr>
        <w:t>2</w:t>
      </w:r>
      <w:r>
        <w:rPr>
          <w:sz w:val="24"/>
        </w:rPr>
        <w:t>月</w:t>
      </w:r>
      <w:r>
        <w:rPr>
          <w:rFonts w:hint="eastAsia"/>
          <w:sz w:val="24"/>
        </w:rPr>
        <w:t>2</w:t>
      </w:r>
      <w:r>
        <w:rPr>
          <w:rFonts w:hint="eastAsia"/>
          <w:sz w:val="24"/>
          <w:lang w:val="en-US" w:eastAsia="zh-CN"/>
        </w:rPr>
        <w:t>7</w:t>
      </w:r>
      <w:r>
        <w:rPr>
          <w:sz w:val="24"/>
        </w:rPr>
        <w:t>日</w:t>
      </w:r>
      <w:r>
        <w:rPr>
          <w:rFonts w:hint="eastAsia"/>
          <w:sz w:val="24"/>
        </w:rPr>
        <w:t>进行了首次环境评价信息公示</w:t>
      </w:r>
      <w:r>
        <w:rPr>
          <w:sz w:val="24"/>
        </w:rPr>
        <w:t>，</w:t>
      </w:r>
      <w:r>
        <w:rPr>
          <w:rFonts w:hint="eastAsia"/>
          <w:sz w:val="24"/>
        </w:rPr>
        <w:t>公开内容</w:t>
      </w:r>
      <w:r>
        <w:rPr>
          <w:sz w:val="24"/>
        </w:rPr>
        <w:t>包括：①本项目基本情况简述；②</w:t>
      </w:r>
      <w:r>
        <w:rPr>
          <w:rFonts w:hint="eastAsia"/>
          <w:sz w:val="24"/>
        </w:rPr>
        <w:t>建设单位名称和联系方式；</w:t>
      </w:r>
      <w:r>
        <w:rPr>
          <w:sz w:val="24"/>
        </w:rPr>
        <w:t>③</w:t>
      </w:r>
      <w:r>
        <w:rPr>
          <w:rFonts w:hint="eastAsia"/>
          <w:sz w:val="24"/>
        </w:rPr>
        <w:t>报告书编制</w:t>
      </w:r>
      <w:r>
        <w:rPr>
          <w:sz w:val="24"/>
        </w:rPr>
        <w:t>单位</w:t>
      </w:r>
      <w:r>
        <w:rPr>
          <w:rFonts w:hint="eastAsia"/>
          <w:sz w:val="24"/>
        </w:rPr>
        <w:t>名称</w:t>
      </w:r>
      <w:r>
        <w:rPr>
          <w:sz w:val="24"/>
        </w:rPr>
        <w:t>；④</w:t>
      </w:r>
      <w:r>
        <w:rPr>
          <w:rFonts w:hint="eastAsia"/>
          <w:sz w:val="24"/>
        </w:rPr>
        <w:t>公众意见表的网络链接</w:t>
      </w:r>
      <w:r>
        <w:rPr>
          <w:sz w:val="24"/>
        </w:rPr>
        <w:t>；⑤公众</w:t>
      </w:r>
      <w:r>
        <w:rPr>
          <w:rFonts w:hint="eastAsia"/>
          <w:sz w:val="24"/>
        </w:rPr>
        <w:t>提交意见表的方式和途径</w:t>
      </w:r>
      <w:r>
        <w:rPr>
          <w:sz w:val="24"/>
        </w:rPr>
        <w:t>。</w:t>
      </w:r>
      <w:r>
        <w:rPr>
          <w:rFonts w:hint="eastAsia"/>
          <w:sz w:val="24"/>
        </w:rPr>
        <w:t>公开内容满足《环境影响评价公众参与办法》第九条对首次公示内容的要求。</w:t>
      </w:r>
    </w:p>
    <w:p>
      <w:pPr>
        <w:spacing w:line="420" w:lineRule="exact"/>
        <w:outlineLvl w:val="1"/>
        <w:rPr>
          <w:rFonts w:hint="eastAsia" w:eastAsia="黑体"/>
          <w:b/>
          <w:bCs/>
          <w:sz w:val="24"/>
        </w:rPr>
      </w:pPr>
      <w:bookmarkStart w:id="5" w:name="_Toc25061"/>
      <w:r>
        <w:rPr>
          <w:rFonts w:hint="eastAsia" w:eastAsia="黑体"/>
          <w:b/>
          <w:bCs/>
          <w:sz w:val="24"/>
        </w:rPr>
        <w:t>2.2公开方式</w:t>
      </w:r>
      <w:bookmarkEnd w:id="5"/>
    </w:p>
    <w:p>
      <w:pPr>
        <w:spacing w:line="420" w:lineRule="exact"/>
        <w:ind w:firstLine="480" w:firstLineChars="200"/>
        <w:rPr>
          <w:rFonts w:hint="eastAsia"/>
          <w:sz w:val="24"/>
        </w:rPr>
      </w:pPr>
      <w:r>
        <w:rPr>
          <w:rFonts w:hint="eastAsia"/>
          <w:sz w:val="24"/>
        </w:rPr>
        <w:t>项目环评公众参与</w:t>
      </w:r>
      <w:r>
        <w:rPr>
          <w:sz w:val="24"/>
        </w:rPr>
        <w:t>在</w:t>
      </w:r>
      <w:r>
        <w:rPr>
          <w:rFonts w:hint="eastAsia"/>
          <w:sz w:val="24"/>
          <w:lang w:val="en-US" w:eastAsia="zh-CN"/>
        </w:rPr>
        <w:t>福建环保网</w:t>
      </w:r>
      <w:r>
        <w:rPr>
          <w:rFonts w:hint="eastAsia"/>
          <w:sz w:val="24"/>
        </w:rPr>
        <w:t>进行了环评信息首次公示</w:t>
      </w:r>
      <w:r>
        <w:rPr>
          <w:rFonts w:hint="eastAsia"/>
          <w:sz w:val="24"/>
          <w:lang w:eastAsia="zh-CN"/>
        </w:rPr>
        <w:t>，</w:t>
      </w:r>
      <w:r>
        <w:rPr>
          <w:rFonts w:hint="eastAsia"/>
          <w:sz w:val="24"/>
          <w:lang w:val="en-US" w:eastAsia="zh-CN"/>
        </w:rPr>
        <w:t>公示网址链接为：</w:t>
      </w:r>
      <w:r>
        <w:rPr>
          <w:rFonts w:hint="eastAsia"/>
          <w:sz w:val="24"/>
        </w:rPr>
        <w:t>https://www.fjhb.org/huanping/yici/27841.html，公示时间：</w:t>
      </w:r>
      <w:r>
        <w:rPr>
          <w:sz w:val="24"/>
        </w:rPr>
        <w:t>20</w:t>
      </w:r>
      <w:r>
        <w:rPr>
          <w:rFonts w:hint="eastAsia"/>
          <w:sz w:val="24"/>
        </w:rPr>
        <w:t>2</w:t>
      </w:r>
      <w:r>
        <w:rPr>
          <w:rFonts w:hint="eastAsia"/>
          <w:sz w:val="24"/>
          <w:lang w:val="en-US" w:eastAsia="zh-CN"/>
        </w:rPr>
        <w:t>4</w:t>
      </w:r>
      <w:r>
        <w:rPr>
          <w:sz w:val="24"/>
        </w:rPr>
        <w:t>年</w:t>
      </w:r>
      <w:r>
        <w:rPr>
          <w:rFonts w:hint="eastAsia"/>
          <w:sz w:val="24"/>
          <w:lang w:val="en-US" w:eastAsia="zh-CN"/>
        </w:rPr>
        <w:t>2</w:t>
      </w:r>
      <w:r>
        <w:rPr>
          <w:sz w:val="24"/>
        </w:rPr>
        <w:t>月</w:t>
      </w:r>
      <w:r>
        <w:rPr>
          <w:rFonts w:hint="eastAsia"/>
          <w:sz w:val="24"/>
        </w:rPr>
        <w:t>2</w:t>
      </w:r>
      <w:r>
        <w:rPr>
          <w:rFonts w:hint="eastAsia"/>
          <w:sz w:val="24"/>
          <w:lang w:val="en-US" w:eastAsia="zh-CN"/>
        </w:rPr>
        <w:t>7</w:t>
      </w:r>
      <w:r>
        <w:rPr>
          <w:sz w:val="24"/>
        </w:rPr>
        <w:t>日</w:t>
      </w:r>
      <w:r>
        <w:rPr>
          <w:rFonts w:hint="eastAsia"/>
          <w:sz w:val="24"/>
        </w:rPr>
        <w:t>~</w:t>
      </w:r>
      <w:r>
        <w:rPr>
          <w:rFonts w:hint="eastAsia"/>
          <w:sz w:val="24"/>
          <w:lang w:val="en-US" w:eastAsia="zh-CN"/>
        </w:rPr>
        <w:t>3</w:t>
      </w:r>
      <w:r>
        <w:rPr>
          <w:rFonts w:hint="eastAsia"/>
          <w:sz w:val="24"/>
        </w:rPr>
        <w:t>月</w:t>
      </w:r>
      <w:r>
        <w:rPr>
          <w:rFonts w:hint="eastAsia"/>
          <w:sz w:val="24"/>
          <w:lang w:val="en-US" w:eastAsia="zh-CN"/>
        </w:rPr>
        <w:t>11</w:t>
      </w:r>
      <w:r>
        <w:rPr>
          <w:rFonts w:hint="eastAsia"/>
          <w:sz w:val="24"/>
        </w:rPr>
        <w:t>日，网络公示截图见图1。</w:t>
      </w:r>
      <w:bookmarkStart w:id="41" w:name="_GoBack"/>
      <w:bookmarkEnd w:id="41"/>
    </w:p>
    <w:p>
      <w:pPr>
        <w:spacing w:line="420" w:lineRule="exact"/>
        <w:ind w:firstLine="480" w:firstLineChars="200"/>
        <w:rPr>
          <w:rFonts w:hint="eastAsia"/>
          <w:sz w:val="24"/>
        </w:rPr>
      </w:pPr>
      <w:r>
        <w:rPr>
          <w:rFonts w:hint="eastAsia"/>
          <w:sz w:val="24"/>
          <w:lang w:val="en-US" w:eastAsia="zh-CN"/>
        </w:rPr>
        <w:t>福建环保网为福建省公共媒体</w:t>
      </w:r>
      <w:r>
        <w:rPr>
          <w:rFonts w:hint="eastAsia"/>
          <w:sz w:val="24"/>
        </w:rPr>
        <w:t>网站，符合《环境影响评价公众参与办法》第九条对网络平台的要求。</w:t>
      </w:r>
    </w:p>
    <w:p>
      <w:pPr>
        <w:jc w:val="center"/>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rFonts w:hint="eastAsia" w:eastAsia="宋体"/>
          <w:sz w:val="24"/>
          <w:lang w:eastAsia="zh-CN"/>
        </w:rPr>
      </w:pPr>
      <w:r>
        <w:rPr>
          <w:rFonts w:hint="eastAsia" w:eastAsia="宋体"/>
          <w:sz w:val="24"/>
          <w:lang w:eastAsia="zh-CN"/>
        </w:rPr>
        <w:drawing>
          <wp:inline distT="0" distB="0" distL="114300" distR="114300">
            <wp:extent cx="5715635" cy="5367020"/>
            <wp:effectExtent l="0" t="0" r="18415" b="5080"/>
            <wp:docPr id="56" name="图片 56" descr="年产4000吨水刺再生皮革纤维和年产2000吨水解蛋白技改项目环境影响评价第一次信息公示_福建环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年产4000吨水刺再生皮革纤维和年产2000吨水解蛋白技改项目环境影响评价第一次信息公示_福建环保网"/>
                    <pic:cNvPicPr>
                      <a:picLocks noChangeAspect="1"/>
                    </pic:cNvPicPr>
                  </pic:nvPicPr>
                  <pic:blipFill>
                    <a:blip r:embed="rId7"/>
                    <a:srcRect l="5291" r="4019"/>
                    <a:stretch>
                      <a:fillRect/>
                    </a:stretch>
                  </pic:blipFill>
                  <pic:spPr>
                    <a:xfrm>
                      <a:off x="0" y="0"/>
                      <a:ext cx="5715635" cy="5367020"/>
                    </a:xfrm>
                    <a:prstGeom prst="rect">
                      <a:avLst/>
                    </a:prstGeom>
                  </pic:spPr>
                </pic:pic>
              </a:graphicData>
            </a:graphic>
          </wp:inline>
        </w:drawing>
      </w:r>
    </w:p>
    <w:p>
      <w:pPr>
        <w:spacing w:line="320" w:lineRule="exact"/>
        <w:jc w:val="center"/>
        <w:rPr>
          <w:rFonts w:hint="eastAsia" w:eastAsia="黑体"/>
          <w:b w:val="0"/>
          <w:bCs/>
          <w:sz w:val="24"/>
        </w:rPr>
      </w:pPr>
      <w:bookmarkStart w:id="6" w:name="_Toc19983_WPSOffice_Level2"/>
      <w:bookmarkStart w:id="7" w:name="_Toc16848_WPSOffice_Level2"/>
      <w:r>
        <w:rPr>
          <w:rFonts w:hint="eastAsia" w:eastAsia="黑体"/>
          <w:b w:val="0"/>
          <w:bCs/>
          <w:sz w:val="24"/>
        </w:rPr>
        <w:t>图1 首次</w:t>
      </w:r>
      <w:r>
        <w:rPr>
          <w:rFonts w:eastAsia="黑体"/>
          <w:b w:val="0"/>
          <w:bCs/>
          <w:sz w:val="24"/>
        </w:rPr>
        <w:t>环评信息公示</w:t>
      </w:r>
      <w:r>
        <w:rPr>
          <w:rFonts w:hint="eastAsia" w:eastAsia="黑体"/>
          <w:b w:val="0"/>
          <w:bCs/>
          <w:sz w:val="24"/>
        </w:rPr>
        <w:t>截图</w:t>
      </w:r>
      <w:bookmarkEnd w:id="6"/>
      <w:bookmarkEnd w:id="7"/>
    </w:p>
    <w:p>
      <w:pPr>
        <w:spacing w:line="420" w:lineRule="exact"/>
        <w:outlineLvl w:val="1"/>
        <w:rPr>
          <w:rFonts w:hint="eastAsia" w:eastAsia="黑体"/>
          <w:b/>
          <w:bCs/>
          <w:sz w:val="24"/>
        </w:rPr>
      </w:pPr>
      <w:bookmarkStart w:id="8" w:name="_Toc23632"/>
      <w:r>
        <w:rPr>
          <w:rFonts w:hint="eastAsia" w:eastAsia="黑体"/>
          <w:b/>
          <w:bCs/>
          <w:sz w:val="24"/>
        </w:rPr>
        <w:t>2.3公众意见情况</w:t>
      </w:r>
      <w:bookmarkEnd w:id="8"/>
    </w:p>
    <w:p>
      <w:pPr>
        <w:pStyle w:val="13"/>
        <w:spacing w:line="420" w:lineRule="exact"/>
        <w:ind w:firstLine="480" w:firstLineChars="200"/>
        <w:rPr>
          <w:rFonts w:hint="eastAsia" w:ascii="Times New Roman" w:hAnsi="Times New Roman" w:eastAsia="宋体"/>
          <w:sz w:val="24"/>
          <w:lang w:eastAsia="zh-CN"/>
        </w:rPr>
      </w:pPr>
      <w:r>
        <w:rPr>
          <w:rFonts w:hint="eastAsia" w:ascii="Times New Roman" w:hAnsi="Times New Roman"/>
          <w:sz w:val="24"/>
        </w:rPr>
        <w:t>在首次公示期间，我公司及环评编制单位均</w:t>
      </w:r>
      <w:r>
        <w:rPr>
          <w:rFonts w:ascii="Times New Roman" w:hAnsi="Times New Roman"/>
          <w:sz w:val="24"/>
        </w:rPr>
        <w:t>未收到任何单位或个人的电话、传真、信件或电子邮件等关于本项目建设的反馈意见</w:t>
      </w:r>
      <w:r>
        <w:rPr>
          <w:rFonts w:hint="eastAsia" w:ascii="Times New Roman" w:hAnsi="Times New Roman"/>
          <w:sz w:val="24"/>
          <w:lang w:eastAsia="zh-CN"/>
        </w:rPr>
        <w:t>。</w:t>
      </w:r>
    </w:p>
    <w:p>
      <w:pPr>
        <w:outlineLvl w:val="0"/>
        <w:rPr>
          <w:rFonts w:eastAsia="黑体"/>
          <w:b/>
          <w:sz w:val="28"/>
          <w:szCs w:val="20"/>
        </w:rPr>
      </w:pPr>
      <w:bookmarkStart w:id="9" w:name="_Toc8310"/>
      <w:r>
        <w:rPr>
          <w:rFonts w:hint="eastAsia" w:eastAsia="黑体"/>
          <w:b/>
          <w:sz w:val="28"/>
          <w:szCs w:val="20"/>
        </w:rPr>
        <w:t>3征求意见稿</w:t>
      </w:r>
      <w:r>
        <w:rPr>
          <w:rFonts w:eastAsia="黑体"/>
          <w:b/>
          <w:sz w:val="28"/>
          <w:szCs w:val="20"/>
        </w:rPr>
        <w:t>公示</w:t>
      </w:r>
      <w:bookmarkEnd w:id="9"/>
    </w:p>
    <w:p>
      <w:pPr>
        <w:spacing w:line="420" w:lineRule="exact"/>
        <w:outlineLvl w:val="1"/>
        <w:rPr>
          <w:rFonts w:hint="eastAsia" w:eastAsia="黑体"/>
          <w:b/>
          <w:bCs/>
          <w:sz w:val="24"/>
        </w:rPr>
      </w:pPr>
      <w:bookmarkStart w:id="10" w:name="_Toc12930"/>
      <w:r>
        <w:rPr>
          <w:rFonts w:hint="eastAsia" w:eastAsia="黑体"/>
          <w:b/>
          <w:bCs/>
          <w:sz w:val="24"/>
        </w:rPr>
        <w:t>3.1公示内容及时限</w:t>
      </w:r>
      <w:bookmarkEnd w:id="10"/>
    </w:p>
    <w:p>
      <w:pPr>
        <w:pStyle w:val="13"/>
        <w:spacing w:line="420" w:lineRule="exact"/>
        <w:ind w:firstLine="480" w:firstLineChars="200"/>
        <w:rPr>
          <w:rFonts w:hint="eastAsia" w:ascii="Times New Roman" w:hAnsi="Times New Roman"/>
          <w:sz w:val="24"/>
        </w:rPr>
      </w:pPr>
      <w:r>
        <w:rPr>
          <w:rFonts w:hint="eastAsia" w:ascii="Times New Roman" w:hAnsi="Times New Roman"/>
          <w:sz w:val="24"/>
        </w:rPr>
        <w:t>202</w:t>
      </w:r>
      <w:r>
        <w:rPr>
          <w:rFonts w:hint="eastAsia" w:ascii="Times New Roman" w:hAnsi="Times New Roman"/>
          <w:sz w:val="24"/>
          <w:lang w:val="en-US" w:eastAsia="zh-CN"/>
        </w:rPr>
        <w:t>4</w:t>
      </w:r>
      <w:r>
        <w:rPr>
          <w:rFonts w:hint="eastAsia" w:ascii="Times New Roman" w:hAnsi="Times New Roman"/>
          <w:sz w:val="24"/>
        </w:rPr>
        <w:t>年</w:t>
      </w:r>
      <w:r>
        <w:rPr>
          <w:rFonts w:hint="eastAsia" w:ascii="Times New Roman" w:hAnsi="Times New Roman"/>
          <w:sz w:val="24"/>
          <w:lang w:val="en-US" w:eastAsia="zh-CN"/>
        </w:rPr>
        <w:t>4</w:t>
      </w:r>
      <w:r>
        <w:rPr>
          <w:rFonts w:hint="eastAsia" w:ascii="Times New Roman" w:hAnsi="Times New Roman"/>
          <w:sz w:val="24"/>
        </w:rPr>
        <w:t>月，编制单位基本完成了项目环境影响报告书，我公司根据环评报告书的主要内容以及结论编制了</w:t>
      </w:r>
      <w:r>
        <w:rPr>
          <w:rFonts w:hint="eastAsia" w:ascii="Times New Roman" w:hAnsi="Times New Roman"/>
          <w:sz w:val="24"/>
          <w:lang w:val="en-US" w:eastAsia="zh-CN"/>
        </w:rPr>
        <w:t>征求意见的公示</w:t>
      </w:r>
      <w:r>
        <w:rPr>
          <w:rFonts w:hint="eastAsia" w:ascii="Times New Roman" w:hAnsi="Times New Roman"/>
          <w:sz w:val="24"/>
        </w:rPr>
        <w:t>本，公示本包括了项目情况、工程分析、环境影响评价及拟采用的环保措施及风险防范措施等主要内容，同时告知公众意见可通过信函、传真、电子邮件或者电话等途径向我公司或环评单位反馈相关的环保意见。</w:t>
      </w:r>
    </w:p>
    <w:p>
      <w:pPr>
        <w:pStyle w:val="13"/>
        <w:spacing w:line="420" w:lineRule="exact"/>
        <w:ind w:firstLine="480" w:firstLineChars="200"/>
        <w:rPr>
          <w:rFonts w:hint="eastAsia" w:ascii="Times New Roman" w:hAnsi="Times New Roman"/>
          <w:sz w:val="24"/>
          <w:szCs w:val="24"/>
        </w:rPr>
      </w:pPr>
      <w:r>
        <w:rPr>
          <w:rFonts w:hint="eastAsia" w:ascii="Times New Roman" w:hAnsi="Times New Roman"/>
          <w:sz w:val="24"/>
        </w:rPr>
        <w:t>我公司通过网络、张贴等方式告知周边公众，公示期为</w:t>
      </w:r>
      <w:r>
        <w:rPr>
          <w:rFonts w:ascii="Times New Roman" w:hAnsi="Times New Roman"/>
          <w:sz w:val="24"/>
          <w:szCs w:val="24"/>
        </w:rPr>
        <w:t>20</w:t>
      </w:r>
      <w:r>
        <w:rPr>
          <w:rFonts w:hint="eastAsia" w:ascii="Times New Roman" w:hAnsi="Times New Roman"/>
          <w:sz w:val="24"/>
          <w:szCs w:val="24"/>
        </w:rPr>
        <w:t>2</w:t>
      </w:r>
      <w:r>
        <w:rPr>
          <w:rFonts w:hint="eastAsia" w:ascii="Times New Roman" w:hAnsi="Times New Roman"/>
          <w:sz w:val="24"/>
          <w:szCs w:val="24"/>
          <w:lang w:val="en-US" w:eastAsia="zh-CN"/>
        </w:rPr>
        <w:t>4</w:t>
      </w:r>
      <w:r>
        <w:rPr>
          <w:rFonts w:ascii="Times New Roman" w:hAnsi="Times New Roman"/>
          <w:sz w:val="24"/>
          <w:szCs w:val="24"/>
        </w:rPr>
        <w:t>年</w:t>
      </w:r>
      <w:r>
        <w:rPr>
          <w:rFonts w:hint="eastAsia" w:ascii="Times New Roman" w:hAnsi="Times New Roman"/>
          <w:sz w:val="24"/>
          <w:szCs w:val="24"/>
          <w:lang w:val="en-US" w:eastAsia="zh-CN"/>
        </w:rPr>
        <w:t>4</w:t>
      </w:r>
      <w:r>
        <w:rPr>
          <w:rFonts w:ascii="Times New Roman" w:hAnsi="Times New Roman"/>
          <w:sz w:val="24"/>
          <w:szCs w:val="24"/>
        </w:rPr>
        <w:t>月</w:t>
      </w:r>
      <w:r>
        <w:rPr>
          <w:rFonts w:hint="eastAsia" w:ascii="Times New Roman" w:hAnsi="Times New Roman"/>
          <w:sz w:val="24"/>
          <w:szCs w:val="24"/>
          <w:lang w:val="en-US" w:eastAsia="zh-CN"/>
        </w:rPr>
        <w:t>2</w:t>
      </w:r>
      <w:r>
        <w:rPr>
          <w:rFonts w:ascii="Times New Roman" w:hAnsi="Times New Roman"/>
          <w:sz w:val="24"/>
          <w:szCs w:val="24"/>
        </w:rPr>
        <w:t>日~</w:t>
      </w:r>
      <w:r>
        <w:rPr>
          <w:rFonts w:hint="eastAsia" w:ascii="Times New Roman" w:hAnsi="Times New Roman"/>
          <w:sz w:val="24"/>
          <w:szCs w:val="24"/>
          <w:lang w:val="en-US" w:eastAsia="zh-CN"/>
        </w:rPr>
        <w:t>1</w:t>
      </w:r>
      <w:r>
        <w:rPr>
          <w:rFonts w:hint="eastAsia" w:ascii="Times New Roman" w:hAnsi="Times New Roman"/>
          <w:sz w:val="24"/>
          <w:szCs w:val="24"/>
        </w:rPr>
        <w:t>6</w:t>
      </w:r>
      <w:r>
        <w:rPr>
          <w:rFonts w:ascii="Times New Roman" w:hAnsi="Times New Roman"/>
          <w:sz w:val="24"/>
          <w:szCs w:val="24"/>
        </w:rPr>
        <w:t>日</w:t>
      </w:r>
      <w:r>
        <w:rPr>
          <w:rFonts w:hint="eastAsia" w:ascii="Times New Roman" w:hAnsi="Times New Roman"/>
          <w:sz w:val="24"/>
          <w:szCs w:val="24"/>
        </w:rPr>
        <w:t>，共计10个工作日。公示时限满足</w:t>
      </w:r>
      <w:r>
        <w:rPr>
          <w:rFonts w:hint="eastAsia" w:ascii="Times New Roman" w:hAnsi="Times New Roman"/>
          <w:sz w:val="24"/>
        </w:rPr>
        <w:t>《环境影响评价公众参与办法》第十一条相关要求。</w:t>
      </w:r>
    </w:p>
    <w:p>
      <w:pPr>
        <w:spacing w:line="420" w:lineRule="exact"/>
        <w:outlineLvl w:val="1"/>
        <w:rPr>
          <w:rFonts w:eastAsia="黑体"/>
          <w:b/>
          <w:bCs/>
          <w:sz w:val="24"/>
        </w:rPr>
      </w:pPr>
      <w:bookmarkStart w:id="11" w:name="_Toc14040"/>
      <w:r>
        <w:rPr>
          <w:rFonts w:hint="eastAsia" w:eastAsia="黑体"/>
          <w:b/>
          <w:bCs/>
          <w:sz w:val="24"/>
        </w:rPr>
        <w:t>3.2公示方式</w:t>
      </w:r>
      <w:bookmarkEnd w:id="11"/>
    </w:p>
    <w:p>
      <w:pPr>
        <w:spacing w:line="420" w:lineRule="exact"/>
        <w:outlineLvl w:val="3"/>
        <w:rPr>
          <w:b/>
          <w:bCs/>
          <w:sz w:val="24"/>
        </w:rPr>
      </w:pPr>
      <w:bookmarkStart w:id="12" w:name="_Toc7760_WPSOffice_Level2"/>
      <w:bookmarkStart w:id="13" w:name="_Toc3382_WPSOffice_Level2"/>
      <w:bookmarkStart w:id="14" w:name="_Toc547_WPSOffice_Level2"/>
      <w:r>
        <w:rPr>
          <w:rFonts w:hint="eastAsia"/>
          <w:b/>
          <w:bCs/>
          <w:sz w:val="24"/>
        </w:rPr>
        <w:t>3.2.1网络二次</w:t>
      </w:r>
      <w:r>
        <w:rPr>
          <w:b/>
          <w:bCs/>
          <w:sz w:val="24"/>
        </w:rPr>
        <w:t>公示</w:t>
      </w:r>
      <w:bookmarkEnd w:id="12"/>
      <w:bookmarkEnd w:id="13"/>
      <w:bookmarkEnd w:id="14"/>
    </w:p>
    <w:p>
      <w:pPr>
        <w:spacing w:line="420" w:lineRule="exact"/>
        <w:ind w:firstLine="480" w:firstLineChars="200"/>
        <w:rPr>
          <w:sz w:val="24"/>
        </w:rPr>
      </w:pPr>
      <w:r>
        <w:rPr>
          <w:sz w:val="24"/>
        </w:rPr>
        <w:t>我</w:t>
      </w:r>
      <w:r>
        <w:rPr>
          <w:rFonts w:hint="eastAsia"/>
          <w:sz w:val="24"/>
        </w:rPr>
        <w:t>公司</w:t>
      </w:r>
      <w:r>
        <w:rPr>
          <w:sz w:val="24"/>
        </w:rPr>
        <w:t>于20</w:t>
      </w:r>
      <w:r>
        <w:rPr>
          <w:rFonts w:hint="eastAsia"/>
          <w:sz w:val="24"/>
        </w:rPr>
        <w:t>2</w:t>
      </w:r>
      <w:r>
        <w:rPr>
          <w:rFonts w:hint="eastAsia"/>
          <w:sz w:val="24"/>
          <w:lang w:val="en-US" w:eastAsia="zh-CN"/>
        </w:rPr>
        <w:t>4</w:t>
      </w:r>
      <w:r>
        <w:rPr>
          <w:sz w:val="24"/>
        </w:rPr>
        <w:t>年</w:t>
      </w:r>
      <w:r>
        <w:rPr>
          <w:rFonts w:hint="eastAsia"/>
          <w:sz w:val="24"/>
          <w:lang w:val="en-US" w:eastAsia="zh-CN"/>
        </w:rPr>
        <w:t>4</w:t>
      </w:r>
      <w:r>
        <w:rPr>
          <w:sz w:val="24"/>
        </w:rPr>
        <w:t>月</w:t>
      </w:r>
      <w:r>
        <w:rPr>
          <w:rFonts w:hint="eastAsia"/>
          <w:sz w:val="24"/>
          <w:lang w:val="en-US" w:eastAsia="zh-CN"/>
        </w:rPr>
        <w:t>2</w:t>
      </w:r>
      <w:r>
        <w:rPr>
          <w:sz w:val="24"/>
        </w:rPr>
        <w:t>日~</w:t>
      </w:r>
      <w:r>
        <w:rPr>
          <w:rFonts w:hint="eastAsia"/>
          <w:sz w:val="24"/>
          <w:lang w:val="en-US" w:eastAsia="zh-CN"/>
        </w:rPr>
        <w:t>1</w:t>
      </w:r>
      <w:r>
        <w:rPr>
          <w:rFonts w:hint="eastAsia"/>
          <w:sz w:val="24"/>
        </w:rPr>
        <w:t>6</w:t>
      </w:r>
      <w:r>
        <w:rPr>
          <w:sz w:val="24"/>
        </w:rPr>
        <w:t>日在</w:t>
      </w:r>
      <w:r>
        <w:rPr>
          <w:rFonts w:hint="eastAsia"/>
          <w:sz w:val="24"/>
          <w:lang w:val="en-US" w:eastAsia="zh-CN"/>
        </w:rPr>
        <w:t>福建环保</w:t>
      </w:r>
      <w:r>
        <w:rPr>
          <w:rFonts w:hint="eastAsia"/>
          <w:sz w:val="24"/>
        </w:rPr>
        <w:t>网</w:t>
      </w:r>
      <w:r>
        <w:rPr>
          <w:rFonts w:hint="eastAsia"/>
          <w:sz w:val="24"/>
          <w:lang w:val="en-US" w:eastAsia="zh-CN"/>
        </w:rPr>
        <w:t>进行了网络二次公示，公示网站链接为：https://www.fjhb.org/huanping/erci/28928.html。公示内容为</w:t>
      </w:r>
      <w:r>
        <w:rPr>
          <w:rFonts w:hint="eastAsia"/>
          <w:sz w:val="24"/>
        </w:rPr>
        <w:t>第二次环评信息和环评</w:t>
      </w:r>
      <w:r>
        <w:rPr>
          <w:rFonts w:hint="eastAsia"/>
          <w:sz w:val="24"/>
          <w:lang w:val="en-US" w:eastAsia="zh-CN"/>
        </w:rPr>
        <w:t>征求意见稿</w:t>
      </w:r>
      <w:r>
        <w:rPr>
          <w:rFonts w:hint="eastAsia"/>
          <w:sz w:val="24"/>
        </w:rPr>
        <w:t>公示，</w:t>
      </w:r>
      <w:r>
        <w:rPr>
          <w:sz w:val="24"/>
        </w:rPr>
        <w:t>征求</w:t>
      </w:r>
      <w:r>
        <w:rPr>
          <w:rFonts w:hint="eastAsia"/>
          <w:sz w:val="24"/>
          <w:lang w:val="en-US" w:eastAsia="zh-CN"/>
        </w:rPr>
        <w:t>公众</w:t>
      </w:r>
      <w:r>
        <w:rPr>
          <w:sz w:val="24"/>
        </w:rPr>
        <w:t>公众意见，网上公示截图见图</w:t>
      </w:r>
      <w:r>
        <w:rPr>
          <w:rFonts w:hint="eastAsia"/>
          <w:sz w:val="24"/>
        </w:rPr>
        <w:t>2</w:t>
      </w:r>
      <w:r>
        <w:rPr>
          <w:sz w:val="24"/>
        </w:rPr>
        <w:t>。</w:t>
      </w:r>
    </w:p>
    <w:p>
      <w:pPr>
        <w:pStyle w:val="13"/>
        <w:jc w:val="center"/>
        <w:rPr>
          <w:rFonts w:hint="eastAsia" w:ascii="Times New Roman" w:hAnsi="Times New Roman" w:eastAsia="宋体"/>
          <w:sz w:val="24"/>
          <w:lang w:eastAsia="zh-CN"/>
        </w:rPr>
      </w:pPr>
      <w:r>
        <w:rPr>
          <w:rFonts w:hint="eastAsia" w:ascii="Times New Roman" w:hAnsi="Times New Roman" w:eastAsia="宋体"/>
          <w:sz w:val="24"/>
          <w:lang w:eastAsia="zh-CN"/>
        </w:rPr>
        <w:drawing>
          <wp:inline distT="0" distB="0" distL="114300" distR="114300">
            <wp:extent cx="5796915" cy="6183630"/>
            <wp:effectExtent l="0" t="0" r="13335" b="7620"/>
            <wp:docPr id="57" name="图片 57" descr="年产4000吨水刺再生皮革纤维和年产2000吨水解蛋白技改项目环境影响评价第二次信息公示_福建环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年产4000吨水刺再生皮革纤维和年产2000吨水解蛋白技改项目环境影响评价第二次信息公示_福建环保网"/>
                    <pic:cNvPicPr>
                      <a:picLocks noChangeAspect="1"/>
                    </pic:cNvPicPr>
                  </pic:nvPicPr>
                  <pic:blipFill>
                    <a:blip r:embed="rId8"/>
                    <a:srcRect l="11589" r="10661" b="-216"/>
                    <a:stretch>
                      <a:fillRect/>
                    </a:stretch>
                  </pic:blipFill>
                  <pic:spPr>
                    <a:xfrm>
                      <a:off x="0" y="0"/>
                      <a:ext cx="5796915" cy="6183630"/>
                    </a:xfrm>
                    <a:prstGeom prst="rect">
                      <a:avLst/>
                    </a:prstGeom>
                  </pic:spPr>
                </pic:pic>
              </a:graphicData>
            </a:graphic>
          </wp:inline>
        </w:drawing>
      </w:r>
    </w:p>
    <w:p>
      <w:pPr>
        <w:spacing w:line="420" w:lineRule="exact"/>
        <w:jc w:val="center"/>
        <w:rPr>
          <w:rFonts w:hint="eastAsia" w:eastAsia="黑体"/>
          <w:b w:val="0"/>
          <w:bCs/>
          <w:sz w:val="24"/>
        </w:rPr>
      </w:pPr>
      <w:bookmarkStart w:id="15" w:name="_Toc17334_WPSOffice_Level2"/>
      <w:bookmarkStart w:id="16" w:name="_Toc25635_WPSOffice_Level2"/>
      <w:r>
        <w:rPr>
          <w:rFonts w:eastAsia="黑体"/>
          <w:b w:val="0"/>
          <w:bCs/>
          <w:sz w:val="24"/>
        </w:rPr>
        <w:t>图</w:t>
      </w:r>
      <w:r>
        <w:rPr>
          <w:rFonts w:hint="eastAsia" w:eastAsia="黑体"/>
          <w:b w:val="0"/>
          <w:bCs/>
          <w:sz w:val="24"/>
        </w:rPr>
        <w:t>2</w:t>
      </w:r>
      <w:r>
        <w:rPr>
          <w:rFonts w:eastAsia="黑体"/>
          <w:b w:val="0"/>
          <w:bCs/>
          <w:sz w:val="24"/>
        </w:rPr>
        <w:t>本项目环评</w:t>
      </w:r>
      <w:r>
        <w:rPr>
          <w:rFonts w:hint="eastAsia" w:eastAsia="黑体"/>
          <w:b w:val="0"/>
          <w:bCs/>
          <w:sz w:val="24"/>
        </w:rPr>
        <w:t>征求意见稿</w:t>
      </w:r>
      <w:r>
        <w:rPr>
          <w:rFonts w:eastAsia="黑体"/>
          <w:b w:val="0"/>
          <w:bCs/>
          <w:sz w:val="24"/>
        </w:rPr>
        <w:t>网上公示(截图)</w:t>
      </w:r>
      <w:bookmarkEnd w:id="15"/>
      <w:bookmarkEnd w:id="16"/>
      <w:bookmarkStart w:id="17" w:name="_Toc26443_WPSOffice_Level2"/>
      <w:bookmarkStart w:id="18" w:name="_Toc274_WPSOffice_Level2"/>
      <w:bookmarkStart w:id="19" w:name="_Toc9984_WPSOffice_Level2"/>
    </w:p>
    <w:p>
      <w:pPr>
        <w:spacing w:line="420" w:lineRule="exact"/>
        <w:outlineLvl w:val="3"/>
        <w:rPr>
          <w:rFonts w:hint="eastAsia"/>
          <w:b/>
          <w:bCs/>
          <w:sz w:val="24"/>
        </w:rPr>
      </w:pPr>
      <w:r>
        <w:rPr>
          <w:rFonts w:hint="eastAsia"/>
          <w:b/>
          <w:bCs/>
          <w:sz w:val="24"/>
        </w:rPr>
        <w:t>3.2.2张贴</w:t>
      </w:r>
      <w:bookmarkEnd w:id="17"/>
      <w:bookmarkEnd w:id="18"/>
      <w:bookmarkEnd w:id="19"/>
      <w:r>
        <w:rPr>
          <w:rFonts w:hint="eastAsia"/>
          <w:b/>
          <w:bCs/>
          <w:sz w:val="24"/>
        </w:rPr>
        <w:t>公示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sz w:val="24"/>
        </w:rPr>
        <w:t>我</w:t>
      </w:r>
      <w:r>
        <w:rPr>
          <w:rFonts w:hint="eastAsia"/>
          <w:sz w:val="24"/>
        </w:rPr>
        <w:t>公司</w:t>
      </w:r>
      <w:r>
        <w:rPr>
          <w:sz w:val="24"/>
        </w:rPr>
        <w:t>于20</w:t>
      </w:r>
      <w:r>
        <w:rPr>
          <w:rFonts w:hint="eastAsia"/>
          <w:sz w:val="24"/>
        </w:rPr>
        <w:t>2</w:t>
      </w:r>
      <w:r>
        <w:rPr>
          <w:rFonts w:hint="eastAsia"/>
          <w:sz w:val="24"/>
          <w:lang w:val="en-US" w:eastAsia="zh-CN"/>
        </w:rPr>
        <w:t>4</w:t>
      </w:r>
      <w:r>
        <w:rPr>
          <w:sz w:val="24"/>
        </w:rPr>
        <w:t>年</w:t>
      </w:r>
      <w:r>
        <w:rPr>
          <w:rFonts w:hint="eastAsia"/>
          <w:sz w:val="24"/>
          <w:lang w:val="en-US" w:eastAsia="zh-CN"/>
        </w:rPr>
        <w:t>4</w:t>
      </w:r>
      <w:r>
        <w:rPr>
          <w:sz w:val="24"/>
        </w:rPr>
        <w:t>月</w:t>
      </w:r>
      <w:r>
        <w:rPr>
          <w:rFonts w:hint="eastAsia"/>
          <w:sz w:val="24"/>
          <w:lang w:val="en-US" w:eastAsia="zh-CN"/>
        </w:rPr>
        <w:t>3</w:t>
      </w:r>
      <w:r>
        <w:rPr>
          <w:sz w:val="24"/>
        </w:rPr>
        <w:t>日</w:t>
      </w:r>
      <w:r>
        <w:rPr>
          <w:rFonts w:hint="eastAsia"/>
          <w:sz w:val="24"/>
        </w:rPr>
        <w:t>在</w:t>
      </w:r>
      <w:r>
        <w:rPr>
          <w:rFonts w:hint="eastAsia"/>
          <w:sz w:val="24"/>
          <w:lang w:val="en-US" w:eastAsia="zh-CN"/>
        </w:rPr>
        <w:t>项目周边的将军澳、亭里村</w:t>
      </w:r>
      <w:r>
        <w:rPr>
          <w:rFonts w:hint="eastAsia"/>
          <w:sz w:val="24"/>
        </w:rPr>
        <w:t>进行</w:t>
      </w:r>
      <w:r>
        <w:rPr>
          <w:rFonts w:hint="eastAsia"/>
          <w:sz w:val="24"/>
          <w:lang w:eastAsia="zh-CN"/>
        </w:rPr>
        <w:t>了</w:t>
      </w:r>
      <w:r>
        <w:rPr>
          <w:rFonts w:hint="eastAsia"/>
          <w:sz w:val="24"/>
        </w:rPr>
        <w:t>公示张贴。张贴位置为当地公众易于知悉的场所，符合《环境影响评价公众参与办法》第十一条相关要求。</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632"/>
        <w:gridCol w:w="45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96" w:type="dxa"/>
            <w:tcBorders>
              <w:tl2br w:val="nil"/>
              <w:tr2bl w:val="nil"/>
            </w:tcBorders>
            <w:vAlign w:val="top"/>
          </w:tcPr>
          <w:p>
            <w:pPr>
              <w:pStyle w:val="2"/>
              <w:rPr>
                <w:rFonts w:hint="eastAsia" w:eastAsia="宋体"/>
                <w:sz w:val="24"/>
                <w:vertAlign w:val="baseline"/>
                <w:lang w:eastAsia="zh-CN"/>
              </w:rPr>
            </w:pPr>
            <w:r>
              <w:rPr>
                <w:rFonts w:hint="eastAsia" w:eastAsia="宋体"/>
                <w:sz w:val="24"/>
                <w:vertAlign w:val="baseline"/>
                <w:lang w:eastAsia="zh-CN"/>
              </w:rPr>
              <w:drawing>
                <wp:inline distT="0" distB="0" distL="114300" distR="114300">
                  <wp:extent cx="2772410" cy="2078355"/>
                  <wp:effectExtent l="0" t="0" r="8890" b="17145"/>
                  <wp:docPr id="3" name="图片 3" descr="cfd5d6974f7a8f135cb18415f274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d5d6974f7a8f135cb18415f27497b"/>
                          <pic:cNvPicPr>
                            <a:picLocks noChangeAspect="1"/>
                          </pic:cNvPicPr>
                        </pic:nvPicPr>
                        <pic:blipFill>
                          <a:blip r:embed="rId9"/>
                          <a:stretch>
                            <a:fillRect/>
                          </a:stretch>
                        </pic:blipFill>
                        <pic:spPr>
                          <a:xfrm>
                            <a:off x="0" y="0"/>
                            <a:ext cx="2772410" cy="2078355"/>
                          </a:xfrm>
                          <a:prstGeom prst="rect">
                            <a:avLst/>
                          </a:prstGeom>
                        </pic:spPr>
                      </pic:pic>
                    </a:graphicData>
                  </a:graphic>
                </wp:inline>
              </w:drawing>
            </w:r>
          </w:p>
        </w:tc>
        <w:tc>
          <w:tcPr>
            <w:tcW w:w="4578" w:type="dxa"/>
            <w:tcBorders>
              <w:tl2br w:val="nil"/>
              <w:tr2bl w:val="nil"/>
            </w:tcBorders>
            <w:vAlign w:val="top"/>
          </w:tcPr>
          <w:p>
            <w:pPr>
              <w:pStyle w:val="2"/>
              <w:rPr>
                <w:rFonts w:hint="eastAsia" w:eastAsia="宋体"/>
                <w:sz w:val="24"/>
                <w:vertAlign w:val="baseline"/>
                <w:lang w:eastAsia="zh-CN"/>
              </w:rPr>
            </w:pPr>
            <w:r>
              <w:rPr>
                <w:rFonts w:hint="eastAsia" w:eastAsia="宋体"/>
                <w:sz w:val="24"/>
                <w:vertAlign w:val="baseline"/>
                <w:lang w:eastAsia="zh-CN"/>
              </w:rPr>
              <w:drawing>
                <wp:inline distT="0" distB="0" distL="114300" distR="114300">
                  <wp:extent cx="2755900" cy="2066290"/>
                  <wp:effectExtent l="0" t="0" r="6350" b="10160"/>
                  <wp:docPr id="2" name="图片 2" descr="7ba86a919c8db7de7494cafd6c20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ba86a919c8db7de7494cafd6c20f12"/>
                          <pic:cNvPicPr>
                            <a:picLocks noChangeAspect="1"/>
                          </pic:cNvPicPr>
                        </pic:nvPicPr>
                        <pic:blipFill>
                          <a:blip r:embed="rId10"/>
                          <a:stretch>
                            <a:fillRect/>
                          </a:stretch>
                        </pic:blipFill>
                        <pic:spPr>
                          <a:xfrm>
                            <a:off x="0" y="0"/>
                            <a:ext cx="2755900" cy="20662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96" w:type="dxa"/>
            <w:tcBorders>
              <w:tl2br w:val="nil"/>
              <w:tr2bl w:val="nil"/>
            </w:tcBorders>
            <w:vAlign w:val="top"/>
          </w:tcPr>
          <w:p>
            <w:pPr>
              <w:pStyle w:val="2"/>
              <w:rPr>
                <w:rFonts w:hint="eastAsia" w:eastAsia="宋体"/>
                <w:sz w:val="24"/>
                <w:vertAlign w:val="baseline"/>
                <w:lang w:eastAsia="zh-CN"/>
              </w:rPr>
            </w:pPr>
            <w:r>
              <w:drawing>
                <wp:inline distT="0" distB="0" distL="114300" distR="114300">
                  <wp:extent cx="2804795" cy="1955165"/>
                  <wp:effectExtent l="0" t="0" r="1460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804795" cy="1955165"/>
                          </a:xfrm>
                          <a:prstGeom prst="rect">
                            <a:avLst/>
                          </a:prstGeom>
                          <a:noFill/>
                          <a:ln>
                            <a:noFill/>
                          </a:ln>
                        </pic:spPr>
                      </pic:pic>
                    </a:graphicData>
                  </a:graphic>
                </wp:inline>
              </w:drawing>
            </w:r>
          </w:p>
        </w:tc>
        <w:tc>
          <w:tcPr>
            <w:tcW w:w="4578" w:type="dxa"/>
            <w:tcBorders>
              <w:tl2br w:val="nil"/>
              <w:tr2bl w:val="nil"/>
            </w:tcBorders>
            <w:vAlign w:val="top"/>
          </w:tcPr>
          <w:p>
            <w:pPr>
              <w:pStyle w:val="2"/>
              <w:jc w:val="center"/>
              <w:rPr>
                <w:rFonts w:hint="eastAsia" w:eastAsia="宋体"/>
                <w:sz w:val="24"/>
                <w:vertAlign w:val="baseline"/>
                <w:lang w:eastAsia="zh-CN"/>
              </w:rPr>
            </w:pPr>
            <w:r>
              <w:drawing>
                <wp:inline distT="0" distB="0" distL="114300" distR="114300">
                  <wp:extent cx="2710815" cy="1925955"/>
                  <wp:effectExtent l="0" t="0" r="1333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710815" cy="19259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96" w:type="dxa"/>
            <w:tcBorders>
              <w:tl2br w:val="nil"/>
              <w:tr2bl w:val="nil"/>
            </w:tcBorders>
            <w:vAlign w:val="top"/>
          </w:tcPr>
          <w:p>
            <w:pPr>
              <w:pStyle w:val="2"/>
              <w:jc w:val="center"/>
              <w:rPr>
                <w:rFonts w:hint="default" w:ascii="Times New Roman" w:hAnsi="Times New Roman" w:eastAsia="黑体" w:cs="Times New Roman"/>
                <w:sz w:val="24"/>
                <w:vertAlign w:val="baseline"/>
                <w:lang w:val="en-US" w:eastAsia="zh-CN"/>
              </w:rPr>
            </w:pPr>
            <w:r>
              <w:rPr>
                <w:rFonts w:hint="default" w:ascii="Times New Roman" w:hAnsi="Times New Roman" w:eastAsia="黑体" w:cs="Times New Roman"/>
                <w:sz w:val="24"/>
                <w:vertAlign w:val="baseline"/>
                <w:lang w:val="en-US" w:eastAsia="zh-CN"/>
              </w:rPr>
              <w:t>将军澳张贴公示</w:t>
            </w:r>
          </w:p>
        </w:tc>
        <w:tc>
          <w:tcPr>
            <w:tcW w:w="4578" w:type="dxa"/>
            <w:tcBorders>
              <w:tl2br w:val="nil"/>
              <w:tr2bl w:val="nil"/>
            </w:tcBorders>
            <w:vAlign w:val="top"/>
          </w:tcPr>
          <w:p>
            <w:pPr>
              <w:pStyle w:val="2"/>
              <w:jc w:val="center"/>
              <w:rPr>
                <w:rFonts w:hint="default" w:ascii="Times New Roman" w:hAnsi="Times New Roman" w:eastAsia="黑体" w:cs="Times New Roman"/>
                <w:sz w:val="24"/>
                <w:vertAlign w:val="baseline"/>
                <w:lang w:val="en-US" w:eastAsia="zh-CN"/>
              </w:rPr>
            </w:pPr>
            <w:r>
              <w:rPr>
                <w:rFonts w:hint="default" w:ascii="Times New Roman" w:hAnsi="Times New Roman" w:eastAsia="黑体" w:cs="Times New Roman"/>
                <w:sz w:val="24"/>
                <w:vertAlign w:val="baseline"/>
                <w:lang w:val="en-US" w:eastAsia="zh-CN"/>
              </w:rPr>
              <w:t>亭里村张贴公示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9174" w:type="dxa"/>
            <w:gridSpan w:val="2"/>
            <w:tcBorders>
              <w:tl2br w:val="nil"/>
              <w:tr2bl w:val="nil"/>
            </w:tcBorders>
            <w:vAlign w:val="top"/>
          </w:tcPr>
          <w:p>
            <w:pPr>
              <w:pStyle w:val="2"/>
              <w:jc w:val="center"/>
              <w:rPr>
                <w:rFonts w:hint="default" w:ascii="Times New Roman" w:hAnsi="Times New Roman" w:eastAsia="黑体" w:cs="Times New Roman"/>
                <w:sz w:val="24"/>
                <w:vertAlign w:val="baseline"/>
                <w:lang w:val="en-US" w:eastAsia="zh-CN"/>
              </w:rPr>
            </w:pPr>
            <w:r>
              <w:rPr>
                <w:rFonts w:hint="default" w:ascii="Times New Roman" w:hAnsi="Times New Roman" w:eastAsia="黑体" w:cs="Times New Roman"/>
                <w:sz w:val="24"/>
                <w:vertAlign w:val="baseline"/>
                <w:lang w:val="en-US" w:eastAsia="zh-CN"/>
              </w:rPr>
              <w:t>图3 周边居民点现场张贴公示照片</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outlineLvl w:val="3"/>
        <w:rPr>
          <w:rFonts w:hint="eastAsia"/>
          <w:b/>
          <w:bCs/>
          <w:sz w:val="24"/>
        </w:rPr>
      </w:pPr>
      <w:bookmarkStart w:id="20" w:name="_Toc29356_WPSOffice_Level2"/>
      <w:bookmarkStart w:id="21" w:name="_Toc2985_WPSOffice_Level2"/>
      <w:bookmarkStart w:id="22" w:name="_Toc14527_WPSOffice_Level2"/>
      <w:r>
        <w:rPr>
          <w:rFonts w:hint="eastAsia"/>
          <w:b/>
          <w:bCs/>
          <w:sz w:val="24"/>
        </w:rPr>
        <w:t>3.2.3</w:t>
      </w:r>
      <w:bookmarkEnd w:id="20"/>
      <w:r>
        <w:rPr>
          <w:rFonts w:hint="eastAsia"/>
          <w:b/>
          <w:bCs/>
          <w:sz w:val="24"/>
        </w:rPr>
        <w:t>报纸公示</w:t>
      </w:r>
      <w:bookmarkEnd w:id="21"/>
      <w:bookmarkEnd w:id="22"/>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在征求意见稿网络公示期间，通过“</w:t>
      </w:r>
      <w:r>
        <w:rPr>
          <w:rFonts w:hint="eastAsia"/>
          <w:sz w:val="24"/>
          <w:lang w:val="en-US" w:eastAsia="zh-CN"/>
        </w:rPr>
        <w:t>海峡都市</w:t>
      </w:r>
      <w:r>
        <w:rPr>
          <w:rFonts w:hint="eastAsia"/>
          <w:sz w:val="24"/>
        </w:rPr>
        <w:t>报”进行了信息公开，时间分别为202</w:t>
      </w:r>
      <w:r>
        <w:rPr>
          <w:rFonts w:hint="eastAsia"/>
          <w:sz w:val="24"/>
          <w:lang w:val="en-US" w:eastAsia="zh-CN"/>
        </w:rPr>
        <w:t>4</w:t>
      </w:r>
      <w:r>
        <w:rPr>
          <w:rFonts w:hint="eastAsia"/>
          <w:sz w:val="24"/>
        </w:rPr>
        <w:t>年</w:t>
      </w:r>
      <w:r>
        <w:rPr>
          <w:rFonts w:hint="eastAsia"/>
          <w:sz w:val="24"/>
          <w:lang w:val="en-US" w:eastAsia="zh-CN"/>
        </w:rPr>
        <w:t>4</w:t>
      </w:r>
      <w:r>
        <w:rPr>
          <w:rFonts w:hint="eastAsia"/>
          <w:sz w:val="24"/>
        </w:rPr>
        <w:t>月</w:t>
      </w:r>
      <w:r>
        <w:rPr>
          <w:rFonts w:hint="eastAsia"/>
          <w:sz w:val="24"/>
          <w:lang w:val="en-US" w:eastAsia="zh-CN"/>
        </w:rPr>
        <w:t>12</w:t>
      </w:r>
      <w:r>
        <w:rPr>
          <w:rFonts w:hint="eastAsia"/>
          <w:sz w:val="24"/>
        </w:rPr>
        <w:t>日和</w:t>
      </w:r>
      <w:r>
        <w:rPr>
          <w:rFonts w:hint="eastAsia"/>
          <w:sz w:val="24"/>
          <w:lang w:val="en-US" w:eastAsia="zh-CN"/>
        </w:rPr>
        <w:t>15</w:t>
      </w:r>
      <w:r>
        <w:rPr>
          <w:rFonts w:hint="eastAsia"/>
          <w:sz w:val="24"/>
        </w:rPr>
        <w:t>日，共2次。</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lang w:val="en-US" w:eastAsia="zh-CN"/>
        </w:rPr>
        <w:t>海峡都市报是1997年福建日报社出版的报刊，是福建省第一张面向全省的综合性都市生活报，每日出版，</w:t>
      </w:r>
      <w:r>
        <w:rPr>
          <w:rFonts w:hint="eastAsia"/>
          <w:sz w:val="24"/>
        </w:rPr>
        <w:t>主要面向东南沿海</w:t>
      </w:r>
      <w:r>
        <w:rPr>
          <w:rFonts w:hint="eastAsia"/>
          <w:sz w:val="24"/>
          <w:lang w:eastAsia="zh-CN"/>
        </w:rPr>
        <w:t>，</w:t>
      </w:r>
      <w:r>
        <w:rPr>
          <w:rFonts w:hint="eastAsia"/>
          <w:sz w:val="24"/>
        </w:rPr>
        <w:t>公众易于接触。公开信息共2次，符合《环境影响评价公众参与办法》第十一条关于报纸公开的要求。</w:t>
      </w: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pPr>
    </w:p>
    <w:p>
      <w:pPr>
        <w:pStyle w:val="2"/>
        <w:rPr>
          <w:rFonts w:hint="eastAsia"/>
          <w:b/>
          <w:bC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2"/>
        <w:gridCol w:w="5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3662" w:type="dxa"/>
            <w:vMerge w:val="restart"/>
            <w:tcBorders>
              <w:tl2br w:val="nil"/>
              <w:tr2bl w:val="nil"/>
            </w:tcBorders>
            <w:vAlign w:val="top"/>
          </w:tcPr>
          <w:p>
            <w:pPr>
              <w:pStyle w:val="2"/>
              <w:rPr>
                <w:rFonts w:hint="eastAsia" w:eastAsia="宋体"/>
                <w:sz w:val="24"/>
                <w:vertAlign w:val="baseline"/>
                <w:lang w:eastAsia="zh-CN"/>
              </w:rPr>
            </w:pPr>
            <w:r>
              <w:drawing>
                <wp:inline distT="0" distB="0" distL="114300" distR="114300">
                  <wp:extent cx="2182495" cy="3209925"/>
                  <wp:effectExtent l="0" t="0" r="825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2182495" cy="3209925"/>
                          </a:xfrm>
                          <a:prstGeom prst="rect">
                            <a:avLst/>
                          </a:prstGeom>
                          <a:noFill/>
                          <a:ln>
                            <a:noFill/>
                          </a:ln>
                        </pic:spPr>
                      </pic:pic>
                    </a:graphicData>
                  </a:graphic>
                </wp:inline>
              </w:drawing>
            </w:r>
          </w:p>
        </w:tc>
        <w:tc>
          <w:tcPr>
            <w:tcW w:w="5512" w:type="dxa"/>
            <w:tcBorders>
              <w:tl2br w:val="nil"/>
              <w:tr2bl w:val="nil"/>
            </w:tcBorders>
            <w:vAlign w:val="top"/>
          </w:tcPr>
          <w:p>
            <w:pPr>
              <w:pStyle w:val="2"/>
              <w:rPr>
                <w:rFonts w:hint="eastAsia" w:eastAsia="宋体"/>
                <w:sz w:val="24"/>
                <w:vertAlign w:val="baseline"/>
                <w:lang w:eastAsia="zh-CN"/>
              </w:rPr>
            </w:pPr>
            <w:r>
              <w:drawing>
                <wp:inline distT="0" distB="0" distL="114300" distR="114300">
                  <wp:extent cx="3361690" cy="1498600"/>
                  <wp:effectExtent l="0" t="0" r="10160"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3361690" cy="1498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3662" w:type="dxa"/>
            <w:vMerge w:val="continue"/>
            <w:tcBorders>
              <w:tl2br w:val="nil"/>
              <w:tr2bl w:val="nil"/>
            </w:tcBorders>
            <w:vAlign w:val="top"/>
          </w:tcPr>
          <w:p>
            <w:pPr>
              <w:pStyle w:val="2"/>
            </w:pPr>
          </w:p>
        </w:tc>
        <w:tc>
          <w:tcPr>
            <w:tcW w:w="5512" w:type="dxa"/>
            <w:tcBorders>
              <w:tl2br w:val="nil"/>
              <w:tr2bl w:val="nil"/>
            </w:tcBorders>
            <w:vAlign w:val="top"/>
          </w:tcPr>
          <w:p>
            <w:pPr>
              <w:pStyle w:val="2"/>
              <w:jc w:val="center"/>
              <w:rPr>
                <w:rFonts w:hint="eastAsia" w:eastAsia="宋体"/>
                <w:sz w:val="24"/>
                <w:vertAlign w:val="baseline"/>
                <w:lang w:eastAsia="zh-CN"/>
              </w:rPr>
            </w:pPr>
            <w:r>
              <w:drawing>
                <wp:inline distT="0" distB="0" distL="114300" distR="114300">
                  <wp:extent cx="2854960" cy="1718310"/>
                  <wp:effectExtent l="0" t="0" r="2540" b="152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2854960" cy="17183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3662" w:type="dxa"/>
            <w:vMerge w:val="restart"/>
            <w:tcBorders>
              <w:tl2br w:val="nil"/>
              <w:tr2bl w:val="nil"/>
            </w:tcBorders>
            <w:vAlign w:val="top"/>
          </w:tcPr>
          <w:p>
            <w:pPr>
              <w:pStyle w:val="2"/>
              <w:rPr>
                <w:rFonts w:hint="eastAsia" w:eastAsia="宋体"/>
                <w:sz w:val="24"/>
                <w:vertAlign w:val="baseline"/>
                <w:lang w:eastAsia="zh-CN"/>
              </w:rPr>
            </w:pPr>
            <w:r>
              <w:drawing>
                <wp:inline distT="0" distB="0" distL="114300" distR="114300">
                  <wp:extent cx="2182495" cy="3232150"/>
                  <wp:effectExtent l="0" t="0" r="8255" b="63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6"/>
                          <a:stretch>
                            <a:fillRect/>
                          </a:stretch>
                        </pic:blipFill>
                        <pic:spPr>
                          <a:xfrm>
                            <a:off x="0" y="0"/>
                            <a:ext cx="2182495" cy="3232150"/>
                          </a:xfrm>
                          <a:prstGeom prst="rect">
                            <a:avLst/>
                          </a:prstGeom>
                          <a:noFill/>
                          <a:ln>
                            <a:noFill/>
                          </a:ln>
                        </pic:spPr>
                      </pic:pic>
                    </a:graphicData>
                  </a:graphic>
                </wp:inline>
              </w:drawing>
            </w:r>
          </w:p>
        </w:tc>
        <w:tc>
          <w:tcPr>
            <w:tcW w:w="5512" w:type="dxa"/>
            <w:tcBorders>
              <w:tl2br w:val="nil"/>
              <w:tr2bl w:val="nil"/>
            </w:tcBorders>
            <w:vAlign w:val="top"/>
          </w:tcPr>
          <w:p>
            <w:pPr>
              <w:pStyle w:val="2"/>
              <w:jc w:val="center"/>
              <w:rPr>
                <w:rFonts w:hint="eastAsia" w:eastAsia="宋体"/>
                <w:sz w:val="24"/>
                <w:vertAlign w:val="baseline"/>
                <w:lang w:eastAsia="zh-CN"/>
              </w:rPr>
            </w:pPr>
            <w:r>
              <w:drawing>
                <wp:inline distT="0" distB="0" distL="114300" distR="114300">
                  <wp:extent cx="3361055" cy="1581150"/>
                  <wp:effectExtent l="0" t="0" r="10795"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7"/>
                          <a:stretch>
                            <a:fillRect/>
                          </a:stretch>
                        </pic:blipFill>
                        <pic:spPr>
                          <a:xfrm>
                            <a:off x="0" y="0"/>
                            <a:ext cx="3361055" cy="1581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3662" w:type="dxa"/>
            <w:vMerge w:val="continue"/>
            <w:tcBorders>
              <w:tl2br w:val="nil"/>
              <w:tr2bl w:val="nil"/>
            </w:tcBorders>
            <w:vAlign w:val="top"/>
          </w:tcPr>
          <w:p>
            <w:pPr>
              <w:pStyle w:val="2"/>
              <w:jc w:val="center"/>
            </w:pPr>
          </w:p>
        </w:tc>
        <w:tc>
          <w:tcPr>
            <w:tcW w:w="5512" w:type="dxa"/>
            <w:tcBorders>
              <w:tl2br w:val="nil"/>
              <w:tr2bl w:val="nil"/>
            </w:tcBorders>
            <w:vAlign w:val="top"/>
          </w:tcPr>
          <w:p>
            <w:pPr>
              <w:pStyle w:val="2"/>
              <w:jc w:val="center"/>
              <w:rPr>
                <w:rFonts w:hint="eastAsia" w:eastAsia="宋体"/>
                <w:sz w:val="24"/>
                <w:vertAlign w:val="baseline"/>
                <w:lang w:eastAsia="zh-CN"/>
              </w:rPr>
            </w:pPr>
            <w:r>
              <w:drawing>
                <wp:inline distT="0" distB="0" distL="114300" distR="114300">
                  <wp:extent cx="3362325" cy="1805940"/>
                  <wp:effectExtent l="0" t="0" r="9525" b="381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8"/>
                          <a:stretch>
                            <a:fillRect/>
                          </a:stretch>
                        </pic:blipFill>
                        <pic:spPr>
                          <a:xfrm>
                            <a:off x="0" y="0"/>
                            <a:ext cx="3362325" cy="18059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4" w:type="dxa"/>
            <w:gridSpan w:val="2"/>
            <w:tcBorders>
              <w:tl2br w:val="nil"/>
              <w:tr2bl w:val="nil"/>
            </w:tcBorders>
            <w:vAlign w:val="top"/>
          </w:tcPr>
          <w:p>
            <w:pPr>
              <w:pStyle w:val="2"/>
              <w:jc w:val="center"/>
              <w:rPr>
                <w:rFonts w:hint="default" w:ascii="Times New Roman" w:hAnsi="Times New Roman" w:eastAsia="黑体" w:cs="Times New Roman"/>
                <w:sz w:val="24"/>
                <w:vertAlign w:val="baseline"/>
                <w:lang w:val="en-US" w:eastAsia="zh-CN"/>
              </w:rPr>
            </w:pPr>
            <w:r>
              <w:rPr>
                <w:rFonts w:hint="default" w:ascii="Times New Roman" w:hAnsi="Times New Roman" w:eastAsia="黑体" w:cs="Times New Roman"/>
                <w:sz w:val="24"/>
                <w:vertAlign w:val="baseline"/>
                <w:lang w:val="en-US" w:eastAsia="zh-CN"/>
              </w:rPr>
              <w:t>图</w:t>
            </w:r>
            <w:r>
              <w:rPr>
                <w:rFonts w:hint="eastAsia" w:eastAsia="黑体" w:cs="Times New Roman"/>
                <w:sz w:val="24"/>
                <w:vertAlign w:val="baseline"/>
                <w:lang w:val="en-US" w:eastAsia="zh-CN"/>
              </w:rPr>
              <w:t>4</w:t>
            </w:r>
            <w:r>
              <w:rPr>
                <w:rFonts w:hint="default" w:ascii="Times New Roman" w:hAnsi="Times New Roman" w:eastAsia="黑体" w:cs="Times New Roman"/>
                <w:sz w:val="24"/>
                <w:vertAlign w:val="baseline"/>
                <w:lang w:val="en-US" w:eastAsia="zh-CN"/>
              </w:rPr>
              <w:t xml:space="preserve"> </w:t>
            </w:r>
            <w:r>
              <w:rPr>
                <w:rFonts w:hint="eastAsia" w:eastAsia="黑体" w:cs="Times New Roman"/>
                <w:sz w:val="24"/>
                <w:vertAlign w:val="baseline"/>
                <w:lang w:val="en-US" w:eastAsia="zh-CN"/>
              </w:rPr>
              <w:t>报纸信息公示</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outlineLvl w:val="1"/>
        <w:rPr>
          <w:rFonts w:hint="eastAsia" w:eastAsia="黑体"/>
          <w:b/>
          <w:bCs/>
          <w:sz w:val="24"/>
        </w:rPr>
      </w:pPr>
      <w:bookmarkStart w:id="23" w:name="_Toc20749_WPSOffice_Level3"/>
      <w:bookmarkStart w:id="24" w:name="_Toc14488"/>
      <w:r>
        <w:rPr>
          <w:rFonts w:hint="eastAsia" w:eastAsia="黑体"/>
          <w:b/>
          <w:bCs/>
          <w:sz w:val="24"/>
        </w:rPr>
        <w:t>3.3查阅情况</w:t>
      </w:r>
      <w:bookmarkEnd w:id="23"/>
      <w:bookmarkEnd w:id="24"/>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本次征求意见在我公司设置了纸质报告查阅场所。公示期间没有公众查阅。</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1"/>
        <w:rPr>
          <w:rFonts w:hint="eastAsia" w:eastAsia="黑体"/>
          <w:b/>
          <w:bCs/>
          <w:sz w:val="24"/>
        </w:rPr>
      </w:pPr>
      <w:bookmarkStart w:id="25" w:name="_Toc3200"/>
      <w:bookmarkStart w:id="26" w:name="_Toc12540_WPSOffice_Level3"/>
      <w:r>
        <w:rPr>
          <w:rFonts w:hint="eastAsia" w:eastAsia="黑体"/>
          <w:b/>
          <w:bCs/>
          <w:sz w:val="24"/>
        </w:rPr>
        <w:t>3.4公众提出意见情况</w:t>
      </w:r>
      <w:bookmarkEnd w:id="25"/>
      <w:bookmarkEnd w:id="26"/>
    </w:p>
    <w:p>
      <w:pPr>
        <w:pStyle w:val="13"/>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sz w:val="24"/>
        </w:rPr>
      </w:pPr>
      <w:r>
        <w:rPr>
          <w:rFonts w:hint="eastAsia" w:ascii="Times New Roman" w:hAnsi="Times New Roman"/>
          <w:sz w:val="24"/>
        </w:rPr>
        <w:t>在征求意见稿公示期间，我公司及环评编制单位均</w:t>
      </w:r>
      <w:r>
        <w:rPr>
          <w:rFonts w:ascii="Times New Roman" w:hAnsi="Times New Roman"/>
          <w:sz w:val="24"/>
        </w:rPr>
        <w:t>未收到任何单位或个人的电话、传真、信件或电子邮件等关于本项目建设的反馈意见</w:t>
      </w:r>
      <w:r>
        <w:rPr>
          <w:rFonts w:hint="eastAsia" w:ascii="Times New Roman" w:hAnsi="Times New Roman"/>
          <w:sz w:val="24"/>
        </w:rPr>
        <w:t>。</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0"/>
        <w:rPr>
          <w:rFonts w:hint="eastAsia" w:eastAsia="黑体"/>
          <w:b/>
          <w:sz w:val="28"/>
          <w:szCs w:val="20"/>
        </w:rPr>
      </w:pPr>
      <w:bookmarkStart w:id="27" w:name="_Toc5167"/>
      <w:bookmarkStart w:id="28" w:name="_Toc24122_WPSOffice_Level1"/>
      <w:bookmarkStart w:id="29" w:name="_Toc13567"/>
      <w:r>
        <w:rPr>
          <w:rFonts w:hint="eastAsia" w:eastAsia="黑体"/>
          <w:b/>
          <w:sz w:val="28"/>
          <w:szCs w:val="20"/>
        </w:rPr>
        <w:t>4公众意见处理情况</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1"/>
        <w:rPr>
          <w:rFonts w:hint="eastAsia" w:eastAsia="黑体"/>
          <w:b/>
          <w:bCs/>
          <w:sz w:val="24"/>
        </w:rPr>
      </w:pPr>
      <w:bookmarkStart w:id="30" w:name="_Toc8013_WPSOffice_Level1"/>
      <w:bookmarkStart w:id="31" w:name="_Toc32717"/>
      <w:r>
        <w:rPr>
          <w:rFonts w:hint="eastAsia" w:eastAsia="黑体"/>
          <w:b/>
          <w:bCs/>
          <w:sz w:val="24"/>
        </w:rPr>
        <w:t>4.1公众意见概述和分析</w:t>
      </w:r>
      <w:bookmarkEnd w:id="30"/>
      <w:bookmarkEnd w:id="31"/>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在第二次网络公示和征求意见稿公示期间，我公司及环评编制单位均未收到公众反馈意见。</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1"/>
        <w:rPr>
          <w:rFonts w:hint="eastAsia" w:eastAsia="黑体"/>
          <w:b/>
          <w:bCs/>
          <w:sz w:val="24"/>
        </w:rPr>
      </w:pPr>
      <w:bookmarkStart w:id="32" w:name="_Toc32694"/>
      <w:bookmarkStart w:id="33" w:name="_Toc12761_WPSOffice_Level1"/>
      <w:r>
        <w:rPr>
          <w:rFonts w:hint="eastAsia" w:eastAsia="黑体"/>
          <w:b/>
          <w:bCs/>
          <w:sz w:val="24"/>
        </w:rPr>
        <w:t>4.2公众意见采纳情况</w:t>
      </w:r>
      <w:bookmarkEnd w:id="32"/>
      <w:bookmarkEnd w:id="33"/>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sz w:val="24"/>
        </w:rPr>
      </w:pPr>
      <w:r>
        <w:rPr>
          <w:rFonts w:hint="eastAsia"/>
          <w:sz w:val="24"/>
        </w:rPr>
        <w:t>公众参与过程中，我公司及环评编制单位均未收到单位或个人的反馈意见。根据环评意见，</w:t>
      </w:r>
      <w:r>
        <w:rPr>
          <w:sz w:val="24"/>
        </w:rPr>
        <w:t>我</w:t>
      </w:r>
      <w:r>
        <w:rPr>
          <w:rFonts w:hint="eastAsia"/>
          <w:sz w:val="24"/>
        </w:rPr>
        <w:t>公司</w:t>
      </w:r>
      <w:r>
        <w:rPr>
          <w:sz w:val="24"/>
        </w:rPr>
        <w:t>承诺</w:t>
      </w:r>
      <w:r>
        <w:rPr>
          <w:rFonts w:hint="eastAsia"/>
          <w:sz w:val="24"/>
        </w:rPr>
        <w:t>严格</w:t>
      </w:r>
      <w:r>
        <w:rPr>
          <w:sz w:val="24"/>
        </w:rPr>
        <w:t>执行</w:t>
      </w:r>
      <w:r>
        <w:rPr>
          <w:rFonts w:hint="eastAsia"/>
          <w:sz w:val="24"/>
        </w:rPr>
        <w:t>环境</w:t>
      </w:r>
      <w:r>
        <w:rPr>
          <w:sz w:val="24"/>
        </w:rPr>
        <w:t>影响报告所提的各项环境保护措施</w:t>
      </w:r>
      <w:r>
        <w:rPr>
          <w:rFonts w:hint="eastAsia"/>
          <w:sz w:val="24"/>
        </w:rPr>
        <w:t>，</w:t>
      </w:r>
      <w:r>
        <w:rPr>
          <w:sz w:val="24"/>
        </w:rPr>
        <w:t>做好污染防治工作</w:t>
      </w:r>
      <w:r>
        <w:rPr>
          <w:rFonts w:hint="eastAsia"/>
          <w:sz w:val="24"/>
        </w:rPr>
        <w:t>，</w:t>
      </w:r>
      <w:r>
        <w:rPr>
          <w:sz w:val="24"/>
        </w:rPr>
        <w:t>将项目可能产生的环境影响降至最低</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0"/>
        <w:rPr>
          <w:rFonts w:hint="eastAsia" w:eastAsia="黑体"/>
          <w:b/>
          <w:sz w:val="28"/>
          <w:szCs w:val="20"/>
        </w:rPr>
      </w:pPr>
      <w:bookmarkStart w:id="34" w:name="_Toc27773"/>
      <w:bookmarkStart w:id="35" w:name="_Toc10042_WPSOffice_Level1"/>
      <w:bookmarkStart w:id="36" w:name="_Toc12440_WPSOffice_Level1"/>
      <w:bookmarkStart w:id="37" w:name="_Toc23672"/>
      <w:r>
        <w:rPr>
          <w:rFonts w:hint="eastAsia" w:eastAsia="黑体"/>
          <w:b/>
          <w:sz w:val="28"/>
          <w:szCs w:val="20"/>
          <w:lang w:val="en-US" w:eastAsia="zh-CN"/>
        </w:rPr>
        <w:t>5</w:t>
      </w:r>
      <w:r>
        <w:rPr>
          <w:rFonts w:hint="eastAsia" w:eastAsia="黑体"/>
          <w:b/>
          <w:sz w:val="28"/>
          <w:szCs w:val="20"/>
        </w:rPr>
        <w:t>其他</w:t>
      </w:r>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本次公众参与过程的网络截图、公示照片、信息公开的报纸、《公众参与说明》将已纸质报告和电子文档形式，交由公司专人进行存档备案。</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0"/>
        <w:rPr>
          <w:rFonts w:hint="eastAsia" w:eastAsia="黑体"/>
          <w:b/>
          <w:sz w:val="28"/>
          <w:szCs w:val="20"/>
        </w:rPr>
      </w:pPr>
      <w:bookmarkStart w:id="38" w:name="_Toc30039"/>
      <w:bookmarkStart w:id="39" w:name="_Toc12701"/>
      <w:bookmarkStart w:id="40" w:name="_Toc7439_WPSOffice_Level1"/>
      <w:r>
        <w:rPr>
          <w:rFonts w:hint="eastAsia" w:eastAsia="黑体"/>
          <w:b/>
          <w:sz w:val="28"/>
          <w:szCs w:val="20"/>
          <w:lang w:val="en-US" w:eastAsia="zh-CN"/>
        </w:rPr>
        <w:t>6</w:t>
      </w:r>
      <w:r>
        <w:rPr>
          <w:rFonts w:hint="eastAsia" w:eastAsia="黑体"/>
          <w:b/>
          <w:sz w:val="28"/>
          <w:szCs w:val="20"/>
        </w:rPr>
        <w:t>诚信承诺</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我公司已按照《环境影响评价公众参与办法》要求开展了公众参与工作，在环境影响报告书中充分采纳了公众提出的与环境影响相关的合理意见，并按照要求编制了公众参与说明。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sz w:val="24"/>
        </w:rPr>
      </w:pPr>
      <w:r>
        <w:rPr>
          <w:rFonts w:hint="eastAsia"/>
          <w:sz w:val="24"/>
        </w:rPr>
        <w:t>我单位承诺，本次提交的《</w:t>
      </w:r>
      <w:r>
        <w:rPr>
          <w:rFonts w:hint="eastAsia" w:ascii="Times New Roman" w:hAnsi="Times New Roman" w:eastAsia="宋体" w:cs="Times New Roman"/>
          <w:sz w:val="24"/>
          <w:lang w:val="en-US" w:eastAsia="zh-CN"/>
        </w:rPr>
        <w:t>漳州微水环保科技有限公司</w:t>
      </w:r>
      <w:r>
        <w:rPr>
          <w:rFonts w:hint="eastAsia" w:ascii="Times New Roman" w:hAnsi="Times New Roman" w:eastAsia="宋体" w:cs="Times New Roman"/>
          <w:sz w:val="24"/>
        </w:rPr>
        <w:t>年产4000吨水刺再生皮革纤维和年产2000吨水解蛋白技改项目</w:t>
      </w:r>
      <w:r>
        <w:rPr>
          <w:rFonts w:hint="eastAsia"/>
          <w:sz w:val="24"/>
        </w:rPr>
        <w:t>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lang w:val="en-US" w:eastAsia="zh-CN"/>
        </w:rPr>
        <w:t>漳州微水环保科技有限公司</w:t>
      </w:r>
      <w:r>
        <w:rPr>
          <w:rFonts w:hint="eastAsia"/>
          <w:sz w:val="24"/>
        </w:rPr>
        <w:t>承担全部责任。</w:t>
      </w:r>
    </w:p>
    <w:p/>
    <w:p>
      <w:pPr>
        <w:pStyle w:val="2"/>
      </w:pPr>
    </w:p>
    <w:p>
      <w:pPr>
        <w:pStyle w:val="2"/>
      </w:pPr>
    </w:p>
    <w:p>
      <w:pPr>
        <w:keepNext w:val="0"/>
        <w:keepLines w:val="0"/>
        <w:pageBreakBefore w:val="0"/>
        <w:widowControl w:val="0"/>
        <w:kinsoku/>
        <w:wordWrap w:val="0"/>
        <w:overflowPunct/>
        <w:topLinePunct w:val="0"/>
        <w:autoSpaceDE/>
        <w:autoSpaceDN/>
        <w:bidi w:val="0"/>
        <w:adjustRightInd/>
        <w:snapToGrid/>
        <w:spacing w:line="360" w:lineRule="auto"/>
        <w:ind w:firstLine="562" w:firstLineChars="200"/>
        <w:jc w:val="right"/>
        <w:textAlignment w:val="auto"/>
        <w:rPr>
          <w:rFonts w:hint="default"/>
          <w:b/>
          <w:bCs/>
          <w:sz w:val="28"/>
          <w:szCs w:val="28"/>
          <w:lang w:val="en-US" w:eastAsia="zh-CN"/>
        </w:rPr>
      </w:pPr>
      <w:r>
        <w:rPr>
          <w:rFonts w:hint="eastAsia"/>
          <w:b/>
          <w:bCs/>
          <w:sz w:val="28"/>
          <w:szCs w:val="28"/>
          <w:lang w:val="en-US" w:eastAsia="zh-CN"/>
        </w:rPr>
        <w:t xml:space="preserve">漳州微水环保科技有限公司    </w:t>
      </w:r>
    </w:p>
    <w:p>
      <w:pPr>
        <w:keepNext w:val="0"/>
        <w:keepLines w:val="0"/>
        <w:pageBreakBefore w:val="0"/>
        <w:widowControl w:val="0"/>
        <w:kinsoku/>
        <w:wordWrap w:val="0"/>
        <w:overflowPunct/>
        <w:topLinePunct w:val="0"/>
        <w:autoSpaceDE/>
        <w:autoSpaceDN/>
        <w:bidi w:val="0"/>
        <w:adjustRightInd/>
        <w:snapToGrid/>
        <w:spacing w:line="360" w:lineRule="auto"/>
        <w:ind w:firstLine="562" w:firstLineChars="200"/>
        <w:jc w:val="right"/>
        <w:textAlignment w:val="auto"/>
        <w:rPr>
          <w:rFonts w:hint="default"/>
          <w:lang w:val="en-US"/>
        </w:rPr>
      </w:pPr>
      <w:r>
        <w:rPr>
          <w:rFonts w:hint="eastAsia"/>
          <w:b/>
          <w:bCs/>
          <w:sz w:val="28"/>
          <w:szCs w:val="28"/>
          <w:lang w:val="en-US" w:eastAsia="zh-CN"/>
        </w:rPr>
        <w:t xml:space="preserve">2024年4月 </w:t>
      </w:r>
      <w:r>
        <w:rPr>
          <w:rFonts w:hint="eastAsia"/>
          <w:sz w:val="28"/>
          <w:szCs w:val="28"/>
          <w:lang w:val="en-US" w:eastAsia="zh-CN"/>
        </w:rPr>
        <w:t xml:space="preserve">     </w:t>
      </w:r>
      <w:r>
        <w:rPr>
          <w:rFonts w:hint="eastAsia"/>
          <w:sz w:val="24"/>
          <w:lang w:val="en-US" w:eastAsia="zh-CN"/>
        </w:rPr>
        <w:t xml:space="preserve">    </w:t>
      </w:r>
    </w:p>
    <w:p>
      <w:pPr>
        <w:pStyle w:val="2"/>
      </w:pPr>
    </w:p>
    <w:sectPr>
      <w:footerReference r:id="rId4" w:type="default"/>
      <w:footerReference r:id="rId5" w:type="even"/>
      <w:pgSz w:w="11906" w:h="16838"/>
      <w:pgMar w:top="1588" w:right="1474" w:bottom="1361" w:left="1474" w:header="1191" w:footer="992" w:gutter="0"/>
      <w:pgBorders>
        <w:top w:val="none" w:sz="0" w:space="0"/>
        <w:left w:val="none" w:sz="0" w:space="0"/>
        <w:bottom w:val="none" w:sz="0" w:space="0"/>
        <w:right w:val="none" w:sz="0" w:space="0"/>
      </w:pgBorders>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8E872C-2A78-4DDB-BD69-3B3523972B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大标宋简体">
    <w:altName w:val="微软雅黑"/>
    <w:panose1 w:val="03000509000000000000"/>
    <w:charset w:val="86"/>
    <w:family w:val="script"/>
    <w:pitch w:val="default"/>
    <w:sig w:usb0="00000000" w:usb1="00000000" w:usb2="00000000" w:usb3="00000000" w:csb0="00040000" w:csb1="00000000"/>
    <w:embedRegular r:id="rId2" w:fontKey="{95C62FE9-36C7-405C-A030-5010900B1A19}"/>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宋体-方正超大字符集">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MingLiU_HKSCS-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5dgFsoBAACb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npJieMWJ375/u3y49fl51ey&#10;XGaB+gA15t0FzEzDWz/g2sx+QGfmPaho8xcZEYyjvOervHJIRORH69V6XWFIYGy+ID57eB4ipHfS&#10;W5KNhkacX5GVnz5AGlPnlFzN+VttTJmhcX85EDN7WO597DFbadgPE6G9b8/Ip8fRN9ThplNi3jtU&#10;Nm/JbMTZ2M/GMUR96Moa5XoQ3hwTNlF6yxVG2Kkwzqywm/YrL8Wf95L18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5dgFsoBAACbAwAADgAAAAAAAAABACAAAAAeAQAAZHJzL2Uyb0Rv&#10;Yy54bWxQSwUGAAAAAAYABgBZAQAAWgUAAAAA&#10;">
              <v:fill on="f" focussize="0,0"/>
              <v:stroke on="f"/>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- 5 -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- 4 -</w:t>
                          </w:r>
                          <w:r>
                            <w:rPr>
                              <w:rFonts w:hint="eastAsia"/>
                            </w:rP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X4D8coBAACb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M0NJY5bnPjlx/fLz9+XX9/I&#10;cpUF6gPUmHcfMDMNb/2AazP7AZ2Z96CizV9kRDCO8p6v8sohEZEfrV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X4D8coBAACbAwAADgAAAAAAAAABACAAAAAeAQAAZHJzL2Uyb0Rv&#10;Yy54bWxQSwUGAAAAAAYABgBZAQAAWgUAAAAA&#10;">
              <v:fill on="f" focussize="0,0"/>
              <v:stroke on="f"/>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- 4 -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egacy w:legacy="1" w:legacySpace="0" w:legacyIndent="425"/>
      <w:lvlJc w:val="left"/>
      <w:pPr>
        <w:ind w:left="425" w:hanging="425"/>
      </w:pPr>
    </w:lvl>
    <w:lvl w:ilvl="1" w:tentative="0">
      <w:start w:val="1"/>
      <w:numFmt w:val="decimal"/>
      <w:lvlText w:val="%1.%2."/>
      <w:legacy w:legacy="1" w:legacySpace="0" w:legacyIndent="425"/>
      <w:lvlJc w:val="left"/>
      <w:pPr>
        <w:ind w:left="850" w:hanging="425"/>
      </w:pPr>
    </w:lvl>
    <w:lvl w:ilvl="2" w:tentative="0">
      <w:start w:val="1"/>
      <w:numFmt w:val="decimal"/>
      <w:lvlText w:val="%1.%2.%3."/>
      <w:legacy w:legacy="1" w:legacySpace="0" w:legacyIndent="425"/>
      <w:lvlJc w:val="left"/>
      <w:pPr>
        <w:ind w:left="1275" w:hanging="425"/>
      </w:pPr>
    </w:lvl>
    <w:lvl w:ilvl="3" w:tentative="0">
      <w:start w:val="1"/>
      <w:numFmt w:val="decimal"/>
      <w:lvlText w:val="%1.%2.%3.%4."/>
      <w:legacy w:legacy="1" w:legacySpace="0" w:legacyIndent="425"/>
      <w:lvlJc w:val="left"/>
      <w:pPr>
        <w:ind w:left="1700" w:hanging="425"/>
      </w:pPr>
    </w:lvl>
    <w:lvl w:ilvl="4" w:tentative="0">
      <w:start w:val="1"/>
      <w:numFmt w:val="decimal"/>
      <w:lvlText w:val="%1.%2.%3.%4.%5."/>
      <w:legacy w:legacy="1" w:legacySpace="0" w:legacyIndent="425"/>
      <w:lvlJc w:val="left"/>
      <w:pPr>
        <w:ind w:left="2125" w:hanging="425"/>
      </w:pPr>
    </w:lvl>
    <w:lvl w:ilvl="5" w:tentative="0">
      <w:start w:val="1"/>
      <w:numFmt w:val="decimal"/>
      <w:lvlText w:val="%1.%2.%3.%4.%5.%6."/>
      <w:legacy w:legacy="1" w:legacySpace="0" w:legacyIndent="425"/>
      <w:lvlJc w:val="left"/>
      <w:pPr>
        <w:ind w:left="2550" w:hanging="425"/>
      </w:pPr>
    </w:lvl>
    <w:lvl w:ilvl="6" w:tentative="0">
      <w:start w:val="1"/>
      <w:numFmt w:val="decimal"/>
      <w:pStyle w:val="7"/>
      <w:lvlText w:val="%1.%2.%3.%4.%5.%6.%7."/>
      <w:legacy w:legacy="1" w:legacySpace="0" w:legacyIndent="425"/>
      <w:lvlJc w:val="left"/>
      <w:pPr>
        <w:ind w:left="2975" w:hanging="425"/>
      </w:pPr>
    </w:lvl>
    <w:lvl w:ilvl="7" w:tentative="0">
      <w:start w:val="1"/>
      <w:numFmt w:val="decimal"/>
      <w:pStyle w:val="8"/>
      <w:lvlText w:val="%1.%2.%3.%4.%5.%6.%7.%8."/>
      <w:legacy w:legacy="1" w:legacySpace="0" w:legacyIndent="425"/>
      <w:lvlJc w:val="left"/>
      <w:pPr>
        <w:ind w:left="3400" w:hanging="425"/>
      </w:pPr>
    </w:lvl>
    <w:lvl w:ilvl="8" w:tentative="0">
      <w:start w:val="1"/>
      <w:numFmt w:val="decimal"/>
      <w:pStyle w:val="9"/>
      <w:lvlText w:val="%1.%2.%3.%4.%5.%6.%7.%8.%9."/>
      <w:legacy w:legacy="1" w:legacySpace="0" w:legacyIndent="425"/>
      <w:lvlJc w:val="left"/>
      <w:pPr>
        <w:ind w:left="3825" w:hanging="425"/>
      </w:pPr>
    </w:lvl>
  </w:abstractNum>
  <w:abstractNum w:abstractNumId="1">
    <w:nsid w:val="525C6990"/>
    <w:multiLevelType w:val="multilevel"/>
    <w:tmpl w:val="525C6990"/>
    <w:lvl w:ilvl="0" w:tentative="0">
      <w:start w:val="1"/>
      <w:numFmt w:val="decimal"/>
      <w:pStyle w:val="31"/>
      <w:lvlText w:val="（%1）"/>
      <w:lvlJc w:val="left"/>
      <w:pPr>
        <w:tabs>
          <w:tab w:val="left" w:pos="420"/>
        </w:tabs>
        <w:ind w:left="420" w:hanging="420"/>
      </w:pPr>
      <w:rPr>
        <w:rFonts w:hint="eastAsia"/>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2"/>
  <w:drawingGridVerticalSpacing w:val="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5MGUyYWM0NTJkNzIxNDA2OTYyYWZjNWFmYTUwZTAifQ=="/>
  </w:docVars>
  <w:rsids>
    <w:rsidRoot w:val="00DF06BE"/>
    <w:rsid w:val="00001421"/>
    <w:rsid w:val="00001A28"/>
    <w:rsid w:val="000042E3"/>
    <w:rsid w:val="00004EAA"/>
    <w:rsid w:val="00006CAA"/>
    <w:rsid w:val="00007CAE"/>
    <w:rsid w:val="00007E6B"/>
    <w:rsid w:val="000100E4"/>
    <w:rsid w:val="000101C6"/>
    <w:rsid w:val="00010535"/>
    <w:rsid w:val="0001060B"/>
    <w:rsid w:val="000125AA"/>
    <w:rsid w:val="000149F7"/>
    <w:rsid w:val="000154DE"/>
    <w:rsid w:val="0001757F"/>
    <w:rsid w:val="00017639"/>
    <w:rsid w:val="0002065B"/>
    <w:rsid w:val="000259B8"/>
    <w:rsid w:val="00027EA3"/>
    <w:rsid w:val="00030DAB"/>
    <w:rsid w:val="00032277"/>
    <w:rsid w:val="00032A63"/>
    <w:rsid w:val="00033512"/>
    <w:rsid w:val="00033573"/>
    <w:rsid w:val="00033900"/>
    <w:rsid w:val="00033AC5"/>
    <w:rsid w:val="00033EDB"/>
    <w:rsid w:val="000363B2"/>
    <w:rsid w:val="00036D5A"/>
    <w:rsid w:val="00042C4C"/>
    <w:rsid w:val="0004638B"/>
    <w:rsid w:val="000470DC"/>
    <w:rsid w:val="00047B56"/>
    <w:rsid w:val="00050D5C"/>
    <w:rsid w:val="00050DD4"/>
    <w:rsid w:val="000556FA"/>
    <w:rsid w:val="00061EA0"/>
    <w:rsid w:val="00063D85"/>
    <w:rsid w:val="0007045A"/>
    <w:rsid w:val="000705F9"/>
    <w:rsid w:val="000717EB"/>
    <w:rsid w:val="00077A99"/>
    <w:rsid w:val="00085C16"/>
    <w:rsid w:val="000873E9"/>
    <w:rsid w:val="00087896"/>
    <w:rsid w:val="00091DE1"/>
    <w:rsid w:val="0009234C"/>
    <w:rsid w:val="000971D1"/>
    <w:rsid w:val="000A025F"/>
    <w:rsid w:val="000A2981"/>
    <w:rsid w:val="000A3F56"/>
    <w:rsid w:val="000A3FF0"/>
    <w:rsid w:val="000A4FF1"/>
    <w:rsid w:val="000A50BE"/>
    <w:rsid w:val="000A5496"/>
    <w:rsid w:val="000A5795"/>
    <w:rsid w:val="000A7E64"/>
    <w:rsid w:val="000B1610"/>
    <w:rsid w:val="000B1FBD"/>
    <w:rsid w:val="000B776A"/>
    <w:rsid w:val="000B7998"/>
    <w:rsid w:val="000C1D1E"/>
    <w:rsid w:val="000C58A0"/>
    <w:rsid w:val="000C769C"/>
    <w:rsid w:val="000D0333"/>
    <w:rsid w:val="000D1570"/>
    <w:rsid w:val="000D609A"/>
    <w:rsid w:val="000D67CD"/>
    <w:rsid w:val="000D75EB"/>
    <w:rsid w:val="000E3149"/>
    <w:rsid w:val="000F0FF6"/>
    <w:rsid w:val="000F3753"/>
    <w:rsid w:val="000F3E58"/>
    <w:rsid w:val="000F5916"/>
    <w:rsid w:val="000F67C4"/>
    <w:rsid w:val="00113CE1"/>
    <w:rsid w:val="00114246"/>
    <w:rsid w:val="001152FE"/>
    <w:rsid w:val="001176F8"/>
    <w:rsid w:val="001177C0"/>
    <w:rsid w:val="0012064F"/>
    <w:rsid w:val="00123763"/>
    <w:rsid w:val="0012489F"/>
    <w:rsid w:val="001254F2"/>
    <w:rsid w:val="00132203"/>
    <w:rsid w:val="00134F66"/>
    <w:rsid w:val="001365E5"/>
    <w:rsid w:val="00140612"/>
    <w:rsid w:val="00140866"/>
    <w:rsid w:val="00141866"/>
    <w:rsid w:val="00141FFF"/>
    <w:rsid w:val="00145BCF"/>
    <w:rsid w:val="001462FC"/>
    <w:rsid w:val="0014709B"/>
    <w:rsid w:val="00147FA6"/>
    <w:rsid w:val="001515F6"/>
    <w:rsid w:val="00152F76"/>
    <w:rsid w:val="001541F0"/>
    <w:rsid w:val="001544BC"/>
    <w:rsid w:val="001547D4"/>
    <w:rsid w:val="00156123"/>
    <w:rsid w:val="00156E28"/>
    <w:rsid w:val="00160FB5"/>
    <w:rsid w:val="00162219"/>
    <w:rsid w:val="001628DA"/>
    <w:rsid w:val="00162AF2"/>
    <w:rsid w:val="001654A1"/>
    <w:rsid w:val="00173CD3"/>
    <w:rsid w:val="001748D7"/>
    <w:rsid w:val="00176D15"/>
    <w:rsid w:val="00184399"/>
    <w:rsid w:val="00190395"/>
    <w:rsid w:val="001925D7"/>
    <w:rsid w:val="00193631"/>
    <w:rsid w:val="00194492"/>
    <w:rsid w:val="001957B1"/>
    <w:rsid w:val="0019625E"/>
    <w:rsid w:val="001A15EE"/>
    <w:rsid w:val="001A1853"/>
    <w:rsid w:val="001A25D5"/>
    <w:rsid w:val="001A3DB4"/>
    <w:rsid w:val="001A6137"/>
    <w:rsid w:val="001B0617"/>
    <w:rsid w:val="001B1954"/>
    <w:rsid w:val="001B2D0A"/>
    <w:rsid w:val="001B3846"/>
    <w:rsid w:val="001B475E"/>
    <w:rsid w:val="001B4FFF"/>
    <w:rsid w:val="001B513E"/>
    <w:rsid w:val="001B5E46"/>
    <w:rsid w:val="001B7999"/>
    <w:rsid w:val="001C3005"/>
    <w:rsid w:val="001C3633"/>
    <w:rsid w:val="001C3EB3"/>
    <w:rsid w:val="001D0F3F"/>
    <w:rsid w:val="001D3350"/>
    <w:rsid w:val="001D4538"/>
    <w:rsid w:val="001D7092"/>
    <w:rsid w:val="001D7E7C"/>
    <w:rsid w:val="001D7F1E"/>
    <w:rsid w:val="001E4205"/>
    <w:rsid w:val="001E46A2"/>
    <w:rsid w:val="001E66C3"/>
    <w:rsid w:val="001E763B"/>
    <w:rsid w:val="001E7BF8"/>
    <w:rsid w:val="001F2B3B"/>
    <w:rsid w:val="001F428A"/>
    <w:rsid w:val="001F67AD"/>
    <w:rsid w:val="001F67EE"/>
    <w:rsid w:val="0020101D"/>
    <w:rsid w:val="00203737"/>
    <w:rsid w:val="002048DD"/>
    <w:rsid w:val="00207135"/>
    <w:rsid w:val="00212594"/>
    <w:rsid w:val="00212D11"/>
    <w:rsid w:val="00220A06"/>
    <w:rsid w:val="0022506A"/>
    <w:rsid w:val="00226AD7"/>
    <w:rsid w:val="00226F31"/>
    <w:rsid w:val="002310CA"/>
    <w:rsid w:val="0023492D"/>
    <w:rsid w:val="00234F53"/>
    <w:rsid w:val="00235996"/>
    <w:rsid w:val="00236B58"/>
    <w:rsid w:val="002374CA"/>
    <w:rsid w:val="00240AA7"/>
    <w:rsid w:val="00241C7F"/>
    <w:rsid w:val="00242C25"/>
    <w:rsid w:val="00244082"/>
    <w:rsid w:val="002444CC"/>
    <w:rsid w:val="00244D9E"/>
    <w:rsid w:val="00245524"/>
    <w:rsid w:val="002501EC"/>
    <w:rsid w:val="002506D7"/>
    <w:rsid w:val="00251BDA"/>
    <w:rsid w:val="002542BB"/>
    <w:rsid w:val="002544A4"/>
    <w:rsid w:val="00257BE5"/>
    <w:rsid w:val="0026021A"/>
    <w:rsid w:val="00260E4C"/>
    <w:rsid w:val="0026195E"/>
    <w:rsid w:val="002635EF"/>
    <w:rsid w:val="00264EC0"/>
    <w:rsid w:val="00265AB8"/>
    <w:rsid w:val="0026699A"/>
    <w:rsid w:val="00267BC2"/>
    <w:rsid w:val="002717B6"/>
    <w:rsid w:val="0027189A"/>
    <w:rsid w:val="00274191"/>
    <w:rsid w:val="0027471D"/>
    <w:rsid w:val="00274CBE"/>
    <w:rsid w:val="0027590A"/>
    <w:rsid w:val="002771C8"/>
    <w:rsid w:val="00280025"/>
    <w:rsid w:val="00280075"/>
    <w:rsid w:val="00281754"/>
    <w:rsid w:val="00282725"/>
    <w:rsid w:val="00284990"/>
    <w:rsid w:val="00286F9A"/>
    <w:rsid w:val="002875F9"/>
    <w:rsid w:val="00287929"/>
    <w:rsid w:val="002924A2"/>
    <w:rsid w:val="00294F99"/>
    <w:rsid w:val="00297A37"/>
    <w:rsid w:val="002A03E0"/>
    <w:rsid w:val="002A2AA2"/>
    <w:rsid w:val="002A515C"/>
    <w:rsid w:val="002B0E45"/>
    <w:rsid w:val="002B2C4A"/>
    <w:rsid w:val="002B4D8F"/>
    <w:rsid w:val="002C0730"/>
    <w:rsid w:val="002C4130"/>
    <w:rsid w:val="002C4FB7"/>
    <w:rsid w:val="002C7588"/>
    <w:rsid w:val="002D367B"/>
    <w:rsid w:val="002E1CBD"/>
    <w:rsid w:val="002E5FF4"/>
    <w:rsid w:val="002E738E"/>
    <w:rsid w:val="002E7593"/>
    <w:rsid w:val="002F108E"/>
    <w:rsid w:val="002F4133"/>
    <w:rsid w:val="003018DB"/>
    <w:rsid w:val="00301D18"/>
    <w:rsid w:val="00302627"/>
    <w:rsid w:val="00302A74"/>
    <w:rsid w:val="00307377"/>
    <w:rsid w:val="00312419"/>
    <w:rsid w:val="003128E6"/>
    <w:rsid w:val="00316A6C"/>
    <w:rsid w:val="00317A6C"/>
    <w:rsid w:val="0032206E"/>
    <w:rsid w:val="003223AB"/>
    <w:rsid w:val="00324C46"/>
    <w:rsid w:val="00326440"/>
    <w:rsid w:val="0032664C"/>
    <w:rsid w:val="00332BDD"/>
    <w:rsid w:val="00333741"/>
    <w:rsid w:val="00336DD2"/>
    <w:rsid w:val="00340700"/>
    <w:rsid w:val="00340E8F"/>
    <w:rsid w:val="0034378C"/>
    <w:rsid w:val="00343DD5"/>
    <w:rsid w:val="0035019C"/>
    <w:rsid w:val="00352E9D"/>
    <w:rsid w:val="00354A62"/>
    <w:rsid w:val="00357845"/>
    <w:rsid w:val="003579A1"/>
    <w:rsid w:val="00360290"/>
    <w:rsid w:val="00362AB9"/>
    <w:rsid w:val="00363206"/>
    <w:rsid w:val="003635D8"/>
    <w:rsid w:val="003656CF"/>
    <w:rsid w:val="00370AD3"/>
    <w:rsid w:val="0038363F"/>
    <w:rsid w:val="00385A7C"/>
    <w:rsid w:val="003868E2"/>
    <w:rsid w:val="00386ABC"/>
    <w:rsid w:val="00387099"/>
    <w:rsid w:val="00391017"/>
    <w:rsid w:val="00395117"/>
    <w:rsid w:val="00396AD1"/>
    <w:rsid w:val="0039709A"/>
    <w:rsid w:val="003A076F"/>
    <w:rsid w:val="003A14A6"/>
    <w:rsid w:val="003A2C0A"/>
    <w:rsid w:val="003A6969"/>
    <w:rsid w:val="003B1613"/>
    <w:rsid w:val="003B4208"/>
    <w:rsid w:val="003B508E"/>
    <w:rsid w:val="003B59A6"/>
    <w:rsid w:val="003B7073"/>
    <w:rsid w:val="003B73D3"/>
    <w:rsid w:val="003C0FBB"/>
    <w:rsid w:val="003C641E"/>
    <w:rsid w:val="003C732F"/>
    <w:rsid w:val="003C7B03"/>
    <w:rsid w:val="003D1615"/>
    <w:rsid w:val="003D270F"/>
    <w:rsid w:val="003D58D3"/>
    <w:rsid w:val="003D5FB6"/>
    <w:rsid w:val="003D6312"/>
    <w:rsid w:val="003D6A03"/>
    <w:rsid w:val="003D6A62"/>
    <w:rsid w:val="003E009E"/>
    <w:rsid w:val="003E1D07"/>
    <w:rsid w:val="003E3EFD"/>
    <w:rsid w:val="003E54CE"/>
    <w:rsid w:val="003F386B"/>
    <w:rsid w:val="003F6BB4"/>
    <w:rsid w:val="0040016A"/>
    <w:rsid w:val="00400486"/>
    <w:rsid w:val="004004A6"/>
    <w:rsid w:val="004008F8"/>
    <w:rsid w:val="00400B39"/>
    <w:rsid w:val="004046B4"/>
    <w:rsid w:val="0041024D"/>
    <w:rsid w:val="00411EEA"/>
    <w:rsid w:val="004121AF"/>
    <w:rsid w:val="0041550B"/>
    <w:rsid w:val="00415794"/>
    <w:rsid w:val="00417D11"/>
    <w:rsid w:val="00434289"/>
    <w:rsid w:val="0043792F"/>
    <w:rsid w:val="00440965"/>
    <w:rsid w:val="004420EE"/>
    <w:rsid w:val="004442CC"/>
    <w:rsid w:val="00445CE4"/>
    <w:rsid w:val="00446FDD"/>
    <w:rsid w:val="004506CE"/>
    <w:rsid w:val="004522C7"/>
    <w:rsid w:val="0045599E"/>
    <w:rsid w:val="004576F1"/>
    <w:rsid w:val="0045780D"/>
    <w:rsid w:val="004649EE"/>
    <w:rsid w:val="00466749"/>
    <w:rsid w:val="00471396"/>
    <w:rsid w:val="00471A93"/>
    <w:rsid w:val="00471E0B"/>
    <w:rsid w:val="0047394F"/>
    <w:rsid w:val="0047592D"/>
    <w:rsid w:val="00480F8E"/>
    <w:rsid w:val="00481A26"/>
    <w:rsid w:val="00490FB5"/>
    <w:rsid w:val="00492ADC"/>
    <w:rsid w:val="00495C70"/>
    <w:rsid w:val="00495E43"/>
    <w:rsid w:val="00496037"/>
    <w:rsid w:val="004967AC"/>
    <w:rsid w:val="0049795A"/>
    <w:rsid w:val="004A0152"/>
    <w:rsid w:val="004A051A"/>
    <w:rsid w:val="004A2A10"/>
    <w:rsid w:val="004A2D73"/>
    <w:rsid w:val="004A7A04"/>
    <w:rsid w:val="004B374B"/>
    <w:rsid w:val="004B3A76"/>
    <w:rsid w:val="004B647A"/>
    <w:rsid w:val="004C0696"/>
    <w:rsid w:val="004C0FAD"/>
    <w:rsid w:val="004C7A99"/>
    <w:rsid w:val="004C7F90"/>
    <w:rsid w:val="004D068A"/>
    <w:rsid w:val="004D2DA1"/>
    <w:rsid w:val="004E11C6"/>
    <w:rsid w:val="004E2EFF"/>
    <w:rsid w:val="004F0365"/>
    <w:rsid w:val="004F0F47"/>
    <w:rsid w:val="004F20C1"/>
    <w:rsid w:val="004F4B31"/>
    <w:rsid w:val="004F6204"/>
    <w:rsid w:val="004F77F6"/>
    <w:rsid w:val="004F7EAC"/>
    <w:rsid w:val="00500211"/>
    <w:rsid w:val="00503021"/>
    <w:rsid w:val="0050487A"/>
    <w:rsid w:val="005061DD"/>
    <w:rsid w:val="00512786"/>
    <w:rsid w:val="005139CF"/>
    <w:rsid w:val="005151A5"/>
    <w:rsid w:val="00515372"/>
    <w:rsid w:val="005201D6"/>
    <w:rsid w:val="00524760"/>
    <w:rsid w:val="005249B6"/>
    <w:rsid w:val="00530E1A"/>
    <w:rsid w:val="00530F0D"/>
    <w:rsid w:val="00531059"/>
    <w:rsid w:val="00531234"/>
    <w:rsid w:val="005334E9"/>
    <w:rsid w:val="00534722"/>
    <w:rsid w:val="00534BDD"/>
    <w:rsid w:val="00536722"/>
    <w:rsid w:val="00536B13"/>
    <w:rsid w:val="00536CB5"/>
    <w:rsid w:val="005401FB"/>
    <w:rsid w:val="00540A20"/>
    <w:rsid w:val="00541151"/>
    <w:rsid w:val="00541C66"/>
    <w:rsid w:val="00542A6E"/>
    <w:rsid w:val="00543691"/>
    <w:rsid w:val="005452BC"/>
    <w:rsid w:val="00545A0C"/>
    <w:rsid w:val="005475B6"/>
    <w:rsid w:val="00550B94"/>
    <w:rsid w:val="005552BC"/>
    <w:rsid w:val="0055596E"/>
    <w:rsid w:val="005573EC"/>
    <w:rsid w:val="00560A52"/>
    <w:rsid w:val="00560F40"/>
    <w:rsid w:val="00561DDA"/>
    <w:rsid w:val="00563F71"/>
    <w:rsid w:val="00565F75"/>
    <w:rsid w:val="00566285"/>
    <w:rsid w:val="00570118"/>
    <w:rsid w:val="005710F2"/>
    <w:rsid w:val="005726C1"/>
    <w:rsid w:val="00572A65"/>
    <w:rsid w:val="00573A30"/>
    <w:rsid w:val="005745E4"/>
    <w:rsid w:val="00574EE6"/>
    <w:rsid w:val="00575ACE"/>
    <w:rsid w:val="0057793F"/>
    <w:rsid w:val="005808A0"/>
    <w:rsid w:val="005819F4"/>
    <w:rsid w:val="00582028"/>
    <w:rsid w:val="005832AB"/>
    <w:rsid w:val="005863E9"/>
    <w:rsid w:val="00586641"/>
    <w:rsid w:val="005874A6"/>
    <w:rsid w:val="00590EC9"/>
    <w:rsid w:val="00591022"/>
    <w:rsid w:val="00592A5A"/>
    <w:rsid w:val="005968E5"/>
    <w:rsid w:val="005A0BDF"/>
    <w:rsid w:val="005A0E94"/>
    <w:rsid w:val="005A1163"/>
    <w:rsid w:val="005A153A"/>
    <w:rsid w:val="005A1C67"/>
    <w:rsid w:val="005A29D4"/>
    <w:rsid w:val="005A2D95"/>
    <w:rsid w:val="005A58F1"/>
    <w:rsid w:val="005A67AC"/>
    <w:rsid w:val="005B2A4C"/>
    <w:rsid w:val="005B5C2D"/>
    <w:rsid w:val="005B6D41"/>
    <w:rsid w:val="005C22BC"/>
    <w:rsid w:val="005C2FA6"/>
    <w:rsid w:val="005C3FD7"/>
    <w:rsid w:val="005C75BF"/>
    <w:rsid w:val="005D2FF5"/>
    <w:rsid w:val="005D32D8"/>
    <w:rsid w:val="005D3928"/>
    <w:rsid w:val="005D5DFE"/>
    <w:rsid w:val="005D7C3D"/>
    <w:rsid w:val="005E0161"/>
    <w:rsid w:val="005E1547"/>
    <w:rsid w:val="005E1A89"/>
    <w:rsid w:val="005E4106"/>
    <w:rsid w:val="005E5291"/>
    <w:rsid w:val="005E6634"/>
    <w:rsid w:val="005E6AC6"/>
    <w:rsid w:val="005E77B1"/>
    <w:rsid w:val="005F2D7C"/>
    <w:rsid w:val="005F42CF"/>
    <w:rsid w:val="005F45F5"/>
    <w:rsid w:val="005F5EC6"/>
    <w:rsid w:val="005F7AB2"/>
    <w:rsid w:val="005F7DCD"/>
    <w:rsid w:val="00603875"/>
    <w:rsid w:val="00603F96"/>
    <w:rsid w:val="00604672"/>
    <w:rsid w:val="00606585"/>
    <w:rsid w:val="006118F4"/>
    <w:rsid w:val="00611A0C"/>
    <w:rsid w:val="00612163"/>
    <w:rsid w:val="00616C4D"/>
    <w:rsid w:val="00617094"/>
    <w:rsid w:val="0061744F"/>
    <w:rsid w:val="00621E5D"/>
    <w:rsid w:val="00623F14"/>
    <w:rsid w:val="00624A9D"/>
    <w:rsid w:val="0062557B"/>
    <w:rsid w:val="006271DC"/>
    <w:rsid w:val="006273A9"/>
    <w:rsid w:val="006303B2"/>
    <w:rsid w:val="00634B03"/>
    <w:rsid w:val="006378DD"/>
    <w:rsid w:val="00640C70"/>
    <w:rsid w:val="0064158E"/>
    <w:rsid w:val="00646585"/>
    <w:rsid w:val="006506F6"/>
    <w:rsid w:val="00650FD3"/>
    <w:rsid w:val="006523AF"/>
    <w:rsid w:val="0065278B"/>
    <w:rsid w:val="00654E0B"/>
    <w:rsid w:val="006565D5"/>
    <w:rsid w:val="00660B6D"/>
    <w:rsid w:val="0066122D"/>
    <w:rsid w:val="00662E39"/>
    <w:rsid w:val="00663440"/>
    <w:rsid w:val="00664048"/>
    <w:rsid w:val="00665651"/>
    <w:rsid w:val="00667972"/>
    <w:rsid w:val="0067013A"/>
    <w:rsid w:val="0067339C"/>
    <w:rsid w:val="00676079"/>
    <w:rsid w:val="00681BC8"/>
    <w:rsid w:val="00681E57"/>
    <w:rsid w:val="00683812"/>
    <w:rsid w:val="00687058"/>
    <w:rsid w:val="0069037A"/>
    <w:rsid w:val="006903E4"/>
    <w:rsid w:val="00692E46"/>
    <w:rsid w:val="0069328D"/>
    <w:rsid w:val="00697385"/>
    <w:rsid w:val="0069761C"/>
    <w:rsid w:val="006A0368"/>
    <w:rsid w:val="006A082A"/>
    <w:rsid w:val="006A0942"/>
    <w:rsid w:val="006A199C"/>
    <w:rsid w:val="006A21AD"/>
    <w:rsid w:val="006A47FD"/>
    <w:rsid w:val="006A55DB"/>
    <w:rsid w:val="006A5B9C"/>
    <w:rsid w:val="006A607F"/>
    <w:rsid w:val="006A77A1"/>
    <w:rsid w:val="006B002A"/>
    <w:rsid w:val="006B1434"/>
    <w:rsid w:val="006B1F86"/>
    <w:rsid w:val="006B21BB"/>
    <w:rsid w:val="006B392D"/>
    <w:rsid w:val="006B3A1F"/>
    <w:rsid w:val="006B4B7F"/>
    <w:rsid w:val="006B6DDB"/>
    <w:rsid w:val="006B72AE"/>
    <w:rsid w:val="006C118A"/>
    <w:rsid w:val="006C73D1"/>
    <w:rsid w:val="006D1AFF"/>
    <w:rsid w:val="006D2BEA"/>
    <w:rsid w:val="006D45FE"/>
    <w:rsid w:val="006D5565"/>
    <w:rsid w:val="006D5DF5"/>
    <w:rsid w:val="006D7DD0"/>
    <w:rsid w:val="006E29DB"/>
    <w:rsid w:val="006F4FE9"/>
    <w:rsid w:val="006F5F1E"/>
    <w:rsid w:val="0070128B"/>
    <w:rsid w:val="00702033"/>
    <w:rsid w:val="00711875"/>
    <w:rsid w:val="00714436"/>
    <w:rsid w:val="007151DF"/>
    <w:rsid w:val="00716FC5"/>
    <w:rsid w:val="00721F66"/>
    <w:rsid w:val="007238F4"/>
    <w:rsid w:val="007248BC"/>
    <w:rsid w:val="00725D57"/>
    <w:rsid w:val="0073043F"/>
    <w:rsid w:val="00733BD1"/>
    <w:rsid w:val="00735A8C"/>
    <w:rsid w:val="00736FB3"/>
    <w:rsid w:val="0073792E"/>
    <w:rsid w:val="007418A1"/>
    <w:rsid w:val="0074318B"/>
    <w:rsid w:val="007436B3"/>
    <w:rsid w:val="007449EC"/>
    <w:rsid w:val="00747309"/>
    <w:rsid w:val="0075063C"/>
    <w:rsid w:val="00750C30"/>
    <w:rsid w:val="0075122B"/>
    <w:rsid w:val="00753F73"/>
    <w:rsid w:val="00754D32"/>
    <w:rsid w:val="007576BA"/>
    <w:rsid w:val="00764B08"/>
    <w:rsid w:val="00764B30"/>
    <w:rsid w:val="00765CE7"/>
    <w:rsid w:val="0076717F"/>
    <w:rsid w:val="007675BF"/>
    <w:rsid w:val="0077078D"/>
    <w:rsid w:val="007745DF"/>
    <w:rsid w:val="00781A7D"/>
    <w:rsid w:val="0078282A"/>
    <w:rsid w:val="00785606"/>
    <w:rsid w:val="00785E2C"/>
    <w:rsid w:val="007901AF"/>
    <w:rsid w:val="0079084E"/>
    <w:rsid w:val="00790A32"/>
    <w:rsid w:val="0079108F"/>
    <w:rsid w:val="0079236E"/>
    <w:rsid w:val="00792E98"/>
    <w:rsid w:val="007931AD"/>
    <w:rsid w:val="007967DB"/>
    <w:rsid w:val="0079682D"/>
    <w:rsid w:val="007A00B5"/>
    <w:rsid w:val="007A5567"/>
    <w:rsid w:val="007B1759"/>
    <w:rsid w:val="007B1A27"/>
    <w:rsid w:val="007B1AF3"/>
    <w:rsid w:val="007B56FE"/>
    <w:rsid w:val="007B67EE"/>
    <w:rsid w:val="007B6ABB"/>
    <w:rsid w:val="007C16E3"/>
    <w:rsid w:val="007C2308"/>
    <w:rsid w:val="007C3A9F"/>
    <w:rsid w:val="007C504E"/>
    <w:rsid w:val="007C572E"/>
    <w:rsid w:val="007C769C"/>
    <w:rsid w:val="007D2889"/>
    <w:rsid w:val="007D617B"/>
    <w:rsid w:val="007D6610"/>
    <w:rsid w:val="007D6F92"/>
    <w:rsid w:val="007E12D3"/>
    <w:rsid w:val="007E1C8E"/>
    <w:rsid w:val="007E226F"/>
    <w:rsid w:val="007E366F"/>
    <w:rsid w:val="007E4CEA"/>
    <w:rsid w:val="007E5F18"/>
    <w:rsid w:val="007E722D"/>
    <w:rsid w:val="007F540F"/>
    <w:rsid w:val="007F71AB"/>
    <w:rsid w:val="007F7D22"/>
    <w:rsid w:val="008008E1"/>
    <w:rsid w:val="00806D7B"/>
    <w:rsid w:val="00810BE7"/>
    <w:rsid w:val="00812822"/>
    <w:rsid w:val="00814EF1"/>
    <w:rsid w:val="00817068"/>
    <w:rsid w:val="00823709"/>
    <w:rsid w:val="00823E37"/>
    <w:rsid w:val="00823EB0"/>
    <w:rsid w:val="008246ED"/>
    <w:rsid w:val="00830539"/>
    <w:rsid w:val="00832FD6"/>
    <w:rsid w:val="008362ED"/>
    <w:rsid w:val="0083698A"/>
    <w:rsid w:val="008371A5"/>
    <w:rsid w:val="00840169"/>
    <w:rsid w:val="00841A98"/>
    <w:rsid w:val="00843D06"/>
    <w:rsid w:val="008453F1"/>
    <w:rsid w:val="0085114A"/>
    <w:rsid w:val="00851C50"/>
    <w:rsid w:val="008544F8"/>
    <w:rsid w:val="00854824"/>
    <w:rsid w:val="00856897"/>
    <w:rsid w:val="00857142"/>
    <w:rsid w:val="008648BD"/>
    <w:rsid w:val="0087235D"/>
    <w:rsid w:val="008758A4"/>
    <w:rsid w:val="00880013"/>
    <w:rsid w:val="008803AB"/>
    <w:rsid w:val="00881403"/>
    <w:rsid w:val="00885723"/>
    <w:rsid w:val="00885D0F"/>
    <w:rsid w:val="0089111C"/>
    <w:rsid w:val="0089285D"/>
    <w:rsid w:val="00893B25"/>
    <w:rsid w:val="008956C6"/>
    <w:rsid w:val="008975D0"/>
    <w:rsid w:val="00897691"/>
    <w:rsid w:val="008A1383"/>
    <w:rsid w:val="008A1D87"/>
    <w:rsid w:val="008A30A8"/>
    <w:rsid w:val="008A421D"/>
    <w:rsid w:val="008A5229"/>
    <w:rsid w:val="008A5815"/>
    <w:rsid w:val="008A69E8"/>
    <w:rsid w:val="008A6FA4"/>
    <w:rsid w:val="008B0ED6"/>
    <w:rsid w:val="008B20DA"/>
    <w:rsid w:val="008B290F"/>
    <w:rsid w:val="008B5AF9"/>
    <w:rsid w:val="008B6029"/>
    <w:rsid w:val="008C4EFE"/>
    <w:rsid w:val="008D135E"/>
    <w:rsid w:val="008D37CD"/>
    <w:rsid w:val="008D5757"/>
    <w:rsid w:val="008D6836"/>
    <w:rsid w:val="008E1067"/>
    <w:rsid w:val="008E32E5"/>
    <w:rsid w:val="008E35CD"/>
    <w:rsid w:val="008E60E8"/>
    <w:rsid w:val="008F016C"/>
    <w:rsid w:val="008F1B68"/>
    <w:rsid w:val="008F27DF"/>
    <w:rsid w:val="008F335B"/>
    <w:rsid w:val="008F3553"/>
    <w:rsid w:val="008F478D"/>
    <w:rsid w:val="008F545E"/>
    <w:rsid w:val="009011B1"/>
    <w:rsid w:val="00901D48"/>
    <w:rsid w:val="00902A1E"/>
    <w:rsid w:val="00903B45"/>
    <w:rsid w:val="0091096D"/>
    <w:rsid w:val="0091231B"/>
    <w:rsid w:val="0091569A"/>
    <w:rsid w:val="0092046E"/>
    <w:rsid w:val="00922DED"/>
    <w:rsid w:val="00922E50"/>
    <w:rsid w:val="0092388E"/>
    <w:rsid w:val="00923A92"/>
    <w:rsid w:val="009248C9"/>
    <w:rsid w:val="0092544A"/>
    <w:rsid w:val="00925FCE"/>
    <w:rsid w:val="00926AE4"/>
    <w:rsid w:val="00934D78"/>
    <w:rsid w:val="00935EC4"/>
    <w:rsid w:val="0093700B"/>
    <w:rsid w:val="00940BD6"/>
    <w:rsid w:val="00941FBA"/>
    <w:rsid w:val="00942454"/>
    <w:rsid w:val="0094327E"/>
    <w:rsid w:val="00943608"/>
    <w:rsid w:val="00946108"/>
    <w:rsid w:val="00947221"/>
    <w:rsid w:val="00947A3E"/>
    <w:rsid w:val="009512B7"/>
    <w:rsid w:val="00951C73"/>
    <w:rsid w:val="00954A49"/>
    <w:rsid w:val="00954FC5"/>
    <w:rsid w:val="009552FD"/>
    <w:rsid w:val="00956AA5"/>
    <w:rsid w:val="00957063"/>
    <w:rsid w:val="009606B5"/>
    <w:rsid w:val="00962088"/>
    <w:rsid w:val="00970C98"/>
    <w:rsid w:val="00972D3C"/>
    <w:rsid w:val="00974191"/>
    <w:rsid w:val="00974B30"/>
    <w:rsid w:val="00975207"/>
    <w:rsid w:val="009755A9"/>
    <w:rsid w:val="00977407"/>
    <w:rsid w:val="00980C70"/>
    <w:rsid w:val="00981FD3"/>
    <w:rsid w:val="00984D13"/>
    <w:rsid w:val="00986DAB"/>
    <w:rsid w:val="00987A72"/>
    <w:rsid w:val="00987CB4"/>
    <w:rsid w:val="00990723"/>
    <w:rsid w:val="00990D9E"/>
    <w:rsid w:val="009912AB"/>
    <w:rsid w:val="009A06C9"/>
    <w:rsid w:val="009A21D5"/>
    <w:rsid w:val="009A4D46"/>
    <w:rsid w:val="009A516C"/>
    <w:rsid w:val="009B3734"/>
    <w:rsid w:val="009B45CE"/>
    <w:rsid w:val="009B5A84"/>
    <w:rsid w:val="009C1CDB"/>
    <w:rsid w:val="009C1FA4"/>
    <w:rsid w:val="009C23B1"/>
    <w:rsid w:val="009C2D64"/>
    <w:rsid w:val="009C3C42"/>
    <w:rsid w:val="009C4F2E"/>
    <w:rsid w:val="009C75EA"/>
    <w:rsid w:val="009D0749"/>
    <w:rsid w:val="009D088C"/>
    <w:rsid w:val="009D089A"/>
    <w:rsid w:val="009D5E70"/>
    <w:rsid w:val="009D5FD6"/>
    <w:rsid w:val="009D73D1"/>
    <w:rsid w:val="009D7A44"/>
    <w:rsid w:val="009E2070"/>
    <w:rsid w:val="009E74B1"/>
    <w:rsid w:val="009F30F6"/>
    <w:rsid w:val="009F3803"/>
    <w:rsid w:val="009F4D0F"/>
    <w:rsid w:val="00A01BB7"/>
    <w:rsid w:val="00A0309C"/>
    <w:rsid w:val="00A03352"/>
    <w:rsid w:val="00A04936"/>
    <w:rsid w:val="00A066CD"/>
    <w:rsid w:val="00A06DCA"/>
    <w:rsid w:val="00A12918"/>
    <w:rsid w:val="00A12ED8"/>
    <w:rsid w:val="00A14C6B"/>
    <w:rsid w:val="00A14CAE"/>
    <w:rsid w:val="00A22569"/>
    <w:rsid w:val="00A26A7E"/>
    <w:rsid w:val="00A3126B"/>
    <w:rsid w:val="00A3388F"/>
    <w:rsid w:val="00A33F62"/>
    <w:rsid w:val="00A3752A"/>
    <w:rsid w:val="00A42445"/>
    <w:rsid w:val="00A42EEF"/>
    <w:rsid w:val="00A445CE"/>
    <w:rsid w:val="00A45042"/>
    <w:rsid w:val="00A50D6E"/>
    <w:rsid w:val="00A53322"/>
    <w:rsid w:val="00A53ACA"/>
    <w:rsid w:val="00A543F6"/>
    <w:rsid w:val="00A55A7D"/>
    <w:rsid w:val="00A57A8D"/>
    <w:rsid w:val="00A62898"/>
    <w:rsid w:val="00A6435F"/>
    <w:rsid w:val="00A64AD4"/>
    <w:rsid w:val="00A66162"/>
    <w:rsid w:val="00A6654B"/>
    <w:rsid w:val="00A711BF"/>
    <w:rsid w:val="00A717C3"/>
    <w:rsid w:val="00A72918"/>
    <w:rsid w:val="00A74FAA"/>
    <w:rsid w:val="00A76C22"/>
    <w:rsid w:val="00A823EC"/>
    <w:rsid w:val="00A83314"/>
    <w:rsid w:val="00A86C17"/>
    <w:rsid w:val="00A87067"/>
    <w:rsid w:val="00A92343"/>
    <w:rsid w:val="00A92577"/>
    <w:rsid w:val="00A978AC"/>
    <w:rsid w:val="00A97B43"/>
    <w:rsid w:val="00AA03E8"/>
    <w:rsid w:val="00AA1E07"/>
    <w:rsid w:val="00AA5E47"/>
    <w:rsid w:val="00AA74B1"/>
    <w:rsid w:val="00AB07D6"/>
    <w:rsid w:val="00AB3424"/>
    <w:rsid w:val="00AB6C2F"/>
    <w:rsid w:val="00AB7240"/>
    <w:rsid w:val="00AC41A8"/>
    <w:rsid w:val="00AC5EE4"/>
    <w:rsid w:val="00AC74D7"/>
    <w:rsid w:val="00AD3A82"/>
    <w:rsid w:val="00AD4BDB"/>
    <w:rsid w:val="00AD61C8"/>
    <w:rsid w:val="00AD7D4D"/>
    <w:rsid w:val="00AE2151"/>
    <w:rsid w:val="00AF3606"/>
    <w:rsid w:val="00AF4BCB"/>
    <w:rsid w:val="00AF53E5"/>
    <w:rsid w:val="00AF5C81"/>
    <w:rsid w:val="00AF5D07"/>
    <w:rsid w:val="00AF65A2"/>
    <w:rsid w:val="00B031DD"/>
    <w:rsid w:val="00B05080"/>
    <w:rsid w:val="00B0575C"/>
    <w:rsid w:val="00B0754A"/>
    <w:rsid w:val="00B1190F"/>
    <w:rsid w:val="00B155A2"/>
    <w:rsid w:val="00B16453"/>
    <w:rsid w:val="00B16BD2"/>
    <w:rsid w:val="00B175DA"/>
    <w:rsid w:val="00B17CDA"/>
    <w:rsid w:val="00B17E84"/>
    <w:rsid w:val="00B200AC"/>
    <w:rsid w:val="00B21504"/>
    <w:rsid w:val="00B2152C"/>
    <w:rsid w:val="00B223A1"/>
    <w:rsid w:val="00B25B7A"/>
    <w:rsid w:val="00B25FC9"/>
    <w:rsid w:val="00B265A8"/>
    <w:rsid w:val="00B310EF"/>
    <w:rsid w:val="00B314CA"/>
    <w:rsid w:val="00B331DF"/>
    <w:rsid w:val="00B43D28"/>
    <w:rsid w:val="00B43D31"/>
    <w:rsid w:val="00B50A7A"/>
    <w:rsid w:val="00B51597"/>
    <w:rsid w:val="00B516D6"/>
    <w:rsid w:val="00B5240E"/>
    <w:rsid w:val="00B55D54"/>
    <w:rsid w:val="00B568D7"/>
    <w:rsid w:val="00B5744C"/>
    <w:rsid w:val="00B57D63"/>
    <w:rsid w:val="00B6354C"/>
    <w:rsid w:val="00B63983"/>
    <w:rsid w:val="00B644FA"/>
    <w:rsid w:val="00B67798"/>
    <w:rsid w:val="00B67A94"/>
    <w:rsid w:val="00B67C5C"/>
    <w:rsid w:val="00B67FF9"/>
    <w:rsid w:val="00B70E87"/>
    <w:rsid w:val="00B75524"/>
    <w:rsid w:val="00B75974"/>
    <w:rsid w:val="00B75CD8"/>
    <w:rsid w:val="00B779D7"/>
    <w:rsid w:val="00B77B5D"/>
    <w:rsid w:val="00B77C09"/>
    <w:rsid w:val="00B77D99"/>
    <w:rsid w:val="00B8166D"/>
    <w:rsid w:val="00B8379A"/>
    <w:rsid w:val="00B83B50"/>
    <w:rsid w:val="00B83E74"/>
    <w:rsid w:val="00B9177F"/>
    <w:rsid w:val="00B92466"/>
    <w:rsid w:val="00B92FBF"/>
    <w:rsid w:val="00B94035"/>
    <w:rsid w:val="00B95F4F"/>
    <w:rsid w:val="00B9605B"/>
    <w:rsid w:val="00BA01A5"/>
    <w:rsid w:val="00BA16E9"/>
    <w:rsid w:val="00BA2E72"/>
    <w:rsid w:val="00BA6E83"/>
    <w:rsid w:val="00BC3C9D"/>
    <w:rsid w:val="00BC6629"/>
    <w:rsid w:val="00BC7540"/>
    <w:rsid w:val="00BD0149"/>
    <w:rsid w:val="00BD0AC9"/>
    <w:rsid w:val="00BD53BD"/>
    <w:rsid w:val="00BD574F"/>
    <w:rsid w:val="00BD5CAB"/>
    <w:rsid w:val="00BD73E2"/>
    <w:rsid w:val="00BE459D"/>
    <w:rsid w:val="00BE6A1F"/>
    <w:rsid w:val="00BF0063"/>
    <w:rsid w:val="00BF0168"/>
    <w:rsid w:val="00BF01D4"/>
    <w:rsid w:val="00BF0D1D"/>
    <w:rsid w:val="00BF3284"/>
    <w:rsid w:val="00BF6343"/>
    <w:rsid w:val="00BF6550"/>
    <w:rsid w:val="00BF69C9"/>
    <w:rsid w:val="00BF6A6E"/>
    <w:rsid w:val="00BF7B6B"/>
    <w:rsid w:val="00C04D78"/>
    <w:rsid w:val="00C06D1E"/>
    <w:rsid w:val="00C10C91"/>
    <w:rsid w:val="00C132D0"/>
    <w:rsid w:val="00C14955"/>
    <w:rsid w:val="00C14ED3"/>
    <w:rsid w:val="00C15467"/>
    <w:rsid w:val="00C163B1"/>
    <w:rsid w:val="00C175BC"/>
    <w:rsid w:val="00C230A3"/>
    <w:rsid w:val="00C31462"/>
    <w:rsid w:val="00C31846"/>
    <w:rsid w:val="00C32115"/>
    <w:rsid w:val="00C32238"/>
    <w:rsid w:val="00C323E6"/>
    <w:rsid w:val="00C35CE0"/>
    <w:rsid w:val="00C4081F"/>
    <w:rsid w:val="00C420BF"/>
    <w:rsid w:val="00C432EB"/>
    <w:rsid w:val="00C449FE"/>
    <w:rsid w:val="00C465F0"/>
    <w:rsid w:val="00C478D5"/>
    <w:rsid w:val="00C47954"/>
    <w:rsid w:val="00C5231C"/>
    <w:rsid w:val="00C53A45"/>
    <w:rsid w:val="00C54912"/>
    <w:rsid w:val="00C55882"/>
    <w:rsid w:val="00C56983"/>
    <w:rsid w:val="00C57FCC"/>
    <w:rsid w:val="00C60D44"/>
    <w:rsid w:val="00C63954"/>
    <w:rsid w:val="00C63EFB"/>
    <w:rsid w:val="00C640C7"/>
    <w:rsid w:val="00C6410C"/>
    <w:rsid w:val="00C6425B"/>
    <w:rsid w:val="00C6504C"/>
    <w:rsid w:val="00C6704E"/>
    <w:rsid w:val="00C70979"/>
    <w:rsid w:val="00C7140E"/>
    <w:rsid w:val="00C7744F"/>
    <w:rsid w:val="00C81969"/>
    <w:rsid w:val="00C824D5"/>
    <w:rsid w:val="00C83A8E"/>
    <w:rsid w:val="00C86157"/>
    <w:rsid w:val="00C86CAA"/>
    <w:rsid w:val="00C90DA4"/>
    <w:rsid w:val="00C91067"/>
    <w:rsid w:val="00C961DD"/>
    <w:rsid w:val="00C96BE2"/>
    <w:rsid w:val="00C96F5A"/>
    <w:rsid w:val="00CA19D6"/>
    <w:rsid w:val="00CA338C"/>
    <w:rsid w:val="00CA6E40"/>
    <w:rsid w:val="00CA715F"/>
    <w:rsid w:val="00CB0339"/>
    <w:rsid w:val="00CB27AF"/>
    <w:rsid w:val="00CB2BBE"/>
    <w:rsid w:val="00CB4FEA"/>
    <w:rsid w:val="00CB52A2"/>
    <w:rsid w:val="00CB7BBE"/>
    <w:rsid w:val="00CC0FDC"/>
    <w:rsid w:val="00CC4E39"/>
    <w:rsid w:val="00CC55E7"/>
    <w:rsid w:val="00CC5C4D"/>
    <w:rsid w:val="00CC5CB8"/>
    <w:rsid w:val="00CC6C08"/>
    <w:rsid w:val="00CC7C2B"/>
    <w:rsid w:val="00CE2479"/>
    <w:rsid w:val="00CE5235"/>
    <w:rsid w:val="00CE54E2"/>
    <w:rsid w:val="00CE590B"/>
    <w:rsid w:val="00CE6917"/>
    <w:rsid w:val="00CE75F1"/>
    <w:rsid w:val="00CF0848"/>
    <w:rsid w:val="00CF4DF7"/>
    <w:rsid w:val="00CF6586"/>
    <w:rsid w:val="00CF672C"/>
    <w:rsid w:val="00CF6878"/>
    <w:rsid w:val="00CF7659"/>
    <w:rsid w:val="00D03020"/>
    <w:rsid w:val="00D04CD7"/>
    <w:rsid w:val="00D06EEE"/>
    <w:rsid w:val="00D10623"/>
    <w:rsid w:val="00D121D8"/>
    <w:rsid w:val="00D12A67"/>
    <w:rsid w:val="00D1636B"/>
    <w:rsid w:val="00D20021"/>
    <w:rsid w:val="00D20D37"/>
    <w:rsid w:val="00D21198"/>
    <w:rsid w:val="00D24A07"/>
    <w:rsid w:val="00D3043E"/>
    <w:rsid w:val="00D308BC"/>
    <w:rsid w:val="00D336A5"/>
    <w:rsid w:val="00D34E29"/>
    <w:rsid w:val="00D35227"/>
    <w:rsid w:val="00D36A3B"/>
    <w:rsid w:val="00D417F3"/>
    <w:rsid w:val="00D421F5"/>
    <w:rsid w:val="00D44310"/>
    <w:rsid w:val="00D47744"/>
    <w:rsid w:val="00D51AC8"/>
    <w:rsid w:val="00D5209C"/>
    <w:rsid w:val="00D56EBC"/>
    <w:rsid w:val="00D57712"/>
    <w:rsid w:val="00D63859"/>
    <w:rsid w:val="00D643EA"/>
    <w:rsid w:val="00D6643C"/>
    <w:rsid w:val="00D70D5A"/>
    <w:rsid w:val="00D71138"/>
    <w:rsid w:val="00D72100"/>
    <w:rsid w:val="00D75E2E"/>
    <w:rsid w:val="00D778EB"/>
    <w:rsid w:val="00D801D6"/>
    <w:rsid w:val="00D81651"/>
    <w:rsid w:val="00D823DE"/>
    <w:rsid w:val="00D844C0"/>
    <w:rsid w:val="00D879EE"/>
    <w:rsid w:val="00D91214"/>
    <w:rsid w:val="00D916EF"/>
    <w:rsid w:val="00D92A77"/>
    <w:rsid w:val="00D94660"/>
    <w:rsid w:val="00D95B91"/>
    <w:rsid w:val="00DA3BDE"/>
    <w:rsid w:val="00DA4B55"/>
    <w:rsid w:val="00DA5141"/>
    <w:rsid w:val="00DB10A7"/>
    <w:rsid w:val="00DB153A"/>
    <w:rsid w:val="00DB1E4C"/>
    <w:rsid w:val="00DB4446"/>
    <w:rsid w:val="00DB4453"/>
    <w:rsid w:val="00DC2E14"/>
    <w:rsid w:val="00DC346A"/>
    <w:rsid w:val="00DC50EF"/>
    <w:rsid w:val="00DC6BD3"/>
    <w:rsid w:val="00DD1D38"/>
    <w:rsid w:val="00DD4D8C"/>
    <w:rsid w:val="00DD6014"/>
    <w:rsid w:val="00DD7575"/>
    <w:rsid w:val="00DE05B4"/>
    <w:rsid w:val="00DE37DB"/>
    <w:rsid w:val="00DE50C9"/>
    <w:rsid w:val="00DE524F"/>
    <w:rsid w:val="00DE5C18"/>
    <w:rsid w:val="00DE5F7A"/>
    <w:rsid w:val="00DF0189"/>
    <w:rsid w:val="00DF06BE"/>
    <w:rsid w:val="00DF148A"/>
    <w:rsid w:val="00DF1674"/>
    <w:rsid w:val="00DF2302"/>
    <w:rsid w:val="00DF2E28"/>
    <w:rsid w:val="00DF3270"/>
    <w:rsid w:val="00DF50CB"/>
    <w:rsid w:val="00DF79FC"/>
    <w:rsid w:val="00E130EB"/>
    <w:rsid w:val="00E14EED"/>
    <w:rsid w:val="00E15CC0"/>
    <w:rsid w:val="00E15FDE"/>
    <w:rsid w:val="00E221F7"/>
    <w:rsid w:val="00E224C3"/>
    <w:rsid w:val="00E244A1"/>
    <w:rsid w:val="00E24BD9"/>
    <w:rsid w:val="00E24CE1"/>
    <w:rsid w:val="00E25D6C"/>
    <w:rsid w:val="00E27C2C"/>
    <w:rsid w:val="00E27E11"/>
    <w:rsid w:val="00E302F5"/>
    <w:rsid w:val="00E31C00"/>
    <w:rsid w:val="00E323F1"/>
    <w:rsid w:val="00E33F4B"/>
    <w:rsid w:val="00E345EA"/>
    <w:rsid w:val="00E34B76"/>
    <w:rsid w:val="00E351BE"/>
    <w:rsid w:val="00E37B0A"/>
    <w:rsid w:val="00E40CAE"/>
    <w:rsid w:val="00E45822"/>
    <w:rsid w:val="00E50CD9"/>
    <w:rsid w:val="00E52B15"/>
    <w:rsid w:val="00E53C79"/>
    <w:rsid w:val="00E5548B"/>
    <w:rsid w:val="00E55EC0"/>
    <w:rsid w:val="00E56421"/>
    <w:rsid w:val="00E578D2"/>
    <w:rsid w:val="00E57D8D"/>
    <w:rsid w:val="00E60FD8"/>
    <w:rsid w:val="00E63EE6"/>
    <w:rsid w:val="00E64A95"/>
    <w:rsid w:val="00E65174"/>
    <w:rsid w:val="00E753F5"/>
    <w:rsid w:val="00E75BCE"/>
    <w:rsid w:val="00E80E15"/>
    <w:rsid w:val="00E84AA9"/>
    <w:rsid w:val="00E85158"/>
    <w:rsid w:val="00E90788"/>
    <w:rsid w:val="00E9230E"/>
    <w:rsid w:val="00EA1C4D"/>
    <w:rsid w:val="00EA2360"/>
    <w:rsid w:val="00EA23FF"/>
    <w:rsid w:val="00EA2C66"/>
    <w:rsid w:val="00EA2D39"/>
    <w:rsid w:val="00EA410B"/>
    <w:rsid w:val="00EA7802"/>
    <w:rsid w:val="00EA7899"/>
    <w:rsid w:val="00EA7BCE"/>
    <w:rsid w:val="00EB1E4E"/>
    <w:rsid w:val="00EB32FA"/>
    <w:rsid w:val="00EB3452"/>
    <w:rsid w:val="00EB3653"/>
    <w:rsid w:val="00EB5FB9"/>
    <w:rsid w:val="00EC213A"/>
    <w:rsid w:val="00EC27F0"/>
    <w:rsid w:val="00EC3945"/>
    <w:rsid w:val="00EC5176"/>
    <w:rsid w:val="00EC7945"/>
    <w:rsid w:val="00EC79B0"/>
    <w:rsid w:val="00ED1206"/>
    <w:rsid w:val="00ED1E0C"/>
    <w:rsid w:val="00ED37A7"/>
    <w:rsid w:val="00ED425E"/>
    <w:rsid w:val="00ED59E9"/>
    <w:rsid w:val="00ED6ABA"/>
    <w:rsid w:val="00ED6BED"/>
    <w:rsid w:val="00EE297C"/>
    <w:rsid w:val="00EF1117"/>
    <w:rsid w:val="00EF1D49"/>
    <w:rsid w:val="00EF2B45"/>
    <w:rsid w:val="00EF3FBD"/>
    <w:rsid w:val="00EF4BBA"/>
    <w:rsid w:val="00F005F5"/>
    <w:rsid w:val="00F016A1"/>
    <w:rsid w:val="00F018C6"/>
    <w:rsid w:val="00F0379B"/>
    <w:rsid w:val="00F038C4"/>
    <w:rsid w:val="00F03BA1"/>
    <w:rsid w:val="00F053BD"/>
    <w:rsid w:val="00F065B6"/>
    <w:rsid w:val="00F11815"/>
    <w:rsid w:val="00F11CAC"/>
    <w:rsid w:val="00F136E2"/>
    <w:rsid w:val="00F13FC3"/>
    <w:rsid w:val="00F16159"/>
    <w:rsid w:val="00F21D55"/>
    <w:rsid w:val="00F22CD2"/>
    <w:rsid w:val="00F25227"/>
    <w:rsid w:val="00F3392D"/>
    <w:rsid w:val="00F3510F"/>
    <w:rsid w:val="00F36FBF"/>
    <w:rsid w:val="00F3743B"/>
    <w:rsid w:val="00F3743C"/>
    <w:rsid w:val="00F428B5"/>
    <w:rsid w:val="00F428C5"/>
    <w:rsid w:val="00F434CD"/>
    <w:rsid w:val="00F43B52"/>
    <w:rsid w:val="00F43C1C"/>
    <w:rsid w:val="00F43D48"/>
    <w:rsid w:val="00F43D4D"/>
    <w:rsid w:val="00F441EB"/>
    <w:rsid w:val="00F4563F"/>
    <w:rsid w:val="00F543D6"/>
    <w:rsid w:val="00F54F7C"/>
    <w:rsid w:val="00F56327"/>
    <w:rsid w:val="00F5713C"/>
    <w:rsid w:val="00F57AC1"/>
    <w:rsid w:val="00F6412A"/>
    <w:rsid w:val="00F700B7"/>
    <w:rsid w:val="00F71531"/>
    <w:rsid w:val="00F716FC"/>
    <w:rsid w:val="00F718F1"/>
    <w:rsid w:val="00F741E8"/>
    <w:rsid w:val="00F749A0"/>
    <w:rsid w:val="00F74B01"/>
    <w:rsid w:val="00F762D4"/>
    <w:rsid w:val="00F802AF"/>
    <w:rsid w:val="00F80631"/>
    <w:rsid w:val="00F84A43"/>
    <w:rsid w:val="00F85357"/>
    <w:rsid w:val="00F85C9A"/>
    <w:rsid w:val="00F865D6"/>
    <w:rsid w:val="00F90D74"/>
    <w:rsid w:val="00F91D9C"/>
    <w:rsid w:val="00F94F21"/>
    <w:rsid w:val="00F955D3"/>
    <w:rsid w:val="00F955EA"/>
    <w:rsid w:val="00FA22FB"/>
    <w:rsid w:val="00FB00E2"/>
    <w:rsid w:val="00FB138A"/>
    <w:rsid w:val="00FB1E67"/>
    <w:rsid w:val="00FB6D2C"/>
    <w:rsid w:val="00FB6EBA"/>
    <w:rsid w:val="00FC06DE"/>
    <w:rsid w:val="00FC28B2"/>
    <w:rsid w:val="00FC4346"/>
    <w:rsid w:val="00FC4C27"/>
    <w:rsid w:val="00FD1D3E"/>
    <w:rsid w:val="00FD4E49"/>
    <w:rsid w:val="00FD52B7"/>
    <w:rsid w:val="00FD63AF"/>
    <w:rsid w:val="00FD6697"/>
    <w:rsid w:val="00FE0ADC"/>
    <w:rsid w:val="00FE111C"/>
    <w:rsid w:val="00FE16C4"/>
    <w:rsid w:val="00FE2220"/>
    <w:rsid w:val="00FE56B8"/>
    <w:rsid w:val="00FE757A"/>
    <w:rsid w:val="00FE7F30"/>
    <w:rsid w:val="00FE7FB5"/>
    <w:rsid w:val="00FF323E"/>
    <w:rsid w:val="00FF3FA4"/>
    <w:rsid w:val="0B491B94"/>
    <w:rsid w:val="0E2739C6"/>
    <w:rsid w:val="105F0FD9"/>
    <w:rsid w:val="16916013"/>
    <w:rsid w:val="25396FA1"/>
    <w:rsid w:val="26192DBC"/>
    <w:rsid w:val="265C52B5"/>
    <w:rsid w:val="29521DDA"/>
    <w:rsid w:val="2B1F1C80"/>
    <w:rsid w:val="2B8878B7"/>
    <w:rsid w:val="330A25CB"/>
    <w:rsid w:val="35796E9D"/>
    <w:rsid w:val="386C6D7B"/>
    <w:rsid w:val="42514F74"/>
    <w:rsid w:val="45C91F2C"/>
    <w:rsid w:val="4AA40703"/>
    <w:rsid w:val="543E3A77"/>
    <w:rsid w:val="56D01083"/>
    <w:rsid w:val="56D4573B"/>
    <w:rsid w:val="57657868"/>
    <w:rsid w:val="582B1610"/>
    <w:rsid w:val="61D676E0"/>
    <w:rsid w:val="62915BC1"/>
    <w:rsid w:val="64AE2943"/>
    <w:rsid w:val="6C6A1109"/>
    <w:rsid w:val="732E06CA"/>
    <w:rsid w:val="73DC029C"/>
    <w:rsid w:val="7AFC39FF"/>
    <w:rsid w:val="7B3F5E3F"/>
    <w:rsid w:val="7BA705D4"/>
    <w:rsid w:val="7BE13E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adjustRightInd w:val="0"/>
      <w:spacing w:before="120" w:after="120" w:line="578" w:lineRule="atLeast"/>
      <w:ind w:left="425" w:right="357" w:firstLine="992"/>
      <w:jc w:val="center"/>
      <w:textAlignment w:val="baseline"/>
      <w:outlineLvl w:val="0"/>
    </w:pPr>
    <w:rPr>
      <w:rFonts w:ascii="Arial" w:hAnsi="Arial" w:eastAsia="楷体_GB2312"/>
      <w:b/>
      <w:kern w:val="44"/>
      <w:sz w:val="32"/>
      <w:szCs w:val="2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6"/>
    <w:link w:val="24"/>
    <w:autoRedefine/>
    <w:qFormat/>
    <w:uiPriority w:val="0"/>
    <w:pPr>
      <w:keepLines/>
      <w:tabs>
        <w:tab w:val="left" w:pos="2839"/>
      </w:tabs>
      <w:adjustRightInd w:val="0"/>
      <w:spacing w:line="440" w:lineRule="atLeast"/>
      <w:jc w:val="left"/>
      <w:textAlignment w:val="baseline"/>
      <w:outlineLvl w:val="2"/>
    </w:pPr>
    <w:rPr>
      <w:rFonts w:eastAsia="黑体"/>
      <w:b/>
      <w:kern w:val="0"/>
      <w:sz w:val="24"/>
    </w:rPr>
  </w:style>
  <w:style w:type="paragraph" w:styleId="7">
    <w:name w:val="heading 7"/>
    <w:basedOn w:val="1"/>
    <w:next w:val="1"/>
    <w:autoRedefine/>
    <w:qFormat/>
    <w:uiPriority w:val="0"/>
    <w:pPr>
      <w:keepNext/>
      <w:keepLines/>
      <w:numPr>
        <w:ilvl w:val="6"/>
        <w:numId w:val="1"/>
      </w:numPr>
      <w:adjustRightInd w:val="0"/>
      <w:spacing w:before="240" w:after="64" w:line="320" w:lineRule="atLeast"/>
      <w:ind w:left="0" w:firstLine="0"/>
      <w:jc w:val="left"/>
      <w:textAlignment w:val="baseline"/>
      <w:outlineLvl w:val="6"/>
    </w:pPr>
    <w:rPr>
      <w:b/>
      <w:kern w:val="0"/>
      <w:sz w:val="24"/>
      <w:szCs w:val="20"/>
    </w:rPr>
  </w:style>
  <w:style w:type="paragraph" w:styleId="8">
    <w:name w:val="heading 8"/>
    <w:basedOn w:val="1"/>
    <w:next w:val="1"/>
    <w:autoRedefine/>
    <w:qFormat/>
    <w:uiPriority w:val="0"/>
    <w:pPr>
      <w:keepNext/>
      <w:keepLines/>
      <w:numPr>
        <w:ilvl w:val="7"/>
        <w:numId w:val="1"/>
      </w:numPr>
      <w:adjustRightInd w:val="0"/>
      <w:spacing w:before="240" w:after="64" w:line="320" w:lineRule="atLeast"/>
      <w:ind w:left="0" w:firstLine="0"/>
      <w:jc w:val="left"/>
      <w:textAlignment w:val="baseline"/>
      <w:outlineLvl w:val="7"/>
    </w:pPr>
    <w:rPr>
      <w:rFonts w:ascii="Arial" w:hAnsi="Arial" w:eastAsia="黑体"/>
      <w:kern w:val="0"/>
      <w:sz w:val="24"/>
      <w:szCs w:val="20"/>
    </w:rPr>
  </w:style>
  <w:style w:type="paragraph" w:styleId="9">
    <w:name w:val="heading 9"/>
    <w:basedOn w:val="1"/>
    <w:next w:val="1"/>
    <w:autoRedefine/>
    <w:qFormat/>
    <w:uiPriority w:val="0"/>
    <w:pPr>
      <w:keepNext/>
      <w:keepLines/>
      <w:numPr>
        <w:ilvl w:val="8"/>
        <w:numId w:val="1"/>
      </w:numPr>
      <w:adjustRightInd w:val="0"/>
      <w:spacing w:before="240" w:after="64" w:line="320" w:lineRule="atLeast"/>
      <w:ind w:left="0" w:firstLine="0"/>
      <w:jc w:val="left"/>
      <w:textAlignment w:val="baseline"/>
      <w:outlineLvl w:val="8"/>
    </w:pPr>
    <w:rPr>
      <w:rFonts w:ascii="Arial" w:hAnsi="Arial" w:eastAsia="黑体"/>
      <w:kern w:val="0"/>
      <w:szCs w:val="20"/>
    </w:rPr>
  </w:style>
  <w:style w:type="character" w:default="1" w:styleId="20">
    <w:name w:val="Default Paragraph Font"/>
    <w:link w:val="21"/>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6">
    <w:name w:val="Normal Indent"/>
    <w:basedOn w:val="1"/>
    <w:link w:val="25"/>
    <w:autoRedefine/>
    <w:qFormat/>
    <w:uiPriority w:val="0"/>
    <w:pPr>
      <w:adjustRightInd w:val="0"/>
      <w:spacing w:line="360" w:lineRule="atLeast"/>
      <w:ind w:firstLine="420"/>
      <w:jc w:val="left"/>
      <w:textAlignment w:val="baseline"/>
    </w:pPr>
    <w:rPr>
      <w:kern w:val="0"/>
      <w:sz w:val="24"/>
      <w:szCs w:val="20"/>
    </w:rPr>
  </w:style>
  <w:style w:type="paragraph" w:styleId="10">
    <w:name w:val="caption"/>
    <w:basedOn w:val="1"/>
    <w:next w:val="1"/>
    <w:autoRedefine/>
    <w:qFormat/>
    <w:uiPriority w:val="0"/>
    <w:rPr>
      <w:rFonts w:ascii="Arial" w:hAnsi="Arial" w:eastAsia="黑体" w:cs="Arial"/>
      <w:sz w:val="20"/>
      <w:szCs w:val="20"/>
    </w:rPr>
  </w:style>
  <w:style w:type="paragraph" w:styleId="11">
    <w:name w:val="Document Map"/>
    <w:basedOn w:val="1"/>
    <w:autoRedefine/>
    <w:semiHidden/>
    <w:qFormat/>
    <w:uiPriority w:val="0"/>
    <w:pPr>
      <w:shd w:val="clear" w:color="auto" w:fill="000080"/>
    </w:pPr>
  </w:style>
  <w:style w:type="paragraph" w:styleId="12">
    <w:name w:val="Body Text Indent"/>
    <w:basedOn w:val="1"/>
    <w:autoRedefine/>
    <w:qFormat/>
    <w:uiPriority w:val="0"/>
    <w:pPr>
      <w:spacing w:after="120"/>
      <w:ind w:left="420" w:leftChars="200"/>
    </w:pPr>
  </w:style>
  <w:style w:type="paragraph" w:styleId="13">
    <w:name w:val="Plain Text"/>
    <w:basedOn w:val="1"/>
    <w:link w:val="26"/>
    <w:autoRedefine/>
    <w:qFormat/>
    <w:uiPriority w:val="0"/>
    <w:rPr>
      <w:rFonts w:ascii="宋体" w:hAnsi="Courier New"/>
      <w:szCs w:val="20"/>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autoRedefine/>
    <w:semiHidden/>
    <w:qFormat/>
    <w:uiPriority w:val="0"/>
    <w:pPr>
      <w:ind w:left="420" w:leftChars="200"/>
    </w:pPr>
  </w:style>
  <w:style w:type="paragraph" w:styleId="1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 Char2"/>
    <w:basedOn w:val="1"/>
    <w:link w:val="20"/>
    <w:autoRedefine/>
    <w:qFormat/>
    <w:uiPriority w:val="0"/>
    <w:pPr>
      <w:snapToGrid w:val="0"/>
      <w:spacing w:line="440" w:lineRule="atLeast"/>
      <w:ind w:firstLine="200" w:firstLineChars="200"/>
    </w:pPr>
    <w:rPr>
      <w:rFonts w:ascii="宋体"/>
      <w:sz w:val="24"/>
    </w:rPr>
  </w:style>
  <w:style w:type="character" w:styleId="22">
    <w:name w:val="page number"/>
    <w:autoRedefine/>
    <w:qFormat/>
    <w:uiPriority w:val="0"/>
  </w:style>
  <w:style w:type="character" w:styleId="23">
    <w:name w:val="Hyperlink"/>
    <w:autoRedefine/>
    <w:qFormat/>
    <w:uiPriority w:val="0"/>
    <w:rPr>
      <w:color w:val="0000FF"/>
      <w:u w:val="single"/>
    </w:rPr>
  </w:style>
  <w:style w:type="character" w:customStyle="1" w:styleId="24">
    <w:name w:val="标题 3 字符"/>
    <w:link w:val="5"/>
    <w:autoRedefine/>
    <w:qFormat/>
    <w:uiPriority w:val="0"/>
    <w:rPr>
      <w:rFonts w:eastAsia="黑体"/>
      <w:b/>
      <w:sz w:val="24"/>
      <w:szCs w:val="24"/>
      <w:lang w:val="en-US" w:eastAsia="zh-CN" w:bidi="ar-SA"/>
    </w:rPr>
  </w:style>
  <w:style w:type="character" w:customStyle="1" w:styleId="25">
    <w:name w:val="正文缩进 字符"/>
    <w:link w:val="6"/>
    <w:autoRedefine/>
    <w:qFormat/>
    <w:uiPriority w:val="0"/>
    <w:rPr>
      <w:rFonts w:eastAsia="宋体"/>
      <w:sz w:val="24"/>
      <w:lang w:val="en-US" w:eastAsia="zh-CN" w:bidi="ar-SA"/>
    </w:rPr>
  </w:style>
  <w:style w:type="character" w:customStyle="1" w:styleId="26">
    <w:name w:val="纯文本 字符"/>
    <w:link w:val="13"/>
    <w:autoRedefine/>
    <w:qFormat/>
    <w:uiPriority w:val="0"/>
    <w:rPr>
      <w:rFonts w:ascii="宋体" w:hAnsi="Courier New" w:eastAsia="宋体"/>
      <w:kern w:val="2"/>
      <w:sz w:val="21"/>
      <w:lang w:val="en-US" w:eastAsia="zh-CN" w:bidi="ar-SA"/>
    </w:rPr>
  </w:style>
  <w:style w:type="character" w:customStyle="1" w:styleId="27">
    <w:name w:val="题注表 Char"/>
    <w:link w:val="28"/>
    <w:autoRedefine/>
    <w:qFormat/>
    <w:uiPriority w:val="0"/>
    <w:rPr>
      <w:b/>
      <w:sz w:val="24"/>
      <w:lang w:val="en-US" w:eastAsia="en-US" w:bidi="ar-SA"/>
    </w:rPr>
  </w:style>
  <w:style w:type="paragraph" w:customStyle="1" w:styleId="28">
    <w:name w:val="题注表"/>
    <w:basedOn w:val="10"/>
    <w:link w:val="27"/>
    <w:autoRedefine/>
    <w:qFormat/>
    <w:uiPriority w:val="0"/>
    <w:pPr>
      <w:widowControl/>
      <w:spacing w:line="360" w:lineRule="auto"/>
      <w:jc w:val="center"/>
    </w:pPr>
    <w:rPr>
      <w:rFonts w:ascii="Times New Roman" w:hAnsi="Times New Roman" w:eastAsia="Times New Roman" w:cs="Times New Roman"/>
      <w:b/>
      <w:kern w:val="0"/>
      <w:sz w:val="24"/>
      <w:lang w:eastAsia="en-US"/>
    </w:rPr>
  </w:style>
  <w:style w:type="paragraph" w:customStyle="1" w:styleId="29">
    <w:name w:val="Char1"/>
    <w:basedOn w:val="1"/>
    <w:autoRedefine/>
    <w:qFormat/>
    <w:uiPriority w:val="0"/>
    <w:pPr>
      <w:widowControl/>
      <w:spacing w:after="160" w:line="240" w:lineRule="exact"/>
      <w:jc w:val="left"/>
    </w:pPr>
  </w:style>
  <w:style w:type="paragraph" w:customStyle="1" w:styleId="30">
    <w:name w:val="样式 题注 + 首行缩进:  1.69 厘米"/>
    <w:basedOn w:val="10"/>
    <w:autoRedefine/>
    <w:qFormat/>
    <w:uiPriority w:val="0"/>
    <w:pPr>
      <w:spacing w:before="152" w:after="160" w:line="360" w:lineRule="auto"/>
      <w:ind w:firstLine="960"/>
    </w:pPr>
    <w:rPr>
      <w:rFonts w:eastAsia="宋体" w:cs="宋体"/>
      <w:sz w:val="24"/>
    </w:rPr>
  </w:style>
  <w:style w:type="paragraph" w:customStyle="1" w:styleId="31">
    <w:name w:val="法规"/>
    <w:basedOn w:val="1"/>
    <w:autoRedefine/>
    <w:qFormat/>
    <w:uiPriority w:val="0"/>
    <w:pPr>
      <w:numPr>
        <w:ilvl w:val="0"/>
        <w:numId w:val="2"/>
      </w:numPr>
      <w:tabs>
        <w:tab w:val="left" w:pos="400"/>
      </w:tabs>
      <w:spacing w:line="440" w:lineRule="exact"/>
    </w:pPr>
    <w:rPr>
      <w:sz w:val="25"/>
      <w:szCs w:val="20"/>
    </w:rPr>
  </w:style>
  <w:style w:type="paragraph" w:customStyle="1" w:styleId="32">
    <w:name w:val=" Char Char Char Char Char Char1 Char"/>
    <w:basedOn w:val="1"/>
    <w:autoRedefine/>
    <w:qFormat/>
    <w:uiPriority w:val="0"/>
  </w:style>
  <w:style w:type="paragraph" w:customStyle="1" w:styleId="33">
    <w:name w:val="默认段落字体 Para Char"/>
    <w:basedOn w:val="1"/>
    <w:next w:val="1"/>
    <w:autoRedefine/>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paragraph" w:customStyle="1" w:styleId="35">
    <w:name w:val="Char Char Char Char Char"/>
    <w:basedOn w:val="1"/>
    <w:autoRedefine/>
    <w:qFormat/>
    <w:uiPriority w:val="0"/>
    <w:pPr>
      <w:snapToGrid w:val="0"/>
      <w:spacing w:line="360" w:lineRule="auto"/>
      <w:ind w:firstLine="200" w:firstLineChars="200"/>
    </w:pPr>
  </w:style>
  <w:style w:type="paragraph" w:customStyle="1" w:styleId="36">
    <w:name w:val="缩进"/>
    <w:basedOn w:val="1"/>
    <w:autoRedefine/>
    <w:qFormat/>
    <w:uiPriority w:val="0"/>
    <w:pPr>
      <w:autoSpaceDE w:val="0"/>
      <w:autoSpaceDN w:val="0"/>
      <w:adjustRightInd w:val="0"/>
      <w:spacing w:line="400" w:lineRule="atLeast"/>
      <w:ind w:firstLine="425"/>
      <w:textAlignment w:val="baseline"/>
    </w:pPr>
    <w:rPr>
      <w:kern w:val="0"/>
      <w:sz w:val="24"/>
      <w:szCs w:val="20"/>
    </w:rPr>
  </w:style>
  <w:style w:type="paragraph" w:customStyle="1" w:styleId="37">
    <w:name w:val="WPSOffice手动目录 2"/>
    <w:autoRedefine/>
    <w:qFormat/>
    <w:uiPriority w:val="0"/>
    <w:pPr>
      <w:ind w:leftChars="200"/>
    </w:pPr>
    <w:rPr>
      <w:rFonts w:ascii="Times New Roman" w:hAnsi="Times New Roman" w:eastAsia="宋体" w:cs="Times New Roman"/>
      <w:lang w:val="en-US" w:eastAsia="zh-CN" w:bidi="ar-SA"/>
    </w:rPr>
  </w:style>
  <w:style w:type="paragraph" w:customStyle="1" w:styleId="38">
    <w:name w:val=" Char"/>
    <w:basedOn w:val="1"/>
    <w:autoRedefine/>
    <w:qFormat/>
    <w:uiPriority w:val="0"/>
  </w:style>
  <w:style w:type="paragraph" w:customStyle="1" w:styleId="39">
    <w:name w:val=" Char Char Char Char"/>
    <w:basedOn w:val="1"/>
    <w:autoRedefine/>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40">
    <w:name w:val="【表头】"/>
    <w:next w:val="1"/>
    <w:autoRedefine/>
    <w:qFormat/>
    <w:uiPriority w:val="0"/>
    <w:pPr>
      <w:spacing w:before="100" w:beforeAutospacing="1" w:line="360" w:lineRule="exact"/>
      <w:jc w:val="center"/>
    </w:pPr>
    <w:rPr>
      <w:rFonts w:ascii="Times New Roman" w:hAnsi="Times New Roman" w:eastAsia="黑体" w:cs="Times New Roman"/>
      <w:bCs/>
      <w:color w:val="000000"/>
      <w:kern w:val="2"/>
      <w:sz w:val="24"/>
      <w:szCs w:val="24"/>
      <w:lang w:val="en-US" w:eastAsia="zh-CN" w:bidi="ar-SA"/>
    </w:rPr>
  </w:style>
  <w:style w:type="paragraph" w:customStyle="1" w:styleId="41">
    <w:name w:val="Char Char1 Char Char Char Char Char Char Char Char Char Char Char Char Char Char Char Char Char Char Char Char Char Char Char Char Char"/>
    <w:basedOn w:val="1"/>
    <w:autoRedefine/>
    <w:qFormat/>
    <w:uiPriority w:val="0"/>
  </w:style>
  <w:style w:type="paragraph" w:customStyle="1" w:styleId="42">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3">
    <w:name w:val="正文首行缩进 2 + Times New Roman"/>
    <w:basedOn w:val="1"/>
    <w:autoRedefine/>
    <w:qFormat/>
    <w:uiPriority w:val="0"/>
    <w:pPr>
      <w:tabs>
        <w:tab w:val="left" w:pos="0"/>
        <w:tab w:val="left" w:pos="870"/>
      </w:tabs>
      <w:autoSpaceDE w:val="0"/>
      <w:autoSpaceDN w:val="0"/>
      <w:spacing w:line="440" w:lineRule="exact"/>
      <w:ind w:firstLine="480" w:firstLineChars="200"/>
    </w:pPr>
    <w:rPr>
      <w:kern w:val="0"/>
      <w:sz w:val="24"/>
    </w:rPr>
  </w:style>
  <w:style w:type="paragraph" w:customStyle="1" w:styleId="44">
    <w:name w:val="默认段落字体 Para Char Char Char Char"/>
    <w:basedOn w:val="1"/>
    <w:next w:val="1"/>
    <w:autoRedefine/>
    <w:qFormat/>
    <w:uiPriority w:val="0"/>
    <w:pPr>
      <w:spacing w:line="360" w:lineRule="auto"/>
      <w:ind w:firstLine="560" w:firstLineChars="200"/>
    </w:pPr>
    <w:rPr>
      <w:szCs w:val="20"/>
    </w:rPr>
  </w:style>
  <w:style w:type="paragraph" w:customStyle="1" w:styleId="45">
    <w:name w:val=" Char Char Char Char Char Char"/>
    <w:basedOn w:val="1"/>
    <w:autoRedefine/>
    <w:qFormat/>
    <w:uiPriority w:val="0"/>
  </w:style>
  <w:style w:type="paragraph" w:customStyle="1" w:styleId="46">
    <w:name w:val="样式 表格 32 + 首行缩进:  2 字符"/>
    <w:basedOn w:val="1"/>
    <w:autoRedefine/>
    <w:qFormat/>
    <w:uiPriority w:val="0"/>
    <w:pPr>
      <w:autoSpaceDE w:val="0"/>
      <w:autoSpaceDN w:val="0"/>
      <w:adjustRightInd w:val="0"/>
      <w:spacing w:line="0" w:lineRule="atLeast"/>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xmu</Company>
  <Pages>15</Pages>
  <Words>2760</Words>
  <Characters>3225</Characters>
  <Lines>30</Lines>
  <Paragraphs>8</Paragraphs>
  <TotalTime>26</TotalTime>
  <ScaleCrop>false</ScaleCrop>
  <LinksUpToDate>false</LinksUpToDate>
  <CharactersWithSpaces>3256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2023-01-04T03:40:00Z</dcterms:created>
  <dc:creator>gao</dc:creator>
  <cp:lastModifiedBy>由聿斤HJX</cp:lastModifiedBy>
  <cp:lastPrinted>2019-12-12T19:04:00Z</cp:lastPrinted>
  <dcterms:modified xsi:type="dcterms:W3CDTF">2024-04-15T02:24:03Z</dcterms:modified>
  <dc:title>4环境质量现状调查与评价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B13B3706EB454380AB13704D9E326C61_13</vt:lpwstr>
  </property>
</Properties>
</file>